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115E" w14:textId="77777777" w:rsidR="005B15D7" w:rsidRPr="007E403F" w:rsidRDefault="005B15D7" w:rsidP="005B15D7">
      <w:pPr>
        <w:spacing w:after="120"/>
        <w:jc w:val="center"/>
        <w:rPr>
          <w:b/>
          <w:bCs/>
          <w:sz w:val="28"/>
          <w:szCs w:val="28"/>
          <w:lang w:val="vi-VN"/>
        </w:rPr>
      </w:pPr>
      <w:r w:rsidRPr="007E403F">
        <w:rPr>
          <w:b/>
          <w:bCs/>
          <w:sz w:val="28"/>
          <w:szCs w:val="28"/>
          <w:lang w:val="vi-VN"/>
        </w:rPr>
        <w:t>Phụ lục</w:t>
      </w:r>
      <w:r>
        <w:rPr>
          <w:b/>
          <w:bCs/>
          <w:sz w:val="28"/>
          <w:szCs w:val="28"/>
          <w:lang w:val="vi-VN"/>
        </w:rPr>
        <w:t xml:space="preserve"> rà soát các chủ trương, đường lối của Đảng, văn bản quy phạm pháp luật, điều ước quốc tế có liên quan</w:t>
      </w:r>
    </w:p>
    <w:p w14:paraId="6B2BFB44" w14:textId="77777777" w:rsidR="005B15D7" w:rsidRPr="007E403F" w:rsidRDefault="005B15D7" w:rsidP="005B15D7">
      <w:pPr>
        <w:spacing w:after="240"/>
        <w:ind w:firstLine="720"/>
        <w:jc w:val="both"/>
        <w:rPr>
          <w:b/>
          <w:bCs/>
          <w:sz w:val="28"/>
          <w:szCs w:val="28"/>
          <w:lang w:val="vi-VN"/>
        </w:rPr>
      </w:pPr>
      <w:r w:rsidRPr="007E403F">
        <w:rPr>
          <w:b/>
          <w:bCs/>
          <w:sz w:val="28"/>
          <w:szCs w:val="28"/>
          <w:lang w:val="vi-VN"/>
        </w:rPr>
        <w:t>1. Chủ trương, đường lối của Đảng có liên quan đến dự thảo Nghị định sửa đổi, bổ sung một số điều của Nghị định số 75/2019/NĐ-CP ngày 26 tháng 9 năm 2019 của Chính phủ quy định về xử phạt vi phạm hành chính trong lĩnh vực cạnh tranh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81"/>
        <w:gridCol w:w="1700"/>
        <w:gridCol w:w="2948"/>
      </w:tblGrid>
      <w:tr w:rsidR="005B15D7" w14:paraId="23993A8F" w14:textId="77777777" w:rsidTr="00A87249">
        <w:tc>
          <w:tcPr>
            <w:tcW w:w="2552" w:type="dxa"/>
            <w:shd w:val="clear" w:color="auto" w:fill="auto"/>
          </w:tcPr>
          <w:p w14:paraId="115361C8" w14:textId="77777777" w:rsidR="005B15D7" w:rsidRDefault="005B15D7" w:rsidP="00A87249">
            <w:pPr>
              <w:jc w:val="both"/>
              <w:rPr>
                <w:b/>
                <w:bCs/>
                <w:sz w:val="26"/>
                <w:szCs w:val="26"/>
                <w:lang w:val="vi-VN"/>
              </w:rPr>
            </w:pPr>
            <w:r>
              <w:rPr>
                <w:b/>
                <w:bCs/>
                <w:sz w:val="26"/>
                <w:szCs w:val="26"/>
                <w:lang w:val="vi-VN"/>
              </w:rPr>
              <w:t>QUY ĐỊNH CỦA DỰ THẢO NGHỊ ĐỊNH</w:t>
            </w:r>
          </w:p>
        </w:tc>
        <w:tc>
          <w:tcPr>
            <w:tcW w:w="2581" w:type="dxa"/>
            <w:shd w:val="clear" w:color="auto" w:fill="auto"/>
          </w:tcPr>
          <w:p w14:paraId="46DB0142" w14:textId="77777777" w:rsidR="005B15D7" w:rsidRDefault="005B15D7" w:rsidP="00A87249">
            <w:pPr>
              <w:jc w:val="both"/>
              <w:rPr>
                <w:b/>
                <w:bCs/>
                <w:sz w:val="26"/>
                <w:szCs w:val="26"/>
                <w:lang w:val="vi-VN"/>
              </w:rPr>
            </w:pPr>
            <w:r>
              <w:rPr>
                <w:b/>
                <w:bCs/>
                <w:sz w:val="26"/>
                <w:szCs w:val="26"/>
                <w:lang w:val="vi-VN"/>
              </w:rPr>
              <w:t>CHỦ TRƯƠNG, ĐƯỜNG LỐI CỦA ĐẢNG</w:t>
            </w:r>
          </w:p>
        </w:tc>
        <w:tc>
          <w:tcPr>
            <w:tcW w:w="1700" w:type="dxa"/>
            <w:shd w:val="clear" w:color="auto" w:fill="auto"/>
          </w:tcPr>
          <w:p w14:paraId="5ACC2561" w14:textId="77777777" w:rsidR="005B15D7" w:rsidRDefault="005B15D7" w:rsidP="00A87249">
            <w:pPr>
              <w:jc w:val="center"/>
              <w:rPr>
                <w:b/>
                <w:bCs/>
                <w:sz w:val="26"/>
                <w:szCs w:val="26"/>
                <w:lang w:val="vi-VN"/>
              </w:rPr>
            </w:pPr>
            <w:r>
              <w:rPr>
                <w:b/>
                <w:bCs/>
                <w:sz w:val="26"/>
                <w:szCs w:val="26"/>
                <w:lang w:val="vi-VN"/>
              </w:rPr>
              <w:t>ĐÁNH GIÁ</w:t>
            </w:r>
          </w:p>
        </w:tc>
        <w:tc>
          <w:tcPr>
            <w:tcW w:w="2948" w:type="dxa"/>
            <w:shd w:val="clear" w:color="auto" w:fill="auto"/>
          </w:tcPr>
          <w:p w14:paraId="64C2E35C" w14:textId="77777777" w:rsidR="005B15D7" w:rsidRDefault="005B15D7" w:rsidP="00A87249">
            <w:pPr>
              <w:jc w:val="center"/>
              <w:rPr>
                <w:b/>
                <w:bCs/>
                <w:sz w:val="26"/>
                <w:szCs w:val="26"/>
                <w:lang w:val="vi-VN"/>
              </w:rPr>
            </w:pPr>
            <w:r>
              <w:rPr>
                <w:b/>
                <w:bCs/>
                <w:sz w:val="26"/>
                <w:szCs w:val="26"/>
                <w:lang w:val="vi-VN"/>
              </w:rPr>
              <w:t>ĐỀ XUẤT XỬ LÝ</w:t>
            </w:r>
          </w:p>
        </w:tc>
      </w:tr>
      <w:tr w:rsidR="005B15D7" w14:paraId="255A5754" w14:textId="77777777" w:rsidTr="00A87249">
        <w:tc>
          <w:tcPr>
            <w:tcW w:w="2552" w:type="dxa"/>
            <w:shd w:val="clear" w:color="auto" w:fill="auto"/>
          </w:tcPr>
          <w:p w14:paraId="48683646" w14:textId="77777777" w:rsidR="005B15D7" w:rsidRDefault="005B15D7" w:rsidP="00A87249">
            <w:pPr>
              <w:jc w:val="both"/>
              <w:rPr>
                <w:sz w:val="26"/>
                <w:szCs w:val="26"/>
                <w:lang w:val="vi-VN"/>
              </w:rPr>
            </w:pPr>
            <w:r>
              <w:rPr>
                <w:sz w:val="26"/>
                <w:szCs w:val="26"/>
                <w:lang w:val="vi-VN"/>
              </w:rPr>
              <w:t>- Quy định chung liên quan đến mức phạt tiền đối với hành vi vi phạm hành chính về cạnh tranh tại Điều 4.</w:t>
            </w:r>
          </w:p>
          <w:p w14:paraId="60F6E95A" w14:textId="77777777" w:rsidR="005B15D7" w:rsidRDefault="005B15D7" w:rsidP="00A87249">
            <w:pPr>
              <w:jc w:val="both"/>
              <w:rPr>
                <w:sz w:val="26"/>
                <w:szCs w:val="26"/>
                <w:lang w:val="vi-VN"/>
              </w:rPr>
            </w:pPr>
            <w:r>
              <w:rPr>
                <w:sz w:val="26"/>
                <w:szCs w:val="26"/>
                <w:lang w:val="vi-VN"/>
              </w:rPr>
              <w:t>- Quy định đối với hành vi vi phạm quy định về cung cấp thông tin, tài liệu tại Điều 22.</w:t>
            </w:r>
          </w:p>
          <w:p w14:paraId="7B631E4C" w14:textId="77777777" w:rsidR="005B15D7" w:rsidRDefault="005B15D7" w:rsidP="00A87249">
            <w:pPr>
              <w:jc w:val="both"/>
              <w:rPr>
                <w:sz w:val="26"/>
                <w:szCs w:val="26"/>
                <w:lang w:val="vi-VN"/>
              </w:rPr>
            </w:pPr>
            <w:r>
              <w:rPr>
                <w:sz w:val="26"/>
                <w:szCs w:val="26"/>
                <w:lang w:val="vi-VN"/>
              </w:rPr>
              <w:t>- Quy định đối với hành vi vi phạm trong trường hợp quy định tại điểm c khoản 1 Điều 41 Luật Cạnh tranh.</w:t>
            </w:r>
          </w:p>
        </w:tc>
        <w:tc>
          <w:tcPr>
            <w:tcW w:w="2581" w:type="dxa"/>
            <w:shd w:val="clear" w:color="auto" w:fill="auto"/>
          </w:tcPr>
          <w:p w14:paraId="248E4C70" w14:textId="77777777" w:rsidR="005B15D7" w:rsidRPr="00835082" w:rsidRDefault="005B15D7" w:rsidP="00A87249">
            <w:pPr>
              <w:jc w:val="both"/>
              <w:rPr>
                <w:sz w:val="26"/>
                <w:szCs w:val="26"/>
                <w:lang w:val="vi-VN"/>
              </w:rPr>
            </w:pPr>
            <w:r w:rsidRPr="00835082">
              <w:rPr>
                <w:rFonts w:eastAsia="Calibri"/>
                <w:bCs/>
                <w:color w:val="000000"/>
                <w:kern w:val="32"/>
                <w:sz w:val="26"/>
                <w:szCs w:val="26"/>
                <w:lang w:val="vi-VN" w:eastAsia="x-none"/>
              </w:rPr>
              <w:t xml:space="preserve">Nghị quyết số 138/NQ-CP ban hành Kế hoạch hành động của Chính phủ thực hiện Nghị quyết số 68-NQ/TW về phát triển kinh tế tư nhân và Nghị quyết số 139/NQ-CP </w:t>
            </w:r>
            <w:r w:rsidRPr="00835082">
              <w:rPr>
                <w:rFonts w:eastAsia="Calibri"/>
                <w:color w:val="000000"/>
                <w:kern w:val="32"/>
                <w:sz w:val="26"/>
                <w:szCs w:val="26"/>
                <w:lang w:val="vi-VN" w:eastAsia="x-none"/>
              </w:rPr>
              <w:t xml:space="preserve">ngày 17 tháng 5 năm 2025 của Chính phủ </w:t>
            </w:r>
            <w:r w:rsidRPr="00835082">
              <w:rPr>
                <w:rFonts w:eastAsia="Calibri"/>
                <w:bCs/>
                <w:color w:val="000000"/>
                <w:kern w:val="32"/>
                <w:sz w:val="26"/>
                <w:szCs w:val="26"/>
                <w:lang w:val="vi-VN" w:eastAsia="x-none"/>
              </w:rPr>
              <w:t xml:space="preserve">ban hành Kế hoạch của Chính phủ </w:t>
            </w:r>
            <w:r w:rsidRPr="00835082">
              <w:rPr>
                <w:rFonts w:eastAsia="Calibri"/>
                <w:color w:val="000000"/>
                <w:kern w:val="32"/>
                <w:sz w:val="26"/>
                <w:szCs w:val="26"/>
                <w:lang w:val="vi-VN" w:eastAsia="x-none"/>
              </w:rPr>
              <w:t>triển khai Nghị quyết số 198/2025/QH15 ngày 17 tháng 5 năm 2025 của Quốc hội về một số cơ chế, chính sách đặc biệt phát triển kinh tế tư nhân</w:t>
            </w:r>
            <w:r>
              <w:rPr>
                <w:rFonts w:eastAsia="Calibri"/>
                <w:color w:val="000000"/>
                <w:kern w:val="32"/>
                <w:sz w:val="26"/>
                <w:szCs w:val="26"/>
                <w:lang w:val="vi-VN" w:eastAsia="x-none"/>
              </w:rPr>
              <w:t xml:space="preserve"> nêu: </w:t>
            </w:r>
            <w:r w:rsidRPr="00835082">
              <w:rPr>
                <w:rFonts w:eastAsia="Calibri"/>
                <w:bCs/>
                <w:color w:val="000000"/>
                <w:kern w:val="32"/>
                <w:sz w:val="26"/>
                <w:szCs w:val="26"/>
                <w:lang w:val="vi-VN" w:eastAsia="x-none"/>
              </w:rPr>
              <w:t>Xử lý nghiêm các hành vi làm hạn chế cạnh tranh, lạm dụng vị trí thống lĩnh, vị trí độc quyền và cạnh tranh không lành mạnh</w:t>
            </w:r>
          </w:p>
        </w:tc>
        <w:tc>
          <w:tcPr>
            <w:tcW w:w="1700" w:type="dxa"/>
            <w:shd w:val="clear" w:color="auto" w:fill="auto"/>
          </w:tcPr>
          <w:p w14:paraId="02171DDD" w14:textId="77777777" w:rsidR="005B15D7" w:rsidRDefault="005B15D7" w:rsidP="00A87249">
            <w:pPr>
              <w:jc w:val="both"/>
              <w:rPr>
                <w:sz w:val="26"/>
                <w:szCs w:val="26"/>
                <w:lang w:val="vi-VN"/>
              </w:rPr>
            </w:pPr>
            <w:r>
              <w:rPr>
                <w:sz w:val="26"/>
                <w:szCs w:val="26"/>
                <w:lang w:val="vi-VN"/>
              </w:rPr>
              <w:t>Phù hợp với chủ trương, đường lối của Đảng</w:t>
            </w:r>
          </w:p>
        </w:tc>
        <w:tc>
          <w:tcPr>
            <w:tcW w:w="2948" w:type="dxa"/>
            <w:shd w:val="clear" w:color="auto" w:fill="auto"/>
          </w:tcPr>
          <w:p w14:paraId="4BE14B1A" w14:textId="77777777" w:rsidR="005B15D7" w:rsidRDefault="005B15D7" w:rsidP="00A87249">
            <w:pPr>
              <w:jc w:val="both"/>
              <w:rPr>
                <w:sz w:val="26"/>
                <w:szCs w:val="26"/>
                <w:lang w:val="vi-VN"/>
              </w:rPr>
            </w:pPr>
            <w:r>
              <w:rPr>
                <w:sz w:val="26"/>
                <w:szCs w:val="26"/>
                <w:lang w:val="vi-VN"/>
              </w:rPr>
              <w:t>- Sửa đổi, bổ sung quy định tại khoản 3 Điều 4 theo hướng nâng mức phạt tiền “từ 100.000.000 đồng đến 200.000.000 đồng” như quy định hiện tại lên mức “từ 500.000.000 đồng đến 1.000.000.000 đồng” .</w:t>
            </w:r>
          </w:p>
          <w:p w14:paraId="1D0AF78C" w14:textId="77777777" w:rsidR="005B15D7" w:rsidRDefault="005B15D7" w:rsidP="00A87249">
            <w:pPr>
              <w:jc w:val="both"/>
              <w:rPr>
                <w:sz w:val="26"/>
                <w:szCs w:val="26"/>
                <w:lang w:val="vi-VN"/>
              </w:rPr>
            </w:pPr>
            <w:r>
              <w:rPr>
                <w:sz w:val="26"/>
                <w:szCs w:val="26"/>
                <w:lang w:val="vi-VN"/>
              </w:rPr>
              <w:t xml:space="preserve">- Sửa đổi, bổ sung quy định tại khoản 2 Điều 22 theo hướng nâng mức phạt tiền “từ 10.000.000 đồng đến 20.000.000 đồng” như quy định hiện tại lên mức “từ 20.000.000 đồng đến 30.000.000 đồng”. </w:t>
            </w:r>
          </w:p>
          <w:p w14:paraId="48C76AD5" w14:textId="77777777" w:rsidR="005B15D7" w:rsidRDefault="005B15D7" w:rsidP="00A87249">
            <w:pPr>
              <w:jc w:val="both"/>
              <w:rPr>
                <w:sz w:val="26"/>
                <w:szCs w:val="26"/>
                <w:lang w:val="vi-VN"/>
              </w:rPr>
            </w:pPr>
            <w:r>
              <w:rPr>
                <w:sz w:val="26"/>
                <w:szCs w:val="26"/>
                <w:lang w:val="vi-VN"/>
              </w:rPr>
              <w:t>- Sửa đổi, bổ sung quy định tại Điều 15 theo hướng nâng mức phạt tiền “từ 01% đến 03% tổng doanh thu trên thị trường liên quan” lên mức “từ 01% đến 05% tổng doanh thu trên thị trường liên quan”.</w:t>
            </w:r>
          </w:p>
        </w:tc>
      </w:tr>
      <w:tr w:rsidR="005B15D7" w14:paraId="2C2F34BC" w14:textId="77777777" w:rsidTr="00A87249">
        <w:tc>
          <w:tcPr>
            <w:tcW w:w="2552" w:type="dxa"/>
            <w:shd w:val="clear" w:color="auto" w:fill="auto"/>
          </w:tcPr>
          <w:p w14:paraId="15D50537" w14:textId="77777777" w:rsidR="005B15D7" w:rsidRDefault="005B15D7" w:rsidP="00A87249">
            <w:pPr>
              <w:jc w:val="both"/>
              <w:rPr>
                <w:sz w:val="26"/>
                <w:szCs w:val="26"/>
                <w:lang w:val="vi-VN"/>
              </w:rPr>
            </w:pPr>
            <w:r>
              <w:rPr>
                <w:sz w:val="26"/>
                <w:szCs w:val="26"/>
                <w:lang w:val="vi-VN"/>
              </w:rPr>
              <w:t>Quy định về trình tự, thủ tục áp dụng các hình thức xử phạt bổ sung, biện pháp khắc phục hậu quả, các biện pháp ngăn chặn và bảo đảm xử lý vi phạm hành chính trong xử lý hành vi vi phạm hành chính về cạnh tranh.</w:t>
            </w:r>
          </w:p>
        </w:tc>
        <w:tc>
          <w:tcPr>
            <w:tcW w:w="2581" w:type="dxa"/>
            <w:shd w:val="clear" w:color="auto" w:fill="auto"/>
          </w:tcPr>
          <w:p w14:paraId="2835BE56" w14:textId="77777777" w:rsidR="005B15D7" w:rsidRDefault="005B15D7" w:rsidP="00A87249">
            <w:pPr>
              <w:jc w:val="both"/>
              <w:rPr>
                <w:sz w:val="26"/>
                <w:szCs w:val="26"/>
                <w:lang w:val="vi-VN"/>
              </w:rPr>
            </w:pPr>
            <w:r w:rsidRPr="00835082">
              <w:rPr>
                <w:rFonts w:eastAsia="Calibri"/>
                <w:bCs/>
                <w:color w:val="000000"/>
                <w:kern w:val="32"/>
                <w:sz w:val="26"/>
                <w:szCs w:val="26"/>
                <w:lang w:val="vi-VN" w:eastAsia="x-none"/>
              </w:rPr>
              <w:t xml:space="preserve">Nghị quyết số 138/NQ-CP ban hành Kế hoạch hành động của Chính phủ thực hiện Nghị quyết số 68-NQ/TW về phát triển kinh tế tư nhân và Nghị quyết số 139/NQ-CP </w:t>
            </w:r>
            <w:r w:rsidRPr="00835082">
              <w:rPr>
                <w:rFonts w:eastAsia="Calibri"/>
                <w:color w:val="000000"/>
                <w:kern w:val="32"/>
                <w:sz w:val="26"/>
                <w:szCs w:val="26"/>
                <w:lang w:val="vi-VN" w:eastAsia="x-none"/>
              </w:rPr>
              <w:t xml:space="preserve">ngày 17 tháng 5 năm 2025 của Chính phủ </w:t>
            </w:r>
            <w:r w:rsidRPr="00835082">
              <w:rPr>
                <w:rFonts w:eastAsia="Calibri"/>
                <w:bCs/>
                <w:color w:val="000000"/>
                <w:kern w:val="32"/>
                <w:sz w:val="26"/>
                <w:szCs w:val="26"/>
                <w:lang w:val="vi-VN" w:eastAsia="x-none"/>
              </w:rPr>
              <w:t xml:space="preserve">ban hành </w:t>
            </w:r>
            <w:r w:rsidRPr="00835082">
              <w:rPr>
                <w:rFonts w:eastAsia="Calibri"/>
                <w:bCs/>
                <w:color w:val="000000"/>
                <w:kern w:val="32"/>
                <w:sz w:val="26"/>
                <w:szCs w:val="26"/>
                <w:lang w:val="vi-VN" w:eastAsia="x-none"/>
              </w:rPr>
              <w:lastRenderedPageBreak/>
              <w:t xml:space="preserve">Kế hoạch của Chính phủ </w:t>
            </w:r>
            <w:r w:rsidRPr="00835082">
              <w:rPr>
                <w:rFonts w:eastAsia="Calibri"/>
                <w:color w:val="000000"/>
                <w:kern w:val="32"/>
                <w:sz w:val="26"/>
                <w:szCs w:val="26"/>
                <w:lang w:val="vi-VN" w:eastAsia="x-none"/>
              </w:rPr>
              <w:t>triển khai Nghị quyết số 198/2025/QH15 ngày 17 tháng 5 năm 2025 của Quốc hội về một số cơ chế, chính sách đặc biệt phát triển kinh tế tư nhân</w:t>
            </w:r>
            <w:r>
              <w:rPr>
                <w:rFonts w:eastAsia="Calibri"/>
                <w:color w:val="000000"/>
                <w:kern w:val="32"/>
                <w:sz w:val="26"/>
                <w:szCs w:val="26"/>
                <w:lang w:val="vi-VN" w:eastAsia="x-none"/>
              </w:rPr>
              <w:t xml:space="preserve"> nêu: </w:t>
            </w:r>
            <w:r w:rsidRPr="00835082">
              <w:rPr>
                <w:rFonts w:eastAsia="Calibri"/>
                <w:color w:val="000000"/>
                <w:kern w:val="32"/>
                <w:sz w:val="26"/>
                <w:szCs w:val="26"/>
                <w:lang w:val="vi-VN" w:eastAsia="x-none"/>
              </w:rPr>
              <w:t>Đẩy</w:t>
            </w:r>
            <w:r>
              <w:rPr>
                <w:rFonts w:eastAsia="Calibri"/>
                <w:color w:val="000000"/>
                <w:kern w:val="32"/>
                <w:sz w:val="26"/>
                <w:szCs w:val="26"/>
                <w:lang w:val="vi-VN" w:eastAsia="x-none"/>
              </w:rPr>
              <w:t xml:space="preserve"> mạnh thực thi Luật Cạnh tranh và các văn bản hướng dẫn thi hành đảm bảo môi trường cạnh tranh công bằng, bình đẳng, minh bạch giữa các thành phần kinh tế; xử lý nghiêm các hành vi lạm dụng vị trí thống lĩnh, độc quyền và cạnh tranh không lành mạnh, nâng cao hiệu lực hiệu quả hoạt động của Ủy ban Cạnh tranh Quốc gia</w:t>
            </w:r>
          </w:p>
        </w:tc>
        <w:tc>
          <w:tcPr>
            <w:tcW w:w="1700" w:type="dxa"/>
            <w:shd w:val="clear" w:color="auto" w:fill="auto"/>
          </w:tcPr>
          <w:p w14:paraId="30D3BB4A" w14:textId="77777777" w:rsidR="005B15D7" w:rsidRDefault="005B15D7" w:rsidP="00A87249">
            <w:pPr>
              <w:jc w:val="both"/>
              <w:rPr>
                <w:sz w:val="26"/>
                <w:szCs w:val="26"/>
                <w:lang w:val="vi-VN"/>
              </w:rPr>
            </w:pPr>
            <w:r>
              <w:rPr>
                <w:sz w:val="26"/>
                <w:szCs w:val="26"/>
                <w:lang w:val="vi-VN"/>
              </w:rPr>
              <w:lastRenderedPageBreak/>
              <w:t>Phù hợp với chủ trương, đường lối của Đảng</w:t>
            </w:r>
          </w:p>
        </w:tc>
        <w:tc>
          <w:tcPr>
            <w:tcW w:w="2948" w:type="dxa"/>
            <w:shd w:val="clear" w:color="auto" w:fill="auto"/>
          </w:tcPr>
          <w:p w14:paraId="45C4DBC0" w14:textId="77777777" w:rsidR="005B15D7" w:rsidRDefault="005B15D7" w:rsidP="00A87249">
            <w:pPr>
              <w:jc w:val="both"/>
              <w:rPr>
                <w:sz w:val="26"/>
                <w:szCs w:val="26"/>
                <w:lang w:val="vi-VN"/>
              </w:rPr>
            </w:pPr>
            <w:r>
              <w:rPr>
                <w:sz w:val="26"/>
                <w:szCs w:val="26"/>
                <w:lang w:val="vi-VN"/>
              </w:rPr>
              <w:t xml:space="preserve">Sửa đổi, bổ sung quy định tại khoản 3 Điều 29 theo hướng trong trường hợp pháp luật cạnh tranh và pháp luật về xử lý vi phạm hành chính có quy định khác nhau về cùng một nội dung thì ưu tiên áp dụng pháp luật cạnh tranh. Trong trường hợp pháp luật cạnh tranh chưa có </w:t>
            </w:r>
            <w:r>
              <w:rPr>
                <w:sz w:val="26"/>
                <w:szCs w:val="26"/>
                <w:lang w:val="vi-VN"/>
              </w:rPr>
              <w:lastRenderedPageBreak/>
              <w:t xml:space="preserve">quy định về một nội dung cụ thể thì áp dụng quy định của pháp luật xử lý vi phạm hành chính. </w:t>
            </w:r>
          </w:p>
        </w:tc>
      </w:tr>
      <w:tr w:rsidR="005B15D7" w14:paraId="1DA46921" w14:textId="77777777" w:rsidTr="00A87249">
        <w:tc>
          <w:tcPr>
            <w:tcW w:w="2552" w:type="dxa"/>
            <w:shd w:val="clear" w:color="auto" w:fill="auto"/>
          </w:tcPr>
          <w:p w14:paraId="2A06DDED" w14:textId="77777777" w:rsidR="005B15D7" w:rsidRDefault="005B15D7" w:rsidP="00A87249">
            <w:pPr>
              <w:jc w:val="both"/>
              <w:rPr>
                <w:sz w:val="26"/>
                <w:szCs w:val="26"/>
                <w:lang w:val="vi-VN"/>
              </w:rPr>
            </w:pPr>
            <w:r>
              <w:rPr>
                <w:sz w:val="26"/>
                <w:szCs w:val="26"/>
                <w:lang w:val="vi-VN"/>
              </w:rPr>
              <w:lastRenderedPageBreak/>
              <w:t>Các quy định về mức phạt tiền đối với hành vi vi phạm hành chính về cạnh tranh; các chế tài áp dụng đối với hành vi vi phạm quy định về tập trung kinh tế, hành vi vi phạm quy định về cạnh tranh không lành mạnh và hành vi vi phạm quy định pháp luật về cạnh tranh khác theo quy định của Luật Cạnh tranh.</w:t>
            </w:r>
          </w:p>
        </w:tc>
        <w:tc>
          <w:tcPr>
            <w:tcW w:w="2581" w:type="dxa"/>
            <w:shd w:val="clear" w:color="auto" w:fill="auto"/>
          </w:tcPr>
          <w:p w14:paraId="647C8777" w14:textId="77777777" w:rsidR="005B15D7" w:rsidRDefault="005B15D7" w:rsidP="00A87249">
            <w:pPr>
              <w:jc w:val="both"/>
              <w:rPr>
                <w:sz w:val="26"/>
                <w:szCs w:val="26"/>
                <w:lang w:val="vi-VN"/>
              </w:rPr>
            </w:pPr>
            <w:r w:rsidRPr="00835082">
              <w:rPr>
                <w:rFonts w:eastAsia="Calibri"/>
                <w:bCs/>
                <w:color w:val="000000"/>
                <w:kern w:val="32"/>
                <w:sz w:val="26"/>
                <w:szCs w:val="26"/>
                <w:lang w:val="vi-VN" w:eastAsia="x-none"/>
              </w:rPr>
              <w:t xml:space="preserve">Nghị quyết số 138/NQ-CP ban hành Kế hoạch hành động của Chính phủ thực hiện Nghị quyết số 68-NQ/TW về phát triển kinh tế tư nhân và Nghị quyết số 139/NQ-CP </w:t>
            </w:r>
            <w:r w:rsidRPr="00835082">
              <w:rPr>
                <w:rFonts w:eastAsia="Calibri"/>
                <w:color w:val="000000"/>
                <w:kern w:val="32"/>
                <w:sz w:val="26"/>
                <w:szCs w:val="26"/>
                <w:lang w:val="vi-VN" w:eastAsia="x-none"/>
              </w:rPr>
              <w:t xml:space="preserve">ngày 17 tháng 5 năm 2025 của Chính phủ </w:t>
            </w:r>
            <w:r w:rsidRPr="00835082">
              <w:rPr>
                <w:rFonts w:eastAsia="Calibri"/>
                <w:bCs/>
                <w:color w:val="000000"/>
                <w:kern w:val="32"/>
                <w:sz w:val="26"/>
                <w:szCs w:val="26"/>
                <w:lang w:val="vi-VN" w:eastAsia="x-none"/>
              </w:rPr>
              <w:t xml:space="preserve">ban hành Kế hoạch của Chính phủ </w:t>
            </w:r>
            <w:r w:rsidRPr="00835082">
              <w:rPr>
                <w:rFonts w:eastAsia="Calibri"/>
                <w:color w:val="000000"/>
                <w:kern w:val="32"/>
                <w:sz w:val="26"/>
                <w:szCs w:val="26"/>
                <w:lang w:val="vi-VN" w:eastAsia="x-none"/>
              </w:rPr>
              <w:t xml:space="preserve">triển khai Nghị quyết số 198/2025/QH15 ngày 17 tháng 5 năm 2025 của Quốc hội về một số cơ chế, chính sách đặc biệt phát triển kinh tế tư nhân giao Bộ Công Thương: </w:t>
            </w:r>
            <w:r>
              <w:rPr>
                <w:rFonts w:eastAsia="Calibri"/>
                <w:color w:val="000000"/>
                <w:kern w:val="32"/>
                <w:sz w:val="26"/>
                <w:szCs w:val="26"/>
                <w:lang w:val="vi-VN" w:eastAsia="x-none"/>
              </w:rPr>
              <w:t xml:space="preserve">Rà soát, sửa đổi Nghị định số 75/2019/NĐ-CP </w:t>
            </w:r>
            <w:r>
              <w:rPr>
                <w:rFonts w:eastAsia="Calibri"/>
                <w:color w:val="000000"/>
                <w:kern w:val="32"/>
                <w:sz w:val="26"/>
                <w:szCs w:val="26"/>
                <w:lang w:val="vi-VN" w:eastAsia="x-none"/>
              </w:rPr>
              <w:lastRenderedPageBreak/>
              <w:t>ngày 26 tháng 9 năm 2019 của Chính phủ quy định về xử phạt vi phạm hành chính trong lĩnh vực cạnh tranh đảm bảo: (i) Xử lý nghiêm các hành vi vi phạm pháp luật cạnh tranh, đặc biệt là các hành vi mang tính chất đặc quyền, độc quyền; (ii) Áp dụng cơ chế, chế tài xử lý cạnh tranh công bằng, bình đẳng, minh bạch giữa các thành phần kinh tế hoàn thành trong năm 2025</w:t>
            </w:r>
          </w:p>
        </w:tc>
        <w:tc>
          <w:tcPr>
            <w:tcW w:w="1700" w:type="dxa"/>
            <w:shd w:val="clear" w:color="auto" w:fill="auto"/>
          </w:tcPr>
          <w:p w14:paraId="1865CD2E" w14:textId="77777777" w:rsidR="005B15D7" w:rsidRDefault="005B15D7" w:rsidP="00A87249">
            <w:pPr>
              <w:jc w:val="both"/>
              <w:rPr>
                <w:sz w:val="26"/>
                <w:szCs w:val="26"/>
                <w:lang w:val="vi-VN"/>
              </w:rPr>
            </w:pPr>
            <w:r>
              <w:rPr>
                <w:sz w:val="26"/>
                <w:szCs w:val="26"/>
                <w:lang w:val="vi-VN"/>
              </w:rPr>
              <w:lastRenderedPageBreak/>
              <w:t>Phù hợp với chủ trương, đường lối của Đảng</w:t>
            </w:r>
          </w:p>
        </w:tc>
        <w:tc>
          <w:tcPr>
            <w:tcW w:w="2948" w:type="dxa"/>
            <w:shd w:val="clear" w:color="auto" w:fill="auto"/>
          </w:tcPr>
          <w:p w14:paraId="147D153C" w14:textId="77777777" w:rsidR="005B15D7" w:rsidRDefault="005B15D7" w:rsidP="00A87249">
            <w:pPr>
              <w:jc w:val="both"/>
              <w:rPr>
                <w:sz w:val="26"/>
                <w:szCs w:val="26"/>
                <w:lang w:val="vi-VN"/>
              </w:rPr>
            </w:pPr>
            <w:r>
              <w:rPr>
                <w:sz w:val="26"/>
                <w:szCs w:val="26"/>
                <w:lang w:val="vi-VN"/>
              </w:rPr>
              <w:t xml:space="preserve">Dự thảo Nghị định sửa đổi, bổ sung một số điều của Nghị định số 75/2019/NĐ-CP dự kiến sửa đổi, bổ sung, bãi bõ nội dung liên quan đến 16 Điều trên tổng số 36 Điều của Nghị định số 75/2019/NĐ-CP. Theo đó, dự thảo Nghị định sửa đổi, bổ sung một số nội dung liên quan đến quy định chung về mức phạt tiền đối với hành vi vi phạm hành chính về cạnh tranh; sửa đổi, bổ sung quy định cụ thể về hành vi không thông báo tập trung kinh tế, hành vi vi phạm pháp luật về tập trung kinh tế khác; sửa đổi, bổ sung một số quy định liên quan đến hành vi vi phạm quy định </w:t>
            </w:r>
            <w:r>
              <w:rPr>
                <w:sz w:val="26"/>
                <w:szCs w:val="26"/>
                <w:lang w:val="vi-VN"/>
              </w:rPr>
              <w:lastRenderedPageBreak/>
              <w:t>về cạnh tranh không lành mạnh và vi phạm quy định pháp luật về cạnh tranh khác.</w:t>
            </w:r>
          </w:p>
        </w:tc>
      </w:tr>
    </w:tbl>
    <w:p w14:paraId="4761D1A8" w14:textId="77777777" w:rsidR="005B15D7" w:rsidRPr="000A1CD5" w:rsidRDefault="005B15D7" w:rsidP="005B15D7">
      <w:pPr>
        <w:spacing w:before="240" w:after="240"/>
        <w:ind w:firstLine="720"/>
        <w:jc w:val="both"/>
        <w:rPr>
          <w:b/>
          <w:bCs/>
          <w:sz w:val="28"/>
          <w:szCs w:val="28"/>
          <w:lang w:val="vi-VN"/>
        </w:rPr>
      </w:pPr>
      <w:r w:rsidRPr="000A1CD5">
        <w:rPr>
          <w:b/>
          <w:bCs/>
          <w:sz w:val="28"/>
          <w:szCs w:val="28"/>
          <w:lang w:val="vi-VN"/>
        </w:rPr>
        <w:lastRenderedPageBreak/>
        <w:t>2. Văn bản quy phạm pháp luật có liên quan đến dự thảo Nghị định sửa đổi, bổ sung một số điều của Nghị định số 75/2019/NĐ-CP ngày 26 tháng 9 năm 2019 của Chính phủ quy định về xử phạt vi phạm hành chính trong lĩnh vực cạnh tranh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81"/>
        <w:gridCol w:w="1671"/>
        <w:gridCol w:w="2977"/>
      </w:tblGrid>
      <w:tr w:rsidR="005B15D7" w14:paraId="3DCEE031" w14:textId="77777777" w:rsidTr="00A87249">
        <w:tc>
          <w:tcPr>
            <w:tcW w:w="2552" w:type="dxa"/>
            <w:shd w:val="clear" w:color="auto" w:fill="auto"/>
          </w:tcPr>
          <w:p w14:paraId="0EB4FC7E" w14:textId="77777777" w:rsidR="005B15D7" w:rsidRDefault="005B15D7" w:rsidP="00A87249">
            <w:pPr>
              <w:jc w:val="both"/>
              <w:rPr>
                <w:b/>
                <w:bCs/>
                <w:sz w:val="26"/>
                <w:szCs w:val="26"/>
                <w:lang w:val="vi-VN"/>
              </w:rPr>
            </w:pPr>
            <w:r>
              <w:rPr>
                <w:b/>
                <w:bCs/>
                <w:sz w:val="26"/>
                <w:szCs w:val="26"/>
                <w:lang w:val="vi-VN"/>
              </w:rPr>
              <w:t>QUY ĐỊNH CỦA DỰ THẢO NGHỊ ĐỊNH</w:t>
            </w:r>
          </w:p>
        </w:tc>
        <w:tc>
          <w:tcPr>
            <w:tcW w:w="2581" w:type="dxa"/>
            <w:shd w:val="clear" w:color="auto" w:fill="auto"/>
          </w:tcPr>
          <w:p w14:paraId="504714CF" w14:textId="77777777" w:rsidR="005B15D7" w:rsidRDefault="005B15D7" w:rsidP="00A87249">
            <w:pPr>
              <w:jc w:val="both"/>
              <w:rPr>
                <w:b/>
                <w:bCs/>
                <w:sz w:val="26"/>
                <w:szCs w:val="26"/>
                <w:lang w:val="vi-VN"/>
              </w:rPr>
            </w:pPr>
            <w:r>
              <w:rPr>
                <w:b/>
                <w:bCs/>
                <w:sz w:val="26"/>
                <w:szCs w:val="26"/>
                <w:lang w:val="vi-VN"/>
              </w:rPr>
              <w:t>QUY ĐỊNH CỦA PHÁP LUẬT HIỆN HÀNH CÓ LIÊN QUAN</w:t>
            </w:r>
          </w:p>
        </w:tc>
        <w:tc>
          <w:tcPr>
            <w:tcW w:w="1671" w:type="dxa"/>
            <w:shd w:val="clear" w:color="auto" w:fill="auto"/>
          </w:tcPr>
          <w:p w14:paraId="51F63B64" w14:textId="77777777" w:rsidR="005B15D7" w:rsidRDefault="005B15D7" w:rsidP="00A87249">
            <w:pPr>
              <w:jc w:val="center"/>
              <w:rPr>
                <w:b/>
                <w:bCs/>
                <w:sz w:val="26"/>
                <w:szCs w:val="26"/>
                <w:lang w:val="vi-VN"/>
              </w:rPr>
            </w:pPr>
            <w:r>
              <w:rPr>
                <w:b/>
                <w:bCs/>
                <w:sz w:val="26"/>
                <w:szCs w:val="26"/>
                <w:lang w:val="vi-VN"/>
              </w:rPr>
              <w:t>ĐÁNH GIÁ</w:t>
            </w:r>
          </w:p>
        </w:tc>
        <w:tc>
          <w:tcPr>
            <w:tcW w:w="2977" w:type="dxa"/>
            <w:shd w:val="clear" w:color="auto" w:fill="auto"/>
          </w:tcPr>
          <w:p w14:paraId="6E513E45" w14:textId="77777777" w:rsidR="005B15D7" w:rsidRDefault="005B15D7" w:rsidP="00A87249">
            <w:pPr>
              <w:jc w:val="center"/>
              <w:rPr>
                <w:b/>
                <w:bCs/>
                <w:sz w:val="26"/>
                <w:szCs w:val="26"/>
                <w:lang w:val="vi-VN"/>
              </w:rPr>
            </w:pPr>
            <w:r>
              <w:rPr>
                <w:b/>
                <w:bCs/>
                <w:sz w:val="26"/>
                <w:szCs w:val="26"/>
                <w:lang w:val="vi-VN"/>
              </w:rPr>
              <w:t>ĐỀ XUẤT XỬ LÝ</w:t>
            </w:r>
          </w:p>
        </w:tc>
      </w:tr>
      <w:tr w:rsidR="005B15D7" w14:paraId="7F1959F8" w14:textId="77777777" w:rsidTr="00A87249">
        <w:tc>
          <w:tcPr>
            <w:tcW w:w="2552" w:type="dxa"/>
            <w:shd w:val="clear" w:color="auto" w:fill="auto"/>
          </w:tcPr>
          <w:p w14:paraId="447B8CD8" w14:textId="77777777" w:rsidR="005B15D7" w:rsidRDefault="005B15D7" w:rsidP="00A87249">
            <w:pPr>
              <w:jc w:val="both"/>
              <w:rPr>
                <w:sz w:val="26"/>
                <w:szCs w:val="26"/>
                <w:lang w:val="vi-VN"/>
              </w:rPr>
            </w:pPr>
            <w:r>
              <w:rPr>
                <w:sz w:val="26"/>
                <w:szCs w:val="26"/>
                <w:lang w:val="vi-VN"/>
              </w:rPr>
              <w:t>Những quy định chung</w:t>
            </w:r>
          </w:p>
        </w:tc>
        <w:tc>
          <w:tcPr>
            <w:tcW w:w="2581" w:type="dxa"/>
            <w:shd w:val="clear" w:color="auto" w:fill="auto"/>
          </w:tcPr>
          <w:p w14:paraId="52D71A87" w14:textId="77777777" w:rsidR="005B15D7" w:rsidRDefault="005B15D7" w:rsidP="00A87249">
            <w:pPr>
              <w:jc w:val="both"/>
              <w:rPr>
                <w:sz w:val="26"/>
                <w:szCs w:val="26"/>
                <w:lang w:val="vi-VN"/>
              </w:rPr>
            </w:pPr>
            <w:r>
              <w:rPr>
                <w:sz w:val="26"/>
                <w:szCs w:val="26"/>
                <w:lang w:val="vi-VN"/>
              </w:rPr>
              <w:t xml:space="preserve">Hiến pháp </w:t>
            </w:r>
          </w:p>
        </w:tc>
        <w:tc>
          <w:tcPr>
            <w:tcW w:w="1671" w:type="dxa"/>
            <w:shd w:val="clear" w:color="auto" w:fill="auto"/>
          </w:tcPr>
          <w:p w14:paraId="212181A4" w14:textId="77777777" w:rsidR="005B15D7" w:rsidRDefault="005B15D7" w:rsidP="00A87249">
            <w:pPr>
              <w:jc w:val="both"/>
              <w:rPr>
                <w:sz w:val="26"/>
                <w:szCs w:val="26"/>
                <w:lang w:val="vi-VN"/>
              </w:rPr>
            </w:pPr>
            <w:r>
              <w:rPr>
                <w:sz w:val="26"/>
                <w:szCs w:val="26"/>
                <w:lang w:val="vi-VN"/>
              </w:rPr>
              <w:t>Đảm bảo tính hợp hiến, tính thống nhất</w:t>
            </w:r>
          </w:p>
        </w:tc>
        <w:tc>
          <w:tcPr>
            <w:tcW w:w="2977" w:type="dxa"/>
            <w:shd w:val="clear" w:color="auto" w:fill="auto"/>
          </w:tcPr>
          <w:p w14:paraId="1D7726D4" w14:textId="77777777" w:rsidR="005B15D7" w:rsidRDefault="005B15D7" w:rsidP="00A87249">
            <w:pPr>
              <w:jc w:val="both"/>
              <w:rPr>
                <w:sz w:val="26"/>
                <w:szCs w:val="26"/>
                <w:lang w:val="vi-VN"/>
              </w:rPr>
            </w:pPr>
            <w:r>
              <w:rPr>
                <w:sz w:val="26"/>
                <w:szCs w:val="26"/>
                <w:lang w:val="vi-VN"/>
              </w:rPr>
              <w:t>Các quy định tại dự thảo Nghị định đảm bảo tính hợp hiến và thống nhất với quy định của Hiến pháp nước CHXHCN Việt Nam, đảm bảo không trái với quy định của Hiến pháp và pháp luật.</w:t>
            </w:r>
          </w:p>
        </w:tc>
      </w:tr>
      <w:tr w:rsidR="005B15D7" w14:paraId="0D9F53D0" w14:textId="77777777" w:rsidTr="00A87249">
        <w:tc>
          <w:tcPr>
            <w:tcW w:w="2552" w:type="dxa"/>
            <w:shd w:val="clear" w:color="auto" w:fill="auto"/>
          </w:tcPr>
          <w:p w14:paraId="0A9D7FD3" w14:textId="77777777" w:rsidR="005B15D7" w:rsidRDefault="005B15D7" w:rsidP="00A87249">
            <w:pPr>
              <w:jc w:val="both"/>
              <w:rPr>
                <w:sz w:val="26"/>
                <w:szCs w:val="26"/>
                <w:lang w:val="vi-VN"/>
              </w:rPr>
            </w:pPr>
            <w:r>
              <w:rPr>
                <w:sz w:val="26"/>
                <w:szCs w:val="26"/>
                <w:lang w:val="vi-VN"/>
              </w:rPr>
              <w:t>Quy định về hành vi vi phạm, hình thức và mức xử phạt đối với hành vi vi phạm hành chính về cạnh tranh</w:t>
            </w:r>
          </w:p>
        </w:tc>
        <w:tc>
          <w:tcPr>
            <w:tcW w:w="2581" w:type="dxa"/>
            <w:shd w:val="clear" w:color="auto" w:fill="auto"/>
          </w:tcPr>
          <w:p w14:paraId="573D7786" w14:textId="77777777" w:rsidR="005B15D7" w:rsidRDefault="005B15D7" w:rsidP="00A87249">
            <w:pPr>
              <w:jc w:val="both"/>
              <w:rPr>
                <w:sz w:val="26"/>
                <w:szCs w:val="26"/>
                <w:lang w:val="vi-VN"/>
              </w:rPr>
            </w:pPr>
            <w:r>
              <w:rPr>
                <w:sz w:val="26"/>
                <w:szCs w:val="26"/>
                <w:lang w:val="vi-VN"/>
              </w:rPr>
              <w:t>Luật Cạnh tranh và các văn bản hướng dẫn thi hành</w:t>
            </w:r>
          </w:p>
        </w:tc>
        <w:tc>
          <w:tcPr>
            <w:tcW w:w="1671" w:type="dxa"/>
            <w:shd w:val="clear" w:color="auto" w:fill="auto"/>
          </w:tcPr>
          <w:p w14:paraId="6C1F4085" w14:textId="77777777" w:rsidR="005B15D7" w:rsidRDefault="005B15D7" w:rsidP="00A87249">
            <w:pPr>
              <w:jc w:val="both"/>
              <w:rPr>
                <w:sz w:val="26"/>
                <w:szCs w:val="26"/>
                <w:lang w:val="vi-VN"/>
              </w:rPr>
            </w:pPr>
            <w:r>
              <w:rPr>
                <w:sz w:val="26"/>
                <w:szCs w:val="26"/>
                <w:lang w:val="vi-VN"/>
              </w:rPr>
              <w:t>Đảm bảo tính hợp pháp, tính thống nhất</w:t>
            </w:r>
          </w:p>
        </w:tc>
        <w:tc>
          <w:tcPr>
            <w:tcW w:w="2977" w:type="dxa"/>
            <w:shd w:val="clear" w:color="auto" w:fill="auto"/>
          </w:tcPr>
          <w:p w14:paraId="05FB1D4A" w14:textId="77777777" w:rsidR="005B15D7" w:rsidRDefault="005B15D7" w:rsidP="00A87249">
            <w:pPr>
              <w:jc w:val="both"/>
              <w:rPr>
                <w:sz w:val="26"/>
                <w:szCs w:val="26"/>
                <w:lang w:val="vi-VN"/>
              </w:rPr>
            </w:pPr>
            <w:r>
              <w:rPr>
                <w:sz w:val="26"/>
                <w:szCs w:val="26"/>
                <w:lang w:val="vi-VN"/>
              </w:rPr>
              <w:t>Quy định của dự thảo Nghị định đảm bảo phù hợp, thống nhất với quy định của Luật Cạnh tranh năm 2018; Nghị định số 35/2020/NĐ-CP ngày 24 tháng 3 năm 2020 quy định chi tiết một số điều của Luật Cạnh tranh và các văn bản liên quan.</w:t>
            </w:r>
          </w:p>
        </w:tc>
      </w:tr>
      <w:tr w:rsidR="005B15D7" w14:paraId="3201429E" w14:textId="77777777" w:rsidTr="00A87249">
        <w:tc>
          <w:tcPr>
            <w:tcW w:w="2552" w:type="dxa"/>
            <w:shd w:val="clear" w:color="auto" w:fill="auto"/>
          </w:tcPr>
          <w:p w14:paraId="345F0152" w14:textId="77777777" w:rsidR="005B15D7" w:rsidRDefault="005B15D7" w:rsidP="00A87249">
            <w:pPr>
              <w:jc w:val="both"/>
              <w:rPr>
                <w:sz w:val="26"/>
                <w:szCs w:val="26"/>
                <w:lang w:val="vi-VN"/>
              </w:rPr>
            </w:pPr>
            <w:r>
              <w:rPr>
                <w:sz w:val="26"/>
                <w:szCs w:val="26"/>
                <w:lang w:val="vi-VN"/>
              </w:rPr>
              <w:t xml:space="preserve">Quy định về hình thức và mức xử phạt đối </w:t>
            </w:r>
            <w:r>
              <w:rPr>
                <w:sz w:val="26"/>
                <w:szCs w:val="26"/>
                <w:lang w:val="vi-VN"/>
              </w:rPr>
              <w:lastRenderedPageBreak/>
              <w:t>với hành vi vi phạm hành chính về cạnh tranh</w:t>
            </w:r>
          </w:p>
        </w:tc>
        <w:tc>
          <w:tcPr>
            <w:tcW w:w="2581" w:type="dxa"/>
            <w:shd w:val="clear" w:color="auto" w:fill="auto"/>
          </w:tcPr>
          <w:p w14:paraId="3BC26774" w14:textId="77777777" w:rsidR="005B15D7" w:rsidRDefault="005B15D7" w:rsidP="00A87249">
            <w:pPr>
              <w:jc w:val="both"/>
              <w:rPr>
                <w:sz w:val="26"/>
                <w:szCs w:val="26"/>
                <w:lang w:val="vi-VN"/>
              </w:rPr>
            </w:pPr>
            <w:r>
              <w:rPr>
                <w:sz w:val="26"/>
                <w:szCs w:val="26"/>
                <w:lang w:val="vi-VN"/>
              </w:rPr>
              <w:lastRenderedPageBreak/>
              <w:t xml:space="preserve">Luật Xử lý vi phạm hành chính và các văn </w:t>
            </w:r>
            <w:r>
              <w:rPr>
                <w:sz w:val="26"/>
                <w:szCs w:val="26"/>
                <w:lang w:val="vi-VN"/>
              </w:rPr>
              <w:lastRenderedPageBreak/>
              <w:t>bản hướng dẫn thi hành</w:t>
            </w:r>
          </w:p>
        </w:tc>
        <w:tc>
          <w:tcPr>
            <w:tcW w:w="1671" w:type="dxa"/>
            <w:shd w:val="clear" w:color="auto" w:fill="auto"/>
          </w:tcPr>
          <w:p w14:paraId="2C079D9D" w14:textId="77777777" w:rsidR="005B15D7" w:rsidRDefault="005B15D7" w:rsidP="00A87249">
            <w:pPr>
              <w:jc w:val="both"/>
              <w:rPr>
                <w:sz w:val="26"/>
                <w:szCs w:val="26"/>
                <w:lang w:val="vi-VN"/>
              </w:rPr>
            </w:pPr>
            <w:r>
              <w:rPr>
                <w:sz w:val="26"/>
                <w:szCs w:val="26"/>
                <w:lang w:val="vi-VN"/>
              </w:rPr>
              <w:lastRenderedPageBreak/>
              <w:t xml:space="preserve">Đảm bảo tính hợp pháp, </w:t>
            </w:r>
            <w:r>
              <w:rPr>
                <w:sz w:val="26"/>
                <w:szCs w:val="26"/>
                <w:lang w:val="vi-VN"/>
              </w:rPr>
              <w:lastRenderedPageBreak/>
              <w:t>tính thống nhất</w:t>
            </w:r>
          </w:p>
        </w:tc>
        <w:tc>
          <w:tcPr>
            <w:tcW w:w="2977" w:type="dxa"/>
            <w:shd w:val="clear" w:color="auto" w:fill="auto"/>
          </w:tcPr>
          <w:p w14:paraId="3B366D06" w14:textId="77777777" w:rsidR="005B15D7" w:rsidRDefault="005B15D7" w:rsidP="00A87249">
            <w:pPr>
              <w:jc w:val="both"/>
              <w:rPr>
                <w:sz w:val="26"/>
                <w:szCs w:val="26"/>
                <w:lang w:val="vi-VN"/>
              </w:rPr>
            </w:pPr>
            <w:r>
              <w:rPr>
                <w:sz w:val="26"/>
                <w:szCs w:val="26"/>
                <w:lang w:val="vi-VN"/>
              </w:rPr>
              <w:lastRenderedPageBreak/>
              <w:t xml:space="preserve">Quy định của dự thảo Nghị định đảm bảo phù hợp với </w:t>
            </w:r>
            <w:r>
              <w:rPr>
                <w:sz w:val="26"/>
                <w:szCs w:val="26"/>
                <w:lang w:val="vi-VN"/>
              </w:rPr>
              <w:lastRenderedPageBreak/>
              <w:t xml:space="preserve">quy định của Luật Xử lý vi phạm hành chính năm 2025; </w:t>
            </w:r>
            <w:r>
              <w:rPr>
                <w:rFonts w:eastAsia="Calibri"/>
                <w:bCs/>
                <w:color w:val="000000"/>
                <w:kern w:val="32"/>
                <w:sz w:val="26"/>
                <w:szCs w:val="26"/>
                <w:lang w:val="vi-VN" w:eastAsia="x-none"/>
              </w:rPr>
              <w:t xml:space="preserve">Nghị định số 68/2025/NĐ-CP ngày 18 tháng 3 năm 2025 sửa đổi, bổ sung một số điều của </w:t>
            </w:r>
            <w:r>
              <w:rPr>
                <w:sz w:val="26"/>
                <w:szCs w:val="26"/>
                <w:lang w:val="vi-VN"/>
              </w:rPr>
              <w:t xml:space="preserve">Nghị định số 118/2021/NĐ-CP ngày 23 tháng 12 năm 2021 của Chính phủ quy định chi tiết một số điều và biện pháp thi hành Luật Xử lý vi phạm hành chính và Nghị định </w:t>
            </w:r>
            <w:r>
              <w:rPr>
                <w:rFonts w:eastAsia="Calibri"/>
                <w:bCs/>
                <w:color w:val="000000"/>
                <w:kern w:val="32"/>
                <w:sz w:val="26"/>
                <w:szCs w:val="26"/>
                <w:lang w:val="vi-VN" w:eastAsia="x-none"/>
              </w:rPr>
              <w:t>số 189/2025/NĐ-CP ngày 01 tháng 7 năm 2025 của Chính phủ quy định chi tiết Luật Xử lý vi phạm hành chính về thẩm quyền xử phạt vi phạm hành chính.</w:t>
            </w:r>
          </w:p>
        </w:tc>
      </w:tr>
      <w:tr w:rsidR="005B15D7" w14:paraId="397DB964" w14:textId="77777777" w:rsidTr="00A87249">
        <w:tc>
          <w:tcPr>
            <w:tcW w:w="2552" w:type="dxa"/>
            <w:shd w:val="clear" w:color="auto" w:fill="auto"/>
          </w:tcPr>
          <w:p w14:paraId="75656D27" w14:textId="77777777" w:rsidR="005B15D7" w:rsidRDefault="005B15D7" w:rsidP="00A87249">
            <w:pPr>
              <w:jc w:val="both"/>
              <w:rPr>
                <w:sz w:val="26"/>
                <w:szCs w:val="26"/>
                <w:lang w:val="vi-VN"/>
              </w:rPr>
            </w:pPr>
            <w:r>
              <w:rPr>
                <w:sz w:val="26"/>
                <w:szCs w:val="26"/>
                <w:lang w:val="vi-VN"/>
              </w:rPr>
              <w:lastRenderedPageBreak/>
              <w:t>Quy định về xử phạt đối với hành vi vi phạm hành chính về cạnh tranh</w:t>
            </w:r>
          </w:p>
        </w:tc>
        <w:tc>
          <w:tcPr>
            <w:tcW w:w="2581" w:type="dxa"/>
            <w:shd w:val="clear" w:color="auto" w:fill="auto"/>
          </w:tcPr>
          <w:p w14:paraId="4F19757E" w14:textId="77777777" w:rsidR="005B15D7" w:rsidRDefault="005B15D7" w:rsidP="00A87249">
            <w:pPr>
              <w:jc w:val="both"/>
              <w:rPr>
                <w:sz w:val="26"/>
                <w:szCs w:val="26"/>
                <w:lang w:val="vi-VN"/>
              </w:rPr>
            </w:pPr>
            <w:r>
              <w:rPr>
                <w:sz w:val="26"/>
                <w:szCs w:val="26"/>
                <w:lang w:val="vi-VN"/>
              </w:rPr>
              <w:t>Bộ luật Hình sự</w:t>
            </w:r>
          </w:p>
        </w:tc>
        <w:tc>
          <w:tcPr>
            <w:tcW w:w="1671" w:type="dxa"/>
            <w:shd w:val="clear" w:color="auto" w:fill="auto"/>
          </w:tcPr>
          <w:p w14:paraId="1EBD3439" w14:textId="77777777" w:rsidR="005B15D7" w:rsidRDefault="005B15D7" w:rsidP="00A87249">
            <w:pPr>
              <w:jc w:val="both"/>
              <w:rPr>
                <w:sz w:val="26"/>
                <w:szCs w:val="26"/>
                <w:lang w:val="vi-VN"/>
              </w:rPr>
            </w:pPr>
            <w:r>
              <w:rPr>
                <w:sz w:val="26"/>
                <w:szCs w:val="26"/>
                <w:lang w:val="vi-VN"/>
              </w:rPr>
              <w:t xml:space="preserve">Đảm bảo tính hợp pháp, tính thống nhất </w:t>
            </w:r>
          </w:p>
        </w:tc>
        <w:tc>
          <w:tcPr>
            <w:tcW w:w="2977" w:type="dxa"/>
            <w:shd w:val="clear" w:color="auto" w:fill="auto"/>
          </w:tcPr>
          <w:p w14:paraId="5B893331" w14:textId="77777777" w:rsidR="005B15D7" w:rsidRDefault="005B15D7" w:rsidP="00A87249">
            <w:pPr>
              <w:jc w:val="both"/>
              <w:rPr>
                <w:sz w:val="26"/>
                <w:szCs w:val="26"/>
                <w:lang w:val="vi-VN"/>
              </w:rPr>
            </w:pPr>
            <w:r>
              <w:rPr>
                <w:sz w:val="26"/>
                <w:szCs w:val="26"/>
                <w:lang w:val="vi-VN"/>
              </w:rPr>
              <w:t>Quy định tại dự thảo Nghị định phù hợp, đảm bảo tính thống nhất với quy định tại Điều 217 Bộ luật Hình sự về tội vi phạm quy định về cạnh tranh.</w:t>
            </w:r>
          </w:p>
        </w:tc>
      </w:tr>
    </w:tbl>
    <w:p w14:paraId="273DFBF5" w14:textId="77777777" w:rsidR="005B15D7" w:rsidRDefault="005B15D7" w:rsidP="005B15D7">
      <w:pPr>
        <w:spacing w:before="240" w:after="120"/>
        <w:ind w:firstLine="720"/>
        <w:jc w:val="both"/>
        <w:rPr>
          <w:b/>
          <w:bCs/>
          <w:sz w:val="28"/>
          <w:szCs w:val="28"/>
          <w:lang w:val="vi-VN"/>
        </w:rPr>
      </w:pPr>
      <w:r w:rsidRPr="000A1CD5">
        <w:rPr>
          <w:b/>
          <w:bCs/>
          <w:sz w:val="28"/>
          <w:szCs w:val="28"/>
          <w:lang w:val="vi-VN"/>
        </w:rPr>
        <w:t>3. Điều ước quốc tế có liên quan đến dự thảo Nghị định sửa đổi, bổ sung một số điều của Nghị định số 75/2019/NĐ-CP ngày 26 tháng 9 năm 2019 của Chính phủ quy định về xử phạt vi phạm hành chính trong lĩnh vực cạnh tranh</w:t>
      </w:r>
    </w:p>
    <w:p w14:paraId="0FF7BC8D" w14:textId="77777777" w:rsidR="005B15D7" w:rsidRPr="001C60CA" w:rsidRDefault="005B15D7" w:rsidP="005B15D7">
      <w:pPr>
        <w:ind w:firstLine="720"/>
        <w:jc w:val="both"/>
        <w:rPr>
          <w:sz w:val="28"/>
          <w:szCs w:val="28"/>
        </w:rPr>
      </w:pPr>
      <w:r>
        <w:rPr>
          <w:sz w:val="28"/>
          <w:szCs w:val="28"/>
          <w:lang w:val="vi-VN"/>
        </w:rPr>
        <w:t xml:space="preserve">Quy định của dự thảo Nghị định </w:t>
      </w:r>
      <w:r w:rsidRPr="00B35C06">
        <w:rPr>
          <w:sz w:val="28"/>
          <w:szCs w:val="28"/>
          <w:lang w:val="vi-VN"/>
        </w:rPr>
        <w:t>sửa đổi, bổ sung một số điều của Nghị định số 75/2019/NĐ-CP ngày 26 tháng 9 năm 2019 của Chính phủ quy định về xử phạt vi phạm hành chính trong lĩnh vực cạnh tranh</w:t>
      </w:r>
      <w:r>
        <w:rPr>
          <w:sz w:val="28"/>
          <w:szCs w:val="28"/>
          <w:lang w:val="vi-VN"/>
        </w:rPr>
        <w:t xml:space="preserve"> không chứa quy định có nội dung liên quan đến điều ước quốc tế hoặc việc thực hiện điều ước quốc tế</w:t>
      </w:r>
      <w:r>
        <w:rPr>
          <w:sz w:val="28"/>
          <w:szCs w:val="28"/>
        </w:rPr>
        <w:t>./.</w:t>
      </w:r>
    </w:p>
    <w:p w14:paraId="2E0918D5" w14:textId="77777777" w:rsidR="005B15D7" w:rsidRPr="001C60CA" w:rsidRDefault="005B15D7" w:rsidP="005B15D7">
      <w:pPr>
        <w:tabs>
          <w:tab w:val="left" w:pos="9360"/>
        </w:tabs>
        <w:spacing w:before="120" w:after="120"/>
        <w:ind w:firstLine="720"/>
        <w:jc w:val="both"/>
        <w:rPr>
          <w:sz w:val="28"/>
          <w:szCs w:val="28"/>
        </w:rPr>
      </w:pPr>
    </w:p>
    <w:p w14:paraId="10F4CEBA" w14:textId="77777777" w:rsidR="00C26980" w:rsidRDefault="00C26980"/>
    <w:sectPr w:rsidR="00C26980" w:rsidSect="005B15D7">
      <w:headerReference w:type="default" r:id="rId4"/>
      <w:footerReference w:type="default" r:id="rId5"/>
      <w:pgSz w:w="11909" w:h="16834" w:code="9"/>
      <w:pgMar w:top="1134" w:right="1134" w:bottom="1134" w:left="1701" w:header="561"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B017" w14:textId="77777777" w:rsidR="00000000" w:rsidRPr="00172AFF" w:rsidRDefault="00000000">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7248" w14:textId="77777777" w:rsidR="00000000" w:rsidRDefault="00000000">
    <w:pPr>
      <w:pStyle w:val="Header"/>
      <w:jc w:val="center"/>
    </w:pPr>
    <w:r>
      <w:fldChar w:fldCharType="begin"/>
    </w:r>
    <w:r>
      <w:instrText xml:space="preserve"> PAGE   \* MERGEFORMAT </w:instrText>
    </w:r>
    <w:r>
      <w:fldChar w:fldCharType="separate"/>
    </w:r>
    <w:r>
      <w:rPr>
        <w:noProof/>
      </w:rPr>
      <w:t>17</w:t>
    </w:r>
    <w:r>
      <w:rPr>
        <w:noProof/>
      </w:rPr>
      <w:fldChar w:fldCharType="end"/>
    </w:r>
  </w:p>
  <w:p w14:paraId="61CEF1E5"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7"/>
    <w:rsid w:val="005B15D7"/>
    <w:rsid w:val="00B24F34"/>
    <w:rsid w:val="00C26980"/>
    <w:rsid w:val="00C41EB9"/>
    <w:rsid w:val="00C9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87A3"/>
  <w15:chartTrackingRefBased/>
  <w15:docId w15:val="{3BAE4340-7B59-4726-A2D4-7748A078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D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B15D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15D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15D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15D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15D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15D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15D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15D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15D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5D7"/>
    <w:rPr>
      <w:rFonts w:eastAsiaTheme="majorEastAsia" w:cstheme="majorBidi"/>
      <w:color w:val="272727" w:themeColor="text1" w:themeTint="D8"/>
    </w:rPr>
  </w:style>
  <w:style w:type="paragraph" w:styleId="Title">
    <w:name w:val="Title"/>
    <w:basedOn w:val="Normal"/>
    <w:next w:val="Normal"/>
    <w:link w:val="TitleChar"/>
    <w:uiPriority w:val="10"/>
    <w:qFormat/>
    <w:rsid w:val="005B15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1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5D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1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5D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B15D7"/>
    <w:rPr>
      <w:i/>
      <w:iCs/>
      <w:color w:val="404040" w:themeColor="text1" w:themeTint="BF"/>
    </w:rPr>
  </w:style>
  <w:style w:type="paragraph" w:styleId="ListParagraph">
    <w:name w:val="List Paragraph"/>
    <w:basedOn w:val="Normal"/>
    <w:uiPriority w:val="34"/>
    <w:qFormat/>
    <w:rsid w:val="005B15D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B15D7"/>
    <w:rPr>
      <w:i/>
      <w:iCs/>
      <w:color w:val="0F4761" w:themeColor="accent1" w:themeShade="BF"/>
    </w:rPr>
  </w:style>
  <w:style w:type="paragraph" w:styleId="IntenseQuote">
    <w:name w:val="Intense Quote"/>
    <w:basedOn w:val="Normal"/>
    <w:next w:val="Normal"/>
    <w:link w:val="IntenseQuoteChar"/>
    <w:uiPriority w:val="30"/>
    <w:qFormat/>
    <w:rsid w:val="005B15D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15D7"/>
    <w:rPr>
      <w:i/>
      <w:iCs/>
      <w:color w:val="0F4761" w:themeColor="accent1" w:themeShade="BF"/>
    </w:rPr>
  </w:style>
  <w:style w:type="character" w:styleId="IntenseReference">
    <w:name w:val="Intense Reference"/>
    <w:basedOn w:val="DefaultParagraphFont"/>
    <w:uiPriority w:val="32"/>
    <w:qFormat/>
    <w:rsid w:val="005B15D7"/>
    <w:rPr>
      <w:b/>
      <w:bCs/>
      <w:smallCaps/>
      <w:color w:val="0F4761" w:themeColor="accent1" w:themeShade="BF"/>
      <w:spacing w:val="5"/>
    </w:rPr>
  </w:style>
  <w:style w:type="paragraph" w:styleId="Header">
    <w:name w:val="header"/>
    <w:basedOn w:val="Normal"/>
    <w:link w:val="HeaderChar"/>
    <w:rsid w:val="005B15D7"/>
    <w:pPr>
      <w:tabs>
        <w:tab w:val="center" w:pos="4680"/>
        <w:tab w:val="right" w:pos="9360"/>
      </w:tabs>
    </w:pPr>
    <w:rPr>
      <w:lang w:val="x-none" w:eastAsia="x-none"/>
    </w:rPr>
  </w:style>
  <w:style w:type="character" w:customStyle="1" w:styleId="HeaderChar">
    <w:name w:val="Header Char"/>
    <w:basedOn w:val="DefaultParagraphFont"/>
    <w:link w:val="Header"/>
    <w:rsid w:val="005B15D7"/>
    <w:rPr>
      <w:rFonts w:ascii="Times New Roman" w:eastAsia="Times New Roman" w:hAnsi="Times New Roman" w:cs="Times New Roman"/>
      <w:kern w:val="0"/>
      <w:lang w:val="x-none" w:eastAsia="x-none"/>
      <w14:ligatures w14:val="none"/>
    </w:rPr>
  </w:style>
  <w:style w:type="paragraph" w:styleId="Footer">
    <w:name w:val="footer"/>
    <w:basedOn w:val="Normal"/>
    <w:link w:val="FooterChar"/>
    <w:rsid w:val="005B15D7"/>
    <w:pPr>
      <w:tabs>
        <w:tab w:val="center" w:pos="4680"/>
        <w:tab w:val="right" w:pos="9360"/>
      </w:tabs>
    </w:pPr>
    <w:rPr>
      <w:lang w:val="x-none" w:eastAsia="x-none"/>
    </w:rPr>
  </w:style>
  <w:style w:type="character" w:customStyle="1" w:styleId="FooterChar">
    <w:name w:val="Footer Char"/>
    <w:basedOn w:val="DefaultParagraphFont"/>
    <w:link w:val="Footer"/>
    <w:rsid w:val="005B15D7"/>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Phương. Nguyễn</dc:creator>
  <cp:keywords/>
  <dc:description/>
  <cp:lastModifiedBy>ANH Phương. Nguyễn</cp:lastModifiedBy>
  <cp:revision>1</cp:revision>
  <dcterms:created xsi:type="dcterms:W3CDTF">2025-07-23T07:27:00Z</dcterms:created>
  <dcterms:modified xsi:type="dcterms:W3CDTF">2025-07-23T07:29:00Z</dcterms:modified>
</cp:coreProperties>
</file>