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5933"/>
      </w:tblGrid>
      <w:tr w:rsidR="00700365" w14:paraId="61ABD429" w14:textId="77777777" w:rsidTr="00082544">
        <w:trPr>
          <w:trHeight w:val="571"/>
        </w:trPr>
        <w:tc>
          <w:tcPr>
            <w:tcW w:w="3673" w:type="dxa"/>
            <w:vAlign w:val="center"/>
          </w:tcPr>
          <w:p w14:paraId="6ACE3C5E" w14:textId="3915DBC6" w:rsidR="00700365" w:rsidRPr="00082544" w:rsidRDefault="008430B5" w:rsidP="00D33D98">
            <w:pPr>
              <w:rPr>
                <w:b/>
                <w:sz w:val="28"/>
                <w:lang w:val="en-US"/>
              </w:rPr>
            </w:pPr>
            <w:bookmarkStart w:id="0" w:name="_GoBack"/>
            <w:bookmarkEnd w:id="0"/>
            <w:r>
              <w:rPr>
                <w:b/>
                <w:sz w:val="28"/>
                <w:lang w:val="en-US"/>
              </w:rPr>
              <w:t xml:space="preserve"> </w:t>
            </w:r>
            <w:r w:rsidR="00700365" w:rsidRPr="00082544">
              <w:rPr>
                <w:b/>
                <w:sz w:val="28"/>
                <w:lang w:val="en-US"/>
              </w:rPr>
              <w:t>NGÂN HÀNG NHÀ NƯỚC VIỆT NAM</w:t>
            </w:r>
          </w:p>
          <w:p w14:paraId="04EEE2E1" w14:textId="77777777" w:rsidR="00E75941" w:rsidRPr="00700365" w:rsidRDefault="00E75941" w:rsidP="00D33D98">
            <w:pPr>
              <w:rPr>
                <w:b/>
                <w:lang w:val="en-US"/>
              </w:rPr>
            </w:pPr>
            <w:r>
              <w:rPr>
                <w:noProof/>
                <w:lang w:val="en-US"/>
              </w:rPr>
              <mc:AlternateContent>
                <mc:Choice Requires="wps">
                  <w:drawing>
                    <wp:anchor distT="0" distB="0" distL="114300" distR="114300" simplePos="0" relativeHeight="251657216" behindDoc="0" locked="0" layoutInCell="1" allowOverlap="1" wp14:anchorId="47D90A02" wp14:editId="0430CD7B">
                      <wp:simplePos x="0" y="0"/>
                      <wp:positionH relativeFrom="column">
                        <wp:posOffset>700405</wp:posOffset>
                      </wp:positionH>
                      <wp:positionV relativeFrom="paragraph">
                        <wp:posOffset>38100</wp:posOffset>
                      </wp:positionV>
                      <wp:extent cx="825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2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4962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5pt,3pt" to="12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" strokecolor="black [3040]"/>
                  </w:pict>
                </mc:Fallback>
              </mc:AlternateContent>
            </w:r>
          </w:p>
        </w:tc>
        <w:tc>
          <w:tcPr>
            <w:tcW w:w="5933" w:type="dxa"/>
            <w:vAlign w:val="center"/>
          </w:tcPr>
          <w:p w14:paraId="5B82879C" w14:textId="77777777" w:rsidR="00700365" w:rsidRPr="00700365" w:rsidRDefault="00E44294" w:rsidP="00082544">
            <w:pPr>
              <w:ind w:left="-414"/>
              <w:rPr>
                <w:b/>
                <w:lang w:val="en-US"/>
              </w:rPr>
            </w:pPr>
            <w:r>
              <w:rPr>
                <w:b/>
                <w:lang w:val="en-US"/>
              </w:rPr>
              <w:t xml:space="preserve">  </w:t>
            </w:r>
            <w:r w:rsidR="000C78B8">
              <w:rPr>
                <w:b/>
                <w:lang w:val="en-US"/>
              </w:rPr>
              <w:t xml:space="preserve">   </w:t>
            </w:r>
            <w:r w:rsidR="00700365" w:rsidRPr="00700365">
              <w:rPr>
                <w:b/>
                <w:lang w:val="en-US"/>
              </w:rPr>
              <w:t>CỘNG HÒA XÃ HỘI CHỦ NGHĨA VIỆT NAM</w:t>
            </w:r>
          </w:p>
          <w:p w14:paraId="39995C84" w14:textId="7553EEFC" w:rsidR="00700365" w:rsidRPr="003A7F75" w:rsidRDefault="000C78B8" w:rsidP="000864E0">
            <w:pPr>
              <w:ind w:left="-131"/>
              <w:rPr>
                <w:b/>
                <w:sz w:val="27"/>
                <w:szCs w:val="27"/>
                <w:lang w:val="en-US"/>
              </w:rPr>
            </w:pPr>
            <w:r>
              <w:rPr>
                <w:b/>
                <w:sz w:val="28"/>
                <w:szCs w:val="28"/>
                <w:lang w:val="en-US"/>
              </w:rPr>
              <w:t xml:space="preserve">    </w:t>
            </w:r>
            <w:r w:rsidR="00700365" w:rsidRPr="00DD155A">
              <w:rPr>
                <w:b/>
                <w:sz w:val="28"/>
                <w:szCs w:val="27"/>
                <w:lang w:val="en-US"/>
              </w:rPr>
              <w:t>Độc lập – Tự do – Hạnh phúc</w:t>
            </w:r>
          </w:p>
          <w:p w14:paraId="4B7EFC8F" w14:textId="30041FE6" w:rsidR="00E75941" w:rsidRPr="00700365" w:rsidRDefault="00E022C1" w:rsidP="00D33D98">
            <w:pPr>
              <w:rPr>
                <w:b/>
                <w:sz w:val="28"/>
                <w:szCs w:val="28"/>
                <w:lang w:val="en-US"/>
              </w:rPr>
            </w:pPr>
            <w:r>
              <w:rPr>
                <w:noProof/>
                <w:lang w:val="en-US"/>
              </w:rPr>
              <mc:AlternateContent>
                <mc:Choice Requires="wps">
                  <w:drawing>
                    <wp:anchor distT="0" distB="0" distL="114300" distR="114300" simplePos="0" relativeHeight="251659264" behindDoc="0" locked="0" layoutInCell="1" allowOverlap="1" wp14:anchorId="7FF341DA" wp14:editId="28892F6C">
                      <wp:simplePos x="0" y="0"/>
                      <wp:positionH relativeFrom="column">
                        <wp:posOffset>743585</wp:posOffset>
                      </wp:positionH>
                      <wp:positionV relativeFrom="paragraph">
                        <wp:posOffset>47625</wp:posOffset>
                      </wp:positionV>
                      <wp:extent cx="22225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22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6003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5pt,3.75pt" to="233.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" strokecolor="black [3040]"/>
                  </w:pict>
                </mc:Fallback>
              </mc:AlternateContent>
            </w:r>
          </w:p>
        </w:tc>
      </w:tr>
      <w:tr w:rsidR="00700365" w:rsidRPr="00282F5E" w14:paraId="13F9BF90" w14:textId="77777777" w:rsidTr="00082544">
        <w:trPr>
          <w:trHeight w:val="51"/>
        </w:trPr>
        <w:tc>
          <w:tcPr>
            <w:tcW w:w="3673" w:type="dxa"/>
            <w:vAlign w:val="center"/>
          </w:tcPr>
          <w:p w14:paraId="17F71D69" w14:textId="25D8F7C5" w:rsidR="00700365" w:rsidRPr="00484A2D" w:rsidRDefault="00760FBD" w:rsidP="0085199D">
            <w:pPr>
              <w:rPr>
                <w:szCs w:val="26"/>
                <w:lang w:val="en-US"/>
              </w:rPr>
            </w:pPr>
            <w:r w:rsidRPr="00484A2D">
              <w:rPr>
                <w:szCs w:val="26"/>
                <w:lang w:val="en-US"/>
              </w:rPr>
              <w:t>Số</w:t>
            </w:r>
            <w:r w:rsidR="00222AF9" w:rsidRPr="00484A2D">
              <w:rPr>
                <w:szCs w:val="26"/>
                <w:lang w:val="en-US"/>
              </w:rPr>
              <w:t xml:space="preserve">: </w:t>
            </w:r>
            <w:r w:rsidRPr="00484A2D">
              <w:rPr>
                <w:szCs w:val="26"/>
                <w:lang w:val="en-US"/>
              </w:rPr>
              <w:t xml:space="preserve"> </w:t>
            </w:r>
            <w:r w:rsidR="0085199D" w:rsidRPr="00484A2D">
              <w:rPr>
                <w:szCs w:val="26"/>
                <w:lang w:val="en-US"/>
              </w:rPr>
              <w:t xml:space="preserve">    </w:t>
            </w:r>
            <w:r w:rsidR="00222AF9" w:rsidRPr="00484A2D">
              <w:rPr>
                <w:szCs w:val="26"/>
                <w:lang w:val="en-US"/>
              </w:rPr>
              <w:t xml:space="preserve"> </w:t>
            </w:r>
            <w:r w:rsidRPr="00484A2D">
              <w:rPr>
                <w:szCs w:val="26"/>
                <w:lang w:val="en-US"/>
              </w:rPr>
              <w:t xml:space="preserve"> /</w:t>
            </w:r>
            <w:r w:rsidR="0077649C" w:rsidRPr="00484A2D">
              <w:rPr>
                <w:szCs w:val="26"/>
                <w:lang w:val="en-US"/>
              </w:rPr>
              <w:t>TTr-</w:t>
            </w:r>
            <w:r w:rsidRPr="00484A2D">
              <w:rPr>
                <w:szCs w:val="26"/>
                <w:lang w:val="en-US"/>
              </w:rPr>
              <w:t>NHNN</w:t>
            </w:r>
          </w:p>
        </w:tc>
        <w:tc>
          <w:tcPr>
            <w:tcW w:w="5933" w:type="dxa"/>
            <w:vAlign w:val="center"/>
          </w:tcPr>
          <w:p w14:paraId="7E3009ED" w14:textId="6C581331" w:rsidR="00700365" w:rsidRPr="00484A2D" w:rsidRDefault="000C78B8" w:rsidP="00E022C1">
            <w:pPr>
              <w:ind w:left="-131"/>
              <w:rPr>
                <w:i/>
                <w:szCs w:val="26"/>
                <w:lang w:val="en-US"/>
              </w:rPr>
            </w:pPr>
            <w:r w:rsidRPr="00DD155A">
              <w:rPr>
                <w:i/>
                <w:sz w:val="28"/>
                <w:szCs w:val="27"/>
                <w:lang w:val="en-US"/>
              </w:rPr>
              <w:t xml:space="preserve">    </w:t>
            </w:r>
            <w:r w:rsidR="00AB39C7">
              <w:rPr>
                <w:i/>
                <w:sz w:val="28"/>
                <w:szCs w:val="27"/>
                <w:lang w:val="en-US"/>
              </w:rPr>
              <w:t xml:space="preserve">      </w:t>
            </w:r>
            <w:r w:rsidRPr="00484A2D">
              <w:rPr>
                <w:i/>
                <w:szCs w:val="26"/>
              </w:rPr>
              <w:t xml:space="preserve">Hà Nội, ngày </w:t>
            </w:r>
            <w:r w:rsidR="00707FED" w:rsidRPr="00484A2D">
              <w:rPr>
                <w:i/>
                <w:szCs w:val="26"/>
                <w:lang w:val="en-US"/>
              </w:rPr>
              <w:t xml:space="preserve"> </w:t>
            </w:r>
            <w:r w:rsidR="0085199D" w:rsidRPr="00484A2D">
              <w:rPr>
                <w:i/>
                <w:szCs w:val="26"/>
                <w:lang w:val="en-US"/>
              </w:rPr>
              <w:t xml:space="preserve">   </w:t>
            </w:r>
            <w:r w:rsidRPr="00484A2D">
              <w:rPr>
                <w:i/>
                <w:szCs w:val="26"/>
              </w:rPr>
              <w:t xml:space="preserve"> tháng </w:t>
            </w:r>
            <w:r w:rsidRPr="00484A2D">
              <w:rPr>
                <w:i/>
                <w:szCs w:val="26"/>
                <w:lang w:val="en-US"/>
              </w:rPr>
              <w:t xml:space="preserve"> </w:t>
            </w:r>
            <w:r w:rsidR="00E022C1" w:rsidRPr="00484A2D">
              <w:rPr>
                <w:i/>
                <w:szCs w:val="26"/>
                <w:lang w:val="en-US"/>
              </w:rPr>
              <w:t xml:space="preserve"> </w:t>
            </w:r>
            <w:r w:rsidRPr="00484A2D">
              <w:rPr>
                <w:i/>
                <w:szCs w:val="26"/>
                <w:lang w:val="en-US"/>
              </w:rPr>
              <w:t xml:space="preserve">  </w:t>
            </w:r>
            <w:r w:rsidRPr="00484A2D">
              <w:rPr>
                <w:i/>
                <w:szCs w:val="26"/>
              </w:rPr>
              <w:t xml:space="preserve"> năm 20</w:t>
            </w:r>
            <w:r w:rsidRPr="00484A2D">
              <w:rPr>
                <w:i/>
                <w:szCs w:val="26"/>
                <w:lang w:val="en-US"/>
              </w:rPr>
              <w:t>2</w:t>
            </w:r>
            <w:r w:rsidR="00AB39C7" w:rsidRPr="00484A2D">
              <w:rPr>
                <w:i/>
                <w:szCs w:val="26"/>
                <w:lang w:val="en-US"/>
              </w:rPr>
              <w:t>5</w:t>
            </w:r>
          </w:p>
        </w:tc>
      </w:tr>
      <w:tr w:rsidR="00700365" w14:paraId="274F01A3" w14:textId="77777777" w:rsidTr="00082544">
        <w:trPr>
          <w:trHeight w:val="300"/>
        </w:trPr>
        <w:tc>
          <w:tcPr>
            <w:tcW w:w="3673" w:type="dxa"/>
          </w:tcPr>
          <w:p w14:paraId="6F36B187" w14:textId="64E7CC1C" w:rsidR="00700365" w:rsidRPr="00A07E07" w:rsidRDefault="00700365" w:rsidP="00A07E07">
            <w:pPr>
              <w:jc w:val="both"/>
              <w:rPr>
                <w:sz w:val="24"/>
                <w:szCs w:val="24"/>
                <w:lang w:val="en-US"/>
              </w:rPr>
            </w:pPr>
          </w:p>
        </w:tc>
        <w:tc>
          <w:tcPr>
            <w:tcW w:w="5933" w:type="dxa"/>
          </w:tcPr>
          <w:p w14:paraId="20458D6B" w14:textId="6988BCA1" w:rsidR="00700365" w:rsidRPr="00760FBD" w:rsidRDefault="00700365" w:rsidP="00052F6F">
            <w:pPr>
              <w:jc w:val="left"/>
              <w:rPr>
                <w:i/>
              </w:rPr>
            </w:pPr>
          </w:p>
        </w:tc>
      </w:tr>
    </w:tbl>
    <w:p w14:paraId="6B2B63DF" w14:textId="623B6A33" w:rsidR="000C78B8" w:rsidRPr="00F93CAC" w:rsidRDefault="00F36388" w:rsidP="000864E0">
      <w:pPr>
        <w:rPr>
          <w:rFonts w:cs="Times New Roman"/>
          <w:b/>
          <w:szCs w:val="26"/>
          <w:lang w:val="en-US"/>
        </w:rPr>
      </w:pPr>
      <w:r w:rsidRPr="00F93CAC">
        <w:rPr>
          <w:rFonts w:cs="Times New Roman"/>
          <w:b/>
          <w:szCs w:val="26"/>
          <w:lang w:val="en-US"/>
        </w:rPr>
        <w:t>TỜ TRÌNH</w:t>
      </w:r>
    </w:p>
    <w:p w14:paraId="792828A7" w14:textId="77777777" w:rsidR="00E022C1" w:rsidRDefault="00F36388" w:rsidP="000864E0">
      <w:pPr>
        <w:rPr>
          <w:rFonts w:cs="Times New Roman"/>
          <w:b/>
          <w:szCs w:val="26"/>
          <w:lang w:val="en-US"/>
        </w:rPr>
      </w:pPr>
      <w:r w:rsidRPr="00F93CAC">
        <w:rPr>
          <w:rFonts w:cs="Times New Roman"/>
          <w:b/>
          <w:szCs w:val="26"/>
          <w:lang w:val="en-US"/>
        </w:rPr>
        <w:t xml:space="preserve">V/v </w:t>
      </w:r>
      <w:r w:rsidR="00E022C1">
        <w:rPr>
          <w:rFonts w:cs="Times New Roman"/>
          <w:b/>
          <w:szCs w:val="26"/>
          <w:lang w:val="en-US"/>
        </w:rPr>
        <w:t xml:space="preserve">xây dựng </w:t>
      </w:r>
      <w:r w:rsidR="00E022C1" w:rsidRPr="00E022C1">
        <w:rPr>
          <w:rFonts w:cs="Times New Roman"/>
          <w:b/>
          <w:szCs w:val="26"/>
          <w:lang w:val="en-US"/>
        </w:rPr>
        <w:t xml:space="preserve">Nghị định quy định về cấp phép thành lập và hoạt động ngân hàng, quản lý ngoại hối, phòng chống rửa tiền, chống tài trợ khủng bố, tài trợ phổ biến </w:t>
      </w:r>
    </w:p>
    <w:p w14:paraId="64302441" w14:textId="6589F927" w:rsidR="00F36388" w:rsidRPr="00F93CAC" w:rsidRDefault="00E022C1" w:rsidP="000864E0">
      <w:pPr>
        <w:rPr>
          <w:rFonts w:cs="Times New Roman"/>
          <w:b/>
          <w:szCs w:val="26"/>
          <w:lang w:val="en-US"/>
        </w:rPr>
      </w:pPr>
      <w:r w:rsidRPr="00E022C1">
        <w:rPr>
          <w:rFonts w:cs="Times New Roman"/>
          <w:b/>
          <w:szCs w:val="26"/>
          <w:lang w:val="en-US"/>
        </w:rPr>
        <w:t>vũ khí hủy diệt hàng loạt tại Trung tâm tài chính quốc tế tại Việt Nam</w:t>
      </w:r>
    </w:p>
    <w:p w14:paraId="4D7ED2D1" w14:textId="56C01AFD" w:rsidR="00F36388" w:rsidRPr="00F93CAC" w:rsidRDefault="00F36388" w:rsidP="00052F6F">
      <w:pPr>
        <w:rPr>
          <w:rFonts w:cs="Times New Roman"/>
          <w:b/>
          <w:szCs w:val="26"/>
          <w:lang w:val="en-US"/>
        </w:rPr>
      </w:pPr>
      <w:r w:rsidRPr="00F93CAC">
        <w:rPr>
          <w:rFonts w:cs="Times New Roman"/>
          <w:noProof/>
          <w:szCs w:val="26"/>
          <w:lang w:val="en-US"/>
        </w:rPr>
        <mc:AlternateContent>
          <mc:Choice Requires="wps">
            <w:drawing>
              <wp:anchor distT="0" distB="0" distL="114300" distR="114300" simplePos="0" relativeHeight="251658752" behindDoc="0" locked="0" layoutInCell="1" allowOverlap="1" wp14:anchorId="0593C655" wp14:editId="4CE6EA15">
                <wp:simplePos x="0" y="0"/>
                <wp:positionH relativeFrom="column">
                  <wp:posOffset>2460625</wp:posOffset>
                </wp:positionH>
                <wp:positionV relativeFrom="paragraph">
                  <wp:posOffset>50165</wp:posOffset>
                </wp:positionV>
                <wp:extent cx="8255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82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C1395"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75pt,3.95pt" to="25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" strokecolor="black [3040]"/>
            </w:pict>
          </mc:Fallback>
        </mc:AlternateContent>
      </w:r>
    </w:p>
    <w:p w14:paraId="650FA238" w14:textId="3BE0987B" w:rsidR="00F36388" w:rsidRPr="00D23E60" w:rsidRDefault="00E022C1" w:rsidP="00124FFA">
      <w:pPr>
        <w:spacing w:before="120" w:after="240"/>
        <w:rPr>
          <w:rFonts w:cs="Times New Roman"/>
          <w:sz w:val="27"/>
          <w:szCs w:val="27"/>
          <w:lang w:val="en-US"/>
        </w:rPr>
      </w:pPr>
      <w:r w:rsidRPr="00D23E60">
        <w:rPr>
          <w:rFonts w:eastAsia="Times New Roman" w:cs="Times New Roman"/>
          <w:i/>
          <w:noProof/>
          <w:sz w:val="27"/>
          <w:szCs w:val="27"/>
          <w:lang w:val="en-US"/>
        </w:rPr>
        <mc:AlternateContent>
          <mc:Choice Requires="wps">
            <w:drawing>
              <wp:anchor distT="0" distB="0" distL="114300" distR="114300" simplePos="0" relativeHeight="251658240" behindDoc="0" locked="0" layoutInCell="1" allowOverlap="1" wp14:anchorId="32468086" wp14:editId="55BD665A">
                <wp:simplePos x="0" y="0"/>
                <wp:positionH relativeFrom="column">
                  <wp:posOffset>0</wp:posOffset>
                </wp:positionH>
                <wp:positionV relativeFrom="paragraph">
                  <wp:posOffset>-635</wp:posOffset>
                </wp:positionV>
                <wp:extent cx="7810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81050" cy="323850"/>
                        </a:xfrm>
                        <a:prstGeom prst="rect">
                          <a:avLst/>
                        </a:prstGeom>
                        <a:noFill/>
                        <a:ln w="6350" cap="flat" cmpd="sng" algn="ctr">
                          <a:solidFill>
                            <a:sysClr val="windowText" lastClr="000000"/>
                          </a:solidFill>
                          <a:prstDash val="solid"/>
                        </a:ln>
                        <a:effectLst/>
                      </wps:spPr>
                      <wps:txbx>
                        <w:txbxContent>
                          <w:p w14:paraId="456906D9" w14:textId="77777777" w:rsidR="000C31E2" w:rsidRPr="00BA4324" w:rsidRDefault="000C31E2" w:rsidP="00E022C1">
                            <w:pPr>
                              <w:rPr>
                                <w:b/>
                                <w:color w:val="000000" w:themeColor="text1"/>
                                <w:lang w:val="en-US"/>
                              </w:rPr>
                            </w:pPr>
                            <w:r>
                              <w:rPr>
                                <w:b/>
                                <w:color w:val="000000" w:themeColor="text1"/>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68086" id="Rectangle 4" o:spid="_x0000_s1026" style="position:absolute;left:0;text-align:left;margin-left:0;margin-top:-.05pt;width:61.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" filled="f" strokecolor="windowText" strokeweight=".5pt">
                <v:textbox>
                  <w:txbxContent>
                    <w:p w14:paraId="456906D9" w14:textId="77777777" w:rsidR="000C31E2" w:rsidRPr="00BA4324" w:rsidRDefault="000C31E2" w:rsidP="00E022C1">
                      <w:pPr>
                        <w:rPr>
                          <w:b/>
                          <w:color w:val="000000" w:themeColor="text1"/>
                          <w:lang w:val="en-US"/>
                        </w:rPr>
                      </w:pPr>
                      <w:r>
                        <w:rPr>
                          <w:b/>
                          <w:color w:val="000000" w:themeColor="text1"/>
                          <w:lang w:val="en-US"/>
                        </w:rPr>
                        <w:t>Dự thảo</w:t>
                      </w:r>
                    </w:p>
                  </w:txbxContent>
                </v:textbox>
              </v:rect>
            </w:pict>
          </mc:Fallback>
        </mc:AlternateContent>
      </w:r>
      <w:r w:rsidR="00F36388" w:rsidRPr="00D23E60">
        <w:rPr>
          <w:rFonts w:cs="Times New Roman"/>
          <w:sz w:val="27"/>
          <w:szCs w:val="27"/>
          <w:lang w:val="en-US"/>
        </w:rPr>
        <w:t>Kính gửi: Chính phủ</w:t>
      </w:r>
    </w:p>
    <w:p w14:paraId="0B28C9B7" w14:textId="231786E1" w:rsidR="00484A2D" w:rsidRPr="00590211" w:rsidRDefault="00484A2D" w:rsidP="00AE142F">
      <w:pPr>
        <w:pStyle w:val="Body"/>
        <w:spacing w:before="40" w:after="40" w:line="240" w:lineRule="auto"/>
        <w:ind w:firstLine="567"/>
        <w:jc w:val="both"/>
        <w:rPr>
          <w:rFonts w:asciiTheme="majorHAnsi" w:hAnsiTheme="majorHAnsi" w:cstheme="majorHAnsi"/>
          <w:sz w:val="26"/>
          <w:szCs w:val="26"/>
        </w:rPr>
      </w:pPr>
      <w:r w:rsidRPr="00590211">
        <w:rPr>
          <w:rFonts w:asciiTheme="majorHAnsi" w:hAnsiTheme="majorHAnsi" w:cstheme="majorHAnsi"/>
          <w:sz w:val="26"/>
          <w:szCs w:val="26"/>
        </w:rPr>
        <w:t>Thực hiện quy định của Luật Ban hành văn bản quy phạm pháp luật và nhiệm vụ được giao tại</w:t>
      </w:r>
      <w:r w:rsidR="006C5F39" w:rsidRPr="00590211">
        <w:rPr>
          <w:rFonts w:asciiTheme="majorHAnsi" w:hAnsiTheme="majorHAnsi" w:cstheme="majorHAnsi"/>
          <w:sz w:val="26"/>
          <w:szCs w:val="26"/>
        </w:rPr>
        <w:t xml:space="preserve"> Quyết định số 114/QĐ-BCĐTTTT</w:t>
      </w:r>
      <w:r w:rsidR="00321EF4" w:rsidRPr="00590211">
        <w:rPr>
          <w:rFonts w:asciiTheme="majorHAnsi" w:hAnsiTheme="majorHAnsi" w:cstheme="majorHAnsi"/>
          <w:sz w:val="26"/>
          <w:szCs w:val="26"/>
        </w:rPr>
        <w:t xml:space="preserve"> </w:t>
      </w:r>
      <w:r w:rsidRPr="00590211">
        <w:rPr>
          <w:rFonts w:asciiTheme="majorHAnsi" w:hAnsiTheme="majorHAnsi" w:cstheme="majorHAnsi"/>
          <w:sz w:val="26"/>
          <w:szCs w:val="26"/>
        </w:rPr>
        <w:t xml:space="preserve">ngày 01/8/2025 của Trưởng Ban chỉ đạo Trung tâm tài chính quốc tế tại Việt Nam </w:t>
      </w:r>
      <w:r w:rsidR="007E7F2C" w:rsidRPr="00590211">
        <w:rPr>
          <w:rFonts w:asciiTheme="majorHAnsi" w:hAnsiTheme="majorHAnsi" w:cstheme="majorHAnsi"/>
          <w:sz w:val="26"/>
          <w:szCs w:val="26"/>
        </w:rPr>
        <w:t xml:space="preserve">(TTTC) </w:t>
      </w:r>
      <w:r w:rsidR="00321EF4" w:rsidRPr="00590211">
        <w:rPr>
          <w:rFonts w:asciiTheme="majorHAnsi" w:hAnsiTheme="majorHAnsi" w:cstheme="majorHAnsi"/>
          <w:sz w:val="26"/>
          <w:szCs w:val="26"/>
        </w:rPr>
        <w:t>ban hành K</w:t>
      </w:r>
      <w:r w:rsidR="006C5F39" w:rsidRPr="00590211">
        <w:rPr>
          <w:rFonts w:asciiTheme="majorHAnsi" w:hAnsiTheme="majorHAnsi" w:cstheme="majorHAnsi"/>
          <w:sz w:val="26"/>
          <w:szCs w:val="26"/>
        </w:rPr>
        <w:t>ế hoạch</w:t>
      </w:r>
      <w:r w:rsidR="00321EF4" w:rsidRPr="00590211">
        <w:rPr>
          <w:rFonts w:asciiTheme="majorHAnsi" w:hAnsiTheme="majorHAnsi" w:cstheme="majorHAnsi"/>
          <w:sz w:val="26"/>
          <w:szCs w:val="26"/>
        </w:rPr>
        <w:t xml:space="preserve"> hành động triển khai xây dựng </w:t>
      </w:r>
      <w:r w:rsidR="007E7F2C" w:rsidRPr="00590211">
        <w:rPr>
          <w:rFonts w:asciiTheme="majorHAnsi" w:hAnsiTheme="majorHAnsi" w:cstheme="majorHAnsi"/>
          <w:sz w:val="26"/>
          <w:szCs w:val="26"/>
        </w:rPr>
        <w:t>TTTC</w:t>
      </w:r>
      <w:r w:rsidR="00321EF4" w:rsidRPr="00590211">
        <w:rPr>
          <w:rFonts w:asciiTheme="majorHAnsi" w:hAnsiTheme="majorHAnsi" w:cstheme="majorHAnsi"/>
          <w:sz w:val="26"/>
          <w:szCs w:val="26"/>
        </w:rPr>
        <w:t xml:space="preserve">, Ngân hàng Nhà nước Việt Nam (NHNN) </w:t>
      </w:r>
      <w:r w:rsidRPr="00590211">
        <w:rPr>
          <w:rFonts w:asciiTheme="majorHAnsi" w:hAnsiTheme="majorHAnsi" w:cstheme="majorHAnsi"/>
          <w:sz w:val="26"/>
          <w:szCs w:val="26"/>
        </w:rPr>
        <w:t>kính trình Chính phủ dự thảo Nghị định quy định về cấp phép thành lập và hoạt động ngân hàng, quản lý ngoại hối, phòng chống rửa tiền, chống tài trợ khủng bố, tài trợ phổ biến vũ khí hủy diệt hàng loạt tại TTTC (</w:t>
      </w:r>
      <w:r w:rsidR="00586731" w:rsidRPr="00590211">
        <w:rPr>
          <w:rFonts w:asciiTheme="majorHAnsi" w:hAnsiTheme="majorHAnsi" w:cstheme="majorHAnsi"/>
          <w:sz w:val="26"/>
          <w:szCs w:val="26"/>
        </w:rPr>
        <w:t>DTNĐ</w:t>
      </w:r>
      <w:r w:rsidRPr="00590211">
        <w:rPr>
          <w:rFonts w:asciiTheme="majorHAnsi" w:hAnsiTheme="majorHAnsi" w:cstheme="majorHAnsi"/>
          <w:sz w:val="26"/>
          <w:szCs w:val="26"/>
        </w:rPr>
        <w:t>) như sau:</w:t>
      </w:r>
    </w:p>
    <w:p w14:paraId="576CECE8" w14:textId="16FFDAB1" w:rsidR="00484A2D" w:rsidRPr="00590211" w:rsidRDefault="00484A2D" w:rsidP="00AE142F">
      <w:pPr>
        <w:spacing w:before="40" w:after="40"/>
        <w:ind w:firstLine="567"/>
        <w:jc w:val="both"/>
        <w:rPr>
          <w:rFonts w:asciiTheme="majorHAnsi" w:hAnsiTheme="majorHAnsi"/>
          <w:b/>
          <w:szCs w:val="26"/>
        </w:rPr>
      </w:pPr>
      <w:r w:rsidRPr="00590211">
        <w:rPr>
          <w:rFonts w:asciiTheme="majorHAnsi" w:hAnsiTheme="majorHAnsi"/>
          <w:b/>
          <w:szCs w:val="26"/>
        </w:rPr>
        <w:t xml:space="preserve">I. SỰ CẦN THIẾT BAN HÀNH </w:t>
      </w:r>
      <w:smartTag w:uri="urn:schemas-microsoft-com:office:smarttags" w:element="stockticker">
        <w:r w:rsidRPr="00590211">
          <w:rPr>
            <w:rFonts w:asciiTheme="majorHAnsi" w:hAnsiTheme="majorHAnsi"/>
            <w:b/>
            <w:szCs w:val="26"/>
          </w:rPr>
          <w:t>NGH</w:t>
        </w:r>
      </w:smartTag>
      <w:r w:rsidRPr="00590211">
        <w:rPr>
          <w:rFonts w:asciiTheme="majorHAnsi" w:hAnsiTheme="majorHAnsi"/>
          <w:b/>
          <w:szCs w:val="26"/>
        </w:rPr>
        <w:t xml:space="preserve">Ị ĐỊNH </w:t>
      </w:r>
    </w:p>
    <w:p w14:paraId="08C962AA" w14:textId="77777777" w:rsidR="00484A2D" w:rsidRPr="00590211" w:rsidRDefault="00484A2D" w:rsidP="00AE142F">
      <w:pPr>
        <w:tabs>
          <w:tab w:val="left" w:pos="993"/>
        </w:tabs>
        <w:spacing w:before="40" w:after="40"/>
        <w:ind w:firstLine="567"/>
        <w:jc w:val="both"/>
        <w:rPr>
          <w:rFonts w:asciiTheme="majorHAnsi" w:hAnsiTheme="majorHAnsi"/>
          <w:b/>
          <w:iCs/>
          <w:color w:val="000000"/>
          <w:szCs w:val="26"/>
        </w:rPr>
      </w:pPr>
      <w:r w:rsidRPr="00590211">
        <w:rPr>
          <w:rFonts w:asciiTheme="majorHAnsi" w:hAnsiTheme="majorHAnsi"/>
          <w:b/>
          <w:iCs/>
          <w:color w:val="000000"/>
          <w:szCs w:val="26"/>
        </w:rPr>
        <w:t>1. Cơ sở chính trị, pháp lý</w:t>
      </w:r>
    </w:p>
    <w:p w14:paraId="30DADA31" w14:textId="77777777" w:rsidR="00484A2D" w:rsidRPr="00590211" w:rsidRDefault="00484A2D" w:rsidP="00AE142F">
      <w:pPr>
        <w:tabs>
          <w:tab w:val="left" w:pos="993"/>
        </w:tabs>
        <w:spacing w:before="40" w:after="40"/>
        <w:ind w:firstLine="567"/>
        <w:jc w:val="both"/>
        <w:rPr>
          <w:rFonts w:asciiTheme="majorHAnsi" w:hAnsiTheme="majorHAnsi"/>
          <w:b/>
          <w:i/>
          <w:iCs/>
          <w:color w:val="000000"/>
          <w:szCs w:val="26"/>
        </w:rPr>
      </w:pPr>
      <w:r w:rsidRPr="00590211">
        <w:rPr>
          <w:rFonts w:asciiTheme="majorHAnsi" w:hAnsiTheme="majorHAnsi"/>
          <w:b/>
          <w:i/>
          <w:iCs/>
          <w:color w:val="000000"/>
          <w:szCs w:val="26"/>
        </w:rPr>
        <w:t>1.1. Cơ sở chính trị</w:t>
      </w:r>
    </w:p>
    <w:p w14:paraId="61B4FD40" w14:textId="17632682" w:rsidR="001D018C" w:rsidRPr="00590211" w:rsidRDefault="00125099" w:rsidP="00AE142F">
      <w:pPr>
        <w:tabs>
          <w:tab w:val="left" w:pos="993"/>
        </w:tabs>
        <w:spacing w:before="40" w:after="40"/>
        <w:ind w:firstLine="567"/>
        <w:jc w:val="both"/>
        <w:rPr>
          <w:rFonts w:asciiTheme="majorHAnsi" w:hAnsiTheme="majorHAnsi"/>
          <w:iCs/>
          <w:color w:val="000000"/>
          <w:szCs w:val="26"/>
          <w:lang w:val="en-US"/>
        </w:rPr>
      </w:pPr>
      <w:r w:rsidRPr="00590211">
        <w:rPr>
          <w:rFonts w:asciiTheme="majorHAnsi" w:hAnsiTheme="majorHAnsi"/>
          <w:iCs/>
          <w:color w:val="000000"/>
          <w:szCs w:val="26"/>
          <w:lang w:val="en-US"/>
        </w:rPr>
        <w:t xml:space="preserve">- Kết luận số </w:t>
      </w:r>
      <w:r w:rsidRPr="00590211">
        <w:rPr>
          <w:rFonts w:asciiTheme="majorHAnsi" w:hAnsiTheme="majorHAnsi"/>
          <w:iCs/>
          <w:color w:val="000000"/>
          <w:szCs w:val="26"/>
        </w:rPr>
        <w:t>47-TB/TW</w:t>
      </w:r>
      <w:r w:rsidRPr="00590211">
        <w:rPr>
          <w:rFonts w:asciiTheme="majorHAnsi" w:hAnsiTheme="majorHAnsi"/>
          <w:iCs/>
          <w:color w:val="000000"/>
          <w:szCs w:val="26"/>
          <w:lang w:val="en-US"/>
        </w:rPr>
        <w:t xml:space="preserve"> </w:t>
      </w:r>
      <w:r w:rsidRPr="00590211">
        <w:rPr>
          <w:rFonts w:asciiTheme="majorHAnsi" w:hAnsiTheme="majorHAnsi"/>
          <w:iCs/>
          <w:color w:val="000000"/>
          <w:szCs w:val="26"/>
        </w:rPr>
        <w:t xml:space="preserve">ngày </w:t>
      </w:r>
      <w:r w:rsidR="001D018C" w:rsidRPr="00590211">
        <w:rPr>
          <w:rFonts w:asciiTheme="majorHAnsi" w:hAnsiTheme="majorHAnsi"/>
          <w:iCs/>
          <w:color w:val="000000"/>
          <w:szCs w:val="26"/>
        </w:rPr>
        <w:t>15</w:t>
      </w:r>
      <w:r w:rsidR="00B95636" w:rsidRPr="00590211">
        <w:rPr>
          <w:rFonts w:asciiTheme="majorHAnsi" w:hAnsiTheme="majorHAnsi"/>
          <w:iCs/>
          <w:color w:val="000000"/>
          <w:szCs w:val="26"/>
          <w:lang w:val="en-US"/>
        </w:rPr>
        <w:t>/</w:t>
      </w:r>
      <w:r w:rsidR="001D018C" w:rsidRPr="00590211">
        <w:rPr>
          <w:rFonts w:asciiTheme="majorHAnsi" w:hAnsiTheme="majorHAnsi"/>
          <w:iCs/>
          <w:color w:val="000000"/>
          <w:szCs w:val="26"/>
        </w:rPr>
        <w:t>11</w:t>
      </w:r>
      <w:r w:rsidR="00B95636" w:rsidRPr="00590211">
        <w:rPr>
          <w:rFonts w:asciiTheme="majorHAnsi" w:hAnsiTheme="majorHAnsi"/>
          <w:iCs/>
          <w:color w:val="000000"/>
          <w:szCs w:val="26"/>
          <w:lang w:val="en-US"/>
        </w:rPr>
        <w:t>/</w:t>
      </w:r>
      <w:r w:rsidR="001D018C" w:rsidRPr="00590211">
        <w:rPr>
          <w:rFonts w:asciiTheme="majorHAnsi" w:hAnsiTheme="majorHAnsi"/>
          <w:iCs/>
          <w:color w:val="000000"/>
          <w:szCs w:val="26"/>
        </w:rPr>
        <w:t>2024 của Bộ Chính trị về việc xây dựng</w:t>
      </w:r>
      <w:r w:rsidR="001D018C" w:rsidRPr="00590211">
        <w:rPr>
          <w:rFonts w:asciiTheme="majorHAnsi" w:hAnsiTheme="majorHAnsi"/>
          <w:iCs/>
          <w:color w:val="000000"/>
          <w:szCs w:val="26"/>
          <w:lang w:val="en-US"/>
        </w:rPr>
        <w:t xml:space="preserve"> TTTC</w:t>
      </w:r>
      <w:r w:rsidR="001D018C" w:rsidRPr="00590211">
        <w:rPr>
          <w:rFonts w:asciiTheme="majorHAnsi" w:hAnsiTheme="majorHAnsi"/>
          <w:iCs/>
          <w:color w:val="000000"/>
          <w:szCs w:val="26"/>
        </w:rPr>
        <w:t xml:space="preserve"> khu vực và quốc tế tại Việ</w:t>
      </w:r>
      <w:r w:rsidRPr="00590211">
        <w:rPr>
          <w:rFonts w:asciiTheme="majorHAnsi" w:hAnsiTheme="majorHAnsi"/>
          <w:iCs/>
          <w:color w:val="000000"/>
          <w:szCs w:val="26"/>
        </w:rPr>
        <w:t xml:space="preserve">t Nam đã giao </w:t>
      </w:r>
      <w:r w:rsidRPr="00590211">
        <w:rPr>
          <w:rFonts w:asciiTheme="majorHAnsi" w:hAnsiTheme="majorHAnsi"/>
          <w:iCs/>
          <w:color w:val="000000"/>
          <w:szCs w:val="26"/>
          <w:lang w:val="en-US"/>
        </w:rPr>
        <w:t>Ban cán sự Đảng Chính phủ phối hợp với Đảng đoàn Quốc hội ban hành văn bản quy phạm pháp luật (trư</w:t>
      </w:r>
      <w:r w:rsidR="00253C80" w:rsidRPr="00590211">
        <w:rPr>
          <w:rFonts w:asciiTheme="majorHAnsi" w:hAnsiTheme="majorHAnsi"/>
          <w:iCs/>
          <w:color w:val="000000"/>
          <w:szCs w:val="26"/>
          <w:lang w:val="en-US"/>
        </w:rPr>
        <w:t>ớc mắt là Nghị quyết của Quốc hội) về TTTC quy định các nội dung mang tính chất nguyên tắc, khung chính sách và giao Chính phủ quy định văn bản phù hợp hướng dẫn nội dung chi tiết, xử lý cá</w:t>
      </w:r>
      <w:r w:rsidR="007E7F2C" w:rsidRPr="00590211">
        <w:rPr>
          <w:rFonts w:asciiTheme="majorHAnsi" w:hAnsiTheme="majorHAnsi"/>
          <w:iCs/>
          <w:color w:val="000000"/>
          <w:szCs w:val="26"/>
          <w:lang w:val="en-US"/>
        </w:rPr>
        <w:t>c</w:t>
      </w:r>
      <w:r w:rsidR="00253C80" w:rsidRPr="00590211">
        <w:rPr>
          <w:rFonts w:asciiTheme="majorHAnsi" w:hAnsiTheme="majorHAnsi"/>
          <w:iCs/>
          <w:color w:val="000000"/>
          <w:szCs w:val="26"/>
          <w:lang w:val="en-US"/>
        </w:rPr>
        <w:t xml:space="preserve"> vấn đề cụ thể phát sinh.</w:t>
      </w:r>
    </w:p>
    <w:p w14:paraId="79AF0E3F" w14:textId="78FCCDD4" w:rsidR="00E47D71" w:rsidRPr="00590211" w:rsidRDefault="00253C80" w:rsidP="00AE142F">
      <w:pPr>
        <w:tabs>
          <w:tab w:val="left" w:pos="993"/>
        </w:tabs>
        <w:spacing w:before="40" w:after="40"/>
        <w:ind w:firstLine="567"/>
        <w:jc w:val="both"/>
        <w:rPr>
          <w:rFonts w:asciiTheme="majorHAnsi" w:hAnsiTheme="majorHAnsi"/>
          <w:iCs/>
          <w:color w:val="000000"/>
          <w:szCs w:val="26"/>
          <w:lang w:val="en-US"/>
        </w:rPr>
      </w:pPr>
      <w:r w:rsidRPr="00590211">
        <w:rPr>
          <w:rFonts w:asciiTheme="majorHAnsi" w:hAnsiTheme="majorHAnsi"/>
          <w:iCs/>
          <w:color w:val="000000"/>
          <w:szCs w:val="26"/>
          <w:lang w:val="en-US"/>
        </w:rPr>
        <w:t>- Nghị quyết số 259/NQ-CP ngày 31</w:t>
      </w:r>
      <w:r w:rsidR="00B95636" w:rsidRPr="00590211">
        <w:rPr>
          <w:rFonts w:asciiTheme="majorHAnsi" w:hAnsiTheme="majorHAnsi"/>
          <w:iCs/>
          <w:color w:val="000000"/>
          <w:szCs w:val="26"/>
          <w:lang w:val="en-US"/>
        </w:rPr>
        <w:t>/</w:t>
      </w:r>
      <w:r w:rsidRPr="00590211">
        <w:rPr>
          <w:rFonts w:asciiTheme="majorHAnsi" w:hAnsiTheme="majorHAnsi"/>
          <w:iCs/>
          <w:color w:val="000000"/>
          <w:szCs w:val="26"/>
          <w:lang w:val="en-US"/>
        </w:rPr>
        <w:t>12</w:t>
      </w:r>
      <w:r w:rsidR="00B95636" w:rsidRPr="00590211">
        <w:rPr>
          <w:rFonts w:asciiTheme="majorHAnsi" w:hAnsiTheme="majorHAnsi"/>
          <w:iCs/>
          <w:color w:val="000000"/>
          <w:szCs w:val="26"/>
          <w:lang w:val="en-US"/>
        </w:rPr>
        <w:t>/</w:t>
      </w:r>
      <w:r w:rsidRPr="00590211">
        <w:rPr>
          <w:rFonts w:asciiTheme="majorHAnsi" w:hAnsiTheme="majorHAnsi"/>
          <w:iCs/>
          <w:color w:val="000000"/>
          <w:szCs w:val="26"/>
          <w:lang w:val="en-US"/>
        </w:rPr>
        <w:t>2024 của Chính phủ ban hành Kế hoạch hành động triển khai thực hiện Kết Luận số 47-TB/TW đã giao nhiệm vụ xây dựng</w:t>
      </w:r>
      <w:r w:rsidR="00E47D71" w:rsidRPr="00590211">
        <w:rPr>
          <w:rFonts w:asciiTheme="majorHAnsi" w:hAnsiTheme="majorHAnsi"/>
          <w:iCs/>
          <w:color w:val="000000"/>
          <w:szCs w:val="26"/>
          <w:lang w:val="en-US"/>
        </w:rPr>
        <w:t>, hoàn thiện thể chế, chính sách TTTC.</w:t>
      </w:r>
    </w:p>
    <w:p w14:paraId="49823CC3" w14:textId="4AC59EDA" w:rsidR="00B95636" w:rsidRPr="00590211" w:rsidRDefault="00B95636" w:rsidP="00AE142F">
      <w:pPr>
        <w:tabs>
          <w:tab w:val="left" w:pos="993"/>
        </w:tabs>
        <w:spacing w:before="40" w:after="40"/>
        <w:ind w:firstLine="567"/>
        <w:jc w:val="both"/>
        <w:rPr>
          <w:rFonts w:asciiTheme="majorHAnsi" w:hAnsiTheme="majorHAnsi"/>
          <w:iCs/>
          <w:color w:val="000000"/>
          <w:szCs w:val="26"/>
          <w:lang w:val="en-US"/>
        </w:rPr>
      </w:pPr>
      <w:r w:rsidRPr="00590211">
        <w:rPr>
          <w:rFonts w:asciiTheme="majorHAnsi" w:hAnsiTheme="majorHAnsi"/>
          <w:iCs/>
          <w:color w:val="000000"/>
          <w:szCs w:val="26"/>
          <w:lang w:val="en-US"/>
        </w:rPr>
        <w:t xml:space="preserve">- </w:t>
      </w:r>
      <w:r w:rsidRPr="00590211">
        <w:rPr>
          <w:rFonts w:asciiTheme="majorHAnsi" w:hAnsiTheme="majorHAnsi"/>
          <w:iCs/>
          <w:color w:val="000000"/>
          <w:szCs w:val="26"/>
        </w:rPr>
        <w:t xml:space="preserve">Thông báo kết luận số 282/TB-VPCP ngày 04/6/2025 của Văn phòng Chính phủ về Kết luận của Thủ tướng Chính phủ về xây dựng </w:t>
      </w:r>
      <w:r w:rsidRPr="00590211">
        <w:rPr>
          <w:rFonts w:asciiTheme="majorHAnsi" w:hAnsiTheme="majorHAnsi"/>
          <w:iCs/>
          <w:color w:val="000000"/>
          <w:szCs w:val="26"/>
          <w:lang w:val="en-US"/>
        </w:rPr>
        <w:t>TTTC</w:t>
      </w:r>
      <w:r w:rsidR="00047923" w:rsidRPr="00590211">
        <w:rPr>
          <w:rFonts w:asciiTheme="majorHAnsi" w:hAnsiTheme="majorHAnsi"/>
          <w:iCs/>
          <w:color w:val="000000"/>
          <w:szCs w:val="26"/>
        </w:rPr>
        <w:t xml:space="preserve">, trong đó </w:t>
      </w:r>
      <w:r w:rsidR="007E7F2C" w:rsidRPr="00590211">
        <w:rPr>
          <w:rFonts w:asciiTheme="majorHAnsi" w:hAnsiTheme="majorHAnsi"/>
          <w:iCs/>
          <w:color w:val="000000"/>
          <w:szCs w:val="26"/>
          <w:lang w:val="en-US"/>
        </w:rPr>
        <w:t xml:space="preserve">đề cập </w:t>
      </w:r>
      <w:r w:rsidR="00047923" w:rsidRPr="00590211">
        <w:rPr>
          <w:rFonts w:asciiTheme="majorHAnsi" w:hAnsiTheme="majorHAnsi"/>
          <w:iCs/>
          <w:color w:val="000000"/>
          <w:szCs w:val="26"/>
        </w:rPr>
        <w:t xml:space="preserve">rõ về mục tiêu xây dựng </w:t>
      </w:r>
      <w:r w:rsidR="00047923" w:rsidRPr="00590211">
        <w:rPr>
          <w:rFonts w:asciiTheme="majorHAnsi" w:hAnsiTheme="majorHAnsi"/>
          <w:iCs/>
          <w:color w:val="000000"/>
          <w:szCs w:val="26"/>
          <w:lang w:val="en-US"/>
        </w:rPr>
        <w:t xml:space="preserve">TTTC, thu hút vốn vào cả khu vực nhà nước và khu vực tư nhân, </w:t>
      </w:r>
      <w:r w:rsidR="00AE142F" w:rsidRPr="00590211">
        <w:rPr>
          <w:rFonts w:asciiTheme="majorHAnsi" w:hAnsiTheme="majorHAnsi"/>
          <w:iCs/>
          <w:color w:val="000000"/>
          <w:szCs w:val="26"/>
          <w:lang w:val="en-US"/>
        </w:rPr>
        <w:t>việc tự do luân chuyển dòng vốn…</w:t>
      </w:r>
    </w:p>
    <w:p w14:paraId="760E96E1" w14:textId="77777777" w:rsidR="00484A2D" w:rsidRPr="00590211" w:rsidRDefault="00484A2D" w:rsidP="00AE142F">
      <w:pPr>
        <w:tabs>
          <w:tab w:val="left" w:pos="993"/>
        </w:tabs>
        <w:spacing w:before="40" w:after="40"/>
        <w:ind w:firstLine="567"/>
        <w:jc w:val="both"/>
        <w:rPr>
          <w:rFonts w:asciiTheme="majorHAnsi" w:hAnsiTheme="majorHAnsi"/>
          <w:b/>
          <w:i/>
          <w:iCs/>
          <w:color w:val="000000"/>
          <w:szCs w:val="26"/>
        </w:rPr>
      </w:pPr>
      <w:r w:rsidRPr="00590211">
        <w:rPr>
          <w:rFonts w:asciiTheme="majorHAnsi" w:hAnsiTheme="majorHAnsi"/>
          <w:b/>
          <w:i/>
          <w:iCs/>
          <w:color w:val="000000"/>
          <w:szCs w:val="26"/>
        </w:rPr>
        <w:t>1.2. Cơ sở pháp lý</w:t>
      </w:r>
    </w:p>
    <w:p w14:paraId="5C545DF1" w14:textId="72D851E3" w:rsidR="00E47D71" w:rsidRPr="00590211" w:rsidRDefault="00E47D71" w:rsidP="00AE142F">
      <w:pPr>
        <w:tabs>
          <w:tab w:val="left" w:pos="993"/>
        </w:tabs>
        <w:spacing w:before="40" w:after="40"/>
        <w:ind w:firstLine="567"/>
        <w:jc w:val="both"/>
        <w:rPr>
          <w:rFonts w:asciiTheme="majorHAnsi" w:hAnsiTheme="majorHAnsi"/>
          <w:iCs/>
          <w:color w:val="000000"/>
          <w:szCs w:val="26"/>
          <w:lang w:val="en-US"/>
        </w:rPr>
      </w:pPr>
      <w:r w:rsidRPr="00590211">
        <w:rPr>
          <w:rFonts w:asciiTheme="majorHAnsi" w:hAnsiTheme="majorHAnsi"/>
          <w:iCs/>
          <w:color w:val="000000"/>
          <w:szCs w:val="26"/>
          <w:lang w:val="en-US"/>
        </w:rPr>
        <w:t>- N</w:t>
      </w:r>
      <w:r w:rsidRPr="00590211">
        <w:rPr>
          <w:rFonts w:asciiTheme="majorHAnsi" w:hAnsiTheme="majorHAnsi"/>
          <w:iCs/>
          <w:color w:val="000000"/>
          <w:szCs w:val="26"/>
        </w:rPr>
        <w:t>gày 27/6</w:t>
      </w:r>
      <w:r w:rsidRPr="00590211">
        <w:rPr>
          <w:rFonts w:asciiTheme="majorHAnsi" w:hAnsiTheme="majorHAnsi"/>
          <w:iCs/>
          <w:color w:val="000000"/>
          <w:szCs w:val="26"/>
          <w:lang w:val="en-US"/>
        </w:rPr>
        <w:t>/</w:t>
      </w:r>
      <w:r w:rsidRPr="00590211">
        <w:rPr>
          <w:rFonts w:asciiTheme="majorHAnsi" w:hAnsiTheme="majorHAnsi"/>
          <w:iCs/>
          <w:color w:val="000000"/>
          <w:szCs w:val="26"/>
        </w:rPr>
        <w:t xml:space="preserve">2025, </w:t>
      </w:r>
      <w:r w:rsidRPr="00590211">
        <w:rPr>
          <w:rFonts w:asciiTheme="majorHAnsi" w:hAnsiTheme="majorHAnsi"/>
          <w:iCs/>
          <w:color w:val="000000"/>
          <w:szCs w:val="26"/>
          <w:lang w:val="en-US"/>
        </w:rPr>
        <w:t xml:space="preserve">Quốc hội đã thông qua Nghị quyết số </w:t>
      </w:r>
      <w:r w:rsidR="00B95636" w:rsidRPr="00590211">
        <w:rPr>
          <w:rFonts w:asciiTheme="majorHAnsi" w:hAnsiTheme="majorHAnsi"/>
          <w:iCs/>
          <w:color w:val="000000"/>
          <w:szCs w:val="26"/>
          <w:lang w:val="en-US"/>
        </w:rPr>
        <w:t xml:space="preserve">222/2025/QH15 về TTTC (Nghị quyết 222), trong đó </w:t>
      </w:r>
      <w:r w:rsidR="00B95636" w:rsidRPr="00590211">
        <w:rPr>
          <w:rFonts w:asciiTheme="majorHAnsi" w:hAnsiTheme="majorHAnsi"/>
          <w:iCs/>
          <w:color w:val="000000"/>
          <w:szCs w:val="26"/>
        </w:rPr>
        <w:t xml:space="preserve">giao Chính phủ quy định chi tiết </w:t>
      </w:r>
      <w:r w:rsidR="00B95636" w:rsidRPr="00590211">
        <w:rPr>
          <w:rFonts w:asciiTheme="majorHAnsi" w:hAnsiTheme="majorHAnsi"/>
          <w:iCs/>
          <w:color w:val="000000"/>
          <w:szCs w:val="26"/>
          <w:lang w:val="en-US"/>
        </w:rPr>
        <w:t xml:space="preserve">về chính sách về hoạt động ngân hàng (Điều 17), chính sách ngoại hối (Điều 16), </w:t>
      </w:r>
      <w:r w:rsidR="0094512D" w:rsidRPr="00590211">
        <w:rPr>
          <w:rFonts w:asciiTheme="majorHAnsi" w:hAnsiTheme="majorHAnsi"/>
          <w:iCs/>
          <w:color w:val="000000"/>
          <w:szCs w:val="26"/>
          <w:lang w:val="en-US"/>
        </w:rPr>
        <w:t>nội dung về phòng, chống rửa tiền, chống tài trợ khủng bố, chống tài trợ phổ biến vũ khí hủy diệt hàng loạt (Điều 12).</w:t>
      </w:r>
    </w:p>
    <w:p w14:paraId="33CDA667" w14:textId="2C618652" w:rsidR="00E47D71" w:rsidRPr="00590211" w:rsidRDefault="0094512D" w:rsidP="00AE142F">
      <w:pPr>
        <w:tabs>
          <w:tab w:val="left" w:pos="993"/>
        </w:tabs>
        <w:spacing w:before="40" w:after="40"/>
        <w:ind w:firstLine="567"/>
        <w:jc w:val="both"/>
        <w:rPr>
          <w:rFonts w:asciiTheme="majorHAnsi" w:hAnsiTheme="majorHAnsi"/>
          <w:iCs/>
          <w:color w:val="000000"/>
          <w:szCs w:val="26"/>
        </w:rPr>
      </w:pPr>
      <w:r w:rsidRPr="00590211">
        <w:rPr>
          <w:rFonts w:asciiTheme="majorHAnsi" w:hAnsiTheme="majorHAnsi"/>
          <w:iCs/>
          <w:color w:val="000000"/>
          <w:szCs w:val="26"/>
          <w:lang w:val="en-US"/>
        </w:rPr>
        <w:t>- N</w:t>
      </w:r>
      <w:r w:rsidRPr="00590211">
        <w:rPr>
          <w:rFonts w:asciiTheme="majorHAnsi" w:hAnsiTheme="majorHAnsi"/>
          <w:iCs/>
          <w:color w:val="000000"/>
          <w:szCs w:val="26"/>
        </w:rPr>
        <w:t>gày 01/8/2025</w:t>
      </w:r>
      <w:r w:rsidRPr="00590211">
        <w:rPr>
          <w:rFonts w:asciiTheme="majorHAnsi" w:hAnsiTheme="majorHAnsi"/>
          <w:iCs/>
          <w:color w:val="000000"/>
          <w:szCs w:val="26"/>
          <w:lang w:val="en-US"/>
        </w:rPr>
        <w:t>,</w:t>
      </w:r>
      <w:r w:rsidRPr="00590211">
        <w:rPr>
          <w:rFonts w:asciiTheme="majorHAnsi" w:hAnsiTheme="majorHAnsi"/>
          <w:iCs/>
          <w:color w:val="000000"/>
          <w:szCs w:val="26"/>
        </w:rPr>
        <w:t xml:space="preserve"> Trưởng Ban chỉ đạo </w:t>
      </w:r>
      <w:r w:rsidR="007E7F2C" w:rsidRPr="00590211">
        <w:rPr>
          <w:rFonts w:asciiTheme="majorHAnsi" w:hAnsiTheme="majorHAnsi"/>
          <w:iCs/>
          <w:color w:val="000000"/>
          <w:szCs w:val="26"/>
          <w:lang w:val="en-US"/>
        </w:rPr>
        <w:t>TTTC</w:t>
      </w:r>
      <w:r w:rsidRPr="00590211">
        <w:rPr>
          <w:rFonts w:asciiTheme="majorHAnsi" w:hAnsiTheme="majorHAnsi"/>
          <w:iCs/>
          <w:color w:val="000000"/>
          <w:szCs w:val="26"/>
          <w:lang w:val="en-US"/>
        </w:rPr>
        <w:t xml:space="preserve"> ban hành </w:t>
      </w:r>
      <w:r w:rsidRPr="00590211">
        <w:rPr>
          <w:rFonts w:asciiTheme="majorHAnsi" w:hAnsiTheme="majorHAnsi"/>
          <w:iCs/>
          <w:color w:val="000000"/>
          <w:szCs w:val="26"/>
        </w:rPr>
        <w:t>Quyết định số 114/QĐ-BCĐTTTT ban hành Kế hoạch hành động triển khai xây dựng TTTC</w:t>
      </w:r>
      <w:r w:rsidRPr="00590211">
        <w:rPr>
          <w:rFonts w:asciiTheme="majorHAnsi" w:hAnsiTheme="majorHAnsi"/>
          <w:iCs/>
          <w:color w:val="000000"/>
          <w:szCs w:val="26"/>
          <w:lang w:val="en-US"/>
        </w:rPr>
        <w:t>, trong đó giao NHNN chủ trì xây dựng Nghị định quy định về cấp phép thành lập và hoạt động ngân hàng, quản lý ngoại hối, phòng chống rửa tiền, chống tài trợ khủng bố, tài trợ phổ biến vũ khí hủy diệt hàng loạt tại TTTC</w:t>
      </w:r>
      <w:r w:rsidR="006954C1" w:rsidRPr="00590211">
        <w:rPr>
          <w:rFonts w:asciiTheme="majorHAnsi" w:hAnsiTheme="majorHAnsi"/>
          <w:iCs/>
          <w:color w:val="000000"/>
          <w:szCs w:val="26"/>
          <w:lang w:val="en-US"/>
        </w:rPr>
        <w:t>, trình Chính phủ xem xét việc ban hành theo trình tự, thủ tục rút gọn, hoàn thành trong tháng 8/2025.</w:t>
      </w:r>
    </w:p>
    <w:p w14:paraId="05748D69" w14:textId="77777777" w:rsidR="00484A2D" w:rsidRPr="00590211" w:rsidRDefault="00484A2D" w:rsidP="00AE142F">
      <w:pPr>
        <w:tabs>
          <w:tab w:val="left" w:pos="993"/>
        </w:tabs>
        <w:spacing w:before="40" w:after="40"/>
        <w:ind w:firstLine="567"/>
        <w:jc w:val="both"/>
        <w:rPr>
          <w:rFonts w:asciiTheme="majorHAnsi" w:hAnsiTheme="majorHAnsi"/>
          <w:b/>
          <w:iCs/>
          <w:color w:val="000000"/>
          <w:szCs w:val="26"/>
        </w:rPr>
      </w:pPr>
      <w:r w:rsidRPr="00590211">
        <w:rPr>
          <w:rFonts w:asciiTheme="majorHAnsi" w:hAnsiTheme="majorHAnsi"/>
          <w:b/>
          <w:iCs/>
          <w:color w:val="000000"/>
          <w:szCs w:val="26"/>
        </w:rPr>
        <w:t>2. Cơ sở thực tiễn</w:t>
      </w:r>
    </w:p>
    <w:p w14:paraId="765576C2" w14:textId="368ACE74" w:rsidR="009C63C8" w:rsidRDefault="007F12EF" w:rsidP="009C63C8">
      <w:pPr>
        <w:tabs>
          <w:tab w:val="left" w:pos="993"/>
        </w:tabs>
        <w:spacing w:before="40" w:after="40"/>
        <w:ind w:firstLine="567"/>
        <w:jc w:val="both"/>
        <w:rPr>
          <w:rFonts w:asciiTheme="majorHAnsi" w:hAnsiTheme="majorHAnsi"/>
          <w:iCs/>
          <w:color w:val="000000"/>
          <w:szCs w:val="26"/>
          <w:lang w:val="en-US"/>
        </w:rPr>
      </w:pPr>
      <w:r w:rsidRPr="00590211">
        <w:rPr>
          <w:rFonts w:asciiTheme="majorHAnsi" w:hAnsiTheme="majorHAnsi"/>
          <w:iCs/>
          <w:color w:val="000000"/>
          <w:szCs w:val="26"/>
          <w:lang w:val="en-US"/>
        </w:rPr>
        <w:lastRenderedPageBreak/>
        <w:t xml:space="preserve">Theo kinh nghiệm </w:t>
      </w:r>
      <w:r w:rsidR="0099178E" w:rsidRPr="00590211">
        <w:rPr>
          <w:rFonts w:asciiTheme="majorHAnsi" w:hAnsiTheme="majorHAnsi"/>
          <w:iCs/>
          <w:color w:val="000000"/>
          <w:szCs w:val="26"/>
          <w:lang w:val="en-US"/>
        </w:rPr>
        <w:t xml:space="preserve">về TTTC </w:t>
      </w:r>
      <w:r w:rsidRPr="00590211">
        <w:rPr>
          <w:rFonts w:asciiTheme="majorHAnsi" w:hAnsiTheme="majorHAnsi"/>
          <w:iCs/>
          <w:color w:val="000000"/>
          <w:szCs w:val="26"/>
          <w:lang w:val="en-US"/>
        </w:rPr>
        <w:t xml:space="preserve">của một số nước, </w:t>
      </w:r>
      <w:r w:rsidR="0099178E" w:rsidRPr="00590211">
        <w:rPr>
          <w:rFonts w:asciiTheme="majorHAnsi" w:hAnsiTheme="majorHAnsi"/>
          <w:iCs/>
          <w:color w:val="000000"/>
          <w:szCs w:val="26"/>
          <w:lang w:val="en-US"/>
        </w:rPr>
        <w:t>TTTC</w:t>
      </w:r>
      <w:r w:rsidR="0099178E" w:rsidRPr="00590211">
        <w:rPr>
          <w:szCs w:val="26"/>
        </w:rPr>
        <w:t xml:space="preserve"> </w:t>
      </w:r>
      <w:r w:rsidR="0099178E" w:rsidRPr="00590211">
        <w:rPr>
          <w:szCs w:val="26"/>
          <w:lang w:val="en-US"/>
        </w:rPr>
        <w:t xml:space="preserve">sẽ </w:t>
      </w:r>
      <w:r w:rsidR="0099178E" w:rsidRPr="00590211">
        <w:rPr>
          <w:rFonts w:asciiTheme="majorHAnsi" w:hAnsiTheme="majorHAnsi"/>
          <w:iCs/>
          <w:color w:val="000000"/>
          <w:szCs w:val="26"/>
        </w:rPr>
        <w:t>là nơi tập trung nhiều định chế tài chính, ngân hàng, công ty dịch vụ tài chính và các sàn giao dịch tiền tệ, hàng hóa</w:t>
      </w:r>
      <w:r w:rsidR="0099178E" w:rsidRPr="00590211">
        <w:rPr>
          <w:rFonts w:asciiTheme="majorHAnsi" w:hAnsiTheme="majorHAnsi"/>
          <w:iCs/>
          <w:color w:val="000000"/>
          <w:szCs w:val="26"/>
          <w:lang w:val="en-US"/>
        </w:rPr>
        <w:t>… được áp dụng các</w:t>
      </w:r>
      <w:r w:rsidR="0099178E" w:rsidRPr="00590211">
        <w:rPr>
          <w:rFonts w:asciiTheme="majorHAnsi" w:hAnsiTheme="majorHAnsi"/>
          <w:iCs/>
          <w:color w:val="000000"/>
          <w:szCs w:val="26"/>
        </w:rPr>
        <w:t xml:space="preserve"> chính sách và khung pháp lý riêng, vượt trội, đặc thù</w:t>
      </w:r>
      <w:r w:rsidR="0099178E" w:rsidRPr="00590211">
        <w:rPr>
          <w:rFonts w:asciiTheme="majorHAnsi" w:hAnsiTheme="majorHAnsi"/>
          <w:iCs/>
          <w:color w:val="000000"/>
          <w:szCs w:val="26"/>
          <w:lang w:val="en-US"/>
        </w:rPr>
        <w:t xml:space="preserve"> hơn so với quy định hiện hành trong nước, phù hợp với thông lệ quốc tế</w:t>
      </w:r>
      <w:r w:rsidR="008E1B88" w:rsidRPr="00590211">
        <w:rPr>
          <w:rFonts w:asciiTheme="majorHAnsi" w:hAnsiTheme="majorHAnsi"/>
          <w:iCs/>
          <w:color w:val="000000"/>
          <w:szCs w:val="26"/>
          <w:lang w:val="en-US"/>
        </w:rPr>
        <w:t xml:space="preserve"> để có thể </w:t>
      </w:r>
      <w:r w:rsidR="009C63C8">
        <w:rPr>
          <w:rFonts w:asciiTheme="majorHAnsi" w:hAnsiTheme="majorHAnsi"/>
          <w:iCs/>
          <w:color w:val="000000"/>
          <w:szCs w:val="26"/>
          <w:lang w:val="en-US"/>
        </w:rPr>
        <w:t xml:space="preserve">triển khai được việc </w:t>
      </w:r>
      <w:r w:rsidR="008E1B88" w:rsidRPr="00590211">
        <w:rPr>
          <w:rFonts w:asciiTheme="majorHAnsi" w:hAnsiTheme="majorHAnsi"/>
          <w:iCs/>
          <w:color w:val="000000"/>
          <w:szCs w:val="26"/>
        </w:rPr>
        <w:t>cung cấp các sản phẩm/dịch vụ tài chính, phi tài chính hiện đạ</w:t>
      </w:r>
      <w:r w:rsidR="009C63C8">
        <w:rPr>
          <w:rFonts w:asciiTheme="majorHAnsi" w:hAnsiTheme="majorHAnsi"/>
          <w:iCs/>
          <w:color w:val="000000"/>
          <w:szCs w:val="26"/>
        </w:rPr>
        <w:t xml:space="preserve">i </w:t>
      </w:r>
      <w:r w:rsidR="008E1B88" w:rsidRPr="00590211">
        <w:rPr>
          <w:rFonts w:asciiTheme="majorHAnsi" w:hAnsiTheme="majorHAnsi"/>
          <w:iCs/>
          <w:color w:val="000000"/>
          <w:szCs w:val="26"/>
        </w:rPr>
        <w:t xml:space="preserve">cho </w:t>
      </w:r>
      <w:r w:rsidR="008E1B88" w:rsidRPr="00590211">
        <w:rPr>
          <w:rFonts w:asciiTheme="majorHAnsi" w:hAnsiTheme="majorHAnsi"/>
          <w:iCs/>
          <w:color w:val="000000"/>
          <w:szCs w:val="26"/>
          <w:lang w:val="en-US"/>
        </w:rPr>
        <w:t>khách hàng</w:t>
      </w:r>
      <w:r w:rsidR="009C63C8">
        <w:rPr>
          <w:rFonts w:asciiTheme="majorHAnsi" w:hAnsiTheme="majorHAnsi"/>
          <w:iCs/>
          <w:color w:val="000000"/>
          <w:szCs w:val="26"/>
          <w:lang w:val="en-US"/>
        </w:rPr>
        <w:t xml:space="preserve"> là </w:t>
      </w:r>
      <w:r w:rsidR="009C63C8" w:rsidRPr="00590211">
        <w:rPr>
          <w:rFonts w:asciiTheme="majorHAnsi" w:hAnsiTheme="majorHAnsi"/>
          <w:iCs/>
          <w:color w:val="000000"/>
          <w:szCs w:val="26"/>
          <w:lang w:val="en-US"/>
        </w:rPr>
        <w:t>thành viên khác trong TTTC</w:t>
      </w:r>
      <w:r w:rsidR="009C63C8">
        <w:rPr>
          <w:rFonts w:asciiTheme="majorHAnsi" w:hAnsiTheme="majorHAnsi"/>
          <w:iCs/>
          <w:color w:val="000000"/>
          <w:szCs w:val="26"/>
          <w:lang w:val="en-US"/>
        </w:rPr>
        <w:t xml:space="preserve">, khách hàng trong và ngoài </w:t>
      </w:r>
      <w:r w:rsidR="009C63C8" w:rsidRPr="00590211">
        <w:rPr>
          <w:rFonts w:asciiTheme="majorHAnsi" w:hAnsiTheme="majorHAnsi"/>
          <w:iCs/>
          <w:color w:val="000000"/>
          <w:szCs w:val="26"/>
          <w:lang w:val="en-US"/>
        </w:rPr>
        <w:t>lãnh thổ Việt Nam.</w:t>
      </w:r>
    </w:p>
    <w:p w14:paraId="4566D2BF" w14:textId="625D7E82" w:rsidR="008E1B88" w:rsidRPr="00590211" w:rsidRDefault="008E1B88" w:rsidP="008E1B88">
      <w:pPr>
        <w:tabs>
          <w:tab w:val="left" w:pos="993"/>
        </w:tabs>
        <w:spacing w:before="40" w:after="40"/>
        <w:ind w:firstLine="567"/>
        <w:jc w:val="both"/>
        <w:rPr>
          <w:rFonts w:asciiTheme="majorHAnsi" w:hAnsiTheme="majorHAnsi"/>
          <w:iCs/>
          <w:color w:val="000000"/>
          <w:szCs w:val="26"/>
        </w:rPr>
      </w:pPr>
      <w:r w:rsidRPr="00590211">
        <w:rPr>
          <w:rFonts w:asciiTheme="majorHAnsi" w:hAnsiTheme="majorHAnsi"/>
          <w:iCs/>
          <w:color w:val="000000"/>
          <w:szCs w:val="26"/>
          <w:lang w:val="en-US"/>
        </w:rPr>
        <w:t>Theo đó, n</w:t>
      </w:r>
      <w:r w:rsidR="00571096" w:rsidRPr="00590211">
        <w:rPr>
          <w:rFonts w:asciiTheme="majorHAnsi" w:hAnsiTheme="majorHAnsi"/>
          <w:iCs/>
          <w:color w:val="000000"/>
          <w:szCs w:val="26"/>
          <w:lang w:val="en-US"/>
        </w:rPr>
        <w:t>hằm thực hiện các mục tiêu phát triển TTTC</w:t>
      </w:r>
      <w:r w:rsidRPr="00590211">
        <w:rPr>
          <w:rFonts w:asciiTheme="majorHAnsi" w:hAnsiTheme="majorHAnsi"/>
          <w:iCs/>
          <w:color w:val="000000"/>
          <w:szCs w:val="26"/>
          <w:lang w:val="en-US"/>
        </w:rPr>
        <w:t xml:space="preserve"> Việt Nam</w:t>
      </w:r>
      <w:r w:rsidR="00571096" w:rsidRPr="00590211">
        <w:rPr>
          <w:rFonts w:asciiTheme="majorHAnsi" w:hAnsiTheme="majorHAnsi"/>
          <w:iCs/>
          <w:color w:val="000000"/>
          <w:szCs w:val="26"/>
          <w:lang w:val="en-US"/>
        </w:rPr>
        <w:t xml:space="preserve"> tại Nghị quyết </w:t>
      </w:r>
      <w:r w:rsidR="009C63C8">
        <w:rPr>
          <w:rFonts w:asciiTheme="majorHAnsi" w:hAnsiTheme="majorHAnsi"/>
          <w:iCs/>
          <w:color w:val="000000"/>
          <w:szCs w:val="26"/>
          <w:lang w:val="en-US"/>
        </w:rPr>
        <w:t xml:space="preserve">222, </w:t>
      </w:r>
      <w:r w:rsidR="0099178E" w:rsidRPr="00590211">
        <w:rPr>
          <w:rFonts w:asciiTheme="majorHAnsi" w:hAnsiTheme="majorHAnsi"/>
          <w:iCs/>
          <w:color w:val="000000"/>
          <w:szCs w:val="26"/>
        </w:rPr>
        <w:t>khuyế</w:t>
      </w:r>
      <w:r w:rsidR="00571096" w:rsidRPr="00590211">
        <w:rPr>
          <w:rFonts w:asciiTheme="majorHAnsi" w:hAnsiTheme="majorHAnsi"/>
          <w:iCs/>
          <w:color w:val="000000"/>
          <w:szCs w:val="26"/>
        </w:rPr>
        <w:t>n khích,</w:t>
      </w:r>
      <w:r w:rsidR="0099178E" w:rsidRPr="00590211">
        <w:rPr>
          <w:rFonts w:asciiTheme="majorHAnsi" w:hAnsiTheme="majorHAnsi"/>
          <w:iCs/>
          <w:color w:val="000000"/>
          <w:szCs w:val="26"/>
        </w:rPr>
        <w:t xml:space="preserve"> thu hút </w:t>
      </w:r>
      <w:r w:rsidR="00571096" w:rsidRPr="00590211">
        <w:rPr>
          <w:rFonts w:asciiTheme="majorHAnsi" w:hAnsiTheme="majorHAnsi"/>
          <w:iCs/>
          <w:color w:val="000000"/>
          <w:szCs w:val="26"/>
          <w:lang w:val="en-US"/>
        </w:rPr>
        <w:t xml:space="preserve">tối </w:t>
      </w:r>
      <w:r w:rsidR="00571096" w:rsidRPr="00590211">
        <w:rPr>
          <w:rFonts w:asciiTheme="majorHAnsi" w:hAnsiTheme="majorHAnsi"/>
          <w:iCs/>
          <w:color w:val="000000"/>
          <w:szCs w:val="26"/>
        </w:rPr>
        <w:t>đa nguồn vốn quốc tế, góp phần phát triển kinh tế đất nước,</w:t>
      </w:r>
      <w:r w:rsidRPr="00590211">
        <w:rPr>
          <w:rFonts w:asciiTheme="majorHAnsi" w:hAnsiTheme="majorHAnsi"/>
          <w:iCs/>
          <w:color w:val="000000"/>
          <w:szCs w:val="26"/>
          <w:lang w:val="en-US"/>
        </w:rPr>
        <w:t xml:space="preserve"> việc </w:t>
      </w:r>
      <w:r w:rsidR="009C63C8">
        <w:rPr>
          <w:rFonts w:asciiTheme="majorHAnsi" w:hAnsiTheme="majorHAnsi"/>
          <w:iCs/>
          <w:color w:val="000000"/>
          <w:szCs w:val="26"/>
          <w:lang w:val="en-US"/>
        </w:rPr>
        <w:t>nghiên cứu, xây dựng Nghị định trên cơ sở kế thừa và chọn lọc các quy định hiện hành để hình thành nên</w:t>
      </w:r>
      <w:r w:rsidRPr="00590211">
        <w:rPr>
          <w:rFonts w:asciiTheme="majorHAnsi" w:hAnsiTheme="majorHAnsi"/>
          <w:iCs/>
          <w:color w:val="000000"/>
          <w:szCs w:val="26"/>
          <w:lang w:val="en-US"/>
        </w:rPr>
        <w:t xml:space="preserve"> một khung pháp lý với những chính sách tương đối thông thoáng về </w:t>
      </w:r>
      <w:r w:rsidR="00F34FCA" w:rsidRPr="00590211">
        <w:rPr>
          <w:rFonts w:asciiTheme="majorHAnsi" w:hAnsiTheme="majorHAnsi"/>
          <w:iCs/>
          <w:color w:val="000000"/>
          <w:szCs w:val="26"/>
          <w:lang w:val="en-US"/>
        </w:rPr>
        <w:t xml:space="preserve">hoạt động ngân hàng, </w:t>
      </w:r>
      <w:r w:rsidRPr="00590211">
        <w:rPr>
          <w:rFonts w:asciiTheme="majorHAnsi" w:hAnsiTheme="majorHAnsi"/>
          <w:iCs/>
          <w:color w:val="000000"/>
          <w:szCs w:val="26"/>
          <w:lang w:val="en-US"/>
        </w:rPr>
        <w:t>quản lý ngoại hối, phòng, chống rửa tiền</w:t>
      </w:r>
      <w:r w:rsidR="00F34FCA" w:rsidRPr="00590211">
        <w:rPr>
          <w:rFonts w:asciiTheme="majorHAnsi" w:hAnsiTheme="majorHAnsi"/>
          <w:iCs/>
          <w:color w:val="000000"/>
          <w:szCs w:val="26"/>
          <w:lang w:val="en-US"/>
        </w:rPr>
        <w:t xml:space="preserve"> là</w:t>
      </w:r>
      <w:r w:rsidR="009C63C8">
        <w:rPr>
          <w:rFonts w:asciiTheme="majorHAnsi" w:hAnsiTheme="majorHAnsi"/>
          <w:iCs/>
          <w:color w:val="000000"/>
          <w:szCs w:val="26"/>
          <w:lang w:val="en-US"/>
        </w:rPr>
        <w:t xml:space="preserve"> điều hết sức</w:t>
      </w:r>
      <w:r w:rsidR="00F34FCA" w:rsidRPr="00590211">
        <w:rPr>
          <w:rFonts w:asciiTheme="majorHAnsi" w:hAnsiTheme="majorHAnsi"/>
          <w:iCs/>
          <w:color w:val="000000"/>
          <w:szCs w:val="26"/>
          <w:lang w:val="en-US"/>
        </w:rPr>
        <w:t xml:space="preserve"> cần thiết. Cụ thể:</w:t>
      </w:r>
    </w:p>
    <w:p w14:paraId="557CA81B" w14:textId="52720209" w:rsidR="00B0454A" w:rsidRPr="00590211" w:rsidRDefault="00571096" w:rsidP="00AE142F">
      <w:pPr>
        <w:tabs>
          <w:tab w:val="left" w:pos="993"/>
        </w:tabs>
        <w:spacing w:before="40" w:after="40"/>
        <w:ind w:firstLine="567"/>
        <w:jc w:val="both"/>
        <w:rPr>
          <w:rFonts w:asciiTheme="majorHAnsi" w:hAnsiTheme="majorHAnsi"/>
          <w:iCs/>
          <w:color w:val="000000"/>
          <w:szCs w:val="26"/>
        </w:rPr>
      </w:pPr>
      <w:r w:rsidRPr="00590211">
        <w:rPr>
          <w:rFonts w:asciiTheme="majorHAnsi" w:hAnsiTheme="majorHAnsi"/>
          <w:iCs/>
          <w:color w:val="000000"/>
          <w:szCs w:val="26"/>
        </w:rPr>
        <w:t xml:space="preserve"> </w:t>
      </w:r>
      <w:r w:rsidR="00B0454A" w:rsidRPr="00590211">
        <w:rPr>
          <w:rFonts w:asciiTheme="majorHAnsi" w:hAnsiTheme="majorHAnsi"/>
          <w:i/>
          <w:iCs/>
          <w:color w:val="000000"/>
          <w:szCs w:val="26"/>
          <w:lang w:val="en-US"/>
        </w:rPr>
        <w:t xml:space="preserve">- </w:t>
      </w:r>
      <w:r w:rsidR="00B0454A" w:rsidRPr="00590211">
        <w:rPr>
          <w:rFonts w:asciiTheme="majorHAnsi" w:hAnsiTheme="majorHAnsi"/>
          <w:i/>
          <w:iCs/>
          <w:color w:val="000000"/>
          <w:szCs w:val="26"/>
        </w:rPr>
        <w:t>Về vấn đề quản lý ngoại hối</w:t>
      </w:r>
      <w:r w:rsidR="00B0454A" w:rsidRPr="00590211">
        <w:rPr>
          <w:rFonts w:asciiTheme="majorHAnsi" w:hAnsiTheme="majorHAnsi"/>
          <w:i/>
          <w:iCs/>
          <w:color w:val="000000"/>
          <w:szCs w:val="26"/>
          <w:lang w:val="en-US"/>
        </w:rPr>
        <w:t>:</w:t>
      </w:r>
      <w:r w:rsidR="00B0454A" w:rsidRPr="00590211">
        <w:rPr>
          <w:rFonts w:asciiTheme="majorHAnsi" w:hAnsiTheme="majorHAnsi"/>
          <w:b/>
          <w:iCs/>
          <w:color w:val="000000"/>
          <w:szCs w:val="26"/>
          <w:lang w:val="en-US"/>
        </w:rPr>
        <w:t xml:space="preserve"> </w:t>
      </w:r>
      <w:r w:rsidR="00F34FCA" w:rsidRPr="00590211">
        <w:rPr>
          <w:rFonts w:asciiTheme="majorHAnsi" w:hAnsiTheme="majorHAnsi"/>
          <w:iCs/>
          <w:color w:val="000000"/>
          <w:szCs w:val="26"/>
          <w:lang w:val="en-US"/>
        </w:rPr>
        <w:t xml:space="preserve">Theo quy định của Pháp lệnh Ngoại hối, chính sách quản lý ngoại hối </w:t>
      </w:r>
      <w:r w:rsidR="000549A8">
        <w:rPr>
          <w:rFonts w:asciiTheme="majorHAnsi" w:hAnsiTheme="majorHAnsi"/>
          <w:iCs/>
          <w:color w:val="000000"/>
          <w:szCs w:val="26"/>
          <w:lang w:val="en-US"/>
        </w:rPr>
        <w:t>được thực hiện</w:t>
      </w:r>
      <w:r w:rsidR="009C63C8" w:rsidRPr="00590211">
        <w:rPr>
          <w:rFonts w:asciiTheme="majorHAnsi" w:hAnsiTheme="majorHAnsi"/>
          <w:iCs/>
          <w:color w:val="000000"/>
          <w:szCs w:val="26"/>
          <w:lang w:val="en-US"/>
        </w:rPr>
        <w:t xml:space="preserve"> </w:t>
      </w:r>
      <w:r w:rsidR="00F34FCA" w:rsidRPr="00590211">
        <w:rPr>
          <w:rFonts w:asciiTheme="majorHAnsi" w:hAnsiTheme="majorHAnsi"/>
          <w:iCs/>
          <w:color w:val="000000"/>
          <w:szCs w:val="26"/>
          <w:lang w:val="en-US"/>
        </w:rPr>
        <w:t>nhằm tạo điều kiện thuận lợi và bảo đảm lợi ích hợp pháp cho tổ chức, cá nhân tham gia hoạt động ngoại hối, góp phần thúc đẩy phát triển kinh tế; thực hiện mục tiêu của chính sách tiền tệ quốc gia, nâng cao tính chuyển đổi của đồng Việt Nam; thực hiện mục tiêu trên lãnh thổ Việt Nam chỉ sử dụng đồng Việt Nam</w:t>
      </w:r>
      <w:r w:rsidR="009C63C8">
        <w:rPr>
          <w:rFonts w:asciiTheme="majorHAnsi" w:hAnsiTheme="majorHAnsi"/>
          <w:iCs/>
          <w:color w:val="000000"/>
          <w:szCs w:val="26"/>
          <w:lang w:val="en-US"/>
        </w:rPr>
        <w:t>…</w:t>
      </w:r>
      <w:r w:rsidR="00F34FCA" w:rsidRPr="00590211">
        <w:rPr>
          <w:rFonts w:asciiTheme="majorHAnsi" w:hAnsiTheme="majorHAnsi"/>
          <w:iCs/>
          <w:color w:val="000000"/>
          <w:szCs w:val="26"/>
          <w:lang w:val="en-US"/>
        </w:rPr>
        <w:t xml:space="preserve"> Tuy nhiên, </w:t>
      </w:r>
      <w:r w:rsidR="000549A8">
        <w:rPr>
          <w:rFonts w:asciiTheme="majorHAnsi" w:hAnsiTheme="majorHAnsi"/>
          <w:iCs/>
          <w:color w:val="000000"/>
          <w:szCs w:val="26"/>
          <w:lang w:val="en-US"/>
        </w:rPr>
        <w:t xml:space="preserve">mục đích thành lập </w:t>
      </w:r>
      <w:r w:rsidR="00B0454A" w:rsidRPr="00590211">
        <w:rPr>
          <w:rFonts w:asciiTheme="majorHAnsi" w:hAnsiTheme="majorHAnsi"/>
          <w:iCs/>
          <w:color w:val="000000"/>
          <w:szCs w:val="26"/>
        </w:rPr>
        <w:t xml:space="preserve">TTTC </w:t>
      </w:r>
      <w:r w:rsidR="000549A8">
        <w:rPr>
          <w:rFonts w:asciiTheme="majorHAnsi" w:hAnsiTheme="majorHAnsi"/>
          <w:iCs/>
          <w:color w:val="000000"/>
          <w:szCs w:val="26"/>
          <w:lang w:val="en-US"/>
        </w:rPr>
        <w:t xml:space="preserve">tại Nghị quyết 222 là yêu </w:t>
      </w:r>
      <w:r w:rsidR="00B0454A" w:rsidRPr="00590211">
        <w:rPr>
          <w:rFonts w:asciiTheme="majorHAnsi" w:hAnsiTheme="majorHAnsi"/>
          <w:iCs/>
          <w:color w:val="000000"/>
          <w:szCs w:val="26"/>
        </w:rPr>
        <w:t>cầu</w:t>
      </w:r>
      <w:r w:rsidR="000549A8">
        <w:rPr>
          <w:rFonts w:asciiTheme="majorHAnsi" w:hAnsiTheme="majorHAnsi"/>
          <w:iCs/>
          <w:color w:val="000000"/>
          <w:szCs w:val="26"/>
          <w:lang w:val="en-US"/>
        </w:rPr>
        <w:t xml:space="preserve"> nới lỏng việc</w:t>
      </w:r>
      <w:r w:rsidR="00B0454A" w:rsidRPr="00590211">
        <w:rPr>
          <w:rFonts w:asciiTheme="majorHAnsi" w:hAnsiTheme="majorHAnsi"/>
          <w:iCs/>
          <w:color w:val="000000"/>
          <w:szCs w:val="26"/>
        </w:rPr>
        <w:t xml:space="preserve"> tự do chuyển đổi ngoại tệ, luân chuyển dòng vốn phục vụ giao dịch xuyên biên giớ</w:t>
      </w:r>
      <w:r w:rsidR="00F34FCA" w:rsidRPr="00590211">
        <w:rPr>
          <w:rFonts w:asciiTheme="majorHAnsi" w:hAnsiTheme="majorHAnsi"/>
          <w:iCs/>
          <w:color w:val="000000"/>
          <w:szCs w:val="26"/>
        </w:rPr>
        <w:t>i</w:t>
      </w:r>
      <w:r w:rsidR="00F34FCA" w:rsidRPr="00590211">
        <w:rPr>
          <w:rFonts w:asciiTheme="majorHAnsi" w:hAnsiTheme="majorHAnsi"/>
          <w:iCs/>
          <w:color w:val="000000"/>
          <w:szCs w:val="26"/>
          <w:lang w:val="en-US"/>
        </w:rPr>
        <w:t xml:space="preserve">… </w:t>
      </w:r>
      <w:r w:rsidR="00B0454A" w:rsidRPr="00590211">
        <w:rPr>
          <w:rFonts w:asciiTheme="majorHAnsi" w:hAnsiTheme="majorHAnsi"/>
          <w:iCs/>
          <w:color w:val="000000"/>
          <w:szCs w:val="26"/>
          <w:lang w:val="en-US"/>
        </w:rPr>
        <w:t>Do đó,</w:t>
      </w:r>
      <w:r w:rsidR="00B0454A" w:rsidRPr="00590211">
        <w:rPr>
          <w:rFonts w:asciiTheme="majorHAnsi" w:hAnsiTheme="majorHAnsi"/>
          <w:iCs/>
          <w:color w:val="000000"/>
          <w:szCs w:val="26"/>
        </w:rPr>
        <w:t xml:space="preserve"> cần nghiên cứu khung pháp lý để vừa đảm bảo tính “tự do” trong phạm vi TTTC, vừa hạn chế tối đa rủi ro liên thông đến nền kinh tế nội địa.</w:t>
      </w:r>
    </w:p>
    <w:p w14:paraId="319ABC46" w14:textId="30FF34AB" w:rsidR="002A3DA2" w:rsidRPr="00590211" w:rsidRDefault="00B0454A" w:rsidP="00AE142F">
      <w:pPr>
        <w:tabs>
          <w:tab w:val="left" w:pos="993"/>
        </w:tabs>
        <w:spacing w:before="40" w:after="40"/>
        <w:ind w:firstLine="567"/>
        <w:jc w:val="both"/>
        <w:rPr>
          <w:rFonts w:asciiTheme="majorHAnsi" w:hAnsiTheme="majorHAnsi"/>
          <w:iCs/>
          <w:color w:val="000000"/>
          <w:szCs w:val="26"/>
          <w:lang w:val="en-US"/>
        </w:rPr>
      </w:pPr>
      <w:r w:rsidRPr="00590211">
        <w:rPr>
          <w:rFonts w:asciiTheme="majorHAnsi" w:hAnsiTheme="majorHAnsi"/>
          <w:i/>
          <w:iCs/>
          <w:color w:val="000000"/>
          <w:szCs w:val="26"/>
          <w:lang w:val="en-US"/>
        </w:rPr>
        <w:t>- Về vấn</w:t>
      </w:r>
      <w:r w:rsidRPr="00590211">
        <w:rPr>
          <w:rFonts w:asciiTheme="majorHAnsi" w:hAnsiTheme="majorHAnsi"/>
          <w:i/>
          <w:iCs/>
          <w:color w:val="000000"/>
          <w:szCs w:val="26"/>
        </w:rPr>
        <w:t xml:space="preserve"> </w:t>
      </w:r>
      <w:r w:rsidR="007369C7" w:rsidRPr="00590211">
        <w:rPr>
          <w:rFonts w:asciiTheme="majorHAnsi" w:hAnsiTheme="majorHAnsi"/>
          <w:i/>
          <w:iCs/>
          <w:color w:val="000000"/>
          <w:szCs w:val="26"/>
        </w:rPr>
        <w:t xml:space="preserve">đề </w:t>
      </w:r>
      <w:r w:rsidR="007369C7" w:rsidRPr="00590211">
        <w:rPr>
          <w:rFonts w:asciiTheme="majorHAnsi" w:hAnsiTheme="majorHAnsi"/>
          <w:i/>
          <w:iCs/>
          <w:color w:val="000000"/>
          <w:szCs w:val="26"/>
          <w:lang w:val="en-US"/>
        </w:rPr>
        <w:t xml:space="preserve">hoạt động ngân hàng và </w:t>
      </w:r>
      <w:r w:rsidRPr="00590211">
        <w:rPr>
          <w:rFonts w:asciiTheme="majorHAnsi" w:hAnsiTheme="majorHAnsi"/>
          <w:i/>
          <w:iCs/>
          <w:color w:val="000000"/>
          <w:szCs w:val="26"/>
        </w:rPr>
        <w:t>đảm bảo an toàn trong hoạt động ngân hàng</w:t>
      </w:r>
      <w:r w:rsidRPr="00590211">
        <w:rPr>
          <w:rFonts w:asciiTheme="majorHAnsi" w:hAnsiTheme="majorHAnsi"/>
          <w:i/>
          <w:iCs/>
          <w:color w:val="000000"/>
          <w:szCs w:val="26"/>
          <w:lang w:val="en-US"/>
        </w:rPr>
        <w:t>:</w:t>
      </w:r>
      <w:r w:rsidRPr="00590211">
        <w:rPr>
          <w:rFonts w:asciiTheme="majorHAnsi" w:hAnsiTheme="majorHAnsi"/>
          <w:iCs/>
          <w:color w:val="000000"/>
          <w:szCs w:val="26"/>
          <w:lang w:val="en-US"/>
        </w:rPr>
        <w:t xml:space="preserve"> TTTC </w:t>
      </w:r>
      <w:r w:rsidRPr="00590211">
        <w:rPr>
          <w:rFonts w:asciiTheme="majorHAnsi" w:hAnsiTheme="majorHAnsi"/>
          <w:iCs/>
          <w:color w:val="000000"/>
          <w:szCs w:val="26"/>
        </w:rPr>
        <w:t xml:space="preserve">xuất hiện nhiều chủ thể hoạt động và các tổ chức tham gia TTTC cung cấp nhiều sản phẩm tài chính </w:t>
      </w:r>
      <w:r w:rsidR="00DB67B3" w:rsidRPr="00590211">
        <w:rPr>
          <w:rFonts w:asciiTheme="majorHAnsi" w:hAnsiTheme="majorHAnsi"/>
          <w:iCs/>
          <w:color w:val="000000"/>
          <w:szCs w:val="26"/>
          <w:lang w:val="en-US"/>
        </w:rPr>
        <w:t>đa dạng</w:t>
      </w:r>
      <w:r w:rsidR="002A3DA2" w:rsidRPr="00590211">
        <w:rPr>
          <w:rFonts w:asciiTheme="majorHAnsi" w:hAnsiTheme="majorHAnsi"/>
          <w:iCs/>
          <w:color w:val="000000"/>
          <w:szCs w:val="26"/>
          <w:lang w:val="en-US"/>
        </w:rPr>
        <w:t xml:space="preserve"> bao gồm các định chế tài chính chứng khoản, bảo hiểm… </w:t>
      </w:r>
      <w:r w:rsidR="002A3DA2" w:rsidRPr="00590211">
        <w:rPr>
          <w:rFonts w:asciiTheme="majorHAnsi" w:hAnsiTheme="majorHAnsi"/>
          <w:iCs/>
          <w:color w:val="000000"/>
          <w:szCs w:val="26"/>
        </w:rPr>
        <w:t>Do vậy, ngân hàng sẽ thực hiện các nghiệp vụ ngân hàng thương mại truyền thống trong phạm vi phù hợp với định hướng quy định tại Nghị quyết 222.</w:t>
      </w:r>
      <w:r w:rsidR="002A3DA2" w:rsidRPr="00590211">
        <w:rPr>
          <w:rFonts w:asciiTheme="majorHAnsi" w:hAnsiTheme="majorHAnsi"/>
          <w:iCs/>
          <w:color w:val="000000"/>
          <w:szCs w:val="26"/>
          <w:lang w:val="en-US"/>
        </w:rPr>
        <w:t xml:space="preserve"> Theo đó, n</w:t>
      </w:r>
      <w:r w:rsidR="00F75CD7" w:rsidRPr="00590211">
        <w:rPr>
          <w:rFonts w:asciiTheme="majorHAnsi" w:hAnsiTheme="majorHAnsi"/>
          <w:iCs/>
          <w:color w:val="000000"/>
          <w:szCs w:val="26"/>
          <w:lang w:val="en-US"/>
        </w:rPr>
        <w:t>gân hàng thương mại (</w:t>
      </w:r>
      <w:r w:rsidRPr="00590211">
        <w:rPr>
          <w:rFonts w:asciiTheme="majorHAnsi" w:hAnsiTheme="majorHAnsi"/>
          <w:iCs/>
          <w:color w:val="000000"/>
          <w:szCs w:val="26"/>
        </w:rPr>
        <w:t>NHTM</w:t>
      </w:r>
      <w:r w:rsidR="00F75CD7" w:rsidRPr="00590211">
        <w:rPr>
          <w:rFonts w:asciiTheme="majorHAnsi" w:hAnsiTheme="majorHAnsi"/>
          <w:iCs/>
          <w:color w:val="000000"/>
          <w:szCs w:val="26"/>
          <w:lang w:val="en-US"/>
        </w:rPr>
        <w:t>)</w:t>
      </w:r>
      <w:r w:rsidRPr="00590211">
        <w:rPr>
          <w:rFonts w:asciiTheme="majorHAnsi" w:hAnsiTheme="majorHAnsi"/>
          <w:iCs/>
          <w:color w:val="000000"/>
          <w:szCs w:val="26"/>
          <w:lang w:val="en-US"/>
        </w:rPr>
        <w:t xml:space="preserve">, chi nhánh </w:t>
      </w:r>
      <w:r w:rsidR="00F75CD7" w:rsidRPr="00590211">
        <w:rPr>
          <w:rFonts w:asciiTheme="majorHAnsi" w:hAnsiTheme="majorHAnsi"/>
          <w:iCs/>
          <w:color w:val="000000"/>
          <w:szCs w:val="26"/>
          <w:lang w:val="en-US"/>
        </w:rPr>
        <w:t>ngân hàng nước ngoài (</w:t>
      </w:r>
      <w:r w:rsidRPr="00590211">
        <w:rPr>
          <w:rFonts w:asciiTheme="majorHAnsi" w:hAnsiTheme="majorHAnsi"/>
          <w:iCs/>
          <w:color w:val="000000"/>
          <w:szCs w:val="26"/>
          <w:lang w:val="en-US"/>
        </w:rPr>
        <w:t>NHNNg</w:t>
      </w:r>
      <w:r w:rsidR="00F75CD7" w:rsidRPr="00590211">
        <w:rPr>
          <w:rFonts w:asciiTheme="majorHAnsi" w:hAnsiTheme="majorHAnsi"/>
          <w:iCs/>
          <w:color w:val="000000"/>
          <w:szCs w:val="26"/>
          <w:lang w:val="en-US"/>
        </w:rPr>
        <w:t>)</w:t>
      </w:r>
      <w:r w:rsidRPr="00590211">
        <w:rPr>
          <w:rFonts w:asciiTheme="majorHAnsi" w:hAnsiTheme="majorHAnsi"/>
          <w:iCs/>
          <w:color w:val="000000"/>
          <w:szCs w:val="26"/>
        </w:rPr>
        <w:t xml:space="preserve"> khi tham gia </w:t>
      </w:r>
      <w:r w:rsidR="00DB67B3" w:rsidRPr="00590211">
        <w:rPr>
          <w:rFonts w:asciiTheme="majorHAnsi" w:hAnsiTheme="majorHAnsi"/>
          <w:iCs/>
          <w:color w:val="000000"/>
          <w:szCs w:val="26"/>
          <w:lang w:val="en-US"/>
        </w:rPr>
        <w:t>TTTC</w:t>
      </w:r>
      <w:r w:rsidRPr="00590211">
        <w:rPr>
          <w:rFonts w:asciiTheme="majorHAnsi" w:hAnsiTheme="majorHAnsi"/>
          <w:iCs/>
          <w:color w:val="000000"/>
          <w:szCs w:val="26"/>
        </w:rPr>
        <w:t xml:space="preserve"> </w:t>
      </w:r>
      <w:r w:rsidR="00DB67B3" w:rsidRPr="00590211">
        <w:rPr>
          <w:rFonts w:asciiTheme="majorHAnsi" w:hAnsiTheme="majorHAnsi"/>
          <w:iCs/>
          <w:color w:val="000000"/>
          <w:szCs w:val="26"/>
          <w:lang w:val="en-US"/>
        </w:rPr>
        <w:t xml:space="preserve">thực hiện </w:t>
      </w:r>
      <w:r w:rsidR="002A3DA2" w:rsidRPr="00590211">
        <w:rPr>
          <w:rFonts w:asciiTheme="majorHAnsi" w:hAnsiTheme="majorHAnsi"/>
          <w:iCs/>
          <w:color w:val="000000"/>
          <w:szCs w:val="26"/>
          <w:lang w:val="en-US"/>
        </w:rPr>
        <w:t>cung ứng dịch vụ, nghiệp vụ</w:t>
      </w:r>
      <w:r w:rsidR="00DB67B3" w:rsidRPr="00590211">
        <w:rPr>
          <w:rFonts w:asciiTheme="majorHAnsi" w:hAnsiTheme="majorHAnsi"/>
          <w:iCs/>
          <w:color w:val="000000"/>
          <w:szCs w:val="26"/>
          <w:lang w:val="en-US"/>
        </w:rPr>
        <w:t xml:space="preserve"> ngân hàng</w:t>
      </w:r>
      <w:r w:rsidRPr="00590211">
        <w:rPr>
          <w:rFonts w:asciiTheme="majorHAnsi" w:hAnsiTheme="majorHAnsi"/>
          <w:iCs/>
          <w:color w:val="000000"/>
          <w:szCs w:val="26"/>
        </w:rPr>
        <w:t xml:space="preserve"> cần phải tuân thủ các tỷ lệ đảm bảo an toàn (tỷ lệ an toàn vốn tối thiểu, tỷ lệ thanh khoản, tỷ lệ khả năng chi trả</w:t>
      </w:r>
      <w:r w:rsidRPr="00590211">
        <w:rPr>
          <w:rFonts w:asciiTheme="majorHAnsi" w:hAnsiTheme="majorHAnsi"/>
          <w:iCs/>
          <w:color w:val="000000"/>
          <w:szCs w:val="26"/>
          <w:lang w:val="en-US"/>
        </w:rPr>
        <w:t>,</w:t>
      </w:r>
      <w:r w:rsidRPr="00590211">
        <w:rPr>
          <w:rFonts w:asciiTheme="majorHAnsi" w:hAnsiTheme="majorHAnsi"/>
          <w:iCs/>
          <w:color w:val="000000"/>
          <w:szCs w:val="26"/>
        </w:rPr>
        <w:t>…)</w:t>
      </w:r>
      <w:r w:rsidR="00DB67B3" w:rsidRPr="00590211">
        <w:rPr>
          <w:rFonts w:asciiTheme="majorHAnsi" w:hAnsiTheme="majorHAnsi"/>
          <w:iCs/>
          <w:color w:val="000000"/>
          <w:szCs w:val="26"/>
          <w:lang w:val="en-US"/>
        </w:rPr>
        <w:t xml:space="preserve"> </w:t>
      </w:r>
      <w:r w:rsidR="002A3DA2" w:rsidRPr="00590211">
        <w:rPr>
          <w:rFonts w:asciiTheme="majorHAnsi" w:hAnsiTheme="majorHAnsi"/>
          <w:iCs/>
          <w:color w:val="000000"/>
          <w:szCs w:val="26"/>
          <w:lang w:val="en-US"/>
        </w:rPr>
        <w:t>theo quy định của pháp luật hiện hành có xét tới sự phù hợp với tính chất hoạt động của từng loại hình ngân hàng trong TTTC.</w:t>
      </w:r>
    </w:p>
    <w:p w14:paraId="1B429726" w14:textId="7F21545A" w:rsidR="00B0454A" w:rsidRPr="00590211" w:rsidRDefault="00F75CD7" w:rsidP="00AE142F">
      <w:pPr>
        <w:tabs>
          <w:tab w:val="left" w:pos="993"/>
        </w:tabs>
        <w:spacing w:before="40" w:after="40"/>
        <w:ind w:firstLine="567"/>
        <w:jc w:val="both"/>
        <w:rPr>
          <w:rFonts w:asciiTheme="majorHAnsi" w:hAnsiTheme="majorHAnsi"/>
          <w:iCs/>
          <w:color w:val="000000"/>
          <w:szCs w:val="26"/>
          <w:lang w:val="en-US"/>
        </w:rPr>
      </w:pPr>
      <w:r w:rsidRPr="00590211">
        <w:rPr>
          <w:rFonts w:asciiTheme="majorHAnsi" w:hAnsiTheme="majorHAnsi"/>
          <w:i/>
          <w:iCs/>
          <w:color w:val="000000"/>
          <w:szCs w:val="26"/>
          <w:lang w:val="en-US"/>
        </w:rPr>
        <w:t>- Về v</w:t>
      </w:r>
      <w:r w:rsidR="00B0454A" w:rsidRPr="00590211">
        <w:rPr>
          <w:rFonts w:asciiTheme="majorHAnsi" w:hAnsiTheme="majorHAnsi"/>
          <w:i/>
          <w:iCs/>
          <w:color w:val="000000"/>
          <w:szCs w:val="26"/>
        </w:rPr>
        <w:t>ấn đề về thanh tra, giám sát</w:t>
      </w:r>
      <w:r w:rsidRPr="00590211">
        <w:rPr>
          <w:rFonts w:asciiTheme="majorHAnsi" w:hAnsiTheme="majorHAnsi"/>
          <w:iCs/>
          <w:color w:val="000000"/>
          <w:szCs w:val="26"/>
          <w:lang w:val="en-US"/>
        </w:rPr>
        <w:t xml:space="preserve">: </w:t>
      </w:r>
      <w:r w:rsidR="00B0454A" w:rsidRPr="00590211">
        <w:rPr>
          <w:rFonts w:asciiTheme="majorHAnsi" w:hAnsiTheme="majorHAnsi"/>
          <w:iCs/>
          <w:color w:val="000000"/>
          <w:szCs w:val="26"/>
        </w:rPr>
        <w:t>Các quy định pháp lý hiện hành đang được thiết kế cho</w:t>
      </w:r>
      <w:r w:rsidR="002A3DA2" w:rsidRPr="00590211">
        <w:rPr>
          <w:rFonts w:asciiTheme="majorHAnsi" w:hAnsiTheme="majorHAnsi"/>
          <w:iCs/>
          <w:color w:val="000000"/>
          <w:szCs w:val="26"/>
          <w:lang w:val="en-US"/>
        </w:rPr>
        <w:t xml:space="preserve"> hoạt động của</w:t>
      </w:r>
      <w:r w:rsidR="00B0454A" w:rsidRPr="00590211">
        <w:rPr>
          <w:rFonts w:asciiTheme="majorHAnsi" w:hAnsiTheme="majorHAnsi"/>
          <w:iCs/>
          <w:color w:val="000000"/>
          <w:szCs w:val="26"/>
        </w:rPr>
        <w:t xml:space="preserve"> hệ thống ngân hàng </w:t>
      </w:r>
      <w:r w:rsidRPr="00590211">
        <w:rPr>
          <w:rFonts w:asciiTheme="majorHAnsi" w:hAnsiTheme="majorHAnsi"/>
          <w:iCs/>
          <w:color w:val="000000"/>
          <w:szCs w:val="26"/>
          <w:lang w:val="en-US"/>
        </w:rPr>
        <w:t>trên lãnh thổ Việt Nam</w:t>
      </w:r>
      <w:r w:rsidR="00B0454A" w:rsidRPr="00590211">
        <w:rPr>
          <w:rFonts w:asciiTheme="majorHAnsi" w:hAnsiTheme="majorHAnsi"/>
          <w:iCs/>
          <w:color w:val="000000"/>
          <w:szCs w:val="26"/>
        </w:rPr>
        <w:t>.</w:t>
      </w:r>
      <w:r w:rsidR="00137BE6" w:rsidRPr="00590211">
        <w:rPr>
          <w:rFonts w:asciiTheme="majorHAnsi" w:hAnsiTheme="majorHAnsi"/>
          <w:iCs/>
          <w:color w:val="000000"/>
          <w:szCs w:val="26"/>
          <w:lang w:val="en-US"/>
        </w:rPr>
        <w:t xml:space="preserve"> </w:t>
      </w:r>
      <w:r w:rsidR="002A3DA2" w:rsidRPr="00590211">
        <w:rPr>
          <w:rFonts w:asciiTheme="majorHAnsi" w:hAnsiTheme="majorHAnsi"/>
          <w:iCs/>
          <w:color w:val="000000"/>
          <w:szCs w:val="26"/>
          <w:lang w:val="en-US"/>
        </w:rPr>
        <w:t>Do vậy,</w:t>
      </w:r>
      <w:r w:rsidR="00137BE6" w:rsidRPr="00590211">
        <w:rPr>
          <w:rFonts w:asciiTheme="majorHAnsi" w:hAnsiTheme="majorHAnsi"/>
          <w:iCs/>
          <w:color w:val="000000"/>
          <w:szCs w:val="26"/>
          <w:lang w:val="en-US"/>
        </w:rPr>
        <w:t xml:space="preserve"> đối với công tác </w:t>
      </w:r>
      <w:r w:rsidR="00B0454A" w:rsidRPr="00590211">
        <w:rPr>
          <w:rFonts w:asciiTheme="majorHAnsi" w:hAnsiTheme="majorHAnsi"/>
          <w:iCs/>
          <w:color w:val="000000"/>
          <w:szCs w:val="26"/>
        </w:rPr>
        <w:t>thanh tra, giám sát các ngân hàng hoạt động trong TTTC</w:t>
      </w:r>
      <w:r w:rsidR="00137BE6" w:rsidRPr="00590211">
        <w:rPr>
          <w:rFonts w:asciiTheme="majorHAnsi" w:hAnsiTheme="majorHAnsi"/>
          <w:iCs/>
          <w:color w:val="000000"/>
          <w:szCs w:val="26"/>
          <w:lang w:val="en-US"/>
        </w:rPr>
        <w:t>,</w:t>
      </w:r>
      <w:r w:rsidR="00B0454A" w:rsidRPr="00590211">
        <w:rPr>
          <w:rFonts w:asciiTheme="majorHAnsi" w:hAnsiTheme="majorHAnsi"/>
          <w:iCs/>
          <w:color w:val="000000"/>
          <w:szCs w:val="26"/>
        </w:rPr>
        <w:t xml:space="preserve"> các quy định pháp lý cần </w:t>
      </w:r>
      <w:r w:rsidR="00137BE6" w:rsidRPr="00590211">
        <w:rPr>
          <w:rFonts w:asciiTheme="majorHAnsi" w:hAnsiTheme="majorHAnsi"/>
          <w:iCs/>
          <w:color w:val="000000"/>
          <w:szCs w:val="26"/>
          <w:lang w:val="en-US"/>
        </w:rPr>
        <w:t>được xây dựng</w:t>
      </w:r>
      <w:r w:rsidR="00B0454A" w:rsidRPr="00590211">
        <w:rPr>
          <w:rFonts w:asciiTheme="majorHAnsi" w:hAnsiTheme="majorHAnsi"/>
          <w:iCs/>
          <w:color w:val="000000"/>
          <w:szCs w:val="26"/>
        </w:rPr>
        <w:t xml:space="preserve"> linh hoạt để theo kịp các mô hình hoạt động mới trong TTTC.</w:t>
      </w:r>
      <w:r w:rsidRPr="00590211">
        <w:rPr>
          <w:rFonts w:asciiTheme="majorHAnsi" w:hAnsiTheme="majorHAnsi"/>
          <w:iCs/>
          <w:color w:val="000000"/>
          <w:szCs w:val="26"/>
          <w:lang w:val="en-US"/>
        </w:rPr>
        <w:t xml:space="preserve"> Ngoài ra, </w:t>
      </w:r>
      <w:r w:rsidR="00B0454A" w:rsidRPr="00590211">
        <w:rPr>
          <w:rFonts w:asciiTheme="majorHAnsi" w:hAnsiTheme="majorHAnsi"/>
          <w:iCs/>
          <w:color w:val="000000"/>
          <w:szCs w:val="26"/>
        </w:rPr>
        <w:t>công tác thanh tra, giám sát</w:t>
      </w:r>
      <w:r w:rsidR="00571CF2" w:rsidRPr="00590211">
        <w:rPr>
          <w:rFonts w:asciiTheme="majorHAnsi" w:hAnsiTheme="majorHAnsi"/>
          <w:iCs/>
          <w:color w:val="000000"/>
          <w:szCs w:val="26"/>
          <w:lang w:val="en-US"/>
        </w:rPr>
        <w:t xml:space="preserve"> hoạt động ngân hàng</w:t>
      </w:r>
      <w:r w:rsidR="00B0454A" w:rsidRPr="00590211">
        <w:rPr>
          <w:rFonts w:asciiTheme="majorHAnsi" w:hAnsiTheme="majorHAnsi"/>
          <w:iCs/>
          <w:color w:val="000000"/>
          <w:szCs w:val="26"/>
        </w:rPr>
        <w:t xml:space="preserve"> có thể gặp </w:t>
      </w:r>
      <w:r w:rsidR="00571CF2" w:rsidRPr="00590211">
        <w:rPr>
          <w:rFonts w:asciiTheme="majorHAnsi" w:hAnsiTheme="majorHAnsi"/>
          <w:iCs/>
          <w:color w:val="000000"/>
          <w:szCs w:val="26"/>
          <w:lang w:val="en-US"/>
        </w:rPr>
        <w:t>một số thách thức</w:t>
      </w:r>
      <w:r w:rsidR="00B0454A" w:rsidRPr="00590211">
        <w:rPr>
          <w:rFonts w:asciiTheme="majorHAnsi" w:hAnsiTheme="majorHAnsi"/>
          <w:iCs/>
          <w:color w:val="000000"/>
          <w:szCs w:val="26"/>
        </w:rPr>
        <w:t xml:space="preserve"> trong việc tiếp cận thông tin đặc biệt là các thông tin về dòng vốn xuyên biên giới hoặc các giao dịch phức tạ</w:t>
      </w:r>
      <w:r w:rsidR="00137BE6" w:rsidRPr="00590211">
        <w:rPr>
          <w:rFonts w:asciiTheme="majorHAnsi" w:hAnsiTheme="majorHAnsi"/>
          <w:iCs/>
          <w:color w:val="000000"/>
          <w:szCs w:val="26"/>
        </w:rPr>
        <w:t>p,</w:t>
      </w:r>
      <w:r w:rsidR="00137BE6" w:rsidRPr="00590211">
        <w:rPr>
          <w:rFonts w:asciiTheme="majorHAnsi" w:hAnsiTheme="majorHAnsi"/>
          <w:iCs/>
          <w:color w:val="000000"/>
          <w:szCs w:val="26"/>
          <w:lang w:val="en-US"/>
        </w:rPr>
        <w:t xml:space="preserve"> </w:t>
      </w:r>
      <w:r w:rsidR="00B0454A" w:rsidRPr="00590211">
        <w:rPr>
          <w:rFonts w:asciiTheme="majorHAnsi" w:hAnsiTheme="majorHAnsi"/>
          <w:iCs/>
          <w:color w:val="000000"/>
          <w:szCs w:val="26"/>
        </w:rPr>
        <w:t xml:space="preserve">đòi hỏi cần có sự phối hợp chặt chẽ giữa các cơ quan làm công tác thanh tra, giám sát trong TTTC </w:t>
      </w:r>
      <w:r w:rsidR="00571CF2" w:rsidRPr="00590211">
        <w:rPr>
          <w:rFonts w:asciiTheme="majorHAnsi" w:hAnsiTheme="majorHAnsi"/>
          <w:iCs/>
          <w:color w:val="000000"/>
          <w:szCs w:val="26"/>
          <w:lang w:val="en-US"/>
        </w:rPr>
        <w:t>cũng như cần có</w:t>
      </w:r>
      <w:r w:rsidR="00B0454A" w:rsidRPr="00590211">
        <w:rPr>
          <w:rFonts w:asciiTheme="majorHAnsi" w:hAnsiTheme="majorHAnsi"/>
          <w:iCs/>
          <w:color w:val="000000"/>
          <w:szCs w:val="26"/>
        </w:rPr>
        <w:t xml:space="preserve"> sự phối hợp, chia sẻ thông tin dữ liệu với các </w:t>
      </w:r>
      <w:r w:rsidRPr="00590211">
        <w:rPr>
          <w:rFonts w:asciiTheme="majorHAnsi" w:hAnsiTheme="majorHAnsi"/>
          <w:iCs/>
          <w:color w:val="000000"/>
          <w:szCs w:val="26"/>
          <w:lang w:val="en-US"/>
        </w:rPr>
        <w:t>c</w:t>
      </w:r>
      <w:r w:rsidR="00B0454A" w:rsidRPr="00590211">
        <w:rPr>
          <w:rFonts w:asciiTheme="majorHAnsi" w:hAnsiTheme="majorHAnsi"/>
          <w:iCs/>
          <w:color w:val="000000"/>
          <w:szCs w:val="26"/>
          <w:lang w:val="en-US"/>
        </w:rPr>
        <w:t>ơ quan quản lý nhà nước trong và ngoài nước</w:t>
      </w:r>
      <w:r w:rsidR="00B0454A" w:rsidRPr="00590211">
        <w:rPr>
          <w:rFonts w:asciiTheme="majorHAnsi" w:hAnsiTheme="majorHAnsi"/>
          <w:iCs/>
          <w:color w:val="000000"/>
          <w:szCs w:val="26"/>
        </w:rPr>
        <w:t xml:space="preserve"> có liên quan.</w:t>
      </w:r>
    </w:p>
    <w:p w14:paraId="65375F73" w14:textId="3DC87903" w:rsidR="00B0454A" w:rsidRPr="00590211" w:rsidRDefault="00F75CD7" w:rsidP="00AE142F">
      <w:pPr>
        <w:tabs>
          <w:tab w:val="left" w:pos="993"/>
        </w:tabs>
        <w:spacing w:before="40" w:after="40"/>
        <w:ind w:firstLine="567"/>
        <w:jc w:val="both"/>
        <w:rPr>
          <w:rFonts w:asciiTheme="majorHAnsi" w:hAnsiTheme="majorHAnsi"/>
          <w:iCs/>
          <w:color w:val="000000"/>
          <w:szCs w:val="26"/>
        </w:rPr>
      </w:pPr>
      <w:r w:rsidRPr="00590211">
        <w:rPr>
          <w:rFonts w:asciiTheme="majorHAnsi" w:hAnsiTheme="majorHAnsi"/>
          <w:i/>
          <w:iCs/>
          <w:color w:val="000000"/>
          <w:szCs w:val="26"/>
          <w:lang w:val="en-US"/>
        </w:rPr>
        <w:t>- Về v</w:t>
      </w:r>
      <w:r w:rsidR="00B0454A" w:rsidRPr="00590211">
        <w:rPr>
          <w:rFonts w:asciiTheme="majorHAnsi" w:hAnsiTheme="majorHAnsi"/>
          <w:i/>
          <w:iCs/>
          <w:color w:val="000000"/>
          <w:szCs w:val="26"/>
        </w:rPr>
        <w:t>ấn đề về phòng chống rửa tiền</w:t>
      </w:r>
      <w:r w:rsidRPr="00590211">
        <w:rPr>
          <w:rFonts w:asciiTheme="majorHAnsi" w:hAnsiTheme="majorHAnsi"/>
          <w:iCs/>
          <w:color w:val="000000"/>
          <w:szCs w:val="26"/>
          <w:lang w:val="en-US"/>
        </w:rPr>
        <w:t xml:space="preserve">: </w:t>
      </w:r>
      <w:r w:rsidR="00F34FCA" w:rsidRPr="00590211">
        <w:rPr>
          <w:rFonts w:asciiTheme="majorHAnsi" w:hAnsiTheme="majorHAnsi"/>
          <w:iCs/>
          <w:color w:val="000000"/>
          <w:szCs w:val="26"/>
          <w:lang w:val="en-US"/>
        </w:rPr>
        <w:t>Theo quy</w:t>
      </w:r>
      <w:r w:rsidR="00590211" w:rsidRPr="00590211">
        <w:rPr>
          <w:rFonts w:asciiTheme="majorHAnsi" w:hAnsiTheme="majorHAnsi"/>
          <w:iCs/>
          <w:color w:val="000000"/>
          <w:szCs w:val="26"/>
          <w:lang w:val="en-US"/>
        </w:rPr>
        <w:t xml:space="preserve"> của Luật Phòng, chống rửa tiền, v</w:t>
      </w:r>
      <w:r w:rsidR="00F34FCA" w:rsidRPr="00590211">
        <w:rPr>
          <w:rFonts w:asciiTheme="majorHAnsi" w:hAnsiTheme="majorHAnsi"/>
          <w:iCs/>
          <w:color w:val="000000"/>
          <w:szCs w:val="26"/>
          <w:lang w:val="en-US"/>
        </w:rPr>
        <w:t>iệc phòng, chống rửa tiền phải thực hiện theo quy định của pháp luật trên cơ sở bảo đảm chủ quyền và toàn vẹn lãnh thổ, an ninh quốc gia, lợi ích quốc gia; bảo đảm hoạt động bình thường về kinh tế, đầ</w:t>
      </w:r>
      <w:r w:rsidR="00590211" w:rsidRPr="00590211">
        <w:rPr>
          <w:rFonts w:asciiTheme="majorHAnsi" w:hAnsiTheme="majorHAnsi"/>
          <w:iCs/>
          <w:color w:val="000000"/>
          <w:szCs w:val="26"/>
          <w:lang w:val="en-US"/>
        </w:rPr>
        <w:t>u tư</w:t>
      </w:r>
      <w:r w:rsidR="00F34FCA" w:rsidRPr="00590211">
        <w:rPr>
          <w:rFonts w:asciiTheme="majorHAnsi" w:hAnsiTheme="majorHAnsi"/>
          <w:iCs/>
          <w:color w:val="000000"/>
          <w:szCs w:val="26"/>
          <w:lang w:val="en-US"/>
        </w:rPr>
        <w:t>; bảo vệ quyền và lợi ích hợp pháp của tổ chức, cá nhân; chống lạm quyền, lợi dụng việc phòng, chống rửa tiền để xâm phạm quyền và lợi ích hợp pháp của tổ chức, cá nhân có liên quan.</w:t>
      </w:r>
      <w:r w:rsidR="00590211" w:rsidRPr="00590211">
        <w:rPr>
          <w:rFonts w:asciiTheme="majorHAnsi" w:hAnsiTheme="majorHAnsi"/>
          <w:iCs/>
          <w:color w:val="000000"/>
          <w:szCs w:val="26"/>
          <w:lang w:val="en-US"/>
        </w:rPr>
        <w:t xml:space="preserve"> Theo đó, v</w:t>
      </w:r>
      <w:r w:rsidR="00B0454A" w:rsidRPr="00590211">
        <w:rPr>
          <w:rFonts w:asciiTheme="majorHAnsi" w:hAnsiTheme="majorHAnsi"/>
          <w:iCs/>
          <w:color w:val="000000"/>
          <w:szCs w:val="26"/>
        </w:rPr>
        <w:t>ới mức độ mở cửa cao</w:t>
      </w:r>
      <w:r w:rsidR="00137BE6" w:rsidRPr="00590211">
        <w:rPr>
          <w:rFonts w:asciiTheme="majorHAnsi" w:hAnsiTheme="majorHAnsi"/>
          <w:iCs/>
          <w:color w:val="000000"/>
          <w:szCs w:val="26"/>
          <w:lang w:val="en-US"/>
        </w:rPr>
        <w:t xml:space="preserve"> hơn</w:t>
      </w:r>
      <w:r w:rsidR="00B0454A" w:rsidRPr="00590211">
        <w:rPr>
          <w:rFonts w:asciiTheme="majorHAnsi" w:hAnsiTheme="majorHAnsi"/>
          <w:iCs/>
          <w:color w:val="000000"/>
          <w:szCs w:val="26"/>
        </w:rPr>
        <w:t xml:space="preserve"> trong </w:t>
      </w:r>
      <w:r w:rsidR="00B0454A" w:rsidRPr="00590211">
        <w:rPr>
          <w:rFonts w:asciiTheme="majorHAnsi" w:hAnsiTheme="majorHAnsi"/>
          <w:iCs/>
          <w:color w:val="000000"/>
          <w:szCs w:val="26"/>
          <w:lang w:val="en-US"/>
        </w:rPr>
        <w:t>TTTC</w:t>
      </w:r>
      <w:r w:rsidR="00B0454A" w:rsidRPr="00590211">
        <w:rPr>
          <w:rFonts w:asciiTheme="majorHAnsi" w:hAnsiTheme="majorHAnsi"/>
          <w:iCs/>
          <w:color w:val="000000"/>
          <w:szCs w:val="26"/>
        </w:rPr>
        <w:t xml:space="preserve"> về dòng vốn, giao dịch xuyên biên giới cùng với sự hiện diện của nhiều tổ chức tài chính quốc tế </w:t>
      </w:r>
      <w:r w:rsidR="00137BE6" w:rsidRPr="00590211">
        <w:rPr>
          <w:rFonts w:asciiTheme="majorHAnsi" w:hAnsiTheme="majorHAnsi"/>
          <w:iCs/>
          <w:color w:val="000000"/>
          <w:szCs w:val="26"/>
          <w:lang w:val="en-US"/>
        </w:rPr>
        <w:t xml:space="preserve">lớn </w:t>
      </w:r>
      <w:r w:rsidR="00B0454A" w:rsidRPr="00590211">
        <w:rPr>
          <w:rFonts w:asciiTheme="majorHAnsi" w:hAnsiTheme="majorHAnsi"/>
          <w:iCs/>
          <w:color w:val="000000"/>
          <w:szCs w:val="26"/>
        </w:rPr>
        <w:t xml:space="preserve">trong các lĩnh vực không chỉ riêng ngân hàng, cần phải có cơ chế chính sách chặt </w:t>
      </w:r>
      <w:r w:rsidR="00B0454A" w:rsidRPr="00590211">
        <w:rPr>
          <w:rFonts w:asciiTheme="majorHAnsi" w:hAnsiTheme="majorHAnsi"/>
          <w:iCs/>
          <w:color w:val="000000"/>
          <w:szCs w:val="26"/>
        </w:rPr>
        <w:lastRenderedPageBreak/>
        <w:t xml:space="preserve">chẽ để các đối tượng không “lợi dụng” TTTC và các chính sách đặc thù vượt trội để “hợp pháp hóa” nguồn tiền.  </w:t>
      </w:r>
    </w:p>
    <w:p w14:paraId="18559878" w14:textId="0E373782" w:rsidR="00B0454A" w:rsidRPr="00590211" w:rsidRDefault="00B0454A" w:rsidP="00AE142F">
      <w:pPr>
        <w:tabs>
          <w:tab w:val="left" w:pos="993"/>
        </w:tabs>
        <w:spacing w:before="40" w:after="40"/>
        <w:ind w:firstLine="567"/>
        <w:jc w:val="both"/>
        <w:rPr>
          <w:rFonts w:asciiTheme="majorHAnsi" w:hAnsiTheme="majorHAnsi"/>
          <w:iCs/>
          <w:color w:val="000000"/>
          <w:szCs w:val="26"/>
        </w:rPr>
      </w:pPr>
      <w:r w:rsidRPr="00590211">
        <w:rPr>
          <w:rFonts w:asciiTheme="majorHAnsi" w:hAnsiTheme="majorHAnsi"/>
          <w:iCs/>
          <w:color w:val="000000"/>
          <w:szCs w:val="26"/>
        </w:rPr>
        <w:t xml:space="preserve">Từ những </w:t>
      </w:r>
      <w:r w:rsidR="003211DA" w:rsidRPr="00590211">
        <w:rPr>
          <w:rFonts w:asciiTheme="majorHAnsi" w:hAnsiTheme="majorHAnsi"/>
          <w:iCs/>
          <w:color w:val="000000"/>
          <w:szCs w:val="26"/>
          <w:lang w:val="en-US"/>
        </w:rPr>
        <w:t>lý do</w:t>
      </w:r>
      <w:r w:rsidRPr="00590211">
        <w:rPr>
          <w:rFonts w:asciiTheme="majorHAnsi" w:hAnsiTheme="majorHAnsi"/>
          <w:iCs/>
          <w:color w:val="000000"/>
          <w:szCs w:val="26"/>
        </w:rPr>
        <w:t xml:space="preserve"> nêu trên, để nhà đầu tư, </w:t>
      </w:r>
      <w:r w:rsidRPr="00590211">
        <w:rPr>
          <w:rFonts w:asciiTheme="majorHAnsi" w:hAnsiTheme="majorHAnsi"/>
          <w:iCs/>
          <w:color w:val="000000"/>
          <w:szCs w:val="26"/>
          <w:lang w:val="en-US"/>
        </w:rPr>
        <w:t>NHTM</w:t>
      </w:r>
      <w:r w:rsidRPr="00590211">
        <w:rPr>
          <w:rFonts w:asciiTheme="majorHAnsi" w:hAnsiTheme="majorHAnsi"/>
          <w:iCs/>
          <w:color w:val="000000"/>
          <w:szCs w:val="26"/>
        </w:rPr>
        <w:t>, chi nhánh NHNNg</w:t>
      </w:r>
      <w:r w:rsidR="003211DA" w:rsidRPr="00590211">
        <w:rPr>
          <w:rFonts w:asciiTheme="majorHAnsi" w:hAnsiTheme="majorHAnsi"/>
          <w:iCs/>
          <w:color w:val="000000"/>
          <w:szCs w:val="26"/>
        </w:rPr>
        <w:t>, các c</w:t>
      </w:r>
      <w:r w:rsidRPr="00590211">
        <w:rPr>
          <w:rFonts w:asciiTheme="majorHAnsi" w:hAnsiTheme="majorHAnsi"/>
          <w:iCs/>
          <w:color w:val="000000"/>
          <w:szCs w:val="26"/>
        </w:rPr>
        <w:t xml:space="preserve">ơ quan quản lý có cơ sở thực hiện </w:t>
      </w:r>
      <w:r w:rsidR="008D7BC6" w:rsidRPr="00590211">
        <w:rPr>
          <w:rFonts w:asciiTheme="majorHAnsi" w:hAnsiTheme="majorHAnsi"/>
          <w:iCs/>
          <w:color w:val="000000"/>
          <w:szCs w:val="26"/>
          <w:lang w:val="en-US"/>
        </w:rPr>
        <w:t xml:space="preserve">sau khi TTTC được hình thành, </w:t>
      </w:r>
      <w:r w:rsidR="008D7BC6" w:rsidRPr="00590211">
        <w:rPr>
          <w:rFonts w:asciiTheme="majorHAnsi" w:hAnsiTheme="majorHAnsi"/>
          <w:iCs/>
          <w:color w:val="000000"/>
          <w:szCs w:val="26"/>
        </w:rPr>
        <w:t xml:space="preserve">việc xây dựng Nghị định </w:t>
      </w:r>
      <w:r w:rsidR="008D7BC6" w:rsidRPr="00590211">
        <w:rPr>
          <w:rFonts w:asciiTheme="majorHAnsi" w:hAnsiTheme="majorHAnsi"/>
          <w:iCs/>
          <w:color w:val="000000"/>
          <w:szCs w:val="26"/>
          <w:lang w:val="en-US"/>
        </w:rPr>
        <w:t xml:space="preserve">này </w:t>
      </w:r>
      <w:r w:rsidRPr="00590211">
        <w:rPr>
          <w:rFonts w:asciiTheme="majorHAnsi" w:hAnsiTheme="majorHAnsi"/>
          <w:iCs/>
          <w:color w:val="000000"/>
          <w:szCs w:val="26"/>
        </w:rPr>
        <w:t xml:space="preserve">là </w:t>
      </w:r>
      <w:r w:rsidR="00571CF2" w:rsidRPr="00590211">
        <w:rPr>
          <w:rFonts w:asciiTheme="majorHAnsi" w:hAnsiTheme="majorHAnsi"/>
          <w:iCs/>
          <w:color w:val="000000"/>
          <w:szCs w:val="26"/>
          <w:lang w:val="en-US"/>
        </w:rPr>
        <w:t>hết sức</w:t>
      </w:r>
      <w:r w:rsidRPr="00590211">
        <w:rPr>
          <w:rFonts w:asciiTheme="majorHAnsi" w:hAnsiTheme="majorHAnsi"/>
          <w:iCs/>
          <w:color w:val="000000"/>
          <w:szCs w:val="26"/>
        </w:rPr>
        <w:t xml:space="preserve"> cần thiết.</w:t>
      </w:r>
    </w:p>
    <w:p w14:paraId="08DB4247" w14:textId="3430F53F" w:rsidR="00484A2D" w:rsidRPr="00590211" w:rsidRDefault="00484A2D" w:rsidP="00AE142F">
      <w:pPr>
        <w:spacing w:before="40" w:after="40"/>
        <w:ind w:firstLine="567"/>
        <w:jc w:val="both"/>
        <w:rPr>
          <w:rFonts w:asciiTheme="majorHAnsi" w:hAnsiTheme="majorHAnsi"/>
          <w:b/>
          <w:szCs w:val="26"/>
          <w:lang w:val="en-US"/>
        </w:rPr>
      </w:pPr>
      <w:r w:rsidRPr="00590211">
        <w:rPr>
          <w:rFonts w:asciiTheme="majorHAnsi" w:hAnsiTheme="majorHAnsi"/>
          <w:b/>
          <w:szCs w:val="26"/>
        </w:rPr>
        <w:t xml:space="preserve">II. MỤC ĐÍCH BAN HÀNH, QUAN ĐIỂM XÂY DỰNG </w:t>
      </w:r>
      <w:r w:rsidR="00586731" w:rsidRPr="00590211">
        <w:rPr>
          <w:rFonts w:asciiTheme="majorHAnsi" w:hAnsiTheme="majorHAnsi"/>
          <w:b/>
          <w:szCs w:val="26"/>
          <w:lang w:val="en-US"/>
        </w:rPr>
        <w:t>DTNĐ</w:t>
      </w:r>
    </w:p>
    <w:p w14:paraId="5E8A602E" w14:textId="77777777" w:rsidR="00484A2D" w:rsidRPr="00590211" w:rsidRDefault="00484A2D" w:rsidP="00AE142F">
      <w:pPr>
        <w:tabs>
          <w:tab w:val="left" w:pos="993"/>
        </w:tabs>
        <w:spacing w:before="40" w:after="40"/>
        <w:ind w:firstLine="567"/>
        <w:jc w:val="both"/>
        <w:rPr>
          <w:rFonts w:asciiTheme="majorHAnsi" w:hAnsiTheme="majorHAnsi"/>
          <w:b/>
          <w:szCs w:val="26"/>
        </w:rPr>
      </w:pPr>
      <w:r w:rsidRPr="00590211">
        <w:rPr>
          <w:rFonts w:asciiTheme="majorHAnsi" w:hAnsiTheme="majorHAnsi"/>
          <w:b/>
          <w:szCs w:val="26"/>
        </w:rPr>
        <w:t>1. Mục đích ban hành văn bản</w:t>
      </w:r>
    </w:p>
    <w:p w14:paraId="49882C58" w14:textId="64172FF4" w:rsidR="00800F6C" w:rsidRPr="00590211" w:rsidRDefault="00484A2D" w:rsidP="00AE142F">
      <w:pPr>
        <w:tabs>
          <w:tab w:val="left" w:pos="993"/>
        </w:tabs>
        <w:spacing w:before="40" w:after="40"/>
        <w:ind w:firstLine="567"/>
        <w:jc w:val="both"/>
        <w:rPr>
          <w:rFonts w:asciiTheme="majorHAnsi" w:hAnsiTheme="majorHAnsi"/>
          <w:szCs w:val="26"/>
          <w:lang w:val="en-US"/>
        </w:rPr>
      </w:pPr>
      <w:r w:rsidRPr="00590211">
        <w:rPr>
          <w:rFonts w:asciiTheme="majorHAnsi" w:hAnsiTheme="majorHAnsi"/>
          <w:szCs w:val="26"/>
        </w:rPr>
        <w:t xml:space="preserve">Việc xây dựng và ban hành Nghị định </w:t>
      </w:r>
      <w:r w:rsidR="00800F6C" w:rsidRPr="00590211">
        <w:rPr>
          <w:rFonts w:asciiTheme="majorHAnsi" w:hAnsiTheme="majorHAnsi"/>
          <w:szCs w:val="26"/>
          <w:lang w:val="en-US"/>
        </w:rPr>
        <w:t>với các chính sách đặc thù, vượt trội</w:t>
      </w:r>
      <w:r w:rsidR="00BC7B63" w:rsidRPr="00590211">
        <w:rPr>
          <w:rFonts w:asciiTheme="majorHAnsi" w:hAnsiTheme="majorHAnsi"/>
          <w:szCs w:val="26"/>
          <w:lang w:val="en-US"/>
        </w:rPr>
        <w:t xml:space="preserve"> về ngoại hối, hoạt động ngân hàng</w:t>
      </w:r>
      <w:r w:rsidR="008D7BC6" w:rsidRPr="00590211">
        <w:rPr>
          <w:rFonts w:asciiTheme="majorHAnsi" w:hAnsiTheme="majorHAnsi"/>
          <w:szCs w:val="26"/>
          <w:lang w:val="en-US"/>
        </w:rPr>
        <w:t>, phòng, chống rửa tiền</w:t>
      </w:r>
      <w:r w:rsidR="00800F6C" w:rsidRPr="00590211">
        <w:rPr>
          <w:rFonts w:asciiTheme="majorHAnsi" w:hAnsiTheme="majorHAnsi"/>
          <w:szCs w:val="26"/>
          <w:lang w:val="en-US"/>
        </w:rPr>
        <w:t xml:space="preserve"> nhằm xây dựng TTTC</w:t>
      </w:r>
      <w:r w:rsidR="00BC7B63" w:rsidRPr="00590211">
        <w:rPr>
          <w:rFonts w:asciiTheme="majorHAnsi" w:hAnsiTheme="majorHAnsi"/>
          <w:szCs w:val="26"/>
          <w:lang w:val="en-US"/>
        </w:rPr>
        <w:t xml:space="preserve"> đảm bảo </w:t>
      </w:r>
      <w:r w:rsidR="00800F6C" w:rsidRPr="00590211">
        <w:rPr>
          <w:rFonts w:asciiTheme="majorHAnsi" w:hAnsiTheme="majorHAnsi"/>
          <w:szCs w:val="26"/>
          <w:lang w:val="en-US"/>
        </w:rPr>
        <w:t>thu hút</w:t>
      </w:r>
      <w:r w:rsidR="005F7F23" w:rsidRPr="00590211">
        <w:rPr>
          <w:rFonts w:asciiTheme="majorHAnsi" w:hAnsiTheme="majorHAnsi"/>
          <w:szCs w:val="26"/>
          <w:lang w:val="en-US"/>
        </w:rPr>
        <w:t xml:space="preserve"> tối đa</w:t>
      </w:r>
      <w:r w:rsidR="00800F6C" w:rsidRPr="00590211">
        <w:rPr>
          <w:rFonts w:asciiTheme="majorHAnsi" w:hAnsiTheme="majorHAnsi"/>
          <w:szCs w:val="26"/>
          <w:lang w:val="en-US"/>
        </w:rPr>
        <w:t xml:space="preserve"> nguồn vốn quốc tế</w:t>
      </w:r>
      <w:r w:rsidR="005F7F23" w:rsidRPr="00590211">
        <w:rPr>
          <w:rFonts w:asciiTheme="majorHAnsi" w:hAnsiTheme="majorHAnsi"/>
          <w:szCs w:val="26"/>
          <w:lang w:val="en-US"/>
        </w:rPr>
        <w:t xml:space="preserve">, góp phần phát triển kinh tế đất nước, </w:t>
      </w:r>
      <w:r w:rsidR="00571CF2" w:rsidRPr="00590211">
        <w:rPr>
          <w:rFonts w:asciiTheme="majorHAnsi" w:hAnsiTheme="majorHAnsi"/>
          <w:szCs w:val="26"/>
          <w:lang w:val="en-US"/>
        </w:rPr>
        <w:t>đồng thời hỗ trợ tối đa việc</w:t>
      </w:r>
      <w:r w:rsidR="005F7F23" w:rsidRPr="00590211">
        <w:rPr>
          <w:rFonts w:asciiTheme="majorHAnsi" w:hAnsiTheme="majorHAnsi"/>
          <w:szCs w:val="26"/>
          <w:lang w:val="en-US"/>
        </w:rPr>
        <w:t xml:space="preserve"> đảm bảo an toàn trong hoạt động của các ngân hàng.</w:t>
      </w:r>
    </w:p>
    <w:p w14:paraId="62A59D4A" w14:textId="25569544" w:rsidR="00484A2D" w:rsidRPr="00590211" w:rsidRDefault="00484A2D" w:rsidP="00AE142F">
      <w:pPr>
        <w:tabs>
          <w:tab w:val="left" w:pos="993"/>
        </w:tabs>
        <w:spacing w:before="40" w:after="40"/>
        <w:ind w:firstLine="567"/>
        <w:jc w:val="both"/>
        <w:rPr>
          <w:rFonts w:asciiTheme="majorHAnsi" w:hAnsiTheme="majorHAnsi"/>
          <w:b/>
          <w:szCs w:val="26"/>
          <w:lang w:val="en-US"/>
        </w:rPr>
      </w:pPr>
      <w:r w:rsidRPr="00590211">
        <w:rPr>
          <w:rFonts w:asciiTheme="majorHAnsi" w:hAnsiTheme="majorHAnsi"/>
          <w:b/>
          <w:szCs w:val="26"/>
        </w:rPr>
        <w:t xml:space="preserve">2. Quan điểm xây dựng </w:t>
      </w:r>
      <w:r w:rsidR="008D7BC6" w:rsidRPr="00590211">
        <w:rPr>
          <w:rFonts w:asciiTheme="majorHAnsi" w:hAnsiTheme="majorHAnsi"/>
          <w:b/>
          <w:szCs w:val="26"/>
          <w:lang w:val="en-US"/>
        </w:rPr>
        <w:t>DTNĐ</w:t>
      </w:r>
    </w:p>
    <w:p w14:paraId="50554641" w14:textId="4A3F48E5" w:rsidR="00124FFA" w:rsidRPr="00590211" w:rsidRDefault="00376582" w:rsidP="00AE142F">
      <w:pPr>
        <w:tabs>
          <w:tab w:val="left" w:pos="993"/>
        </w:tabs>
        <w:spacing w:before="40" w:after="40"/>
        <w:ind w:firstLine="567"/>
        <w:jc w:val="both"/>
        <w:rPr>
          <w:rFonts w:asciiTheme="majorHAnsi" w:hAnsiTheme="majorHAnsi"/>
          <w:szCs w:val="26"/>
          <w:lang w:val="en-US"/>
        </w:rPr>
      </w:pPr>
      <w:r w:rsidRPr="00590211">
        <w:rPr>
          <w:rFonts w:asciiTheme="majorHAnsi" w:hAnsiTheme="majorHAnsi"/>
          <w:szCs w:val="26"/>
          <w:lang w:val="en-US"/>
        </w:rPr>
        <w:t xml:space="preserve">- </w:t>
      </w:r>
      <w:r w:rsidR="00124FFA" w:rsidRPr="00590211">
        <w:rPr>
          <w:rFonts w:asciiTheme="majorHAnsi" w:hAnsiTheme="majorHAnsi"/>
          <w:szCs w:val="26"/>
          <w:lang w:val="en-US"/>
        </w:rPr>
        <w:t>DTNĐ x</w:t>
      </w:r>
      <w:r w:rsidRPr="00590211">
        <w:rPr>
          <w:rFonts w:asciiTheme="majorHAnsi" w:hAnsiTheme="majorHAnsi"/>
          <w:szCs w:val="26"/>
          <w:lang w:val="en-US"/>
        </w:rPr>
        <w:t>ây dựng</w:t>
      </w:r>
      <w:r w:rsidR="00571CF2" w:rsidRPr="00590211">
        <w:rPr>
          <w:rFonts w:asciiTheme="majorHAnsi" w:hAnsiTheme="majorHAnsi"/>
          <w:szCs w:val="26"/>
          <w:lang w:val="en-US"/>
        </w:rPr>
        <w:t xml:space="preserve"> cần hình</w:t>
      </w:r>
      <w:r w:rsidRPr="00590211">
        <w:rPr>
          <w:rFonts w:asciiTheme="majorHAnsi" w:hAnsiTheme="majorHAnsi"/>
          <w:szCs w:val="26"/>
          <w:lang w:val="en-US"/>
        </w:rPr>
        <w:t xml:space="preserve"> </w:t>
      </w:r>
      <w:r w:rsidR="00124FFA" w:rsidRPr="00590211">
        <w:rPr>
          <w:rFonts w:asciiTheme="majorHAnsi" w:hAnsiTheme="majorHAnsi"/>
          <w:szCs w:val="26"/>
          <w:lang w:val="en-US"/>
        </w:rPr>
        <w:t xml:space="preserve">thành </w:t>
      </w:r>
      <w:r w:rsidRPr="00590211">
        <w:rPr>
          <w:rFonts w:asciiTheme="majorHAnsi" w:hAnsiTheme="majorHAnsi"/>
          <w:szCs w:val="26"/>
          <w:lang w:val="en-US"/>
        </w:rPr>
        <w:t>một khung pháp lý đầy đủ về cấp phép thành lập và hoạt động ngân hàng, quản lý ngoại hối, phòng chống rửa tiền, chống tài trợ khủng b</w:t>
      </w:r>
      <w:r w:rsidR="008D7BC6" w:rsidRPr="00590211">
        <w:rPr>
          <w:rFonts w:asciiTheme="majorHAnsi" w:hAnsiTheme="majorHAnsi"/>
          <w:szCs w:val="26"/>
          <w:lang w:val="en-US"/>
        </w:rPr>
        <w:t>ố</w:t>
      </w:r>
      <w:r w:rsidRPr="00590211">
        <w:rPr>
          <w:rFonts w:asciiTheme="majorHAnsi" w:hAnsiTheme="majorHAnsi"/>
          <w:szCs w:val="26"/>
          <w:lang w:val="en-US"/>
        </w:rPr>
        <w:t>, chống tài trợ phổ biến vũ khí hủy diệt hàng loạt tại TTTC</w:t>
      </w:r>
      <w:r w:rsidR="00274DCE" w:rsidRPr="00590211">
        <w:rPr>
          <w:rFonts w:asciiTheme="majorHAnsi" w:hAnsiTheme="majorHAnsi"/>
          <w:szCs w:val="26"/>
          <w:lang w:val="en-US"/>
        </w:rPr>
        <w:t xml:space="preserve"> trên cơ sở tham khảo quy định tại Luậ</w:t>
      </w:r>
      <w:r w:rsidR="008D7BC6" w:rsidRPr="00590211">
        <w:rPr>
          <w:rFonts w:asciiTheme="majorHAnsi" w:hAnsiTheme="majorHAnsi"/>
          <w:szCs w:val="26"/>
          <w:lang w:val="en-US"/>
        </w:rPr>
        <w:t>t Các TCTD và các văn bản quy phạm pháp luật về quản lý ngoại hối và phòng, chống rửa tiền.</w:t>
      </w:r>
    </w:p>
    <w:p w14:paraId="0F199DC2" w14:textId="00A65710" w:rsidR="00533607" w:rsidRPr="00590211" w:rsidRDefault="008D7BC6" w:rsidP="00533607">
      <w:pPr>
        <w:tabs>
          <w:tab w:val="left" w:pos="993"/>
        </w:tabs>
        <w:spacing w:before="40" w:after="40"/>
        <w:ind w:firstLine="567"/>
        <w:jc w:val="both"/>
        <w:rPr>
          <w:rFonts w:asciiTheme="majorHAnsi" w:hAnsiTheme="majorHAnsi"/>
          <w:bCs/>
          <w:iCs/>
          <w:szCs w:val="26"/>
          <w:lang w:val="en-US"/>
        </w:rPr>
      </w:pPr>
      <w:r w:rsidRPr="00590211">
        <w:rPr>
          <w:rFonts w:asciiTheme="majorHAnsi" w:hAnsiTheme="majorHAnsi"/>
          <w:szCs w:val="26"/>
          <w:lang w:val="en-US"/>
        </w:rPr>
        <w:t xml:space="preserve">- </w:t>
      </w:r>
      <w:r w:rsidR="00533607" w:rsidRPr="00590211">
        <w:rPr>
          <w:rFonts w:asciiTheme="majorHAnsi" w:hAnsiTheme="majorHAnsi"/>
          <w:iCs/>
          <w:szCs w:val="26"/>
          <w:lang w:val="en-US"/>
        </w:rPr>
        <w:t>Để tránh dòng vốn từ phần còn lại của Việt Nam chảy vào TTTC và sau đó chuyển ra đầu tư tại nước ngoài, đi ngược với chủ trương thu hút vốn vào Việt Nam, cần quy định không cho phép thành viên TTTC huy động vốn từ các tổ chức, cá nhân không phải là thành viên TTTC trên lãnh thổ Việt Nam</w:t>
      </w:r>
      <w:r w:rsidR="00533607" w:rsidRPr="00590211">
        <w:rPr>
          <w:rFonts w:asciiTheme="majorHAnsi" w:hAnsiTheme="majorHAnsi"/>
          <w:iCs/>
          <w:szCs w:val="26"/>
          <w:vertAlign w:val="superscript"/>
          <w:lang w:val="en-US"/>
        </w:rPr>
        <w:footnoteReference w:id="1"/>
      </w:r>
      <w:r w:rsidR="00533607" w:rsidRPr="00590211">
        <w:rPr>
          <w:rFonts w:asciiTheme="majorHAnsi" w:hAnsiTheme="majorHAnsi"/>
          <w:iCs/>
          <w:szCs w:val="26"/>
          <w:lang w:val="en-US"/>
        </w:rPr>
        <w:t>. Vì vậy, cần</w:t>
      </w:r>
      <w:r w:rsidR="00571CF2" w:rsidRPr="00590211">
        <w:rPr>
          <w:rFonts w:asciiTheme="majorHAnsi" w:hAnsiTheme="majorHAnsi"/>
          <w:iCs/>
          <w:szCs w:val="26"/>
          <w:lang w:val="en-US"/>
        </w:rPr>
        <w:t xml:space="preserve"> xây dựng</w:t>
      </w:r>
      <w:r w:rsidR="00533607" w:rsidRPr="00590211">
        <w:rPr>
          <w:rFonts w:asciiTheme="majorHAnsi" w:hAnsiTheme="majorHAnsi"/>
          <w:iCs/>
          <w:szCs w:val="26"/>
          <w:lang w:val="en-US"/>
        </w:rPr>
        <w:t xml:space="preserve"> quy định cho phép NHNN không thực hiện can thiệp sớm, áp dụng kiểm soát đặc biệt, các biện pháp tái cơ cấu, cho vay đặc biệt… và không thưc hiện các nghiệp vụ ngân hàng Trung ương</w:t>
      </w:r>
      <w:r w:rsidR="00571CF2" w:rsidRPr="00590211">
        <w:rPr>
          <w:rFonts w:asciiTheme="majorHAnsi" w:hAnsiTheme="majorHAnsi"/>
          <w:iCs/>
          <w:szCs w:val="26"/>
          <w:lang w:val="en-US"/>
        </w:rPr>
        <w:t xml:space="preserve"> (</w:t>
      </w:r>
      <w:r w:rsidR="00533607" w:rsidRPr="00590211">
        <w:rPr>
          <w:rFonts w:asciiTheme="majorHAnsi" w:hAnsiTheme="majorHAnsi"/>
          <w:iCs/>
          <w:szCs w:val="26"/>
          <w:lang w:val="en-US"/>
        </w:rPr>
        <w:t>như quy định tại Luật Các TCTD</w:t>
      </w:r>
      <w:r w:rsidR="00571CF2" w:rsidRPr="00590211">
        <w:rPr>
          <w:rFonts w:asciiTheme="majorHAnsi" w:hAnsiTheme="majorHAnsi"/>
          <w:iCs/>
          <w:szCs w:val="26"/>
          <w:lang w:val="en-US"/>
        </w:rPr>
        <w:t xml:space="preserve"> đối với hệ thống ngân hàng trong nước)</w:t>
      </w:r>
      <w:r w:rsidR="00533607" w:rsidRPr="00590211">
        <w:rPr>
          <w:rFonts w:asciiTheme="majorHAnsi" w:hAnsiTheme="majorHAnsi"/>
          <w:iCs/>
          <w:szCs w:val="26"/>
          <w:vertAlign w:val="superscript"/>
          <w:lang w:val="en-US"/>
        </w:rPr>
        <w:footnoteReference w:id="2"/>
      </w:r>
      <w:r w:rsidR="00533607" w:rsidRPr="00590211">
        <w:rPr>
          <w:rFonts w:asciiTheme="majorHAnsi" w:hAnsiTheme="majorHAnsi"/>
          <w:iCs/>
          <w:szCs w:val="26"/>
          <w:lang w:val="en-US"/>
        </w:rPr>
        <w:t xml:space="preserve">. </w:t>
      </w:r>
      <w:r w:rsidR="00571CF2" w:rsidRPr="00590211">
        <w:rPr>
          <w:rFonts w:asciiTheme="majorHAnsi" w:hAnsiTheme="majorHAnsi"/>
          <w:bCs/>
          <w:iCs/>
          <w:szCs w:val="26"/>
          <w:lang w:val="en-US"/>
        </w:rPr>
        <w:t>Đồng thời</w:t>
      </w:r>
      <w:r w:rsidR="00533607" w:rsidRPr="00590211">
        <w:rPr>
          <w:rFonts w:asciiTheme="majorHAnsi" w:hAnsiTheme="majorHAnsi"/>
          <w:bCs/>
          <w:iCs/>
          <w:szCs w:val="26"/>
          <w:lang w:val="en-US"/>
        </w:rPr>
        <w:t xml:space="preserve"> quy định NHTM, chi nhánh NHNNg là thành viên không tham gia bảo hiểm tiền gửi Việt Nam </w:t>
      </w:r>
      <w:r w:rsidR="00571CF2" w:rsidRPr="00590211">
        <w:rPr>
          <w:rFonts w:asciiTheme="majorHAnsi" w:hAnsiTheme="majorHAnsi"/>
          <w:bCs/>
          <w:iCs/>
          <w:szCs w:val="26"/>
          <w:lang w:val="en-US"/>
        </w:rPr>
        <w:t>(</w:t>
      </w:r>
      <w:r w:rsidR="00533607" w:rsidRPr="00590211">
        <w:rPr>
          <w:rFonts w:asciiTheme="majorHAnsi" w:hAnsiTheme="majorHAnsi"/>
          <w:bCs/>
          <w:iCs/>
          <w:szCs w:val="26"/>
          <w:lang w:val="en-US"/>
        </w:rPr>
        <w:t>do NHTM, chi nhánh NHNNg là thành viên không nhận tiền gửi của cá nhân trên lãnh thổ Việt Nam</w:t>
      </w:r>
      <w:r w:rsidR="00571CF2" w:rsidRPr="00590211">
        <w:rPr>
          <w:rFonts w:asciiTheme="majorHAnsi" w:hAnsiTheme="majorHAnsi"/>
          <w:bCs/>
          <w:iCs/>
          <w:szCs w:val="26"/>
          <w:lang w:val="en-US"/>
        </w:rPr>
        <w:t>)</w:t>
      </w:r>
      <w:r w:rsidR="00533607" w:rsidRPr="00590211">
        <w:rPr>
          <w:rFonts w:asciiTheme="majorHAnsi" w:hAnsiTheme="majorHAnsi"/>
          <w:bCs/>
          <w:iCs/>
          <w:szCs w:val="26"/>
          <w:lang w:val="en-US"/>
        </w:rPr>
        <w:t xml:space="preserve">. </w:t>
      </w:r>
    </w:p>
    <w:p w14:paraId="045C7EB4" w14:textId="411670C7" w:rsidR="00533607" w:rsidRPr="00590211" w:rsidRDefault="00274DCE" w:rsidP="00AE142F">
      <w:pPr>
        <w:tabs>
          <w:tab w:val="left" w:pos="993"/>
        </w:tabs>
        <w:spacing w:before="40" w:after="40"/>
        <w:ind w:firstLine="567"/>
        <w:jc w:val="both"/>
        <w:rPr>
          <w:rFonts w:asciiTheme="majorHAnsi" w:hAnsiTheme="majorHAnsi"/>
          <w:szCs w:val="26"/>
          <w:lang w:val="en-US"/>
        </w:rPr>
      </w:pPr>
      <w:r w:rsidRPr="00590211">
        <w:rPr>
          <w:rFonts w:asciiTheme="majorHAnsi" w:hAnsiTheme="majorHAnsi"/>
          <w:szCs w:val="26"/>
          <w:lang w:val="en-US"/>
        </w:rPr>
        <w:t xml:space="preserve">- Đối với </w:t>
      </w:r>
      <w:r w:rsidR="00300513" w:rsidRPr="00590211">
        <w:rPr>
          <w:rFonts w:asciiTheme="majorHAnsi" w:hAnsiTheme="majorHAnsi"/>
          <w:szCs w:val="26"/>
          <w:lang w:val="en-US"/>
        </w:rPr>
        <w:t>quy định</w:t>
      </w:r>
      <w:r w:rsidRPr="00590211">
        <w:rPr>
          <w:rFonts w:asciiTheme="majorHAnsi" w:hAnsiTheme="majorHAnsi"/>
          <w:szCs w:val="26"/>
          <w:lang w:val="en-US"/>
        </w:rPr>
        <w:t xml:space="preserve"> </w:t>
      </w:r>
      <w:r w:rsidR="000F5FFC" w:rsidRPr="00590211">
        <w:rPr>
          <w:rFonts w:asciiTheme="majorHAnsi" w:hAnsiTheme="majorHAnsi"/>
          <w:szCs w:val="26"/>
          <w:lang w:val="en-US"/>
        </w:rPr>
        <w:t>về hoạt độ</w:t>
      </w:r>
      <w:r w:rsidR="00300513" w:rsidRPr="00590211">
        <w:rPr>
          <w:rFonts w:asciiTheme="majorHAnsi" w:hAnsiTheme="majorHAnsi"/>
          <w:szCs w:val="26"/>
          <w:lang w:val="en-US"/>
        </w:rPr>
        <w:t>ng</w:t>
      </w:r>
      <w:r w:rsidR="00124FFA" w:rsidRPr="00590211">
        <w:rPr>
          <w:rFonts w:asciiTheme="majorHAnsi" w:hAnsiTheme="majorHAnsi"/>
          <w:szCs w:val="26"/>
          <w:lang w:val="en-US"/>
        </w:rPr>
        <w:t xml:space="preserve">, </w:t>
      </w:r>
      <w:r w:rsidR="00533607" w:rsidRPr="00590211">
        <w:rPr>
          <w:rFonts w:asciiTheme="majorHAnsi" w:hAnsiTheme="majorHAnsi"/>
          <w:szCs w:val="26"/>
          <w:lang w:val="en-US"/>
        </w:rPr>
        <w:t>để đảm bảo phân định rõ các đối tượng cung cấp dịch vụ khi TTTC được thành lập, hoạt động ngân hàng</w:t>
      </w:r>
      <w:r w:rsidR="00571CF2" w:rsidRPr="00590211">
        <w:rPr>
          <w:rFonts w:asciiTheme="majorHAnsi" w:hAnsiTheme="majorHAnsi"/>
          <w:szCs w:val="26"/>
          <w:lang w:val="en-US"/>
        </w:rPr>
        <w:t xml:space="preserve"> được xây dựng</w:t>
      </w:r>
      <w:r w:rsidR="00533607" w:rsidRPr="00590211">
        <w:rPr>
          <w:rFonts w:asciiTheme="majorHAnsi" w:hAnsiTheme="majorHAnsi"/>
          <w:szCs w:val="26"/>
          <w:lang w:val="en-US"/>
        </w:rPr>
        <w:t xml:space="preserve"> là hoạt động ngân hàng truyền thống, không bao gồm các hoạt động chứng khoán, bảo hiểm… nhằm phù hợp với định hướng và quy định tại Điều 10 Nghị quyết 222.</w:t>
      </w:r>
      <w:r w:rsidR="00406449" w:rsidRPr="00590211">
        <w:rPr>
          <w:rFonts w:asciiTheme="majorHAnsi" w:hAnsiTheme="majorHAnsi"/>
          <w:szCs w:val="26"/>
          <w:lang w:val="en-US"/>
        </w:rPr>
        <w:t xml:space="preserve"> Trên cơ sở phạm vi hoạt động được xác định, các quy định về giới hạn, tỷ lệ bảo đảm an toàn sẽ được xây dựng tương ứng.</w:t>
      </w:r>
    </w:p>
    <w:p w14:paraId="530C8EC4" w14:textId="58838AE6" w:rsidR="00484A2D" w:rsidRPr="00590211" w:rsidRDefault="00484A2D" w:rsidP="00AE142F">
      <w:pPr>
        <w:tabs>
          <w:tab w:val="left" w:pos="993"/>
        </w:tabs>
        <w:spacing w:before="40" w:after="40"/>
        <w:ind w:firstLine="567"/>
        <w:jc w:val="both"/>
        <w:rPr>
          <w:rFonts w:asciiTheme="majorHAnsi" w:hAnsiTheme="majorHAnsi"/>
          <w:b/>
          <w:bCs/>
          <w:szCs w:val="26"/>
          <w:lang w:val="en-US"/>
        </w:rPr>
      </w:pPr>
      <w:r w:rsidRPr="00590211">
        <w:rPr>
          <w:rFonts w:asciiTheme="majorHAnsi" w:hAnsiTheme="majorHAnsi"/>
          <w:b/>
          <w:bCs/>
          <w:szCs w:val="26"/>
        </w:rPr>
        <w:t xml:space="preserve">III. QUÁ TRÌNH XÂY DỰNG </w:t>
      </w:r>
      <w:r w:rsidR="00586731" w:rsidRPr="00590211">
        <w:rPr>
          <w:rFonts w:asciiTheme="majorHAnsi" w:hAnsiTheme="majorHAnsi"/>
          <w:b/>
          <w:bCs/>
          <w:szCs w:val="26"/>
          <w:lang w:val="en-US"/>
        </w:rPr>
        <w:t>DTNĐ</w:t>
      </w:r>
    </w:p>
    <w:p w14:paraId="4FD61797" w14:textId="7A9E25D1" w:rsidR="00376582" w:rsidRPr="00590211" w:rsidRDefault="00484A2D" w:rsidP="00AE142F">
      <w:pPr>
        <w:tabs>
          <w:tab w:val="left" w:pos="993"/>
        </w:tabs>
        <w:spacing w:before="40" w:after="40"/>
        <w:ind w:firstLine="567"/>
        <w:jc w:val="both"/>
        <w:rPr>
          <w:rFonts w:asciiTheme="majorHAnsi" w:hAnsiTheme="majorHAnsi"/>
          <w:szCs w:val="26"/>
        </w:rPr>
      </w:pPr>
      <w:r w:rsidRPr="00590211">
        <w:rPr>
          <w:rFonts w:asciiTheme="majorHAnsi" w:hAnsiTheme="majorHAnsi"/>
          <w:szCs w:val="26"/>
        </w:rPr>
        <w:t xml:space="preserve">Trong quá trình xây dựng </w:t>
      </w:r>
      <w:r w:rsidR="00586731" w:rsidRPr="00590211">
        <w:rPr>
          <w:rFonts w:asciiTheme="majorHAnsi" w:hAnsiTheme="majorHAnsi"/>
          <w:color w:val="000000"/>
          <w:szCs w:val="26"/>
          <w:lang w:val="en-US"/>
        </w:rPr>
        <w:t>DTNĐ</w:t>
      </w:r>
      <w:r w:rsidRPr="00590211">
        <w:rPr>
          <w:rFonts w:asciiTheme="majorHAnsi" w:hAnsiTheme="majorHAnsi"/>
          <w:szCs w:val="26"/>
        </w:rPr>
        <w:t xml:space="preserve">, </w:t>
      </w:r>
      <w:r w:rsidR="00376582" w:rsidRPr="00590211">
        <w:rPr>
          <w:rFonts w:asciiTheme="majorHAnsi" w:hAnsiTheme="majorHAnsi"/>
          <w:szCs w:val="26"/>
          <w:lang w:val="en-US"/>
        </w:rPr>
        <w:t>NHNN</w:t>
      </w:r>
      <w:r w:rsidRPr="00590211">
        <w:rPr>
          <w:rFonts w:asciiTheme="majorHAnsi" w:hAnsiTheme="majorHAnsi"/>
          <w:szCs w:val="26"/>
        </w:rPr>
        <w:t xml:space="preserve"> đã thực </w:t>
      </w:r>
      <w:r w:rsidRPr="00590211">
        <w:rPr>
          <w:rFonts w:asciiTheme="majorHAnsi" w:hAnsiTheme="majorHAnsi"/>
          <w:spacing w:val="-6"/>
          <w:szCs w:val="26"/>
        </w:rPr>
        <w:t>hiện đúng quy trình theo quy định của Luật Ban hành văn bản quy phạm pháp luật, cụ thể:</w:t>
      </w:r>
      <w:r w:rsidR="00DE6742" w:rsidRPr="00590211">
        <w:rPr>
          <w:rFonts w:asciiTheme="majorHAnsi" w:hAnsiTheme="majorHAnsi"/>
          <w:szCs w:val="26"/>
          <w:lang w:val="en-US"/>
        </w:rPr>
        <w:t xml:space="preserve"> </w:t>
      </w:r>
      <w:r w:rsidR="00376582" w:rsidRPr="00590211">
        <w:rPr>
          <w:rFonts w:asciiTheme="majorHAnsi" w:hAnsiTheme="majorHAnsi"/>
          <w:szCs w:val="26"/>
          <w:lang w:val="en-US"/>
        </w:rPr>
        <w:t>…</w:t>
      </w:r>
    </w:p>
    <w:p w14:paraId="1F7C3C48" w14:textId="71D0A923" w:rsidR="00484A2D" w:rsidRPr="00590211" w:rsidRDefault="00484A2D" w:rsidP="00AE142F">
      <w:pPr>
        <w:tabs>
          <w:tab w:val="left" w:pos="993"/>
        </w:tabs>
        <w:spacing w:before="40" w:after="40"/>
        <w:ind w:firstLine="567"/>
        <w:jc w:val="both"/>
        <w:rPr>
          <w:rFonts w:asciiTheme="majorHAnsi" w:hAnsiTheme="majorHAnsi"/>
          <w:b/>
          <w:bCs/>
          <w:szCs w:val="26"/>
          <w:lang w:val="en-US"/>
        </w:rPr>
      </w:pPr>
      <w:r w:rsidRPr="00590211">
        <w:rPr>
          <w:rFonts w:asciiTheme="majorHAnsi" w:hAnsiTheme="majorHAnsi"/>
          <w:b/>
          <w:bCs/>
          <w:szCs w:val="26"/>
        </w:rPr>
        <w:t xml:space="preserve">IV. </w:t>
      </w:r>
      <w:r w:rsidRPr="00590211">
        <w:rPr>
          <w:rFonts w:asciiTheme="majorHAnsi" w:hAnsiTheme="majorHAnsi"/>
          <w:b/>
          <w:szCs w:val="26"/>
        </w:rPr>
        <w:t xml:space="preserve">BỐ CỤC VÀ NỘI DUNG CƠ BẢN CỦA </w:t>
      </w:r>
      <w:r w:rsidR="00586731" w:rsidRPr="00590211">
        <w:rPr>
          <w:rFonts w:asciiTheme="majorHAnsi" w:hAnsiTheme="majorHAnsi"/>
          <w:b/>
          <w:szCs w:val="26"/>
          <w:lang w:val="en-US"/>
        </w:rPr>
        <w:t>DTNĐ</w:t>
      </w:r>
    </w:p>
    <w:p w14:paraId="7C215FCF" w14:textId="77777777" w:rsidR="00484A2D" w:rsidRPr="00590211" w:rsidRDefault="00484A2D" w:rsidP="00AE142F">
      <w:pPr>
        <w:tabs>
          <w:tab w:val="left" w:pos="993"/>
        </w:tabs>
        <w:spacing w:before="40" w:after="40"/>
        <w:ind w:firstLine="567"/>
        <w:jc w:val="both"/>
        <w:rPr>
          <w:rFonts w:asciiTheme="majorHAnsi" w:hAnsiTheme="majorHAnsi"/>
          <w:b/>
          <w:bCs/>
          <w:szCs w:val="26"/>
        </w:rPr>
      </w:pPr>
      <w:r w:rsidRPr="00590211">
        <w:rPr>
          <w:rFonts w:asciiTheme="majorHAnsi" w:hAnsiTheme="majorHAnsi"/>
          <w:b/>
          <w:bCs/>
          <w:szCs w:val="26"/>
        </w:rPr>
        <w:t>1. Phạm vi điều chỉnh, đối tượng áp dụng</w:t>
      </w:r>
    </w:p>
    <w:p w14:paraId="7094A907" w14:textId="59515DDF" w:rsidR="009E7EFC" w:rsidRPr="00590211" w:rsidRDefault="00484A2D" w:rsidP="00586731">
      <w:pPr>
        <w:tabs>
          <w:tab w:val="left" w:pos="993"/>
        </w:tabs>
        <w:spacing w:before="40" w:after="40"/>
        <w:ind w:firstLine="567"/>
        <w:jc w:val="both"/>
        <w:rPr>
          <w:rFonts w:asciiTheme="majorHAnsi" w:hAnsiTheme="majorHAnsi"/>
          <w:bCs/>
          <w:szCs w:val="26"/>
          <w:lang w:val="en-US"/>
        </w:rPr>
      </w:pPr>
      <w:r w:rsidRPr="00590211">
        <w:rPr>
          <w:rFonts w:asciiTheme="majorHAnsi" w:hAnsiTheme="majorHAnsi"/>
          <w:bCs/>
          <w:szCs w:val="26"/>
        </w:rPr>
        <w:t xml:space="preserve">- </w:t>
      </w:r>
      <w:r w:rsidR="00586731" w:rsidRPr="00590211">
        <w:rPr>
          <w:rFonts w:asciiTheme="majorHAnsi" w:hAnsiTheme="majorHAnsi"/>
          <w:bCs/>
          <w:szCs w:val="26"/>
          <w:lang w:val="en-US"/>
        </w:rPr>
        <w:t xml:space="preserve">Về phạm vi điều chỉnh: Nghị định này quy định </w:t>
      </w:r>
      <w:r w:rsidR="00DE6742" w:rsidRPr="00590211">
        <w:rPr>
          <w:rFonts w:asciiTheme="majorHAnsi" w:hAnsiTheme="majorHAnsi"/>
          <w:bCs/>
          <w:szCs w:val="26"/>
          <w:lang w:val="en-US"/>
        </w:rPr>
        <w:t>về cấp phép thành lập và hoạt động ngân hàng, quản lý ngoại hối, phòng chống rửa tiền, chống tài trợ khủng bố, tài trợ phổ biến vũ khí hủy diệt hàng loạt tại TTTC; q</w:t>
      </w:r>
      <w:r w:rsidR="00586731" w:rsidRPr="00590211">
        <w:rPr>
          <w:rFonts w:asciiTheme="majorHAnsi" w:hAnsiTheme="majorHAnsi"/>
          <w:bCs/>
          <w:szCs w:val="26"/>
          <w:lang w:val="en-US"/>
        </w:rPr>
        <w:t xml:space="preserve">uy trình phối hợp giữa </w:t>
      </w:r>
      <w:r w:rsidR="009E7EFC" w:rsidRPr="00590211">
        <w:rPr>
          <w:rFonts w:asciiTheme="majorHAnsi" w:hAnsiTheme="majorHAnsi"/>
          <w:bCs/>
          <w:szCs w:val="26"/>
          <w:lang w:val="en-US"/>
        </w:rPr>
        <w:t>NHNN</w:t>
      </w:r>
      <w:r w:rsidR="00586731" w:rsidRPr="00590211">
        <w:rPr>
          <w:rFonts w:asciiTheme="majorHAnsi" w:hAnsiTheme="majorHAnsi"/>
          <w:bCs/>
          <w:szCs w:val="26"/>
          <w:lang w:val="en-US"/>
        </w:rPr>
        <w:t xml:space="preserve"> và các cơ quan liên quan trong việc thanh tra, kiểm tra, giám sát và xử lý rủi ro tại </w:t>
      </w:r>
      <w:r w:rsidR="00DE6742" w:rsidRPr="00590211">
        <w:rPr>
          <w:rFonts w:asciiTheme="majorHAnsi" w:hAnsiTheme="majorHAnsi"/>
          <w:bCs/>
          <w:szCs w:val="26"/>
          <w:lang w:val="en-US"/>
        </w:rPr>
        <w:t>TTTC</w:t>
      </w:r>
      <w:r w:rsidR="00586731" w:rsidRPr="00590211">
        <w:rPr>
          <w:rFonts w:asciiTheme="majorHAnsi" w:hAnsiTheme="majorHAnsi"/>
          <w:bCs/>
          <w:szCs w:val="26"/>
          <w:lang w:val="en-US"/>
        </w:rPr>
        <w:t>.</w:t>
      </w:r>
    </w:p>
    <w:p w14:paraId="555D1AED" w14:textId="455F57AB" w:rsidR="00F91F56" w:rsidRPr="00590211" w:rsidRDefault="00484A2D" w:rsidP="00AE142F">
      <w:pPr>
        <w:tabs>
          <w:tab w:val="left" w:pos="993"/>
        </w:tabs>
        <w:spacing w:before="40" w:after="40"/>
        <w:ind w:firstLine="567"/>
        <w:jc w:val="both"/>
        <w:rPr>
          <w:rFonts w:asciiTheme="majorHAnsi" w:hAnsiTheme="majorHAnsi"/>
          <w:bCs/>
          <w:szCs w:val="26"/>
          <w:lang w:val="en-US"/>
        </w:rPr>
      </w:pPr>
      <w:r w:rsidRPr="00590211">
        <w:rPr>
          <w:rFonts w:asciiTheme="majorHAnsi" w:hAnsiTheme="majorHAnsi"/>
          <w:bCs/>
          <w:szCs w:val="26"/>
        </w:rPr>
        <w:lastRenderedPageBreak/>
        <w:t xml:space="preserve">- Đối tượng áp dụng của </w:t>
      </w:r>
      <w:r w:rsidR="00DE6742" w:rsidRPr="00590211">
        <w:rPr>
          <w:rFonts w:asciiTheme="majorHAnsi" w:hAnsiTheme="majorHAnsi"/>
          <w:bCs/>
          <w:szCs w:val="26"/>
          <w:lang w:val="en-US"/>
        </w:rPr>
        <w:t>DTNĐ</w:t>
      </w:r>
      <w:r w:rsidRPr="00590211">
        <w:rPr>
          <w:rFonts w:asciiTheme="majorHAnsi" w:hAnsiTheme="majorHAnsi"/>
          <w:bCs/>
          <w:szCs w:val="26"/>
        </w:rPr>
        <w:t xml:space="preserve"> bao gồm: </w:t>
      </w:r>
      <w:r w:rsidR="00493CC5" w:rsidRPr="00590211">
        <w:rPr>
          <w:rFonts w:asciiTheme="majorHAnsi" w:hAnsiTheme="majorHAnsi"/>
          <w:b/>
          <w:bCs/>
          <w:szCs w:val="26"/>
          <w:lang w:val="en-US"/>
        </w:rPr>
        <w:t>(i)</w:t>
      </w:r>
      <w:r w:rsidRPr="00590211">
        <w:rPr>
          <w:rFonts w:asciiTheme="majorHAnsi" w:hAnsiTheme="majorHAnsi"/>
          <w:bCs/>
          <w:spacing w:val="-8"/>
          <w:szCs w:val="26"/>
        </w:rPr>
        <w:t xml:space="preserve"> </w:t>
      </w:r>
      <w:r w:rsidR="00E75A9D" w:rsidRPr="00590211">
        <w:rPr>
          <w:rFonts w:asciiTheme="majorHAnsi" w:hAnsiTheme="majorHAnsi"/>
          <w:bCs/>
          <w:spacing w:val="-8"/>
          <w:szCs w:val="26"/>
          <w:lang w:val="en-US"/>
        </w:rPr>
        <w:t>Nhà đầu tư là ngân hàng nước ngoài, NHTM trong nước;</w:t>
      </w:r>
      <w:r w:rsidR="00493CC5" w:rsidRPr="00590211">
        <w:rPr>
          <w:rFonts w:asciiTheme="majorHAnsi" w:hAnsiTheme="majorHAnsi"/>
          <w:bCs/>
          <w:spacing w:val="-8"/>
          <w:szCs w:val="26"/>
          <w:lang w:val="en-US"/>
        </w:rPr>
        <w:t xml:space="preserve"> </w:t>
      </w:r>
      <w:r w:rsidR="00493CC5" w:rsidRPr="00590211">
        <w:rPr>
          <w:rFonts w:asciiTheme="majorHAnsi" w:hAnsiTheme="majorHAnsi"/>
          <w:b/>
          <w:bCs/>
          <w:spacing w:val="-8"/>
          <w:szCs w:val="26"/>
          <w:lang w:val="en-US"/>
        </w:rPr>
        <w:t>(ii)</w:t>
      </w:r>
      <w:r w:rsidR="00E75A9D" w:rsidRPr="00590211">
        <w:rPr>
          <w:rFonts w:asciiTheme="majorHAnsi" w:hAnsiTheme="majorHAnsi"/>
          <w:bCs/>
          <w:spacing w:val="-8"/>
          <w:szCs w:val="26"/>
          <w:lang w:val="en-US"/>
        </w:rPr>
        <w:t xml:space="preserve"> Thành viên TTTC là NHTM, chi nhánh NHNNg;</w:t>
      </w:r>
      <w:r w:rsidR="00493CC5" w:rsidRPr="00590211">
        <w:rPr>
          <w:rFonts w:asciiTheme="majorHAnsi" w:hAnsiTheme="majorHAnsi"/>
          <w:bCs/>
          <w:spacing w:val="-8"/>
          <w:szCs w:val="26"/>
          <w:lang w:val="en-US"/>
        </w:rPr>
        <w:t xml:space="preserve"> </w:t>
      </w:r>
      <w:r w:rsidR="00493CC5" w:rsidRPr="00590211">
        <w:rPr>
          <w:rFonts w:asciiTheme="majorHAnsi" w:hAnsiTheme="majorHAnsi"/>
          <w:b/>
          <w:bCs/>
          <w:spacing w:val="-8"/>
          <w:szCs w:val="26"/>
          <w:lang w:val="en-US"/>
        </w:rPr>
        <w:t>(iii)</w:t>
      </w:r>
      <w:r w:rsidR="00E75A9D" w:rsidRPr="00590211">
        <w:rPr>
          <w:rFonts w:asciiTheme="majorHAnsi" w:hAnsiTheme="majorHAnsi"/>
          <w:bCs/>
          <w:spacing w:val="-8"/>
          <w:szCs w:val="26"/>
          <w:lang w:val="en-US"/>
        </w:rPr>
        <w:t xml:space="preserve"> Các tổ chức, cá nhân thực hiện giao dịch ngoại hối;</w:t>
      </w:r>
      <w:r w:rsidR="00493CC5" w:rsidRPr="00590211">
        <w:rPr>
          <w:rFonts w:asciiTheme="majorHAnsi" w:hAnsiTheme="majorHAnsi"/>
          <w:bCs/>
          <w:spacing w:val="-8"/>
          <w:szCs w:val="26"/>
          <w:lang w:val="en-US"/>
        </w:rPr>
        <w:t xml:space="preserve"> </w:t>
      </w:r>
      <w:r w:rsidR="00493CC5" w:rsidRPr="00590211">
        <w:rPr>
          <w:rFonts w:asciiTheme="majorHAnsi" w:hAnsiTheme="majorHAnsi"/>
          <w:b/>
          <w:bCs/>
          <w:spacing w:val="-8"/>
          <w:szCs w:val="26"/>
          <w:lang w:val="en-US"/>
        </w:rPr>
        <w:t>(iv)</w:t>
      </w:r>
      <w:r w:rsidRPr="00590211">
        <w:rPr>
          <w:rFonts w:asciiTheme="majorHAnsi" w:hAnsiTheme="majorHAnsi"/>
          <w:bCs/>
          <w:szCs w:val="26"/>
        </w:rPr>
        <w:t xml:space="preserve"> </w:t>
      </w:r>
      <w:r w:rsidR="00E75A9D" w:rsidRPr="00590211">
        <w:rPr>
          <w:rFonts w:asciiTheme="majorHAnsi" w:hAnsiTheme="majorHAnsi"/>
          <w:bCs/>
          <w:szCs w:val="26"/>
          <w:lang w:val="en-US"/>
        </w:rPr>
        <w:t>Đối tượng báo cáo theo quy định tại Điều 4 Luật Phòng, chống rửa tiền.</w:t>
      </w:r>
    </w:p>
    <w:p w14:paraId="2537D470" w14:textId="1F98E6BD" w:rsidR="00484A2D" w:rsidRPr="00590211" w:rsidRDefault="00F91F56" w:rsidP="00AE142F">
      <w:pPr>
        <w:tabs>
          <w:tab w:val="left" w:pos="993"/>
        </w:tabs>
        <w:spacing w:before="40" w:after="40"/>
        <w:ind w:firstLine="567"/>
        <w:jc w:val="both"/>
        <w:rPr>
          <w:rFonts w:asciiTheme="majorHAnsi" w:hAnsiTheme="majorHAnsi"/>
          <w:bCs/>
          <w:szCs w:val="26"/>
          <w:lang w:val="en-US"/>
        </w:rPr>
      </w:pPr>
      <w:r w:rsidRPr="00590211">
        <w:rPr>
          <w:rFonts w:asciiTheme="majorHAnsi" w:hAnsiTheme="majorHAnsi"/>
          <w:b/>
          <w:bCs/>
          <w:szCs w:val="26"/>
          <w:lang w:val="en-US"/>
        </w:rPr>
        <w:t>2.</w:t>
      </w:r>
      <w:r w:rsidRPr="00590211">
        <w:rPr>
          <w:rFonts w:asciiTheme="majorHAnsi" w:hAnsiTheme="majorHAnsi"/>
          <w:bCs/>
          <w:szCs w:val="26"/>
          <w:lang w:val="en-US"/>
        </w:rPr>
        <w:t xml:space="preserve"> </w:t>
      </w:r>
      <w:r w:rsidR="00484A2D" w:rsidRPr="00590211">
        <w:rPr>
          <w:rFonts w:asciiTheme="majorHAnsi" w:hAnsiTheme="majorHAnsi"/>
          <w:b/>
          <w:bCs/>
          <w:szCs w:val="26"/>
        </w:rPr>
        <w:t xml:space="preserve">Bố cục của </w:t>
      </w:r>
      <w:r w:rsidR="009E7EFC" w:rsidRPr="00590211">
        <w:rPr>
          <w:rFonts w:asciiTheme="majorHAnsi" w:hAnsiTheme="majorHAnsi"/>
          <w:b/>
          <w:bCs/>
          <w:szCs w:val="26"/>
          <w:lang w:val="en-US"/>
        </w:rPr>
        <w:t>DTNĐ</w:t>
      </w:r>
    </w:p>
    <w:p w14:paraId="69DD894D" w14:textId="121D2301" w:rsidR="00484A2D" w:rsidRPr="00590211" w:rsidRDefault="00484A2D" w:rsidP="00AE142F">
      <w:pPr>
        <w:tabs>
          <w:tab w:val="left" w:pos="709"/>
        </w:tabs>
        <w:spacing w:before="40" w:after="40"/>
        <w:ind w:firstLine="567"/>
        <w:jc w:val="both"/>
        <w:rPr>
          <w:rFonts w:asciiTheme="majorHAnsi" w:hAnsiTheme="majorHAnsi"/>
          <w:bCs/>
          <w:szCs w:val="26"/>
        </w:rPr>
      </w:pPr>
      <w:r w:rsidRPr="00590211">
        <w:rPr>
          <w:rFonts w:asciiTheme="majorHAnsi" w:hAnsiTheme="majorHAnsi"/>
          <w:bCs/>
          <w:szCs w:val="26"/>
        </w:rPr>
        <w:t xml:space="preserve">Nghị định gồm </w:t>
      </w:r>
      <w:r w:rsidR="00F91F56" w:rsidRPr="00590211">
        <w:rPr>
          <w:rFonts w:asciiTheme="majorHAnsi" w:hAnsiTheme="majorHAnsi"/>
          <w:bCs/>
          <w:szCs w:val="26"/>
          <w:lang w:val="en-US"/>
        </w:rPr>
        <w:t>13</w:t>
      </w:r>
      <w:r w:rsidRPr="00590211">
        <w:rPr>
          <w:rFonts w:asciiTheme="majorHAnsi" w:hAnsiTheme="majorHAnsi"/>
          <w:bCs/>
          <w:szCs w:val="26"/>
        </w:rPr>
        <w:t xml:space="preserve"> Chương, cụ thể như sau:</w:t>
      </w:r>
    </w:p>
    <w:p w14:paraId="6B8329DF" w14:textId="77777777" w:rsidR="00F91F56" w:rsidRPr="00590211" w:rsidRDefault="00F91F56" w:rsidP="00AE142F">
      <w:pPr>
        <w:tabs>
          <w:tab w:val="left" w:pos="709"/>
        </w:tabs>
        <w:spacing w:before="40" w:after="40"/>
        <w:ind w:firstLine="567"/>
        <w:jc w:val="both"/>
        <w:rPr>
          <w:rFonts w:asciiTheme="majorHAnsi" w:hAnsiTheme="majorHAnsi"/>
          <w:bCs/>
          <w:szCs w:val="26"/>
          <w:lang w:val="pt-BR"/>
        </w:rPr>
      </w:pPr>
      <w:r w:rsidRPr="00590211">
        <w:rPr>
          <w:rFonts w:asciiTheme="majorHAnsi" w:hAnsiTheme="majorHAnsi"/>
          <w:bCs/>
          <w:szCs w:val="26"/>
          <w:lang w:val="pt-BR"/>
        </w:rPr>
        <w:t>- Chương I: Quy định chung;</w:t>
      </w:r>
    </w:p>
    <w:p w14:paraId="21EA37A4" w14:textId="72FA60F4" w:rsidR="00F91F56" w:rsidRPr="00590211" w:rsidRDefault="00B331FC" w:rsidP="00AE142F">
      <w:pPr>
        <w:tabs>
          <w:tab w:val="left" w:pos="709"/>
        </w:tabs>
        <w:spacing w:before="40" w:after="40"/>
        <w:ind w:firstLine="567"/>
        <w:jc w:val="both"/>
        <w:rPr>
          <w:rFonts w:asciiTheme="majorHAnsi" w:hAnsiTheme="majorHAnsi"/>
          <w:bCs/>
          <w:szCs w:val="26"/>
          <w:lang w:val="pt-BR"/>
        </w:rPr>
      </w:pPr>
      <w:r w:rsidRPr="00590211">
        <w:rPr>
          <w:rFonts w:asciiTheme="majorHAnsi" w:hAnsiTheme="majorHAnsi"/>
          <w:bCs/>
          <w:szCs w:val="26"/>
          <w:lang w:val="pt-BR"/>
        </w:rPr>
        <w:t xml:space="preserve">- </w:t>
      </w:r>
      <w:r w:rsidR="00F91F56" w:rsidRPr="00590211">
        <w:rPr>
          <w:rFonts w:asciiTheme="majorHAnsi" w:hAnsiTheme="majorHAnsi"/>
          <w:bCs/>
          <w:szCs w:val="26"/>
          <w:lang w:val="pt-BR"/>
        </w:rPr>
        <w:t>Chương II: Giấy phép;</w:t>
      </w:r>
    </w:p>
    <w:p w14:paraId="31654A26" w14:textId="62FD49DA" w:rsidR="00F91F56" w:rsidRPr="00590211" w:rsidRDefault="00F91F56" w:rsidP="00AE142F">
      <w:pPr>
        <w:tabs>
          <w:tab w:val="left" w:pos="709"/>
        </w:tabs>
        <w:spacing w:before="40" w:after="40"/>
        <w:ind w:firstLine="567"/>
        <w:jc w:val="both"/>
        <w:rPr>
          <w:rFonts w:asciiTheme="majorHAnsi" w:hAnsiTheme="majorHAnsi"/>
          <w:bCs/>
          <w:szCs w:val="26"/>
          <w:lang w:val="pt-BR"/>
        </w:rPr>
      </w:pPr>
      <w:r w:rsidRPr="00590211">
        <w:rPr>
          <w:rFonts w:asciiTheme="majorHAnsi" w:hAnsiTheme="majorHAnsi"/>
          <w:bCs/>
          <w:szCs w:val="26"/>
          <w:lang w:val="pt-BR"/>
        </w:rPr>
        <w:t>- Chương III: Tổ chức, quản trị, điều hành của NHTM</w:t>
      </w:r>
      <w:r w:rsidR="00341F2C" w:rsidRPr="00590211">
        <w:rPr>
          <w:rFonts w:asciiTheme="majorHAnsi" w:hAnsiTheme="majorHAnsi"/>
          <w:bCs/>
          <w:szCs w:val="26"/>
          <w:lang w:val="pt-BR"/>
        </w:rPr>
        <w:t xml:space="preserve"> là thành viên</w:t>
      </w:r>
      <w:r w:rsidRPr="00590211">
        <w:rPr>
          <w:rFonts w:asciiTheme="majorHAnsi" w:hAnsiTheme="majorHAnsi"/>
          <w:bCs/>
          <w:szCs w:val="26"/>
          <w:lang w:val="pt-BR"/>
        </w:rPr>
        <w:t>, chi nhánh NHNNg thành viên;</w:t>
      </w:r>
    </w:p>
    <w:p w14:paraId="15DA56CB" w14:textId="1A6AD845" w:rsidR="00F91F56" w:rsidRPr="00590211" w:rsidRDefault="00F91F56" w:rsidP="00AE142F">
      <w:pPr>
        <w:tabs>
          <w:tab w:val="left" w:pos="709"/>
        </w:tabs>
        <w:spacing w:before="40" w:after="40"/>
        <w:ind w:firstLine="567"/>
        <w:jc w:val="both"/>
        <w:rPr>
          <w:rFonts w:asciiTheme="majorHAnsi" w:hAnsiTheme="majorHAnsi"/>
          <w:bCs/>
          <w:szCs w:val="26"/>
          <w:lang w:val="pt-BR"/>
        </w:rPr>
      </w:pPr>
      <w:r w:rsidRPr="00590211">
        <w:rPr>
          <w:rFonts w:asciiTheme="majorHAnsi" w:hAnsiTheme="majorHAnsi"/>
          <w:bCs/>
          <w:szCs w:val="26"/>
          <w:lang w:val="pt-BR"/>
        </w:rPr>
        <w:t>- Chương IV: Hoạt động của NHTM</w:t>
      </w:r>
      <w:r w:rsidR="00BD0763" w:rsidRPr="00590211">
        <w:rPr>
          <w:rFonts w:asciiTheme="majorHAnsi" w:hAnsiTheme="majorHAnsi"/>
          <w:bCs/>
          <w:szCs w:val="26"/>
          <w:lang w:val="pt-BR"/>
        </w:rPr>
        <w:t xml:space="preserve"> là thành viên</w:t>
      </w:r>
      <w:r w:rsidRPr="00590211">
        <w:rPr>
          <w:rFonts w:asciiTheme="majorHAnsi" w:hAnsiTheme="majorHAnsi"/>
          <w:bCs/>
          <w:szCs w:val="26"/>
          <w:lang w:val="pt-BR"/>
        </w:rPr>
        <w:t>, chi nhánh NHNNg là thành viên;</w:t>
      </w:r>
    </w:p>
    <w:p w14:paraId="74406C0E" w14:textId="37F24301" w:rsidR="00F91F56" w:rsidRPr="00590211" w:rsidRDefault="00F91F56" w:rsidP="00AE142F">
      <w:pPr>
        <w:tabs>
          <w:tab w:val="left" w:pos="709"/>
        </w:tabs>
        <w:spacing w:before="40" w:after="40"/>
        <w:ind w:firstLine="567"/>
        <w:jc w:val="both"/>
        <w:rPr>
          <w:rFonts w:asciiTheme="majorHAnsi" w:hAnsiTheme="majorHAnsi"/>
          <w:bCs/>
          <w:szCs w:val="26"/>
          <w:lang w:val="pt-BR"/>
        </w:rPr>
      </w:pPr>
      <w:r w:rsidRPr="00590211">
        <w:rPr>
          <w:rFonts w:asciiTheme="majorHAnsi" w:hAnsiTheme="majorHAnsi"/>
          <w:bCs/>
          <w:szCs w:val="26"/>
          <w:lang w:val="pt-BR"/>
        </w:rPr>
        <w:t xml:space="preserve">- Chương V: </w:t>
      </w:r>
      <w:r w:rsidR="00341F2C" w:rsidRPr="00590211">
        <w:rPr>
          <w:rFonts w:asciiTheme="majorHAnsi" w:hAnsiTheme="majorHAnsi"/>
          <w:bCs/>
          <w:szCs w:val="26"/>
          <w:lang w:val="pt-BR"/>
        </w:rPr>
        <w:t>Các hạn chế để bảo đảm an toàn trong hoạt động của</w:t>
      </w:r>
      <w:r w:rsidRPr="00590211">
        <w:rPr>
          <w:rFonts w:asciiTheme="majorHAnsi" w:hAnsiTheme="majorHAnsi"/>
          <w:bCs/>
          <w:szCs w:val="26"/>
          <w:lang w:val="pt-BR"/>
        </w:rPr>
        <w:t xml:space="preserve"> NHTM</w:t>
      </w:r>
      <w:r w:rsidR="00341F2C" w:rsidRPr="00590211">
        <w:rPr>
          <w:rFonts w:asciiTheme="majorHAnsi" w:hAnsiTheme="majorHAnsi"/>
          <w:bCs/>
          <w:szCs w:val="26"/>
          <w:lang w:val="pt-BR"/>
        </w:rPr>
        <w:t xml:space="preserve"> là thành viên</w:t>
      </w:r>
      <w:r w:rsidRPr="00590211">
        <w:rPr>
          <w:rFonts w:asciiTheme="majorHAnsi" w:hAnsiTheme="majorHAnsi"/>
          <w:bCs/>
          <w:szCs w:val="26"/>
          <w:lang w:val="pt-BR"/>
        </w:rPr>
        <w:t>, chi nhánh NHNNg là thành viên;</w:t>
      </w:r>
    </w:p>
    <w:p w14:paraId="667E4BC5" w14:textId="77777777" w:rsidR="00F91F56" w:rsidRPr="00590211" w:rsidRDefault="00F91F56" w:rsidP="00AE142F">
      <w:pPr>
        <w:tabs>
          <w:tab w:val="left" w:pos="709"/>
        </w:tabs>
        <w:spacing w:before="40" w:after="40"/>
        <w:ind w:firstLine="567"/>
        <w:jc w:val="both"/>
        <w:rPr>
          <w:rFonts w:asciiTheme="majorHAnsi" w:hAnsiTheme="majorHAnsi"/>
          <w:bCs/>
          <w:szCs w:val="26"/>
          <w:lang w:val="pt-BR"/>
        </w:rPr>
      </w:pPr>
      <w:r w:rsidRPr="00590211">
        <w:rPr>
          <w:rFonts w:asciiTheme="majorHAnsi" w:hAnsiTheme="majorHAnsi"/>
          <w:bCs/>
          <w:szCs w:val="26"/>
          <w:lang w:val="pt-BR"/>
        </w:rPr>
        <w:t>- Chương VI: Tài chính, hạch toán, báo cáo;</w:t>
      </w:r>
    </w:p>
    <w:p w14:paraId="162DB9FB" w14:textId="46C6DE83" w:rsidR="00F91F56" w:rsidRPr="00590211" w:rsidRDefault="00F91F56" w:rsidP="00AE142F">
      <w:pPr>
        <w:tabs>
          <w:tab w:val="left" w:pos="709"/>
        </w:tabs>
        <w:spacing w:before="40" w:after="40"/>
        <w:ind w:firstLine="567"/>
        <w:jc w:val="both"/>
        <w:rPr>
          <w:rFonts w:asciiTheme="majorHAnsi" w:hAnsiTheme="majorHAnsi"/>
          <w:bCs/>
          <w:szCs w:val="26"/>
          <w:lang w:val="pt-BR"/>
        </w:rPr>
      </w:pPr>
      <w:r w:rsidRPr="00590211">
        <w:rPr>
          <w:rFonts w:asciiTheme="majorHAnsi" w:hAnsiTheme="majorHAnsi"/>
          <w:bCs/>
          <w:szCs w:val="26"/>
          <w:lang w:val="pt-BR"/>
        </w:rPr>
        <w:t xml:space="preserve">- Chương VII: </w:t>
      </w:r>
      <w:r w:rsidR="00341F2C" w:rsidRPr="00590211">
        <w:rPr>
          <w:rFonts w:asciiTheme="majorHAnsi" w:hAnsiTheme="majorHAnsi"/>
          <w:bCs/>
          <w:szCs w:val="26"/>
          <w:lang w:val="pt-BR"/>
        </w:rPr>
        <w:t>Xử lý nợ xấu và tài sản bảo đảm</w:t>
      </w:r>
      <w:r w:rsidRPr="00590211">
        <w:rPr>
          <w:rFonts w:asciiTheme="majorHAnsi" w:hAnsiTheme="majorHAnsi"/>
          <w:bCs/>
          <w:szCs w:val="26"/>
          <w:lang w:val="pt-BR"/>
        </w:rPr>
        <w:t>;</w:t>
      </w:r>
    </w:p>
    <w:p w14:paraId="73449DDC" w14:textId="09265A65" w:rsidR="00F91F56" w:rsidRPr="00590211" w:rsidRDefault="00F91F56" w:rsidP="00AE142F">
      <w:pPr>
        <w:tabs>
          <w:tab w:val="left" w:pos="709"/>
        </w:tabs>
        <w:spacing w:before="40" w:after="40"/>
        <w:ind w:firstLine="567"/>
        <w:jc w:val="both"/>
        <w:rPr>
          <w:rFonts w:asciiTheme="majorHAnsi" w:hAnsiTheme="majorHAnsi"/>
          <w:bCs/>
          <w:szCs w:val="26"/>
          <w:lang w:val="pt-BR"/>
        </w:rPr>
      </w:pPr>
      <w:r w:rsidRPr="00590211">
        <w:rPr>
          <w:rFonts w:asciiTheme="majorHAnsi" w:hAnsiTheme="majorHAnsi"/>
          <w:bCs/>
          <w:szCs w:val="26"/>
          <w:lang w:val="pt-BR"/>
        </w:rPr>
        <w:t xml:space="preserve">- Chương VIII: </w:t>
      </w:r>
      <w:r w:rsidR="00341F2C" w:rsidRPr="00590211">
        <w:rPr>
          <w:rFonts w:asciiTheme="majorHAnsi" w:hAnsiTheme="majorHAnsi"/>
          <w:bCs/>
          <w:szCs w:val="26"/>
          <w:lang w:val="pt-BR"/>
        </w:rPr>
        <w:t>Thu hồi Giấy phép, giải thể, phá sản và thanh lý tài sản</w:t>
      </w:r>
      <w:r w:rsidRPr="00590211">
        <w:rPr>
          <w:rFonts w:asciiTheme="majorHAnsi" w:hAnsiTheme="majorHAnsi"/>
          <w:bCs/>
          <w:szCs w:val="26"/>
          <w:lang w:val="pt-BR"/>
        </w:rPr>
        <w:t xml:space="preserve">; </w:t>
      </w:r>
    </w:p>
    <w:p w14:paraId="2A68EC4C" w14:textId="77777777" w:rsidR="00F91F56" w:rsidRPr="00590211" w:rsidRDefault="00F91F56" w:rsidP="00AE142F">
      <w:pPr>
        <w:tabs>
          <w:tab w:val="left" w:pos="709"/>
        </w:tabs>
        <w:spacing w:before="40" w:after="40"/>
        <w:ind w:firstLine="567"/>
        <w:jc w:val="both"/>
        <w:rPr>
          <w:rFonts w:asciiTheme="majorHAnsi" w:hAnsiTheme="majorHAnsi"/>
          <w:bCs/>
          <w:szCs w:val="26"/>
          <w:lang w:val="pt-BR"/>
        </w:rPr>
      </w:pPr>
      <w:r w:rsidRPr="00590211">
        <w:rPr>
          <w:rFonts w:asciiTheme="majorHAnsi" w:hAnsiTheme="majorHAnsi"/>
          <w:bCs/>
          <w:szCs w:val="26"/>
          <w:lang w:val="pt-BR"/>
        </w:rPr>
        <w:t>- Chương IX: Quản lý ngoại hối;</w:t>
      </w:r>
    </w:p>
    <w:p w14:paraId="163DDE54" w14:textId="40680AD2" w:rsidR="00F91F56" w:rsidRPr="00590211" w:rsidRDefault="00F91F56" w:rsidP="00AE142F">
      <w:pPr>
        <w:tabs>
          <w:tab w:val="left" w:pos="709"/>
        </w:tabs>
        <w:spacing w:before="40" w:after="40"/>
        <w:ind w:firstLine="567"/>
        <w:jc w:val="both"/>
        <w:rPr>
          <w:rFonts w:asciiTheme="majorHAnsi" w:hAnsiTheme="majorHAnsi"/>
          <w:bCs/>
          <w:szCs w:val="26"/>
          <w:lang w:val="pt-BR"/>
        </w:rPr>
      </w:pPr>
      <w:r w:rsidRPr="00590211">
        <w:rPr>
          <w:rFonts w:asciiTheme="majorHAnsi" w:hAnsiTheme="majorHAnsi"/>
          <w:bCs/>
          <w:szCs w:val="26"/>
          <w:lang w:val="pt-BR"/>
        </w:rPr>
        <w:t xml:space="preserve">- Chương X: </w:t>
      </w:r>
      <w:r w:rsidR="00341F2C" w:rsidRPr="00590211">
        <w:rPr>
          <w:rFonts w:asciiTheme="majorHAnsi" w:hAnsiTheme="majorHAnsi"/>
          <w:bCs/>
          <w:szCs w:val="26"/>
          <w:lang w:val="pt-BR"/>
        </w:rPr>
        <w:t>Phòng, chống rửa tiền, tài trợ khủng bố, tài trợ phổ biến vũ khí hủy diệt hàng loạt;</w:t>
      </w:r>
    </w:p>
    <w:p w14:paraId="5E86F143" w14:textId="77777777" w:rsidR="00F91F56" w:rsidRPr="00590211" w:rsidRDefault="00F91F56" w:rsidP="00AE142F">
      <w:pPr>
        <w:tabs>
          <w:tab w:val="left" w:pos="709"/>
        </w:tabs>
        <w:spacing w:before="40" w:after="40"/>
        <w:ind w:firstLine="567"/>
        <w:jc w:val="both"/>
        <w:rPr>
          <w:rFonts w:asciiTheme="majorHAnsi" w:hAnsiTheme="majorHAnsi"/>
          <w:bCs/>
          <w:szCs w:val="26"/>
          <w:lang w:val="pt-BR"/>
        </w:rPr>
      </w:pPr>
      <w:r w:rsidRPr="00590211">
        <w:rPr>
          <w:rFonts w:asciiTheme="majorHAnsi" w:hAnsiTheme="majorHAnsi"/>
          <w:bCs/>
          <w:szCs w:val="26"/>
          <w:lang w:val="pt-BR"/>
        </w:rPr>
        <w:t>- Chương XI: Quản lý nhà nước về thanh tra;</w:t>
      </w:r>
    </w:p>
    <w:p w14:paraId="79E292BE" w14:textId="77777777" w:rsidR="00F91F56" w:rsidRPr="00590211" w:rsidRDefault="00F91F56" w:rsidP="00AE142F">
      <w:pPr>
        <w:tabs>
          <w:tab w:val="left" w:pos="709"/>
        </w:tabs>
        <w:spacing w:before="40" w:after="40"/>
        <w:ind w:firstLine="567"/>
        <w:jc w:val="both"/>
        <w:rPr>
          <w:rFonts w:asciiTheme="majorHAnsi" w:hAnsiTheme="majorHAnsi"/>
          <w:bCs/>
          <w:szCs w:val="26"/>
          <w:lang w:val="pt-BR"/>
        </w:rPr>
      </w:pPr>
      <w:r w:rsidRPr="00590211">
        <w:rPr>
          <w:rFonts w:asciiTheme="majorHAnsi" w:hAnsiTheme="majorHAnsi"/>
          <w:bCs/>
          <w:szCs w:val="26"/>
          <w:lang w:val="pt-BR"/>
        </w:rPr>
        <w:t>- Chương XII: Quản lý nhà nước về giám sát;</w:t>
      </w:r>
    </w:p>
    <w:p w14:paraId="1307AE14" w14:textId="77777777" w:rsidR="00341F2C" w:rsidRPr="00590211" w:rsidRDefault="00F91F56" w:rsidP="00AE142F">
      <w:pPr>
        <w:tabs>
          <w:tab w:val="left" w:pos="709"/>
        </w:tabs>
        <w:spacing w:before="40" w:after="40"/>
        <w:ind w:firstLine="567"/>
        <w:jc w:val="both"/>
        <w:rPr>
          <w:rFonts w:asciiTheme="majorHAnsi" w:hAnsiTheme="majorHAnsi"/>
          <w:bCs/>
          <w:szCs w:val="26"/>
          <w:lang w:val="pt-BR"/>
        </w:rPr>
      </w:pPr>
      <w:r w:rsidRPr="00590211">
        <w:rPr>
          <w:rFonts w:asciiTheme="majorHAnsi" w:hAnsiTheme="majorHAnsi"/>
          <w:bCs/>
          <w:szCs w:val="26"/>
          <w:lang w:val="pt-BR"/>
        </w:rPr>
        <w:t>- Chương XIII: Điều khoản thi hành.</w:t>
      </w:r>
    </w:p>
    <w:p w14:paraId="3F1BA03C" w14:textId="77E76993" w:rsidR="00484A2D" w:rsidRPr="00590211" w:rsidRDefault="00341F2C" w:rsidP="00AE142F">
      <w:pPr>
        <w:tabs>
          <w:tab w:val="left" w:pos="709"/>
        </w:tabs>
        <w:spacing w:before="40" w:after="40"/>
        <w:ind w:firstLine="567"/>
        <w:jc w:val="both"/>
        <w:rPr>
          <w:rFonts w:asciiTheme="majorHAnsi" w:hAnsiTheme="majorHAnsi"/>
          <w:b/>
          <w:iCs/>
          <w:szCs w:val="26"/>
        </w:rPr>
      </w:pPr>
      <w:r w:rsidRPr="00590211">
        <w:rPr>
          <w:rFonts w:asciiTheme="majorHAnsi" w:hAnsiTheme="majorHAnsi"/>
          <w:b/>
          <w:bCs/>
          <w:szCs w:val="26"/>
          <w:lang w:val="pt-BR"/>
        </w:rPr>
        <w:t xml:space="preserve">3. </w:t>
      </w:r>
      <w:r w:rsidR="00484A2D" w:rsidRPr="00590211">
        <w:rPr>
          <w:rFonts w:asciiTheme="majorHAnsi" w:hAnsiTheme="majorHAnsi"/>
          <w:b/>
          <w:iCs/>
          <w:szCs w:val="26"/>
        </w:rPr>
        <w:t xml:space="preserve">Nội dung cơ bản </w:t>
      </w:r>
    </w:p>
    <w:p w14:paraId="301F0379" w14:textId="1C58B25E" w:rsidR="000334A3" w:rsidRPr="00590211" w:rsidRDefault="0008405C" w:rsidP="00AE142F">
      <w:pPr>
        <w:tabs>
          <w:tab w:val="left" w:pos="709"/>
        </w:tabs>
        <w:spacing w:before="40" w:after="40"/>
        <w:ind w:firstLine="567"/>
        <w:jc w:val="both"/>
        <w:rPr>
          <w:rFonts w:asciiTheme="majorHAnsi" w:hAnsiTheme="majorHAnsi"/>
          <w:b/>
          <w:i/>
          <w:iCs/>
          <w:szCs w:val="26"/>
          <w:lang w:val="en-US"/>
        </w:rPr>
      </w:pPr>
      <w:r w:rsidRPr="00590211">
        <w:rPr>
          <w:rFonts w:asciiTheme="majorHAnsi" w:hAnsiTheme="majorHAnsi"/>
          <w:b/>
          <w:i/>
          <w:iCs/>
          <w:szCs w:val="26"/>
          <w:lang w:val="en-US"/>
        </w:rPr>
        <w:t xml:space="preserve">3.1. </w:t>
      </w:r>
      <w:r w:rsidR="000334A3" w:rsidRPr="00590211">
        <w:rPr>
          <w:rFonts w:asciiTheme="majorHAnsi" w:hAnsiTheme="majorHAnsi"/>
          <w:b/>
          <w:i/>
          <w:iCs/>
          <w:szCs w:val="26"/>
          <w:lang w:val="en-US"/>
        </w:rPr>
        <w:t>Về Giấy phép</w:t>
      </w:r>
    </w:p>
    <w:p w14:paraId="362C4C62" w14:textId="77777777" w:rsidR="00D237B5" w:rsidRPr="00590211" w:rsidRDefault="00D237B5" w:rsidP="00AE142F">
      <w:pPr>
        <w:tabs>
          <w:tab w:val="left" w:pos="709"/>
        </w:tabs>
        <w:spacing w:before="40" w:after="40"/>
        <w:ind w:firstLine="567"/>
        <w:jc w:val="both"/>
        <w:rPr>
          <w:rFonts w:asciiTheme="majorHAnsi" w:hAnsiTheme="majorHAnsi"/>
          <w:b/>
          <w:bCs/>
          <w:iCs/>
          <w:szCs w:val="26"/>
          <w:lang w:val="pt-BR"/>
        </w:rPr>
      </w:pPr>
      <w:r w:rsidRPr="00590211">
        <w:rPr>
          <w:rFonts w:asciiTheme="majorHAnsi" w:hAnsiTheme="majorHAnsi"/>
          <w:b/>
          <w:bCs/>
          <w:i/>
          <w:iCs/>
          <w:szCs w:val="26"/>
          <w:lang w:val="pt-BR"/>
        </w:rPr>
        <w:t>a)</w:t>
      </w:r>
      <w:r w:rsidR="000334A3" w:rsidRPr="00590211">
        <w:rPr>
          <w:rFonts w:asciiTheme="majorHAnsi" w:hAnsiTheme="majorHAnsi"/>
          <w:b/>
          <w:bCs/>
          <w:i/>
          <w:iCs/>
          <w:szCs w:val="26"/>
          <w:lang w:val="pt-BR"/>
        </w:rPr>
        <w:t xml:space="preserve"> Về thẩm quyền cấp, sửa đổi, bổ sung và thu hồi Giấy phép</w:t>
      </w:r>
      <w:r w:rsidR="004F5585" w:rsidRPr="00590211">
        <w:rPr>
          <w:rFonts w:asciiTheme="majorHAnsi" w:hAnsiTheme="majorHAnsi"/>
          <w:b/>
          <w:bCs/>
          <w:iCs/>
          <w:szCs w:val="26"/>
          <w:lang w:val="pt-BR"/>
        </w:rPr>
        <w:t xml:space="preserve">: </w:t>
      </w:r>
    </w:p>
    <w:p w14:paraId="55FA70B8" w14:textId="6E67B42D" w:rsidR="000334A3" w:rsidRPr="00590211" w:rsidRDefault="009E7EFC"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pt-BR"/>
        </w:rPr>
        <w:t>DTNĐ</w:t>
      </w:r>
      <w:r w:rsidR="000334A3" w:rsidRPr="00590211">
        <w:rPr>
          <w:rFonts w:asciiTheme="majorHAnsi" w:hAnsiTheme="majorHAnsi"/>
          <w:bCs/>
          <w:iCs/>
          <w:szCs w:val="26"/>
          <w:lang w:val="en-US"/>
        </w:rPr>
        <w:t xml:space="preserve"> quy định nội dung này theo 02 phương án:</w:t>
      </w:r>
    </w:p>
    <w:p w14:paraId="03C32574" w14:textId="50EA040D" w:rsidR="000334A3" w:rsidRPr="00590211" w:rsidRDefault="00D237B5"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w:t>
      </w:r>
      <w:r w:rsidR="000334A3" w:rsidRPr="00590211">
        <w:rPr>
          <w:rFonts w:asciiTheme="majorHAnsi" w:hAnsiTheme="majorHAnsi"/>
          <w:bCs/>
          <w:iCs/>
          <w:szCs w:val="26"/>
          <w:lang w:val="en-US"/>
        </w:rPr>
        <w:t xml:space="preserve"> </w:t>
      </w:r>
      <w:r w:rsidR="000334A3" w:rsidRPr="00590211">
        <w:rPr>
          <w:rFonts w:asciiTheme="majorHAnsi" w:hAnsiTheme="majorHAnsi"/>
          <w:b/>
          <w:bCs/>
          <w:iCs/>
          <w:szCs w:val="26"/>
          <w:lang w:val="en-US"/>
        </w:rPr>
        <w:t>Phương án 1</w:t>
      </w:r>
      <w:r w:rsidR="000334A3" w:rsidRPr="00590211">
        <w:rPr>
          <w:rFonts w:asciiTheme="majorHAnsi" w:hAnsiTheme="majorHAnsi"/>
          <w:bCs/>
          <w:iCs/>
          <w:szCs w:val="26"/>
          <w:lang w:val="en-US"/>
        </w:rPr>
        <w:t xml:space="preserve">: Trong </w:t>
      </w:r>
      <w:r w:rsidR="000334A3" w:rsidRPr="00590211">
        <w:rPr>
          <w:rFonts w:asciiTheme="majorHAnsi" w:hAnsiTheme="majorHAnsi"/>
          <w:b/>
          <w:bCs/>
          <w:iCs/>
          <w:szCs w:val="26"/>
          <w:lang w:val="en-US"/>
        </w:rPr>
        <w:t>05 năm đầ</w:t>
      </w:r>
      <w:r w:rsidR="00DE6742" w:rsidRPr="00590211">
        <w:rPr>
          <w:rFonts w:asciiTheme="majorHAnsi" w:hAnsiTheme="majorHAnsi"/>
          <w:b/>
          <w:bCs/>
          <w:iCs/>
          <w:szCs w:val="26"/>
          <w:lang w:val="en-US"/>
        </w:rPr>
        <w:t>u sau khi TTTC được thành lập</w:t>
      </w:r>
      <w:r w:rsidR="000334A3" w:rsidRPr="00590211">
        <w:rPr>
          <w:rFonts w:asciiTheme="majorHAnsi" w:hAnsiTheme="majorHAnsi"/>
          <w:bCs/>
          <w:iCs/>
          <w:szCs w:val="26"/>
          <w:lang w:val="en-US"/>
        </w:rPr>
        <w:t>, NHNN sẽ thực hiện cấp Giấy phép đối với NHTM,</w:t>
      </w:r>
      <w:r w:rsidR="000D2B8C" w:rsidRPr="00590211">
        <w:rPr>
          <w:rFonts w:asciiTheme="majorHAnsi" w:hAnsiTheme="majorHAnsi"/>
          <w:bCs/>
          <w:iCs/>
          <w:szCs w:val="26"/>
          <w:lang w:val="en-US"/>
        </w:rPr>
        <w:t xml:space="preserve"> chi nhánh NHNNg là thành viên</w:t>
      </w:r>
      <w:r w:rsidR="000334A3" w:rsidRPr="00590211">
        <w:rPr>
          <w:rFonts w:asciiTheme="majorHAnsi" w:hAnsiTheme="majorHAnsi"/>
          <w:iCs/>
          <w:szCs w:val="26"/>
          <w:lang w:val="en-US"/>
        </w:rPr>
        <w:t xml:space="preserve"> </w:t>
      </w:r>
      <w:r w:rsidR="000334A3" w:rsidRPr="00590211">
        <w:rPr>
          <w:rFonts w:asciiTheme="majorHAnsi" w:hAnsiTheme="majorHAnsi"/>
          <w:bCs/>
          <w:iCs/>
          <w:szCs w:val="26"/>
          <w:lang w:val="en-US"/>
        </w:rPr>
        <w:t>theo chức năng, nhiệm vụ được giao hoặc theo kiến nghị của Cơ quan giám sát TTTC. Sau 05 năm NHNN thực hiện, Cơ quan giám sát TTTC sẽ</w:t>
      </w:r>
      <w:r w:rsidR="00406449" w:rsidRPr="00590211">
        <w:rPr>
          <w:rFonts w:asciiTheme="majorHAnsi" w:hAnsiTheme="majorHAnsi"/>
          <w:bCs/>
          <w:iCs/>
          <w:szCs w:val="26"/>
          <w:lang w:val="en-US"/>
        </w:rPr>
        <w:t xml:space="preserve"> tiếp quản và</w:t>
      </w:r>
      <w:r w:rsidR="000334A3" w:rsidRPr="00590211">
        <w:rPr>
          <w:rFonts w:asciiTheme="majorHAnsi" w:hAnsiTheme="majorHAnsi"/>
          <w:bCs/>
          <w:iCs/>
          <w:szCs w:val="26"/>
          <w:lang w:val="en-US"/>
        </w:rPr>
        <w:t xml:space="preserve"> thực hiện cấp Giấy phép đối với NHTM, chi nhánh NHNNg là thành viên. </w:t>
      </w:r>
    </w:p>
    <w:p w14:paraId="4A81631B" w14:textId="7F79C5A8" w:rsidR="004F5585" w:rsidRPr="00590211" w:rsidRDefault="00D237B5"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w:t>
      </w:r>
      <w:r w:rsidR="004F5585" w:rsidRPr="00590211">
        <w:rPr>
          <w:rFonts w:asciiTheme="majorHAnsi" w:hAnsiTheme="majorHAnsi"/>
          <w:bCs/>
          <w:iCs/>
          <w:szCs w:val="26"/>
          <w:lang w:val="en-US"/>
        </w:rPr>
        <w:t xml:space="preserve"> </w:t>
      </w:r>
      <w:r w:rsidR="004F5585" w:rsidRPr="00590211">
        <w:rPr>
          <w:rFonts w:asciiTheme="majorHAnsi" w:hAnsiTheme="majorHAnsi"/>
          <w:b/>
          <w:bCs/>
          <w:iCs/>
          <w:szCs w:val="26"/>
          <w:lang w:val="en-US"/>
        </w:rPr>
        <w:t>Phương án 2:</w:t>
      </w:r>
      <w:r w:rsidR="004F5585" w:rsidRPr="00590211">
        <w:rPr>
          <w:rFonts w:asciiTheme="majorHAnsi" w:hAnsiTheme="majorHAnsi"/>
          <w:bCs/>
          <w:iCs/>
          <w:szCs w:val="26"/>
        </w:rPr>
        <w:t xml:space="preserve"> Công tác cấp Giấy phép đối với NHTM, chi nhánh NHNN là thành viên sẽ do Cơ quan giám sát TTTC thực hiện, chịu trách nhiệm. Theo đó, </w:t>
      </w:r>
      <w:r w:rsidR="00464605" w:rsidRPr="00590211">
        <w:rPr>
          <w:rFonts w:asciiTheme="majorHAnsi" w:hAnsiTheme="majorHAnsi"/>
          <w:bCs/>
          <w:iCs/>
          <w:szCs w:val="26"/>
          <w:lang w:val="en-US"/>
        </w:rPr>
        <w:t>DTNĐ</w:t>
      </w:r>
      <w:r w:rsidR="004F5585" w:rsidRPr="00590211">
        <w:rPr>
          <w:rFonts w:asciiTheme="majorHAnsi" w:hAnsiTheme="majorHAnsi"/>
          <w:bCs/>
          <w:iCs/>
          <w:szCs w:val="26"/>
        </w:rPr>
        <w:t xml:space="preserve"> quy định điều kiện và các vấn đề chung liên quan đến cấp Giấ</w:t>
      </w:r>
      <w:r w:rsidR="00DE6742" w:rsidRPr="00590211">
        <w:rPr>
          <w:rFonts w:asciiTheme="majorHAnsi" w:hAnsiTheme="majorHAnsi"/>
          <w:bCs/>
          <w:iCs/>
          <w:szCs w:val="26"/>
        </w:rPr>
        <w:t xml:space="preserve">y phép để </w:t>
      </w:r>
      <w:r w:rsidR="00DE6742" w:rsidRPr="00590211">
        <w:rPr>
          <w:rFonts w:asciiTheme="majorHAnsi" w:hAnsiTheme="majorHAnsi"/>
          <w:bCs/>
          <w:iCs/>
          <w:szCs w:val="26"/>
          <w:lang w:val="en-US"/>
        </w:rPr>
        <w:t>Cơ quan giám sát TTTC thực hiện.</w:t>
      </w:r>
    </w:p>
    <w:p w14:paraId="756AD8F7" w14:textId="0E546A44" w:rsidR="004F5585" w:rsidRPr="00590211" w:rsidRDefault="00D237B5" w:rsidP="00AE142F">
      <w:pPr>
        <w:tabs>
          <w:tab w:val="left" w:pos="709"/>
        </w:tabs>
        <w:spacing w:before="40" w:after="40"/>
        <w:ind w:firstLine="567"/>
        <w:jc w:val="both"/>
        <w:rPr>
          <w:rFonts w:asciiTheme="majorHAnsi" w:hAnsiTheme="majorHAnsi"/>
          <w:b/>
          <w:bCs/>
          <w:i/>
          <w:iCs/>
          <w:szCs w:val="26"/>
          <w:lang w:val="pt-BR"/>
        </w:rPr>
      </w:pPr>
      <w:r w:rsidRPr="00590211">
        <w:rPr>
          <w:rFonts w:asciiTheme="majorHAnsi" w:hAnsiTheme="majorHAnsi"/>
          <w:b/>
          <w:bCs/>
          <w:i/>
          <w:iCs/>
          <w:szCs w:val="26"/>
          <w:lang w:val="en-US"/>
        </w:rPr>
        <w:t>b)</w:t>
      </w:r>
      <w:r w:rsidR="004F5585" w:rsidRPr="00590211">
        <w:rPr>
          <w:rFonts w:asciiTheme="majorHAnsi" w:hAnsiTheme="majorHAnsi"/>
          <w:b/>
          <w:bCs/>
          <w:i/>
          <w:iCs/>
          <w:szCs w:val="26"/>
          <w:lang w:val="en-US"/>
        </w:rPr>
        <w:t xml:space="preserve"> </w:t>
      </w:r>
      <w:r w:rsidR="004F5585" w:rsidRPr="00590211">
        <w:rPr>
          <w:rFonts w:asciiTheme="majorHAnsi" w:hAnsiTheme="majorHAnsi"/>
          <w:b/>
          <w:bCs/>
          <w:i/>
          <w:iCs/>
          <w:szCs w:val="26"/>
          <w:lang w:val="pt-BR"/>
        </w:rPr>
        <w:t>Về điều kiện cấp Giấy phép:</w:t>
      </w:r>
    </w:p>
    <w:p w14:paraId="1F127CD6" w14:textId="560D4601" w:rsidR="004F5585" w:rsidRPr="00590211" w:rsidRDefault="00D237B5" w:rsidP="00AE142F">
      <w:pPr>
        <w:tabs>
          <w:tab w:val="left" w:pos="709"/>
        </w:tabs>
        <w:spacing w:before="40" w:after="40"/>
        <w:ind w:firstLine="567"/>
        <w:jc w:val="both"/>
        <w:rPr>
          <w:rFonts w:asciiTheme="majorHAnsi" w:hAnsiTheme="majorHAnsi"/>
          <w:bCs/>
          <w:iCs/>
          <w:szCs w:val="26"/>
          <w:lang w:val="pt-BR"/>
        </w:rPr>
      </w:pPr>
      <w:r w:rsidRPr="00590211">
        <w:rPr>
          <w:rFonts w:asciiTheme="majorHAnsi" w:hAnsiTheme="majorHAnsi"/>
          <w:bCs/>
          <w:iCs/>
          <w:szCs w:val="26"/>
          <w:lang w:val="pt-BR"/>
        </w:rPr>
        <w:t>-</w:t>
      </w:r>
      <w:r w:rsidR="004F5585" w:rsidRPr="00590211">
        <w:rPr>
          <w:rFonts w:asciiTheme="majorHAnsi" w:hAnsiTheme="majorHAnsi"/>
          <w:bCs/>
          <w:iCs/>
          <w:szCs w:val="26"/>
          <w:lang w:val="pt-BR"/>
        </w:rPr>
        <w:t xml:space="preserve"> Đối với NHTM 100% vốn nước ngoài, chi nhánh NHNNg: </w:t>
      </w:r>
      <w:r w:rsidR="00464605" w:rsidRPr="00590211">
        <w:rPr>
          <w:rFonts w:asciiTheme="majorHAnsi" w:hAnsiTheme="majorHAnsi"/>
          <w:bCs/>
          <w:iCs/>
          <w:szCs w:val="26"/>
          <w:lang w:val="pt-BR"/>
        </w:rPr>
        <w:t>DTNĐ</w:t>
      </w:r>
      <w:r w:rsidR="004F5585" w:rsidRPr="00590211">
        <w:rPr>
          <w:rFonts w:asciiTheme="majorHAnsi" w:hAnsiTheme="majorHAnsi"/>
          <w:bCs/>
          <w:iCs/>
          <w:szCs w:val="26"/>
          <w:lang w:val="pt-BR"/>
        </w:rPr>
        <w:t xml:space="preserve"> quy định điều kiện cấp Giấy phép theo hướng tương tự quy định về điều kiện cấp Giấy phép tại Điều 29 Luật Các TCTD, điều kiện của chủ sở hữu tại Nghị định số 162/2024/NĐ-CP</w:t>
      </w:r>
      <w:r w:rsidR="004F5585" w:rsidRPr="00590211">
        <w:rPr>
          <w:rFonts w:asciiTheme="majorHAnsi" w:hAnsiTheme="majorHAnsi"/>
          <w:bCs/>
          <w:iCs/>
          <w:szCs w:val="26"/>
          <w:vertAlign w:val="superscript"/>
          <w:lang w:val="en-US"/>
        </w:rPr>
        <w:footnoteReference w:id="3"/>
      </w:r>
      <w:r w:rsidR="004F5585" w:rsidRPr="00590211">
        <w:rPr>
          <w:rFonts w:asciiTheme="majorHAnsi" w:hAnsiTheme="majorHAnsi"/>
          <w:bCs/>
          <w:iCs/>
          <w:szCs w:val="26"/>
          <w:lang w:val="pt-BR"/>
        </w:rPr>
        <w:t xml:space="preserve"> và các Thông tư hướng dẫn. Quy định như trên nhằm không tạo sự khác biệt giữa các nhà đầu tư nước ngoài khi thành lập NHTM dù ở trong TTTC hay trên lãnh thổ Việt Nam.</w:t>
      </w:r>
      <w:r w:rsidR="0098735B" w:rsidRPr="00590211">
        <w:rPr>
          <w:rFonts w:asciiTheme="majorHAnsi" w:hAnsiTheme="majorHAnsi"/>
          <w:bCs/>
          <w:iCs/>
          <w:szCs w:val="26"/>
          <w:lang w:val="pt-BR"/>
        </w:rPr>
        <w:t xml:space="preserve"> Quy định này là </w:t>
      </w:r>
      <w:r w:rsidR="0098735B" w:rsidRPr="00590211">
        <w:rPr>
          <w:rFonts w:asciiTheme="majorHAnsi" w:hAnsiTheme="majorHAnsi"/>
          <w:bCs/>
          <w:iCs/>
          <w:szCs w:val="26"/>
          <w:lang w:val="pt-BR"/>
        </w:rPr>
        <w:lastRenderedPageBreak/>
        <w:t xml:space="preserve">phù hợp với định hướng thành lập TTTC </w:t>
      </w:r>
      <w:r w:rsidR="00406449" w:rsidRPr="00590211">
        <w:rPr>
          <w:rFonts w:asciiTheme="majorHAnsi" w:hAnsiTheme="majorHAnsi"/>
          <w:bCs/>
          <w:iCs/>
          <w:szCs w:val="26"/>
          <w:lang w:val="pt-BR"/>
        </w:rPr>
        <w:t>trong việc</w:t>
      </w:r>
      <w:r w:rsidR="0098735B" w:rsidRPr="00590211">
        <w:rPr>
          <w:rFonts w:asciiTheme="majorHAnsi" w:hAnsiTheme="majorHAnsi"/>
          <w:bCs/>
          <w:iCs/>
          <w:szCs w:val="26"/>
          <w:lang w:val="pt-BR"/>
        </w:rPr>
        <w:t xml:space="preserve"> thu hút các nhà đầu tư có tiềm lực uy tín vào TTTC.</w:t>
      </w:r>
    </w:p>
    <w:p w14:paraId="234BD005" w14:textId="3341F8A8" w:rsidR="004F5585" w:rsidRPr="00590211" w:rsidRDefault="004F5585" w:rsidP="00AE142F">
      <w:pPr>
        <w:tabs>
          <w:tab w:val="left" w:pos="709"/>
        </w:tabs>
        <w:spacing w:before="40" w:after="40"/>
        <w:ind w:firstLine="567"/>
        <w:jc w:val="both"/>
        <w:rPr>
          <w:rFonts w:asciiTheme="majorHAnsi" w:hAnsiTheme="majorHAnsi"/>
          <w:bCs/>
          <w:iCs/>
          <w:szCs w:val="26"/>
          <w:lang w:val="pt-BR"/>
        </w:rPr>
      </w:pPr>
      <w:r w:rsidRPr="00590211">
        <w:rPr>
          <w:rFonts w:asciiTheme="majorHAnsi" w:hAnsiTheme="majorHAnsi"/>
          <w:bCs/>
          <w:iCs/>
          <w:szCs w:val="26"/>
          <w:lang w:val="pt-BR"/>
        </w:rPr>
        <w:t xml:space="preserve">- Đối với NHTM 100% vốn trong nước: </w:t>
      </w:r>
      <w:r w:rsidR="00464605" w:rsidRPr="00590211">
        <w:rPr>
          <w:rFonts w:asciiTheme="majorHAnsi" w:hAnsiTheme="majorHAnsi"/>
          <w:bCs/>
          <w:iCs/>
          <w:szCs w:val="26"/>
          <w:lang w:val="pt-BR"/>
        </w:rPr>
        <w:t>DTNĐ</w:t>
      </w:r>
      <w:r w:rsidRPr="00590211">
        <w:rPr>
          <w:rFonts w:asciiTheme="majorHAnsi" w:hAnsiTheme="majorHAnsi"/>
          <w:bCs/>
          <w:iCs/>
          <w:szCs w:val="26"/>
          <w:lang w:val="pt-BR"/>
        </w:rPr>
        <w:t xml:space="preserve"> quy định điều kiện thành lập NHTM 100% vốn trong nước tại TTTC trên cơ sở tham khảo quy định điều kiện để NHTM thành lập ngân hàng con ở nước ngoài tại Thông tư số 32/2024/TT-NHNN</w:t>
      </w:r>
      <w:r w:rsidRPr="00590211">
        <w:rPr>
          <w:rFonts w:asciiTheme="majorHAnsi" w:hAnsiTheme="majorHAnsi"/>
          <w:bCs/>
          <w:iCs/>
          <w:szCs w:val="26"/>
          <w:vertAlign w:val="superscript"/>
          <w:lang w:val="en-US"/>
        </w:rPr>
        <w:footnoteReference w:id="4"/>
      </w:r>
      <w:r w:rsidRPr="00590211">
        <w:rPr>
          <w:rFonts w:asciiTheme="majorHAnsi" w:hAnsiTheme="majorHAnsi"/>
          <w:bCs/>
          <w:iCs/>
          <w:szCs w:val="26"/>
          <w:lang w:val="pt-BR"/>
        </w:rPr>
        <w:t>, các quy định liên quan khác tại Điều 29 Luật Các TCTD và Nghị định số 162/2024/NĐ-CP.</w:t>
      </w:r>
    </w:p>
    <w:p w14:paraId="32A2C636" w14:textId="4B692489" w:rsidR="00CC1CE5" w:rsidRDefault="009916FA" w:rsidP="00AE142F">
      <w:pPr>
        <w:tabs>
          <w:tab w:val="left" w:pos="709"/>
        </w:tabs>
        <w:spacing w:before="40" w:after="40"/>
        <w:ind w:firstLine="567"/>
        <w:jc w:val="both"/>
        <w:rPr>
          <w:rFonts w:asciiTheme="majorHAnsi" w:hAnsiTheme="majorHAnsi"/>
          <w:bCs/>
          <w:iCs/>
          <w:szCs w:val="26"/>
          <w:lang w:val="pt-BR"/>
        </w:rPr>
      </w:pPr>
      <w:r w:rsidRPr="00590211">
        <w:rPr>
          <w:rFonts w:asciiTheme="majorHAnsi" w:hAnsiTheme="majorHAnsi"/>
          <w:b/>
          <w:bCs/>
          <w:i/>
          <w:iCs/>
          <w:szCs w:val="26"/>
          <w:lang w:val="en-US"/>
        </w:rPr>
        <w:t>c)</w:t>
      </w:r>
      <w:r w:rsidR="004F5585" w:rsidRPr="00590211">
        <w:rPr>
          <w:rFonts w:asciiTheme="majorHAnsi" w:hAnsiTheme="majorHAnsi"/>
          <w:b/>
          <w:bCs/>
          <w:i/>
          <w:iCs/>
          <w:szCs w:val="26"/>
          <w:lang w:val="en-US"/>
        </w:rPr>
        <w:t xml:space="preserve"> </w:t>
      </w:r>
      <w:r w:rsidR="000161BA" w:rsidRPr="00590211">
        <w:rPr>
          <w:rFonts w:asciiTheme="majorHAnsi" w:hAnsiTheme="majorHAnsi"/>
          <w:b/>
          <w:bCs/>
          <w:i/>
          <w:iCs/>
          <w:szCs w:val="26"/>
          <w:lang w:val="pt-BR"/>
        </w:rPr>
        <w:t>Về thủ tục cấp Giấy phép:</w:t>
      </w:r>
      <w:r w:rsidR="000161BA" w:rsidRPr="00590211">
        <w:rPr>
          <w:rFonts w:asciiTheme="majorHAnsi" w:hAnsiTheme="majorHAnsi"/>
          <w:bCs/>
          <w:iCs/>
          <w:szCs w:val="26"/>
          <w:lang w:val="pt-BR"/>
        </w:rPr>
        <w:t xml:space="preserve"> </w:t>
      </w:r>
      <w:r w:rsidR="00464605" w:rsidRPr="00590211">
        <w:rPr>
          <w:rFonts w:asciiTheme="majorHAnsi" w:hAnsiTheme="majorHAnsi"/>
          <w:bCs/>
          <w:iCs/>
          <w:szCs w:val="26"/>
          <w:lang w:val="pt-BR"/>
        </w:rPr>
        <w:t>DTNĐ</w:t>
      </w:r>
      <w:r w:rsidR="000161BA" w:rsidRPr="00590211">
        <w:rPr>
          <w:rFonts w:asciiTheme="majorHAnsi" w:hAnsiTheme="majorHAnsi"/>
          <w:bCs/>
          <w:iCs/>
          <w:szCs w:val="26"/>
          <w:lang w:val="pt-BR"/>
        </w:rPr>
        <w:t xml:space="preserve"> </w:t>
      </w:r>
      <w:r w:rsidR="0098735B" w:rsidRPr="00590211">
        <w:rPr>
          <w:rFonts w:asciiTheme="majorHAnsi" w:hAnsiTheme="majorHAnsi"/>
          <w:bCs/>
          <w:iCs/>
          <w:szCs w:val="26"/>
          <w:lang w:val="pt-BR"/>
        </w:rPr>
        <w:t>được</w:t>
      </w:r>
      <w:r w:rsidR="000161BA" w:rsidRPr="00590211">
        <w:rPr>
          <w:rFonts w:asciiTheme="majorHAnsi" w:hAnsiTheme="majorHAnsi"/>
          <w:bCs/>
          <w:iCs/>
          <w:szCs w:val="26"/>
          <w:lang w:val="pt-BR"/>
        </w:rPr>
        <w:t xml:space="preserve"> </w:t>
      </w:r>
      <w:r w:rsidR="003D2EEF" w:rsidRPr="00590211">
        <w:rPr>
          <w:rFonts w:asciiTheme="majorHAnsi" w:hAnsiTheme="majorHAnsi"/>
          <w:bCs/>
          <w:iCs/>
          <w:szCs w:val="26"/>
          <w:lang w:val="pt-BR"/>
        </w:rPr>
        <w:t xml:space="preserve">quy định </w:t>
      </w:r>
      <w:r w:rsidR="00464605" w:rsidRPr="00590211">
        <w:rPr>
          <w:rFonts w:asciiTheme="majorHAnsi" w:hAnsiTheme="majorHAnsi"/>
          <w:bCs/>
          <w:iCs/>
          <w:szCs w:val="26"/>
          <w:lang w:val="pt-BR"/>
        </w:rPr>
        <w:t xml:space="preserve">theo hướng đơn giản hơn quy định hiện hành, cụ thể: Điều chỉnh thủ tục cấp phép từ 02 bước xuống 01 bước, khi đó thời gian cấp phép dự kiến sẽ giảm xuống từ 180 ngày còn 120 ngày kể từ ngày nhận được hồ sơ đầy đủ và hợp lệ </w:t>
      </w:r>
      <w:r w:rsidR="00464605" w:rsidRPr="00590211">
        <w:rPr>
          <w:rFonts w:asciiTheme="majorHAnsi" w:hAnsiTheme="majorHAnsi"/>
          <w:b/>
          <w:bCs/>
          <w:i/>
          <w:iCs/>
          <w:szCs w:val="26"/>
          <w:lang w:val="pt-BR"/>
        </w:rPr>
        <w:t>(chính sách vượt trội)</w:t>
      </w:r>
      <w:r w:rsidR="00464605" w:rsidRPr="00590211">
        <w:rPr>
          <w:rFonts w:asciiTheme="majorHAnsi" w:hAnsiTheme="majorHAnsi"/>
          <w:bCs/>
          <w:iCs/>
          <w:szCs w:val="26"/>
          <w:lang w:val="pt-BR"/>
        </w:rPr>
        <w:t>.</w:t>
      </w:r>
      <w:r w:rsidR="0027594B" w:rsidRPr="00590211">
        <w:rPr>
          <w:rFonts w:asciiTheme="majorHAnsi" w:hAnsiTheme="majorHAnsi"/>
          <w:bCs/>
          <w:iCs/>
          <w:szCs w:val="26"/>
          <w:lang w:val="pt-BR"/>
        </w:rPr>
        <w:t xml:space="preserve"> Quy định này là tương đồng với kinh nghiệm của TTTC </w:t>
      </w:r>
      <w:r w:rsidR="00CC1CE5">
        <w:rPr>
          <w:rFonts w:asciiTheme="majorHAnsi" w:hAnsiTheme="majorHAnsi"/>
          <w:bCs/>
          <w:iCs/>
          <w:szCs w:val="26"/>
          <w:lang w:val="pt-BR"/>
        </w:rPr>
        <w:t>Ấn Độ (</w:t>
      </w:r>
      <w:r w:rsidR="00CC1CE5" w:rsidRPr="00CC1CE5">
        <w:rPr>
          <w:rFonts w:asciiTheme="majorHAnsi" w:hAnsiTheme="majorHAnsi"/>
          <w:bCs/>
          <w:iCs/>
          <w:szCs w:val="26"/>
          <w:lang w:val="pt-BR"/>
        </w:rPr>
        <w:t>GIFT City</w:t>
      </w:r>
      <w:r w:rsidR="00CC1CE5">
        <w:rPr>
          <w:rFonts w:asciiTheme="majorHAnsi" w:hAnsiTheme="majorHAnsi"/>
          <w:bCs/>
          <w:iCs/>
          <w:szCs w:val="26"/>
          <w:lang w:val="pt-BR"/>
        </w:rPr>
        <w:t>)</w:t>
      </w:r>
      <w:r w:rsidR="0027594B" w:rsidRPr="00590211">
        <w:rPr>
          <w:rFonts w:asciiTheme="majorHAnsi" w:hAnsiTheme="majorHAnsi"/>
          <w:bCs/>
          <w:iCs/>
          <w:szCs w:val="26"/>
          <w:lang w:val="pt-BR"/>
        </w:rPr>
        <w:t xml:space="preserve">, theo </w:t>
      </w:r>
      <w:r w:rsidR="00CC1CE5">
        <w:rPr>
          <w:rFonts w:asciiTheme="majorHAnsi" w:hAnsiTheme="majorHAnsi"/>
          <w:bCs/>
          <w:iCs/>
          <w:szCs w:val="26"/>
          <w:lang w:val="pt-BR"/>
        </w:rPr>
        <w:t xml:space="preserve">Thông tư do </w:t>
      </w:r>
      <w:r w:rsidR="00CC1CE5" w:rsidRPr="00CC1CE5">
        <w:rPr>
          <w:rFonts w:asciiTheme="majorHAnsi" w:hAnsiTheme="majorHAnsi"/>
          <w:bCs/>
          <w:iCs/>
          <w:szCs w:val="26"/>
          <w:lang w:val="pt-BR"/>
        </w:rPr>
        <w:t>Cơ quan Quản lý Trung tâm Dịch vụ Tài chính Quốc tế (IFSCA)</w:t>
      </w:r>
      <w:r w:rsidR="00CC1CE5">
        <w:rPr>
          <w:rFonts w:asciiTheme="majorHAnsi" w:hAnsiTheme="majorHAnsi"/>
          <w:bCs/>
          <w:iCs/>
          <w:szCs w:val="26"/>
          <w:lang w:val="pt-BR"/>
        </w:rPr>
        <w:t xml:space="preserve"> ban hành thì thời hạn cấp phép với chi nhánh ngân hàng là 90 ngày, với công ty con của ngân hàng nước ngoài trong IFC là 180 ngày.</w:t>
      </w:r>
    </w:p>
    <w:p w14:paraId="56FBF29B" w14:textId="73D01394" w:rsidR="000161BA" w:rsidRPr="00590211" w:rsidRDefault="000161BA" w:rsidP="00AE142F">
      <w:pPr>
        <w:tabs>
          <w:tab w:val="left" w:pos="709"/>
        </w:tabs>
        <w:spacing w:before="40" w:after="40"/>
        <w:ind w:firstLine="567"/>
        <w:jc w:val="both"/>
        <w:rPr>
          <w:rFonts w:asciiTheme="majorHAnsi" w:hAnsiTheme="majorHAnsi"/>
          <w:b/>
          <w:bCs/>
          <w:i/>
          <w:iCs/>
          <w:szCs w:val="26"/>
          <w:lang w:val="pt-BR"/>
        </w:rPr>
      </w:pPr>
      <w:r w:rsidRPr="00590211">
        <w:rPr>
          <w:rFonts w:asciiTheme="majorHAnsi" w:hAnsiTheme="majorHAnsi"/>
          <w:b/>
          <w:bCs/>
          <w:i/>
          <w:iCs/>
          <w:szCs w:val="26"/>
          <w:lang w:val="pt-BR"/>
        </w:rPr>
        <w:t>3.2. Về tổ chức, quản trị, điều hành</w:t>
      </w:r>
    </w:p>
    <w:p w14:paraId="7BB09EFC" w14:textId="16E4CB7A" w:rsidR="00466EBA" w:rsidRPr="00590211" w:rsidRDefault="00466EBA" w:rsidP="00AE142F">
      <w:pPr>
        <w:tabs>
          <w:tab w:val="left" w:pos="709"/>
        </w:tabs>
        <w:spacing w:before="40" w:after="40"/>
        <w:ind w:firstLine="567"/>
        <w:jc w:val="both"/>
        <w:rPr>
          <w:rFonts w:asciiTheme="majorHAnsi" w:hAnsiTheme="majorHAnsi"/>
          <w:bCs/>
          <w:iCs/>
          <w:szCs w:val="26"/>
        </w:rPr>
      </w:pPr>
      <w:r w:rsidRPr="00590211">
        <w:rPr>
          <w:rFonts w:asciiTheme="majorHAnsi" w:hAnsiTheme="majorHAnsi"/>
          <w:bCs/>
          <w:iCs/>
          <w:szCs w:val="26"/>
        </w:rPr>
        <w:t xml:space="preserve">Quy định tổ chức, quản trị, điều hành của NHTM, chi nhánh NHNNg là thành viên </w:t>
      </w:r>
      <w:r w:rsidRPr="00590211">
        <w:rPr>
          <w:rFonts w:asciiTheme="majorHAnsi" w:hAnsiTheme="majorHAnsi"/>
          <w:bCs/>
          <w:iCs/>
          <w:szCs w:val="26"/>
          <w:lang w:val="en-US"/>
        </w:rPr>
        <w:t>được xây dựng</w:t>
      </w:r>
      <w:r w:rsidRPr="00590211">
        <w:rPr>
          <w:rFonts w:asciiTheme="majorHAnsi" w:hAnsiTheme="majorHAnsi"/>
          <w:bCs/>
          <w:iCs/>
          <w:szCs w:val="26"/>
        </w:rPr>
        <w:t xml:space="preserve"> tham khảo tương tự Luật Các TCTD và các văn bản hướng dẫn, trong đó có một số chính sách đặc thù so với quy định hiện hành như sau:</w:t>
      </w:r>
    </w:p>
    <w:p w14:paraId="4C834629" w14:textId="0F2F2004" w:rsidR="00466EBA" w:rsidRPr="00590211" w:rsidRDefault="00466EBA" w:rsidP="00AE142F">
      <w:pPr>
        <w:tabs>
          <w:tab w:val="left" w:pos="709"/>
        </w:tabs>
        <w:spacing w:before="40" w:after="40"/>
        <w:ind w:firstLine="567"/>
        <w:jc w:val="both"/>
        <w:rPr>
          <w:rFonts w:asciiTheme="majorHAnsi" w:hAnsiTheme="majorHAnsi"/>
          <w:bCs/>
          <w:iCs/>
          <w:szCs w:val="26"/>
          <w:lang w:val="pt-BR"/>
        </w:rPr>
      </w:pPr>
      <w:r w:rsidRPr="00590211">
        <w:rPr>
          <w:rFonts w:asciiTheme="majorHAnsi" w:hAnsiTheme="majorHAnsi"/>
          <w:bCs/>
          <w:i/>
          <w:iCs/>
          <w:szCs w:val="26"/>
          <w:lang w:val="en-US"/>
        </w:rPr>
        <w:t>- Về mạng lưới hoạt động:</w:t>
      </w:r>
      <w:r w:rsidRPr="00590211">
        <w:rPr>
          <w:rFonts w:asciiTheme="majorHAnsi" w:hAnsiTheme="majorHAnsi"/>
          <w:bCs/>
          <w:iCs/>
          <w:szCs w:val="26"/>
          <w:lang w:val="en-US"/>
        </w:rPr>
        <w:t xml:space="preserve"> </w:t>
      </w:r>
      <w:r w:rsidR="00C6332D" w:rsidRPr="00590211">
        <w:rPr>
          <w:rFonts w:asciiTheme="majorHAnsi" w:hAnsiTheme="majorHAnsi"/>
          <w:bCs/>
          <w:iCs/>
          <w:szCs w:val="26"/>
          <w:lang w:val="en-US"/>
        </w:rPr>
        <w:t>DTNĐ</w:t>
      </w:r>
      <w:r w:rsidRPr="00590211">
        <w:rPr>
          <w:rFonts w:asciiTheme="majorHAnsi" w:hAnsiTheme="majorHAnsi"/>
          <w:bCs/>
          <w:iCs/>
          <w:szCs w:val="26"/>
          <w:lang w:val="en-US"/>
        </w:rPr>
        <w:t xml:space="preserve"> quy định theo hướng n</w:t>
      </w:r>
      <w:r w:rsidRPr="00590211">
        <w:rPr>
          <w:rFonts w:asciiTheme="majorHAnsi" w:hAnsiTheme="majorHAnsi"/>
          <w:bCs/>
          <w:iCs/>
          <w:szCs w:val="26"/>
          <w:lang w:val="pt-BR"/>
        </w:rPr>
        <w:t>hà đầu tư/ngân hàng mẹ chỉ được phép thành lập 01 hiện diện tại TTTC và không được mở rộng mạng lướ</w:t>
      </w:r>
      <w:r w:rsidR="00FA6F43" w:rsidRPr="00590211">
        <w:rPr>
          <w:rFonts w:asciiTheme="majorHAnsi" w:hAnsiTheme="majorHAnsi"/>
          <w:bCs/>
          <w:iCs/>
          <w:szCs w:val="26"/>
          <w:lang w:val="pt-BR"/>
        </w:rPr>
        <w:t>i, để phù hợp với định hướng tại Nghị quyết về phạm vi địa lý hạn chế cũng như thúc đẩy hoạt động ngân hàng số, việc mở rộng mạng lưới vật lý là không cần thiết.</w:t>
      </w:r>
      <w:r w:rsidRPr="00590211">
        <w:rPr>
          <w:rFonts w:asciiTheme="majorHAnsi" w:hAnsiTheme="majorHAnsi"/>
          <w:bCs/>
          <w:iCs/>
          <w:szCs w:val="26"/>
          <w:lang w:val="pt-BR"/>
        </w:rPr>
        <w:t xml:space="preserve"> </w:t>
      </w:r>
    </w:p>
    <w:p w14:paraId="63278083" w14:textId="21FA701A" w:rsidR="00466EBA" w:rsidRPr="00590211" w:rsidRDefault="00466EBA" w:rsidP="00FA6F43">
      <w:pPr>
        <w:tabs>
          <w:tab w:val="left" w:pos="709"/>
        </w:tabs>
        <w:spacing w:before="40" w:after="40"/>
        <w:ind w:firstLine="567"/>
        <w:jc w:val="both"/>
        <w:rPr>
          <w:rFonts w:asciiTheme="majorHAnsi" w:hAnsiTheme="majorHAnsi"/>
          <w:bCs/>
          <w:iCs/>
          <w:szCs w:val="26"/>
          <w:lang w:val="pt-BR"/>
        </w:rPr>
      </w:pPr>
      <w:r w:rsidRPr="00590211">
        <w:rPr>
          <w:rFonts w:asciiTheme="majorHAnsi" w:hAnsiTheme="majorHAnsi"/>
          <w:bCs/>
          <w:i/>
          <w:iCs/>
          <w:szCs w:val="26"/>
          <w:lang w:val="pt-BR"/>
        </w:rPr>
        <w:t>- Về Hội đồng thành viên, Ban kiểm soát, Tổng Giám đốc (Giám đốc):</w:t>
      </w:r>
      <w:r w:rsidRPr="00590211">
        <w:rPr>
          <w:rFonts w:asciiTheme="majorHAnsi" w:hAnsiTheme="majorHAnsi"/>
          <w:bCs/>
          <w:iCs/>
          <w:szCs w:val="26"/>
          <w:lang w:val="pt-BR"/>
        </w:rPr>
        <w:t xml:space="preserve"> </w:t>
      </w:r>
      <w:r w:rsidRPr="00590211">
        <w:rPr>
          <w:rFonts w:asciiTheme="majorHAnsi" w:hAnsiTheme="majorHAnsi"/>
          <w:bCs/>
          <w:iCs/>
          <w:szCs w:val="26"/>
          <w:lang w:val="en-US"/>
        </w:rPr>
        <w:t xml:space="preserve">Về cơ bản, </w:t>
      </w:r>
      <w:r w:rsidR="003D2EEF" w:rsidRPr="00590211">
        <w:rPr>
          <w:rFonts w:asciiTheme="majorHAnsi" w:hAnsiTheme="majorHAnsi"/>
          <w:bCs/>
          <w:iCs/>
          <w:szCs w:val="26"/>
          <w:lang w:val="en-US"/>
        </w:rPr>
        <w:t>DTNĐ</w:t>
      </w:r>
      <w:r w:rsidRPr="00590211">
        <w:rPr>
          <w:rFonts w:asciiTheme="majorHAnsi" w:hAnsiTheme="majorHAnsi"/>
          <w:bCs/>
          <w:iCs/>
          <w:szCs w:val="26"/>
          <w:lang w:val="en-US"/>
        </w:rPr>
        <w:t xml:space="preserve"> quy định tương tự quy định tại Luật Các TCTD</w:t>
      </w:r>
      <w:r w:rsidR="00FA6F43" w:rsidRPr="00590211">
        <w:rPr>
          <w:rFonts w:asciiTheme="majorHAnsi" w:hAnsiTheme="majorHAnsi"/>
          <w:bCs/>
          <w:iCs/>
          <w:szCs w:val="26"/>
          <w:lang w:val="en-US"/>
        </w:rPr>
        <w:t xml:space="preserve">, riêng về quy định nội bộ liên quan đến tổ chức và hoạt động, </w:t>
      </w:r>
      <w:r w:rsidR="003D2EEF" w:rsidRPr="00590211">
        <w:rPr>
          <w:rFonts w:asciiTheme="majorHAnsi" w:hAnsiTheme="majorHAnsi"/>
          <w:bCs/>
          <w:iCs/>
          <w:szCs w:val="26"/>
          <w:lang w:val="en-US"/>
        </w:rPr>
        <w:t>DTNĐ</w:t>
      </w:r>
      <w:r w:rsidRPr="00590211">
        <w:rPr>
          <w:rFonts w:asciiTheme="majorHAnsi" w:hAnsiTheme="majorHAnsi"/>
          <w:bCs/>
          <w:iCs/>
          <w:szCs w:val="26"/>
          <w:lang w:val="pt-BR"/>
        </w:rPr>
        <w:t xml:space="preserve"> quy định theo hướng giao cho NHTM </w:t>
      </w:r>
      <w:r w:rsidR="003D2EEF" w:rsidRPr="00590211">
        <w:rPr>
          <w:rFonts w:asciiTheme="majorHAnsi" w:hAnsiTheme="majorHAnsi"/>
          <w:bCs/>
          <w:iCs/>
          <w:szCs w:val="26"/>
          <w:lang w:val="pt-BR"/>
        </w:rPr>
        <w:t xml:space="preserve">là thành viên </w:t>
      </w:r>
      <w:r w:rsidRPr="00590211">
        <w:rPr>
          <w:rFonts w:asciiTheme="majorHAnsi" w:hAnsiTheme="majorHAnsi"/>
          <w:bCs/>
          <w:iCs/>
          <w:szCs w:val="26"/>
          <w:lang w:val="pt-BR"/>
        </w:rPr>
        <w:t>quy định trong điều lệ</w:t>
      </w:r>
      <w:r w:rsidR="00C6332D" w:rsidRPr="00590211">
        <w:rPr>
          <w:rFonts w:asciiTheme="majorHAnsi" w:hAnsiTheme="majorHAnsi"/>
          <w:bCs/>
          <w:iCs/>
          <w:szCs w:val="26"/>
          <w:lang w:val="pt-BR"/>
        </w:rPr>
        <w:t xml:space="preserve"> </w:t>
      </w:r>
      <w:r w:rsidR="00C6332D" w:rsidRPr="00590211">
        <w:rPr>
          <w:rFonts w:asciiTheme="majorHAnsi" w:hAnsiTheme="majorHAnsi"/>
          <w:b/>
          <w:bCs/>
          <w:i/>
          <w:iCs/>
          <w:szCs w:val="26"/>
          <w:lang w:val="pt-BR"/>
        </w:rPr>
        <w:t>(chính sách vượt trội)</w:t>
      </w:r>
      <w:r w:rsidRPr="00590211">
        <w:rPr>
          <w:rFonts w:asciiTheme="majorHAnsi" w:hAnsiTheme="majorHAnsi"/>
          <w:bCs/>
          <w:iCs/>
          <w:szCs w:val="26"/>
          <w:lang w:val="pt-BR"/>
        </w:rPr>
        <w:t xml:space="preserve">. </w:t>
      </w:r>
      <w:r w:rsidR="00C6332D" w:rsidRPr="00590211">
        <w:rPr>
          <w:rFonts w:asciiTheme="majorHAnsi" w:hAnsiTheme="majorHAnsi"/>
          <w:bCs/>
          <w:iCs/>
          <w:szCs w:val="26"/>
          <w:lang w:val="pt-BR"/>
        </w:rPr>
        <w:t>Quy định này</w:t>
      </w:r>
      <w:r w:rsidRPr="00590211">
        <w:rPr>
          <w:rFonts w:asciiTheme="majorHAnsi" w:hAnsiTheme="majorHAnsi"/>
          <w:bCs/>
          <w:iCs/>
          <w:szCs w:val="26"/>
          <w:lang w:val="pt-BR"/>
        </w:rPr>
        <w:t xml:space="preserve"> tạo sự </w:t>
      </w:r>
      <w:r w:rsidR="00C6332D" w:rsidRPr="00590211">
        <w:rPr>
          <w:rFonts w:asciiTheme="majorHAnsi" w:hAnsiTheme="majorHAnsi"/>
          <w:bCs/>
          <w:iCs/>
          <w:szCs w:val="26"/>
          <w:lang w:val="pt-BR"/>
        </w:rPr>
        <w:t xml:space="preserve">linh hoạt, </w:t>
      </w:r>
      <w:r w:rsidRPr="00590211">
        <w:rPr>
          <w:rFonts w:asciiTheme="majorHAnsi" w:hAnsiTheme="majorHAnsi"/>
          <w:bCs/>
          <w:iCs/>
          <w:szCs w:val="26"/>
          <w:lang w:val="pt-BR"/>
        </w:rPr>
        <w:t xml:space="preserve">thông thoáng cho NHTM là thành viên, giảm bớt thủ tục hành chính phải thực hiện. </w:t>
      </w:r>
    </w:p>
    <w:p w14:paraId="3EC127A3" w14:textId="405F486A" w:rsidR="00F30EDE" w:rsidRPr="00590211" w:rsidRDefault="00F30EDE" w:rsidP="00AE142F">
      <w:pPr>
        <w:tabs>
          <w:tab w:val="left" w:pos="709"/>
        </w:tabs>
        <w:spacing w:before="40" w:after="40"/>
        <w:ind w:firstLine="567"/>
        <w:jc w:val="both"/>
        <w:rPr>
          <w:rFonts w:asciiTheme="majorHAnsi" w:hAnsiTheme="majorHAnsi"/>
          <w:b/>
          <w:bCs/>
          <w:i/>
          <w:iCs/>
          <w:szCs w:val="26"/>
          <w:lang w:val="pt-BR"/>
        </w:rPr>
      </w:pPr>
      <w:r w:rsidRPr="00590211">
        <w:rPr>
          <w:rFonts w:asciiTheme="majorHAnsi" w:hAnsiTheme="majorHAnsi"/>
          <w:b/>
          <w:bCs/>
          <w:i/>
          <w:iCs/>
          <w:szCs w:val="26"/>
          <w:lang w:val="en"/>
        </w:rPr>
        <w:t>3.3. Hoạt động của NHTM, chi nhánh NHNNg là thành viên</w:t>
      </w:r>
    </w:p>
    <w:p w14:paraId="7CAC001D" w14:textId="77777777" w:rsidR="00B119D1" w:rsidRPr="00590211" w:rsidRDefault="000809CF" w:rsidP="00124FFA">
      <w:pPr>
        <w:tabs>
          <w:tab w:val="left" w:pos="709"/>
        </w:tabs>
        <w:spacing w:before="40" w:after="40"/>
        <w:ind w:firstLine="567"/>
        <w:jc w:val="both"/>
        <w:rPr>
          <w:rFonts w:asciiTheme="majorHAnsi" w:hAnsiTheme="majorHAnsi"/>
          <w:bCs/>
          <w:iCs/>
          <w:szCs w:val="26"/>
          <w:lang w:val="pt-BR"/>
        </w:rPr>
      </w:pPr>
      <w:r w:rsidRPr="00590211">
        <w:rPr>
          <w:rFonts w:asciiTheme="majorHAnsi" w:hAnsiTheme="majorHAnsi"/>
          <w:bCs/>
          <w:iCs/>
          <w:szCs w:val="26"/>
          <w:lang w:val="pt-BR"/>
        </w:rPr>
        <w:t xml:space="preserve">Đối với từng hoạt động, DTNĐ quy định </w:t>
      </w:r>
      <w:r w:rsidR="00D053F0" w:rsidRPr="00590211">
        <w:rPr>
          <w:rFonts w:asciiTheme="majorHAnsi" w:hAnsiTheme="majorHAnsi"/>
          <w:bCs/>
          <w:iCs/>
          <w:szCs w:val="26"/>
          <w:lang w:val="pt-BR"/>
        </w:rPr>
        <w:t xml:space="preserve">đảm bảo </w:t>
      </w:r>
      <w:r w:rsidR="00B119D1" w:rsidRPr="00590211">
        <w:rPr>
          <w:rFonts w:asciiTheme="majorHAnsi" w:hAnsiTheme="majorHAnsi"/>
          <w:bCs/>
          <w:iCs/>
          <w:szCs w:val="26"/>
          <w:lang w:val="pt-BR"/>
        </w:rPr>
        <w:t xml:space="preserve">các </w:t>
      </w:r>
      <w:r w:rsidR="00D053F0" w:rsidRPr="00590211">
        <w:rPr>
          <w:rFonts w:asciiTheme="majorHAnsi" w:hAnsiTheme="majorHAnsi"/>
          <w:bCs/>
          <w:iCs/>
          <w:szCs w:val="26"/>
          <w:lang w:val="pt-BR"/>
        </w:rPr>
        <w:t xml:space="preserve">nguyên tắc </w:t>
      </w:r>
      <w:r w:rsidR="00B119D1" w:rsidRPr="00590211">
        <w:rPr>
          <w:rFonts w:asciiTheme="majorHAnsi" w:hAnsiTheme="majorHAnsi"/>
          <w:bCs/>
          <w:iCs/>
          <w:szCs w:val="26"/>
          <w:lang w:val="pt-BR"/>
        </w:rPr>
        <w:t>sau:</w:t>
      </w:r>
    </w:p>
    <w:p w14:paraId="0CE4D884" w14:textId="4D3E2FA4" w:rsidR="00124FFA" w:rsidRPr="00590211" w:rsidRDefault="00B119D1" w:rsidP="00124FFA">
      <w:pPr>
        <w:tabs>
          <w:tab w:val="left" w:pos="709"/>
        </w:tabs>
        <w:spacing w:before="40" w:after="40"/>
        <w:ind w:firstLine="567"/>
        <w:jc w:val="both"/>
        <w:rPr>
          <w:rFonts w:asciiTheme="majorHAnsi" w:hAnsiTheme="majorHAnsi"/>
          <w:bCs/>
          <w:iCs/>
          <w:szCs w:val="26"/>
          <w:lang w:val="pt-BR"/>
        </w:rPr>
      </w:pPr>
      <w:r w:rsidRPr="00590211">
        <w:rPr>
          <w:rFonts w:asciiTheme="majorHAnsi" w:hAnsiTheme="majorHAnsi"/>
          <w:bCs/>
          <w:i/>
          <w:iCs/>
          <w:szCs w:val="26"/>
          <w:lang w:val="en-US"/>
        </w:rPr>
        <w:t>-</w:t>
      </w:r>
      <w:r w:rsidR="00124FFA" w:rsidRPr="00590211">
        <w:rPr>
          <w:rFonts w:asciiTheme="majorHAnsi" w:hAnsiTheme="majorHAnsi"/>
          <w:bCs/>
          <w:i/>
          <w:iCs/>
          <w:szCs w:val="26"/>
          <w:lang w:val="en-US"/>
        </w:rPr>
        <w:t xml:space="preserve"> </w:t>
      </w:r>
      <w:r w:rsidR="00E95155" w:rsidRPr="00590211">
        <w:rPr>
          <w:rFonts w:asciiTheme="majorHAnsi" w:hAnsiTheme="majorHAnsi"/>
          <w:bCs/>
          <w:i/>
          <w:iCs/>
          <w:szCs w:val="26"/>
          <w:lang w:val="en-US"/>
        </w:rPr>
        <w:t>V</w:t>
      </w:r>
      <w:r w:rsidR="00124FFA" w:rsidRPr="00590211">
        <w:rPr>
          <w:rFonts w:asciiTheme="majorHAnsi" w:hAnsiTheme="majorHAnsi"/>
          <w:bCs/>
          <w:i/>
          <w:iCs/>
          <w:szCs w:val="26"/>
          <w:lang w:val="pt-BR"/>
        </w:rPr>
        <w:t xml:space="preserve">ề dòng vốn: </w:t>
      </w:r>
      <w:r w:rsidR="00124FFA" w:rsidRPr="00590211">
        <w:rPr>
          <w:rFonts w:asciiTheme="majorHAnsi" w:hAnsiTheme="majorHAnsi"/>
          <w:bCs/>
          <w:iCs/>
          <w:szCs w:val="26"/>
          <w:lang w:val="pt-BR"/>
        </w:rPr>
        <w:t xml:space="preserve">Nhằm đảm bảo mục tiêu khuyến khích các dòng vốn lớn từ TTTC vào Việt Nam, NHTM, chi nhánh NHNNg là thành viên được cung cấp cho khách hàng theo nguyên tắc: </w:t>
      </w:r>
    </w:p>
    <w:p w14:paraId="0F4D16C6" w14:textId="60C59FD7" w:rsidR="00124FFA" w:rsidRPr="00590211" w:rsidRDefault="00B119D1" w:rsidP="00124FFA">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 xml:space="preserve">+ </w:t>
      </w:r>
      <w:r w:rsidR="00124FFA" w:rsidRPr="00590211">
        <w:rPr>
          <w:rFonts w:asciiTheme="majorHAnsi" w:hAnsiTheme="majorHAnsi"/>
          <w:bCs/>
          <w:iCs/>
          <w:szCs w:val="26"/>
          <w:lang w:val="en-US"/>
        </w:rPr>
        <w:t xml:space="preserve">Dòng vốn từ TTTC vào phần còn lại của Việt Nam; dòng vốn luân chuyển trong TTTC; dòng vốn giữa TTTC và thế giới: Được phép thực hiện; </w:t>
      </w:r>
    </w:p>
    <w:p w14:paraId="2804AEF1" w14:textId="7F7DF993" w:rsidR="00124FFA" w:rsidRPr="00590211" w:rsidRDefault="00B119D1" w:rsidP="00124FFA">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w:t>
      </w:r>
      <w:r w:rsidRPr="00590211">
        <w:rPr>
          <w:rFonts w:asciiTheme="majorHAnsi" w:hAnsiTheme="majorHAnsi"/>
          <w:b/>
          <w:bCs/>
          <w:iCs/>
          <w:szCs w:val="26"/>
          <w:lang w:val="en-US"/>
        </w:rPr>
        <w:t xml:space="preserve"> </w:t>
      </w:r>
      <w:r w:rsidR="00124FFA" w:rsidRPr="00590211">
        <w:rPr>
          <w:rFonts w:asciiTheme="majorHAnsi" w:hAnsiTheme="majorHAnsi"/>
          <w:bCs/>
          <w:iCs/>
          <w:szCs w:val="26"/>
          <w:lang w:val="en-US"/>
        </w:rPr>
        <w:t>Dòng vốn chuyển dịch từ phần còn lại của thổ Việt Nam vào TTTC: Không được phép thực hiện.</w:t>
      </w:r>
    </w:p>
    <w:p w14:paraId="1EDC703E" w14:textId="517AFFBA" w:rsidR="00FA6F43" w:rsidRPr="00590211" w:rsidRDefault="00FA6F43" w:rsidP="00124FFA">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
          <w:iCs/>
          <w:szCs w:val="26"/>
          <w:lang w:val="en-US"/>
        </w:rPr>
        <w:t>- Về phạm vi hoạt động:</w:t>
      </w:r>
      <w:r w:rsidRPr="00590211">
        <w:rPr>
          <w:rFonts w:asciiTheme="majorHAnsi" w:hAnsiTheme="majorHAnsi"/>
          <w:bCs/>
          <w:iCs/>
          <w:szCs w:val="26"/>
          <w:lang w:val="pt-BR"/>
        </w:rPr>
        <w:t xml:space="preserve"> DTNĐ quy định theo hướng </w:t>
      </w:r>
      <w:r w:rsidR="00406449" w:rsidRPr="00590211">
        <w:rPr>
          <w:rFonts w:asciiTheme="majorHAnsi" w:hAnsiTheme="majorHAnsi"/>
          <w:bCs/>
          <w:iCs/>
          <w:szCs w:val="26"/>
          <w:lang w:val="pt-BR"/>
        </w:rPr>
        <w:t>cho phép</w:t>
      </w:r>
      <w:r w:rsidRPr="00590211">
        <w:rPr>
          <w:rFonts w:asciiTheme="majorHAnsi" w:hAnsiTheme="majorHAnsi"/>
          <w:bCs/>
          <w:iCs/>
          <w:szCs w:val="26"/>
          <w:lang w:val="pt-BR"/>
        </w:rPr>
        <w:t xml:space="preserve"> NHTM, chi nhánh NHNNg là thành viên phát triển hoạt động ngân hàng và các sản phẩm, dịch vụ liên quan đến hoạt động ngân hàng như: Nhận tiền gửi, cấp tín dụng, cung ứng dịch vụ thanh toán qua tài khoản, giao dịch ngoại tệ, cung ứng sản phẩm phái sinh lãi suất, phái sinh giá cả hàng hóa, dịch vụ ngân quỹ... </w:t>
      </w:r>
    </w:p>
    <w:p w14:paraId="6C5CD995" w14:textId="1A4DAB08" w:rsidR="00ED5B70" w:rsidRPr="00590211" w:rsidRDefault="00124FFA"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
          <w:iCs/>
          <w:szCs w:val="26"/>
          <w:lang w:val="en-US"/>
        </w:rPr>
        <w:t xml:space="preserve">- </w:t>
      </w:r>
      <w:r w:rsidR="00B119D1" w:rsidRPr="00590211">
        <w:rPr>
          <w:rFonts w:asciiTheme="majorHAnsi" w:hAnsiTheme="majorHAnsi"/>
          <w:bCs/>
          <w:i/>
          <w:iCs/>
          <w:szCs w:val="26"/>
          <w:lang w:val="en-US"/>
        </w:rPr>
        <w:t>Về pháp luật được áp dụng:</w:t>
      </w:r>
      <w:r w:rsidR="00B119D1" w:rsidRPr="00590211">
        <w:rPr>
          <w:rFonts w:asciiTheme="majorHAnsi" w:hAnsiTheme="majorHAnsi"/>
          <w:bCs/>
          <w:iCs/>
          <w:szCs w:val="26"/>
          <w:lang w:val="en-US"/>
        </w:rPr>
        <w:t xml:space="preserve"> </w:t>
      </w:r>
      <w:r w:rsidR="00F81EF8" w:rsidRPr="00590211">
        <w:rPr>
          <w:rFonts w:asciiTheme="majorHAnsi" w:hAnsiTheme="majorHAnsi"/>
          <w:bCs/>
          <w:iCs/>
          <w:szCs w:val="26"/>
          <w:lang w:val="en-US"/>
        </w:rPr>
        <w:t>V</w:t>
      </w:r>
      <w:r w:rsidR="00B119D1" w:rsidRPr="00590211">
        <w:rPr>
          <w:rFonts w:asciiTheme="majorHAnsi" w:hAnsiTheme="majorHAnsi"/>
          <w:bCs/>
          <w:iCs/>
          <w:szCs w:val="26"/>
          <w:lang w:val="en-US"/>
        </w:rPr>
        <w:t>ề cơ bản DTNĐ quy định</w:t>
      </w:r>
      <w:r w:rsidR="00E95155" w:rsidRPr="00590211">
        <w:rPr>
          <w:rFonts w:asciiTheme="majorHAnsi" w:hAnsiTheme="majorHAnsi"/>
          <w:bCs/>
          <w:iCs/>
          <w:szCs w:val="26"/>
          <w:lang w:val="en-US"/>
        </w:rPr>
        <w:t xml:space="preserve"> NHTM, chi nhánh NHNNg</w:t>
      </w:r>
      <w:r w:rsidR="00C17382" w:rsidRPr="00590211">
        <w:rPr>
          <w:rFonts w:asciiTheme="majorHAnsi" w:hAnsiTheme="majorHAnsi"/>
          <w:bCs/>
          <w:iCs/>
          <w:szCs w:val="26"/>
          <w:lang w:val="en-US"/>
        </w:rPr>
        <w:t xml:space="preserve"> là thành viên</w:t>
      </w:r>
      <w:r w:rsidR="00E95155" w:rsidRPr="00590211">
        <w:rPr>
          <w:rFonts w:asciiTheme="majorHAnsi" w:hAnsiTheme="majorHAnsi"/>
          <w:bCs/>
          <w:iCs/>
          <w:szCs w:val="26"/>
          <w:lang w:val="en-US"/>
        </w:rPr>
        <w:t xml:space="preserve"> được thực hiện hầu hết các hoạt động theo chính sách/hướng dẫn của chủ sở hữu, ngân hàng mẹ</w:t>
      </w:r>
      <w:r w:rsidR="005C6441" w:rsidRPr="00590211">
        <w:rPr>
          <w:rFonts w:asciiTheme="majorHAnsi" w:hAnsiTheme="majorHAnsi"/>
          <w:bCs/>
          <w:iCs/>
          <w:szCs w:val="26"/>
          <w:lang w:val="en-US"/>
        </w:rPr>
        <w:t xml:space="preserve"> với tổ chức, cá nhân ở nước ngoài</w:t>
      </w:r>
      <w:r w:rsidR="00E95155" w:rsidRPr="00590211">
        <w:rPr>
          <w:rFonts w:asciiTheme="majorHAnsi" w:hAnsiTheme="majorHAnsi"/>
          <w:bCs/>
          <w:iCs/>
          <w:szCs w:val="26"/>
          <w:lang w:val="en-US"/>
        </w:rPr>
        <w:t xml:space="preserve"> </w:t>
      </w:r>
      <w:r w:rsidR="00E95155" w:rsidRPr="00590211">
        <w:rPr>
          <w:rFonts w:asciiTheme="majorHAnsi" w:hAnsiTheme="majorHAnsi"/>
          <w:b/>
          <w:bCs/>
          <w:i/>
          <w:iCs/>
          <w:szCs w:val="26"/>
          <w:lang w:val="en-US"/>
        </w:rPr>
        <w:t>(chính sách vượt trội)</w:t>
      </w:r>
      <w:r w:rsidR="005C6441" w:rsidRPr="00590211">
        <w:rPr>
          <w:rFonts w:asciiTheme="majorHAnsi" w:hAnsiTheme="majorHAnsi"/>
          <w:b/>
          <w:bCs/>
          <w:i/>
          <w:iCs/>
          <w:szCs w:val="26"/>
          <w:lang w:val="en-US"/>
        </w:rPr>
        <w:t xml:space="preserve"> </w:t>
      </w:r>
      <w:r w:rsidR="00F81EF8" w:rsidRPr="00590211">
        <w:rPr>
          <w:rFonts w:asciiTheme="majorHAnsi" w:hAnsiTheme="majorHAnsi"/>
          <w:bCs/>
          <w:iCs/>
          <w:szCs w:val="26"/>
          <w:lang w:val="en-US"/>
        </w:rPr>
        <w:t xml:space="preserve">nhằm đảm bảo cho ngân hàng là thành viên không bị ảnh hưởng bởi </w:t>
      </w:r>
      <w:r w:rsidR="005C6441" w:rsidRPr="00590211">
        <w:rPr>
          <w:rFonts w:asciiTheme="majorHAnsi" w:hAnsiTheme="majorHAnsi"/>
          <w:bCs/>
          <w:iCs/>
          <w:szCs w:val="26"/>
          <w:lang w:val="en-US"/>
        </w:rPr>
        <w:t xml:space="preserve">sự khác biệt </w:t>
      </w:r>
      <w:r w:rsidR="00F81EF8" w:rsidRPr="00590211">
        <w:rPr>
          <w:rFonts w:asciiTheme="majorHAnsi" w:hAnsiTheme="majorHAnsi"/>
          <w:bCs/>
          <w:iCs/>
          <w:szCs w:val="26"/>
          <w:lang w:val="en-US"/>
        </w:rPr>
        <w:t xml:space="preserve">về pháp lý khi triển </w:t>
      </w:r>
      <w:r w:rsidR="00F81EF8" w:rsidRPr="00590211">
        <w:rPr>
          <w:rFonts w:asciiTheme="majorHAnsi" w:hAnsiTheme="majorHAnsi"/>
          <w:bCs/>
          <w:iCs/>
          <w:szCs w:val="26"/>
          <w:lang w:val="en-US"/>
        </w:rPr>
        <w:lastRenderedPageBreak/>
        <w:t>khai nghiệp vụ với khách hàng là tổ chức, cá nhân ở nước ngoài</w:t>
      </w:r>
      <w:r w:rsidR="005C6441" w:rsidRPr="00590211">
        <w:rPr>
          <w:rFonts w:asciiTheme="majorHAnsi" w:hAnsiTheme="majorHAnsi"/>
          <w:bCs/>
          <w:iCs/>
          <w:szCs w:val="26"/>
          <w:lang w:val="en-US"/>
        </w:rPr>
        <w:t xml:space="preserve"> nếu phải áp dụng quy định hiện hành của pháp luật Việt Nam.</w:t>
      </w:r>
    </w:p>
    <w:p w14:paraId="4B9DFE5A" w14:textId="37BFB8AB" w:rsidR="001B55E6" w:rsidRPr="00590211" w:rsidRDefault="001B55E6" w:rsidP="00AE142F">
      <w:pPr>
        <w:tabs>
          <w:tab w:val="left" w:pos="709"/>
        </w:tabs>
        <w:spacing w:before="40" w:after="40"/>
        <w:ind w:firstLine="567"/>
        <w:jc w:val="both"/>
        <w:rPr>
          <w:rFonts w:asciiTheme="majorHAnsi" w:hAnsiTheme="majorHAnsi"/>
          <w:b/>
          <w:bCs/>
          <w:i/>
          <w:iCs/>
          <w:szCs w:val="26"/>
          <w:lang w:val="en-US"/>
        </w:rPr>
      </w:pPr>
      <w:r w:rsidRPr="00590211">
        <w:rPr>
          <w:rFonts w:asciiTheme="majorHAnsi" w:hAnsiTheme="majorHAnsi"/>
          <w:b/>
          <w:bCs/>
          <w:i/>
          <w:iCs/>
          <w:szCs w:val="26"/>
          <w:lang w:val="en-US"/>
        </w:rPr>
        <w:t xml:space="preserve">3.4. Về các hạn chế để bảo đảm an toàn hoạt động </w:t>
      </w:r>
    </w:p>
    <w:p w14:paraId="66E7EAF1" w14:textId="639466DD" w:rsidR="00F74028" w:rsidRPr="00590211" w:rsidRDefault="00F74028"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 xml:space="preserve">Trên cơ sở quy định tại Nghị quyết 222, DTNĐ quy định theo 02 đối tượng gồm: </w:t>
      </w:r>
    </w:p>
    <w:p w14:paraId="474196CC" w14:textId="77777777" w:rsidR="005C6441" w:rsidRPr="00590211" w:rsidRDefault="005C6441" w:rsidP="005C6441">
      <w:pPr>
        <w:tabs>
          <w:tab w:val="left" w:pos="709"/>
        </w:tabs>
        <w:spacing w:before="40" w:after="40"/>
        <w:ind w:firstLine="567"/>
        <w:jc w:val="both"/>
        <w:rPr>
          <w:rFonts w:asciiTheme="majorHAnsi" w:hAnsiTheme="majorHAnsi"/>
          <w:bCs/>
          <w:iCs/>
          <w:szCs w:val="26"/>
        </w:rPr>
      </w:pPr>
      <w:r w:rsidRPr="00590211">
        <w:rPr>
          <w:rFonts w:asciiTheme="majorHAnsi" w:hAnsiTheme="majorHAnsi"/>
          <w:b/>
          <w:bCs/>
          <w:i/>
          <w:iCs/>
          <w:szCs w:val="26"/>
          <w:lang w:val="en-US"/>
        </w:rPr>
        <w:t>a) Đối với NHTM 100% vốn nước ngoài, chi nhánh NHNNg áp dụng Chuẩn mực quốc tế về kế toán</w:t>
      </w:r>
      <w:r w:rsidRPr="00590211">
        <w:rPr>
          <w:rStyle w:val="FootnoteReference"/>
          <w:rFonts w:asciiTheme="majorHAnsi" w:hAnsiTheme="majorHAnsi"/>
          <w:b/>
          <w:bCs/>
          <w:i/>
          <w:iCs/>
          <w:szCs w:val="26"/>
          <w:lang w:val="en-US"/>
        </w:rPr>
        <w:footnoteReference w:id="5"/>
      </w:r>
      <w:r w:rsidRPr="00590211">
        <w:rPr>
          <w:rFonts w:asciiTheme="majorHAnsi" w:hAnsiTheme="majorHAnsi"/>
          <w:b/>
          <w:bCs/>
          <w:i/>
          <w:iCs/>
          <w:szCs w:val="26"/>
          <w:lang w:val="en-US"/>
        </w:rPr>
        <w:t xml:space="preserve">: </w:t>
      </w:r>
      <w:r w:rsidRPr="00590211">
        <w:rPr>
          <w:rFonts w:asciiTheme="majorHAnsi" w:hAnsiTheme="majorHAnsi"/>
          <w:bCs/>
          <w:iCs/>
          <w:szCs w:val="26"/>
        </w:rPr>
        <w:t xml:space="preserve">DTNĐ quy định theo hướng </w:t>
      </w:r>
      <w:r w:rsidRPr="00590211">
        <w:rPr>
          <w:rFonts w:asciiTheme="majorHAnsi" w:hAnsiTheme="majorHAnsi"/>
          <w:bCs/>
          <w:iCs/>
          <w:szCs w:val="26"/>
          <w:lang w:val="en-US"/>
        </w:rPr>
        <w:t>được á</w:t>
      </w:r>
      <w:r w:rsidRPr="00590211">
        <w:rPr>
          <w:rFonts w:asciiTheme="majorHAnsi" w:hAnsiTheme="majorHAnsi"/>
          <w:bCs/>
          <w:iCs/>
          <w:szCs w:val="26"/>
        </w:rPr>
        <w:t>p dụng chính sách của chủ sở hữu, ngân hàng mẹ đang áp dụng về một số giới hạn, tỷ lệ bảo đảm an toàn</w:t>
      </w:r>
      <w:r w:rsidRPr="00590211">
        <w:rPr>
          <w:rFonts w:asciiTheme="majorHAnsi" w:hAnsiTheme="majorHAnsi"/>
          <w:bCs/>
          <w:iCs/>
          <w:szCs w:val="26"/>
          <w:lang w:val="en-US"/>
        </w:rPr>
        <w:t xml:space="preserve"> </w:t>
      </w:r>
      <w:r w:rsidRPr="00590211">
        <w:rPr>
          <w:rFonts w:asciiTheme="majorHAnsi" w:hAnsiTheme="majorHAnsi"/>
          <w:b/>
          <w:bCs/>
          <w:i/>
          <w:iCs/>
          <w:szCs w:val="26"/>
          <w:lang w:val="en-US"/>
        </w:rPr>
        <w:t>(chính sách vượt trội)</w:t>
      </w:r>
      <w:r w:rsidRPr="00590211">
        <w:rPr>
          <w:rFonts w:asciiTheme="majorHAnsi" w:hAnsiTheme="majorHAnsi"/>
          <w:bCs/>
          <w:iCs/>
          <w:szCs w:val="26"/>
        </w:rPr>
        <w:t xml:space="preserve">, cụ thể: </w:t>
      </w:r>
    </w:p>
    <w:p w14:paraId="3A42F078" w14:textId="77777777" w:rsidR="005C6441" w:rsidRPr="00590211" w:rsidRDefault="005C6441" w:rsidP="005C6441">
      <w:pPr>
        <w:tabs>
          <w:tab w:val="left" w:pos="709"/>
        </w:tabs>
        <w:spacing w:before="40" w:after="40"/>
        <w:ind w:firstLine="567"/>
        <w:jc w:val="both"/>
        <w:rPr>
          <w:rFonts w:asciiTheme="majorHAnsi" w:hAnsiTheme="majorHAnsi"/>
          <w:bCs/>
          <w:iCs/>
          <w:szCs w:val="26"/>
        </w:rPr>
      </w:pPr>
      <w:r w:rsidRPr="00590211">
        <w:rPr>
          <w:rFonts w:asciiTheme="majorHAnsi" w:hAnsiTheme="majorHAnsi"/>
          <w:bCs/>
          <w:iCs/>
          <w:szCs w:val="26"/>
          <w:lang w:val="en-US"/>
        </w:rPr>
        <w:t>-</w:t>
      </w:r>
      <w:r w:rsidRPr="00590211">
        <w:rPr>
          <w:rFonts w:asciiTheme="majorHAnsi" w:hAnsiTheme="majorHAnsi"/>
          <w:bCs/>
          <w:iCs/>
          <w:szCs w:val="26"/>
        </w:rPr>
        <w:t xml:space="preserve"> Các giới hạn, tỷ lệ phải tuân thủ: Hạn chế cấp tín dụng, </w:t>
      </w:r>
      <w:r w:rsidRPr="00590211">
        <w:rPr>
          <w:rFonts w:asciiTheme="majorHAnsi" w:hAnsiTheme="majorHAnsi"/>
          <w:bCs/>
          <w:iCs/>
          <w:szCs w:val="26"/>
          <w:lang w:val="en-US"/>
        </w:rPr>
        <w:t xml:space="preserve">không được </w:t>
      </w:r>
      <w:r w:rsidRPr="00590211">
        <w:rPr>
          <w:rFonts w:asciiTheme="majorHAnsi" w:hAnsiTheme="majorHAnsi"/>
          <w:bCs/>
          <w:iCs/>
          <w:szCs w:val="26"/>
        </w:rPr>
        <w:t xml:space="preserve">cho vay vượt </w:t>
      </w:r>
      <w:r w:rsidRPr="00590211">
        <w:rPr>
          <w:rFonts w:asciiTheme="majorHAnsi" w:hAnsiTheme="majorHAnsi"/>
          <w:bCs/>
          <w:iCs/>
          <w:szCs w:val="26"/>
          <w:lang w:val="en-US"/>
        </w:rPr>
        <w:t>giới hạn</w:t>
      </w:r>
      <w:r w:rsidRPr="00590211">
        <w:rPr>
          <w:rFonts w:asciiTheme="majorHAnsi" w:hAnsiTheme="majorHAnsi"/>
          <w:bCs/>
          <w:iCs/>
          <w:szCs w:val="26"/>
        </w:rPr>
        <w:t xml:space="preserve"> cấp tín dụng sau khi đã thực hiện cho vay hợp vốn</w:t>
      </w:r>
      <w:r w:rsidRPr="00590211">
        <w:rPr>
          <w:rFonts w:asciiTheme="majorHAnsi" w:hAnsiTheme="majorHAnsi"/>
          <w:bCs/>
          <w:iCs/>
          <w:szCs w:val="26"/>
          <w:lang w:val="en-US"/>
        </w:rPr>
        <w:t xml:space="preserve">, </w:t>
      </w:r>
      <w:r w:rsidRPr="00590211">
        <w:rPr>
          <w:rFonts w:asciiTheme="majorHAnsi" w:hAnsiTheme="majorHAnsi"/>
          <w:bCs/>
          <w:iCs/>
          <w:szCs w:val="26"/>
        </w:rPr>
        <w:t xml:space="preserve">giới hạn cấp tín dụng; tỷ lệ an toàn vốn; tỷ lệ đòn bẩy; tỷ lệ bao phủ thanh khoản (LCR); tỷ lệ nguồn vốn ổn định ròng (NSFR). </w:t>
      </w:r>
    </w:p>
    <w:p w14:paraId="350FF5B3" w14:textId="77777777" w:rsidR="005C6441" w:rsidRPr="00590211" w:rsidRDefault="005C6441" w:rsidP="005C6441">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w:t>
      </w:r>
      <w:r w:rsidRPr="00590211">
        <w:rPr>
          <w:rFonts w:asciiTheme="majorHAnsi" w:hAnsiTheme="majorHAnsi"/>
          <w:bCs/>
          <w:iCs/>
          <w:szCs w:val="26"/>
        </w:rPr>
        <w:t xml:space="preserve"> Các tỷ lệ không phải tuân thủ: Tỷ lệ đầu tư trái phiếu Chính phủ; điều kiện, giới hạn cấp tín dụng để đầu tư, kinh doanh cổ phiếu, trái phiếu doanh nghiệp. </w:t>
      </w:r>
      <w:r w:rsidRPr="00590211">
        <w:rPr>
          <w:rFonts w:asciiTheme="majorHAnsi" w:hAnsiTheme="majorHAnsi"/>
          <w:bCs/>
          <w:iCs/>
          <w:szCs w:val="26"/>
          <w:lang w:val="en-US"/>
        </w:rPr>
        <w:t xml:space="preserve"> </w:t>
      </w:r>
    </w:p>
    <w:p w14:paraId="70007C78" w14:textId="4AD74375" w:rsidR="00F74028" w:rsidRPr="00590211" w:rsidRDefault="00F81EF8" w:rsidP="00F74028">
      <w:pPr>
        <w:tabs>
          <w:tab w:val="left" w:pos="709"/>
        </w:tabs>
        <w:spacing w:before="40" w:after="40"/>
        <w:ind w:firstLine="567"/>
        <w:jc w:val="both"/>
        <w:rPr>
          <w:rFonts w:asciiTheme="majorHAnsi" w:hAnsiTheme="majorHAnsi"/>
          <w:bCs/>
          <w:iCs/>
          <w:szCs w:val="26"/>
        </w:rPr>
      </w:pPr>
      <w:r w:rsidRPr="00590211">
        <w:rPr>
          <w:rFonts w:asciiTheme="majorHAnsi" w:hAnsiTheme="majorHAnsi"/>
          <w:b/>
          <w:bCs/>
          <w:i/>
          <w:iCs/>
          <w:szCs w:val="26"/>
          <w:lang w:val="en-US"/>
        </w:rPr>
        <w:t>b</w:t>
      </w:r>
      <w:r w:rsidR="00F74028" w:rsidRPr="00590211">
        <w:rPr>
          <w:rFonts w:asciiTheme="majorHAnsi" w:hAnsiTheme="majorHAnsi"/>
          <w:b/>
          <w:bCs/>
          <w:i/>
          <w:iCs/>
          <w:szCs w:val="26"/>
          <w:lang w:val="en-US"/>
        </w:rPr>
        <w:t>) NHTM 100% vốn trong nước và NHTM 100% vốn nước ngoài, chi nhánh NHNNg có chủ sở hữu, ngân hàng mẹ không áp dụng Chuẩn mực quốc tế về kế toán:</w:t>
      </w:r>
      <w:r w:rsidR="00F74028" w:rsidRPr="00590211">
        <w:rPr>
          <w:rFonts w:asciiTheme="majorHAnsi" w:hAnsiTheme="majorHAnsi"/>
          <w:bCs/>
          <w:iCs/>
          <w:szCs w:val="26"/>
        </w:rPr>
        <w:t xml:space="preserve"> DTNĐ quy định theo hướng </w:t>
      </w:r>
      <w:r w:rsidR="00F74028" w:rsidRPr="00590211">
        <w:rPr>
          <w:rFonts w:asciiTheme="majorHAnsi" w:hAnsiTheme="majorHAnsi"/>
          <w:bCs/>
          <w:iCs/>
          <w:szCs w:val="26"/>
          <w:lang w:val="en-US"/>
        </w:rPr>
        <w:t>được áp dụng theo quy định pháp luật Việt Nam</w:t>
      </w:r>
      <w:r w:rsidRPr="00590211">
        <w:rPr>
          <w:rFonts w:asciiTheme="majorHAnsi" w:hAnsiTheme="majorHAnsi"/>
          <w:bCs/>
          <w:iCs/>
          <w:szCs w:val="26"/>
          <w:lang w:val="en-US"/>
        </w:rPr>
        <w:t>, bao gồm:</w:t>
      </w:r>
      <w:r w:rsidR="00F74028" w:rsidRPr="00590211">
        <w:rPr>
          <w:rFonts w:asciiTheme="majorHAnsi" w:hAnsiTheme="majorHAnsi"/>
          <w:bCs/>
          <w:iCs/>
          <w:szCs w:val="26"/>
          <w:lang w:val="en-US"/>
        </w:rPr>
        <w:t xml:space="preserve"> </w:t>
      </w:r>
    </w:p>
    <w:p w14:paraId="6070E9AA" w14:textId="385E947D" w:rsidR="00F74028" w:rsidRPr="00590211" w:rsidRDefault="00F74028" w:rsidP="00F74028">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 Các giới hạn, tỷ lệ phải tuân thủ: Hạn chế cấp tín dụng, giới hạn cấp tín dụng</w:t>
      </w:r>
      <w:r w:rsidR="00977D33" w:rsidRPr="00590211">
        <w:rPr>
          <w:rFonts w:asciiTheme="majorHAnsi" w:hAnsiTheme="majorHAnsi"/>
          <w:bCs/>
          <w:iCs/>
          <w:szCs w:val="26"/>
          <w:lang w:val="en-US"/>
        </w:rPr>
        <w:t xml:space="preserve"> (trừ việc không được phép cho vay vượt tỷ lệ cấp tín dụng sau khi đã thực hiện cho vay hợp vốn); tỷ lệ an toàn vốn; t</w:t>
      </w:r>
      <w:r w:rsidRPr="00590211">
        <w:rPr>
          <w:rFonts w:asciiTheme="majorHAnsi" w:hAnsiTheme="majorHAnsi"/>
          <w:bCs/>
          <w:iCs/>
          <w:szCs w:val="26"/>
          <w:lang w:val="en-US"/>
        </w:rPr>
        <w:t>ỷ lệ khả năng chi trả, tỷ lệ nguồn vốn ngắn hạn được sử dụng để cho vay trung và dài hạn, tỷ lệ dư nợ cho vay so với tổng tiền gửi; điều kiện, giới hạn cấp tín dụng để kinh doanh cổ phiếu, trái phiếu.</w:t>
      </w:r>
    </w:p>
    <w:p w14:paraId="77545387" w14:textId="58AB2E17" w:rsidR="00F74028" w:rsidRPr="00590211" w:rsidRDefault="00F74028" w:rsidP="00F74028">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 Các tỷ lệ không phải tuân thủ: Tỷ lệ đầu tư trái phiếu Chính phủ</w:t>
      </w:r>
      <w:r w:rsidR="00977D33" w:rsidRPr="00590211">
        <w:rPr>
          <w:rFonts w:asciiTheme="majorHAnsi" w:hAnsiTheme="majorHAnsi"/>
          <w:bCs/>
          <w:iCs/>
          <w:szCs w:val="26"/>
          <w:lang w:val="en-US"/>
        </w:rPr>
        <w:t xml:space="preserve"> (nhằm hỗ trợ Chính phủ Việt Nam khi có nhu cầu </w:t>
      </w:r>
      <w:r w:rsidR="005C6441" w:rsidRPr="00590211">
        <w:rPr>
          <w:rFonts w:asciiTheme="majorHAnsi" w:hAnsiTheme="majorHAnsi"/>
          <w:bCs/>
          <w:iCs/>
          <w:szCs w:val="26"/>
          <w:lang w:val="en-US"/>
        </w:rPr>
        <w:t>phát hành</w:t>
      </w:r>
      <w:r w:rsidR="00977D33" w:rsidRPr="00590211">
        <w:rPr>
          <w:rFonts w:asciiTheme="majorHAnsi" w:hAnsiTheme="majorHAnsi"/>
          <w:bCs/>
          <w:iCs/>
          <w:szCs w:val="26"/>
          <w:lang w:val="en-US"/>
        </w:rPr>
        <w:t xml:space="preserve"> trái phiếu</w:t>
      </w:r>
      <w:r w:rsidR="005C6441" w:rsidRPr="00590211">
        <w:rPr>
          <w:rFonts w:asciiTheme="majorHAnsi" w:hAnsiTheme="majorHAnsi"/>
          <w:bCs/>
          <w:iCs/>
          <w:szCs w:val="26"/>
          <w:lang w:val="en-US"/>
        </w:rPr>
        <w:t xml:space="preserve"> để phục vụ cho mục đích phát triển kinh tế - xã hội trong từng thời kỳ</w:t>
      </w:r>
      <w:r w:rsidR="00977D33" w:rsidRPr="00590211">
        <w:rPr>
          <w:rFonts w:asciiTheme="majorHAnsi" w:hAnsiTheme="majorHAnsi"/>
          <w:bCs/>
          <w:iCs/>
          <w:szCs w:val="26"/>
          <w:lang w:val="en-US"/>
        </w:rPr>
        <w:t>).</w:t>
      </w:r>
    </w:p>
    <w:p w14:paraId="6048F36D" w14:textId="394B8DE4" w:rsidR="004E38C2" w:rsidRPr="00590211" w:rsidRDefault="004E38C2" w:rsidP="00AE142F">
      <w:pPr>
        <w:tabs>
          <w:tab w:val="left" w:pos="709"/>
        </w:tabs>
        <w:spacing w:before="40" w:after="40"/>
        <w:ind w:firstLine="567"/>
        <w:jc w:val="both"/>
        <w:rPr>
          <w:rFonts w:asciiTheme="majorHAnsi" w:hAnsiTheme="majorHAnsi"/>
          <w:b/>
          <w:bCs/>
          <w:i/>
          <w:iCs/>
          <w:szCs w:val="26"/>
          <w:lang w:val="pt-BR"/>
        </w:rPr>
      </w:pPr>
      <w:r w:rsidRPr="00590211">
        <w:rPr>
          <w:rFonts w:asciiTheme="majorHAnsi" w:hAnsiTheme="majorHAnsi"/>
          <w:b/>
          <w:bCs/>
          <w:i/>
          <w:iCs/>
          <w:szCs w:val="26"/>
          <w:lang w:val="pt-BR"/>
        </w:rPr>
        <w:t xml:space="preserve">3.5. </w:t>
      </w:r>
      <w:r w:rsidRPr="00590211">
        <w:rPr>
          <w:rFonts w:asciiTheme="majorHAnsi" w:hAnsiTheme="majorHAnsi"/>
          <w:b/>
          <w:bCs/>
          <w:i/>
          <w:iCs/>
          <w:szCs w:val="26"/>
          <w:lang w:val="sv-SE"/>
        </w:rPr>
        <w:t>Về tài chính, hạch toán, báo cáo</w:t>
      </w:r>
    </w:p>
    <w:p w14:paraId="01DE6670" w14:textId="1A5F63BA" w:rsidR="004E38C2" w:rsidRPr="00590211" w:rsidRDefault="004E38C2"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
          <w:iCs/>
          <w:szCs w:val="26"/>
          <w:lang w:val="en-US"/>
        </w:rPr>
        <w:t>- Về chế độ báo cáo:</w:t>
      </w:r>
      <w:r w:rsidRPr="00590211">
        <w:rPr>
          <w:rFonts w:asciiTheme="majorHAnsi" w:hAnsiTheme="majorHAnsi"/>
          <w:bCs/>
          <w:iCs/>
          <w:szCs w:val="26"/>
          <w:lang w:val="en-US"/>
        </w:rPr>
        <w:t xml:space="preserve"> </w:t>
      </w:r>
      <w:r w:rsidR="000A61E4" w:rsidRPr="00590211">
        <w:rPr>
          <w:rFonts w:asciiTheme="majorHAnsi" w:hAnsiTheme="majorHAnsi"/>
          <w:bCs/>
          <w:iCs/>
          <w:szCs w:val="26"/>
          <w:lang w:val="en-US"/>
        </w:rPr>
        <w:t>DTNĐ</w:t>
      </w:r>
      <w:r w:rsidRPr="00590211">
        <w:rPr>
          <w:rFonts w:asciiTheme="majorHAnsi" w:hAnsiTheme="majorHAnsi"/>
          <w:bCs/>
          <w:iCs/>
          <w:szCs w:val="26"/>
          <w:lang w:val="en-US"/>
        </w:rPr>
        <w:t xml:space="preserve"> </w:t>
      </w:r>
      <w:r w:rsidR="005C6441" w:rsidRPr="00590211">
        <w:rPr>
          <w:rFonts w:asciiTheme="majorHAnsi" w:hAnsiTheme="majorHAnsi"/>
          <w:bCs/>
          <w:iCs/>
          <w:szCs w:val="26"/>
          <w:lang w:val="en-US"/>
        </w:rPr>
        <w:t>xây dựng</w:t>
      </w:r>
      <w:r w:rsidRPr="00590211">
        <w:rPr>
          <w:rFonts w:asciiTheme="majorHAnsi" w:hAnsiTheme="majorHAnsi"/>
          <w:bCs/>
          <w:iCs/>
          <w:szCs w:val="26"/>
          <w:lang w:val="en-US"/>
        </w:rPr>
        <w:t xml:space="preserve"> theo hướng</w:t>
      </w:r>
      <w:r w:rsidRPr="00590211">
        <w:rPr>
          <w:rFonts w:asciiTheme="majorHAnsi" w:hAnsiTheme="majorHAnsi"/>
          <w:bCs/>
          <w:iCs/>
          <w:szCs w:val="26"/>
        </w:rPr>
        <w:t xml:space="preserve"> </w:t>
      </w:r>
      <w:r w:rsidRPr="00590211">
        <w:rPr>
          <w:rFonts w:asciiTheme="majorHAnsi" w:hAnsiTheme="majorHAnsi"/>
          <w:bCs/>
          <w:iCs/>
          <w:szCs w:val="26"/>
          <w:lang w:val="en-US"/>
        </w:rPr>
        <w:t>Cơ quan giám sát TTTC quy định chế độ báo cáo thống kê áp dụng đối với các NHTM, chi nhánh NHNNg là thành viên, trừ trường hợp thực hiện chế độ báo cáo về hoạt động ngoại hối thì thực hiện theo quy định về quản lý ngoại hối tạ</w:t>
      </w:r>
      <w:r w:rsidR="00717B12" w:rsidRPr="00590211">
        <w:rPr>
          <w:rFonts w:asciiTheme="majorHAnsi" w:hAnsiTheme="majorHAnsi"/>
          <w:bCs/>
          <w:iCs/>
          <w:szCs w:val="26"/>
          <w:lang w:val="en-US"/>
        </w:rPr>
        <w:t xml:space="preserve">i </w:t>
      </w:r>
      <w:r w:rsidR="00977D33" w:rsidRPr="00590211">
        <w:rPr>
          <w:rFonts w:asciiTheme="majorHAnsi" w:hAnsiTheme="majorHAnsi"/>
          <w:bCs/>
          <w:iCs/>
          <w:szCs w:val="26"/>
          <w:lang w:val="en-US"/>
        </w:rPr>
        <w:t>DTNĐ</w:t>
      </w:r>
      <w:r w:rsidRPr="00590211">
        <w:rPr>
          <w:rFonts w:asciiTheme="majorHAnsi" w:hAnsiTheme="majorHAnsi"/>
          <w:bCs/>
          <w:iCs/>
          <w:szCs w:val="26"/>
          <w:lang w:val="en-US"/>
        </w:rPr>
        <w:t xml:space="preserve">. Cơ quan giám sát TTTC có trách nhiệm phối hợp, cung cấp cho NHNN các thông tin báo cáo thống kê thu thập từ các </w:t>
      </w:r>
      <w:r w:rsidR="00717B12" w:rsidRPr="00590211">
        <w:rPr>
          <w:rFonts w:asciiTheme="majorHAnsi" w:hAnsiTheme="majorHAnsi"/>
          <w:bCs/>
          <w:iCs/>
          <w:szCs w:val="26"/>
          <w:lang w:val="en-US"/>
        </w:rPr>
        <w:t>NH</w:t>
      </w:r>
      <w:r w:rsidRPr="00590211">
        <w:rPr>
          <w:rFonts w:asciiTheme="majorHAnsi" w:hAnsiTheme="majorHAnsi"/>
          <w:bCs/>
          <w:iCs/>
          <w:szCs w:val="26"/>
          <w:lang w:val="en-US"/>
        </w:rPr>
        <w:t xml:space="preserve">TM, chi nhánh NHNNg là thành viên theo cơ chế phối hợp và chia sẻ thông tin hoặc trong trường hợp cần thiết. </w:t>
      </w:r>
    </w:p>
    <w:p w14:paraId="56CEA339" w14:textId="70A17180" w:rsidR="004E38C2" w:rsidRPr="00590211" w:rsidRDefault="004E38C2" w:rsidP="00AE142F">
      <w:pPr>
        <w:tabs>
          <w:tab w:val="left" w:pos="709"/>
        </w:tabs>
        <w:spacing w:before="40" w:after="40"/>
        <w:ind w:firstLine="567"/>
        <w:jc w:val="both"/>
        <w:rPr>
          <w:rFonts w:asciiTheme="majorHAnsi" w:hAnsiTheme="majorHAnsi"/>
          <w:bCs/>
          <w:iCs/>
          <w:szCs w:val="26"/>
        </w:rPr>
      </w:pPr>
      <w:r w:rsidRPr="00590211">
        <w:rPr>
          <w:rFonts w:asciiTheme="majorHAnsi" w:hAnsiTheme="majorHAnsi"/>
          <w:bCs/>
          <w:i/>
          <w:iCs/>
          <w:szCs w:val="26"/>
          <w:lang w:val="en-US"/>
        </w:rPr>
        <w:t>- Về hạch toán, tài chính:</w:t>
      </w:r>
      <w:r w:rsidR="00717B12" w:rsidRPr="00590211">
        <w:rPr>
          <w:rFonts w:asciiTheme="majorHAnsi" w:hAnsiTheme="majorHAnsi"/>
          <w:bCs/>
          <w:iCs/>
          <w:szCs w:val="26"/>
          <w:lang w:val="en-US"/>
        </w:rPr>
        <w:t xml:space="preserve"> </w:t>
      </w:r>
      <w:r w:rsidRPr="00590211">
        <w:rPr>
          <w:rFonts w:asciiTheme="majorHAnsi" w:hAnsiTheme="majorHAnsi"/>
          <w:bCs/>
          <w:iCs/>
          <w:szCs w:val="26"/>
        </w:rPr>
        <w:t>Nghị quyết số 259/NQ-CP</w:t>
      </w:r>
      <w:r w:rsidRPr="00590211">
        <w:rPr>
          <w:rFonts w:asciiTheme="majorHAnsi" w:hAnsiTheme="majorHAnsi"/>
          <w:bCs/>
          <w:iCs/>
          <w:szCs w:val="26"/>
          <w:vertAlign w:val="superscript"/>
        </w:rPr>
        <w:footnoteReference w:id="6"/>
      </w:r>
      <w:r w:rsidRPr="00590211">
        <w:rPr>
          <w:rFonts w:asciiTheme="majorHAnsi" w:hAnsiTheme="majorHAnsi"/>
          <w:bCs/>
          <w:iCs/>
          <w:szCs w:val="26"/>
        </w:rPr>
        <w:t xml:space="preserve"> </w:t>
      </w:r>
      <w:r w:rsidR="005C6441" w:rsidRPr="00590211">
        <w:rPr>
          <w:rFonts w:asciiTheme="majorHAnsi" w:hAnsiTheme="majorHAnsi"/>
          <w:bCs/>
          <w:iCs/>
          <w:szCs w:val="26"/>
          <w:lang w:val="en-US"/>
        </w:rPr>
        <w:t xml:space="preserve">đã </w:t>
      </w:r>
      <w:r w:rsidRPr="00590211">
        <w:rPr>
          <w:rFonts w:asciiTheme="majorHAnsi" w:hAnsiTheme="majorHAnsi"/>
          <w:bCs/>
          <w:iCs/>
          <w:szCs w:val="26"/>
        </w:rPr>
        <w:t xml:space="preserve">giao Bộ Tài chính là đơn vị đầu mối xây dựng các chính sách quy định về việc áp dụng chuẩn mực quốc tế về kế toán, tài chính, báo cáo </w:t>
      </w:r>
      <w:r w:rsidR="00B74D7F" w:rsidRPr="00590211">
        <w:rPr>
          <w:rFonts w:asciiTheme="majorHAnsi" w:hAnsiTheme="majorHAnsi"/>
          <w:bCs/>
          <w:iCs/>
          <w:szCs w:val="26"/>
        </w:rPr>
        <w:t>tài chính</w:t>
      </w:r>
      <w:r w:rsidRPr="00590211">
        <w:rPr>
          <w:rFonts w:asciiTheme="majorHAnsi" w:hAnsiTheme="majorHAnsi"/>
          <w:bCs/>
          <w:iCs/>
          <w:szCs w:val="26"/>
        </w:rPr>
        <w:t>.</w:t>
      </w:r>
      <w:r w:rsidRPr="00590211">
        <w:rPr>
          <w:rFonts w:asciiTheme="majorHAnsi" w:hAnsiTheme="majorHAnsi"/>
          <w:bCs/>
          <w:iCs/>
          <w:szCs w:val="26"/>
          <w:lang w:val="en-US"/>
        </w:rPr>
        <w:t xml:space="preserve"> </w:t>
      </w:r>
      <w:r w:rsidRPr="00590211">
        <w:rPr>
          <w:rFonts w:asciiTheme="majorHAnsi" w:hAnsiTheme="majorHAnsi"/>
          <w:bCs/>
          <w:iCs/>
          <w:szCs w:val="26"/>
        </w:rPr>
        <w:t xml:space="preserve">Do đó, </w:t>
      </w:r>
      <w:r w:rsidR="000A61E4" w:rsidRPr="00590211">
        <w:rPr>
          <w:rFonts w:asciiTheme="majorHAnsi" w:hAnsiTheme="majorHAnsi"/>
          <w:bCs/>
          <w:iCs/>
          <w:szCs w:val="26"/>
          <w:lang w:val="en-US"/>
        </w:rPr>
        <w:t>DTNĐ</w:t>
      </w:r>
      <w:r w:rsidRPr="00590211">
        <w:rPr>
          <w:rFonts w:asciiTheme="majorHAnsi" w:hAnsiTheme="majorHAnsi"/>
          <w:bCs/>
          <w:iCs/>
          <w:szCs w:val="26"/>
        </w:rPr>
        <w:t xml:space="preserve"> dự kiến quy định nội dung này theo hướng dẫn chiếu các văn bản quy phạm pháp luật có liên quan </w:t>
      </w:r>
      <w:r w:rsidR="00A1281C" w:rsidRPr="00590211">
        <w:rPr>
          <w:rFonts w:asciiTheme="majorHAnsi" w:hAnsiTheme="majorHAnsi"/>
          <w:bCs/>
          <w:iCs/>
          <w:szCs w:val="26"/>
          <w:lang w:val="en-US"/>
        </w:rPr>
        <w:t xml:space="preserve">do Bộ Tài chính đầu mối xây dựng </w:t>
      </w:r>
      <w:r w:rsidRPr="00590211">
        <w:rPr>
          <w:rFonts w:asciiTheme="majorHAnsi" w:hAnsiTheme="majorHAnsi"/>
          <w:bCs/>
          <w:iCs/>
          <w:szCs w:val="26"/>
        </w:rPr>
        <w:t>để đảm bảo thống nhất về mặt chính sách</w:t>
      </w:r>
      <w:r w:rsidR="00977D33" w:rsidRPr="00590211">
        <w:rPr>
          <w:rFonts w:asciiTheme="majorHAnsi" w:hAnsiTheme="majorHAnsi"/>
          <w:bCs/>
          <w:iCs/>
          <w:szCs w:val="26"/>
          <w:lang w:val="en-US"/>
        </w:rPr>
        <w:t xml:space="preserve"> tại TTTC</w:t>
      </w:r>
      <w:r w:rsidRPr="00590211">
        <w:rPr>
          <w:rFonts w:asciiTheme="majorHAnsi" w:hAnsiTheme="majorHAnsi"/>
          <w:bCs/>
          <w:iCs/>
          <w:szCs w:val="26"/>
        </w:rPr>
        <w:t>.</w:t>
      </w:r>
    </w:p>
    <w:p w14:paraId="4D67CA4D" w14:textId="01A0F92A" w:rsidR="00717B12" w:rsidRPr="00590211" w:rsidRDefault="00717B12" w:rsidP="00AE142F">
      <w:pPr>
        <w:tabs>
          <w:tab w:val="left" w:pos="709"/>
        </w:tabs>
        <w:spacing w:before="40" w:after="40"/>
        <w:ind w:firstLine="567"/>
        <w:jc w:val="both"/>
        <w:rPr>
          <w:rFonts w:asciiTheme="majorHAnsi" w:hAnsiTheme="majorHAnsi"/>
          <w:b/>
          <w:bCs/>
          <w:i/>
          <w:iCs/>
          <w:szCs w:val="26"/>
          <w:lang w:val="pt-BR"/>
        </w:rPr>
      </w:pPr>
      <w:r w:rsidRPr="00590211">
        <w:rPr>
          <w:rFonts w:asciiTheme="majorHAnsi" w:hAnsiTheme="majorHAnsi"/>
          <w:b/>
          <w:bCs/>
          <w:i/>
          <w:iCs/>
          <w:szCs w:val="26"/>
          <w:lang w:val="pt-BR"/>
        </w:rPr>
        <w:t xml:space="preserve">3.6. </w:t>
      </w:r>
      <w:r w:rsidRPr="00590211">
        <w:rPr>
          <w:rFonts w:asciiTheme="majorHAnsi" w:hAnsiTheme="majorHAnsi"/>
          <w:b/>
          <w:bCs/>
          <w:i/>
          <w:iCs/>
          <w:szCs w:val="26"/>
          <w:lang w:val="sv-SE"/>
        </w:rPr>
        <w:t xml:space="preserve">Về xử lý nợ xấu, tài sản bảo đảm </w:t>
      </w:r>
    </w:p>
    <w:p w14:paraId="267C1BBD" w14:textId="7DC4D91B" w:rsidR="00717B12" w:rsidRPr="00590211" w:rsidRDefault="000A61E4"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DTNĐ</w:t>
      </w:r>
      <w:r w:rsidR="00717B12" w:rsidRPr="00590211">
        <w:rPr>
          <w:rFonts w:asciiTheme="majorHAnsi" w:hAnsiTheme="majorHAnsi"/>
          <w:bCs/>
          <w:iCs/>
          <w:szCs w:val="26"/>
          <w:lang w:val="en-US"/>
        </w:rPr>
        <w:t xml:space="preserve"> quy định các nguyên tắc chung về xử lý nợ xấu và xử lý tài sản bảo đảm. Theo đó, cơ chế thị trường, tính công khai, minh bạch, tuân thủ quy định pháp luật của Việt Nam và thông lệ quốc tế được đề cao, </w:t>
      </w:r>
      <w:r w:rsidR="005C6441" w:rsidRPr="00590211">
        <w:rPr>
          <w:rFonts w:asciiTheme="majorHAnsi" w:hAnsiTheme="majorHAnsi"/>
          <w:bCs/>
          <w:iCs/>
          <w:szCs w:val="26"/>
          <w:lang w:val="en-US"/>
        </w:rPr>
        <w:t>trong đó, đ</w:t>
      </w:r>
      <w:r w:rsidR="00717B12" w:rsidRPr="00590211">
        <w:rPr>
          <w:rFonts w:asciiTheme="majorHAnsi" w:hAnsiTheme="majorHAnsi"/>
          <w:bCs/>
          <w:iCs/>
          <w:szCs w:val="26"/>
        </w:rPr>
        <w:t xml:space="preserve">ối với nợ </w:t>
      </w:r>
      <w:r w:rsidR="00977D33" w:rsidRPr="00590211">
        <w:rPr>
          <w:rFonts w:asciiTheme="majorHAnsi" w:hAnsiTheme="majorHAnsi"/>
          <w:bCs/>
          <w:iCs/>
          <w:szCs w:val="26"/>
          <w:lang w:val="en-US"/>
        </w:rPr>
        <w:t xml:space="preserve">xấu </w:t>
      </w:r>
      <w:r w:rsidR="00717B12" w:rsidRPr="00590211">
        <w:rPr>
          <w:rFonts w:asciiTheme="majorHAnsi" w:hAnsiTheme="majorHAnsi"/>
          <w:bCs/>
          <w:iCs/>
          <w:szCs w:val="26"/>
        </w:rPr>
        <w:t>và tài sản bảo đảm, trừ tài sản bảo đảm là bất động sả</w:t>
      </w:r>
      <w:r w:rsidRPr="00590211">
        <w:rPr>
          <w:rFonts w:asciiTheme="majorHAnsi" w:hAnsiTheme="majorHAnsi"/>
          <w:bCs/>
          <w:iCs/>
          <w:szCs w:val="26"/>
        </w:rPr>
        <w:t>n</w:t>
      </w:r>
      <w:r w:rsidR="00977D33" w:rsidRPr="00590211">
        <w:rPr>
          <w:rFonts w:asciiTheme="majorHAnsi" w:hAnsiTheme="majorHAnsi"/>
          <w:bCs/>
          <w:iCs/>
          <w:szCs w:val="26"/>
          <w:lang w:val="en-US"/>
        </w:rPr>
        <w:t xml:space="preserve"> (việc xử lý tuân theo quy định pháp luật tại nước nơi có bất động </w:t>
      </w:r>
      <w:r w:rsidR="00977D33" w:rsidRPr="00590211">
        <w:rPr>
          <w:rFonts w:asciiTheme="majorHAnsi" w:hAnsiTheme="majorHAnsi"/>
          <w:bCs/>
          <w:iCs/>
          <w:szCs w:val="26"/>
          <w:lang w:val="en-US"/>
        </w:rPr>
        <w:lastRenderedPageBreak/>
        <w:t>sản)</w:t>
      </w:r>
      <w:r w:rsidR="00717B12" w:rsidRPr="00590211">
        <w:rPr>
          <w:rFonts w:asciiTheme="majorHAnsi" w:hAnsiTheme="majorHAnsi"/>
          <w:bCs/>
          <w:iCs/>
          <w:szCs w:val="26"/>
        </w:rPr>
        <w:t>, việc xử lý tuân theo quy định pháp luật mà các bên lựa chọn áp dụng</w:t>
      </w:r>
      <w:r w:rsidRPr="00590211">
        <w:rPr>
          <w:rFonts w:asciiTheme="majorHAnsi" w:hAnsiTheme="majorHAnsi"/>
          <w:bCs/>
          <w:iCs/>
          <w:szCs w:val="26"/>
          <w:lang w:val="en-US"/>
        </w:rPr>
        <w:t xml:space="preserve"> </w:t>
      </w:r>
      <w:r w:rsidRPr="00590211">
        <w:rPr>
          <w:rFonts w:asciiTheme="majorHAnsi" w:hAnsiTheme="majorHAnsi"/>
          <w:b/>
          <w:bCs/>
          <w:i/>
          <w:iCs/>
          <w:szCs w:val="26"/>
          <w:lang w:val="en-US"/>
        </w:rPr>
        <w:t>(chính sách vượt trội)</w:t>
      </w:r>
      <w:r w:rsidR="005C6441" w:rsidRPr="00590211">
        <w:rPr>
          <w:rFonts w:asciiTheme="majorHAnsi" w:hAnsiTheme="majorHAnsi"/>
          <w:bCs/>
          <w:iCs/>
          <w:szCs w:val="26"/>
        </w:rPr>
        <w:t xml:space="preserve">, phù hợp với quy định tại </w:t>
      </w:r>
      <w:r w:rsidR="005C6441" w:rsidRPr="00590211">
        <w:rPr>
          <w:rFonts w:asciiTheme="majorHAnsi" w:hAnsiTheme="majorHAnsi"/>
          <w:bCs/>
          <w:iCs/>
          <w:szCs w:val="26"/>
          <w:lang w:val="en-US"/>
        </w:rPr>
        <w:t>Nghị quyết 222.</w:t>
      </w:r>
    </w:p>
    <w:p w14:paraId="25F60642" w14:textId="39AC6611" w:rsidR="004441FD" w:rsidRPr="00590211" w:rsidRDefault="004441FD" w:rsidP="00AE142F">
      <w:pPr>
        <w:tabs>
          <w:tab w:val="left" w:pos="709"/>
        </w:tabs>
        <w:spacing w:before="40" w:after="40"/>
        <w:ind w:firstLine="567"/>
        <w:jc w:val="both"/>
        <w:rPr>
          <w:rFonts w:asciiTheme="majorHAnsi" w:hAnsiTheme="majorHAnsi"/>
          <w:b/>
          <w:bCs/>
          <w:i/>
          <w:iCs/>
          <w:szCs w:val="26"/>
          <w:lang w:val="pt-BR"/>
        </w:rPr>
      </w:pPr>
      <w:r w:rsidRPr="00590211">
        <w:rPr>
          <w:rFonts w:asciiTheme="majorHAnsi" w:hAnsiTheme="majorHAnsi"/>
          <w:b/>
          <w:bCs/>
          <w:i/>
          <w:iCs/>
          <w:szCs w:val="26"/>
          <w:lang w:val="en-US"/>
        </w:rPr>
        <w:t xml:space="preserve">3.7. </w:t>
      </w:r>
      <w:r w:rsidRPr="00590211">
        <w:rPr>
          <w:rFonts w:asciiTheme="majorHAnsi" w:hAnsiTheme="majorHAnsi"/>
          <w:b/>
          <w:bCs/>
          <w:i/>
          <w:iCs/>
          <w:szCs w:val="26"/>
          <w:lang w:val="sv-SE"/>
        </w:rPr>
        <w:t xml:space="preserve">Về thu hồi </w:t>
      </w:r>
      <w:r w:rsidR="00170070" w:rsidRPr="00590211">
        <w:rPr>
          <w:rFonts w:asciiTheme="majorHAnsi" w:hAnsiTheme="majorHAnsi"/>
          <w:b/>
          <w:bCs/>
          <w:i/>
          <w:iCs/>
          <w:szCs w:val="26"/>
          <w:lang w:val="sv-SE"/>
        </w:rPr>
        <w:t>G</w:t>
      </w:r>
      <w:r w:rsidRPr="00590211">
        <w:rPr>
          <w:rFonts w:asciiTheme="majorHAnsi" w:hAnsiTheme="majorHAnsi"/>
          <w:b/>
          <w:bCs/>
          <w:i/>
          <w:iCs/>
          <w:szCs w:val="26"/>
          <w:lang w:val="sv-SE"/>
        </w:rPr>
        <w:t>iấy phép, giải thể, phá sản và thanh lý tài sản</w:t>
      </w:r>
    </w:p>
    <w:p w14:paraId="4D4F8C6A" w14:textId="23B3E024" w:rsidR="00170070" w:rsidRPr="00590211" w:rsidRDefault="00170070"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 xml:space="preserve">Mặc dù nguyên tắc xây dựng DTNĐ là NHNN không thực hiện can thiệp khi ngân hàng là thành viên xảy ra sự cố, tuy nhiên, để đảm bảo rõ ràng minh bạch và trách nhiệm của nhà đầu tư đối với </w:t>
      </w:r>
      <w:r w:rsidR="005C6441" w:rsidRPr="00590211">
        <w:rPr>
          <w:rFonts w:asciiTheme="majorHAnsi" w:hAnsiTheme="majorHAnsi"/>
          <w:bCs/>
          <w:iCs/>
          <w:szCs w:val="26"/>
          <w:lang w:val="en-US"/>
        </w:rPr>
        <w:t xml:space="preserve">hoạt động của </w:t>
      </w:r>
      <w:r w:rsidRPr="00590211">
        <w:rPr>
          <w:rFonts w:asciiTheme="majorHAnsi" w:hAnsiTheme="majorHAnsi"/>
          <w:bCs/>
          <w:iCs/>
          <w:szCs w:val="26"/>
          <w:lang w:val="en-US"/>
        </w:rPr>
        <w:t>ngân hàng là thành viên, DTNĐ quy định cụ thể các trường hợp gặp sự cố và các trường hợp phải thực hiện thu hồi Giấy phép, giải thể, phá sản thanh lý tài sản</w:t>
      </w:r>
      <w:r w:rsidR="005C6441" w:rsidRPr="00590211">
        <w:rPr>
          <w:rFonts w:asciiTheme="majorHAnsi" w:hAnsiTheme="majorHAnsi"/>
          <w:bCs/>
          <w:iCs/>
          <w:szCs w:val="26"/>
          <w:lang w:val="en-US"/>
        </w:rPr>
        <w:t xml:space="preserve"> trên cơ sở nội dung các quy định tại Luật Các TCTD phù hợp với định hướng thành lập TTTC</w:t>
      </w:r>
      <w:r w:rsidRPr="00590211">
        <w:rPr>
          <w:rFonts w:asciiTheme="majorHAnsi" w:hAnsiTheme="majorHAnsi"/>
          <w:bCs/>
          <w:iCs/>
          <w:szCs w:val="26"/>
          <w:lang w:val="en-US"/>
        </w:rPr>
        <w:t xml:space="preserve"> như sau:</w:t>
      </w:r>
    </w:p>
    <w:p w14:paraId="029EEB8D" w14:textId="3E801B2F" w:rsidR="00102781" w:rsidRPr="00590211" w:rsidRDefault="009916FA" w:rsidP="00AE142F">
      <w:pPr>
        <w:tabs>
          <w:tab w:val="left" w:pos="709"/>
        </w:tabs>
        <w:spacing w:before="40" w:after="40"/>
        <w:ind w:firstLine="567"/>
        <w:jc w:val="both"/>
        <w:rPr>
          <w:rFonts w:asciiTheme="majorHAnsi" w:hAnsiTheme="majorHAnsi"/>
          <w:b/>
          <w:bCs/>
          <w:iCs/>
          <w:szCs w:val="26"/>
          <w:lang w:val="en-US"/>
        </w:rPr>
      </w:pPr>
      <w:r w:rsidRPr="00590211">
        <w:rPr>
          <w:rFonts w:asciiTheme="majorHAnsi" w:hAnsiTheme="majorHAnsi"/>
          <w:b/>
          <w:bCs/>
          <w:i/>
          <w:iCs/>
          <w:szCs w:val="26"/>
          <w:lang w:val="en-US"/>
        </w:rPr>
        <w:t>a)</w:t>
      </w:r>
      <w:r w:rsidR="004441FD" w:rsidRPr="00590211">
        <w:rPr>
          <w:rFonts w:asciiTheme="majorHAnsi" w:hAnsiTheme="majorHAnsi"/>
          <w:b/>
          <w:bCs/>
          <w:i/>
          <w:iCs/>
          <w:szCs w:val="26"/>
          <w:lang w:val="en-US"/>
        </w:rPr>
        <w:t xml:space="preserve"> Về c</w:t>
      </w:r>
      <w:r w:rsidR="004441FD" w:rsidRPr="00590211">
        <w:rPr>
          <w:rFonts w:asciiTheme="majorHAnsi" w:hAnsiTheme="majorHAnsi"/>
          <w:b/>
          <w:bCs/>
          <w:i/>
          <w:iCs/>
          <w:szCs w:val="26"/>
        </w:rPr>
        <w:t>ác trường hợp NHTM, chi nhánh NHNNg là thành viên gặp sự cố</w:t>
      </w:r>
      <w:r w:rsidR="004441FD" w:rsidRPr="00590211">
        <w:rPr>
          <w:rFonts w:asciiTheme="majorHAnsi" w:hAnsiTheme="majorHAnsi"/>
          <w:b/>
          <w:bCs/>
          <w:iCs/>
          <w:szCs w:val="26"/>
          <w:lang w:val="en-US"/>
        </w:rPr>
        <w:t>:</w:t>
      </w:r>
      <w:r w:rsidR="002E6C79" w:rsidRPr="00590211">
        <w:rPr>
          <w:rFonts w:asciiTheme="majorHAnsi" w:hAnsiTheme="majorHAnsi"/>
          <w:b/>
          <w:bCs/>
          <w:iCs/>
          <w:szCs w:val="26"/>
          <w:lang w:val="en-US"/>
        </w:rPr>
        <w:t xml:space="preserve"> </w:t>
      </w:r>
      <w:r w:rsidR="004441FD" w:rsidRPr="00590211">
        <w:rPr>
          <w:rFonts w:asciiTheme="majorHAnsi" w:hAnsiTheme="majorHAnsi"/>
          <w:bCs/>
          <w:iCs/>
          <w:szCs w:val="26"/>
          <w:lang w:val="en-US"/>
        </w:rPr>
        <w:t>DTNĐ quy định 0</w:t>
      </w:r>
      <w:r w:rsidR="004441FD" w:rsidRPr="00590211">
        <w:rPr>
          <w:rFonts w:asciiTheme="majorHAnsi" w:hAnsiTheme="majorHAnsi"/>
          <w:bCs/>
          <w:iCs/>
          <w:szCs w:val="26"/>
        </w:rPr>
        <w:t>4 trường hợp NHTM, chi nhánh NHNNg là thành viên TTTC gặp sự cố</w:t>
      </w:r>
      <w:r w:rsidR="00170070" w:rsidRPr="00590211">
        <w:rPr>
          <w:rFonts w:asciiTheme="majorHAnsi" w:hAnsiTheme="majorHAnsi"/>
          <w:bCs/>
          <w:iCs/>
          <w:szCs w:val="26"/>
          <w:lang w:val="en-US"/>
        </w:rPr>
        <w:t xml:space="preserve"> </w:t>
      </w:r>
      <w:r w:rsidR="004441FD" w:rsidRPr="00590211">
        <w:rPr>
          <w:rFonts w:asciiTheme="majorHAnsi" w:hAnsiTheme="majorHAnsi"/>
          <w:bCs/>
          <w:iCs/>
          <w:szCs w:val="26"/>
        </w:rPr>
        <w:t>bao gồm</w:t>
      </w:r>
      <w:r w:rsidR="004441FD" w:rsidRPr="00590211">
        <w:rPr>
          <w:rFonts w:asciiTheme="majorHAnsi" w:hAnsiTheme="majorHAnsi"/>
          <w:bCs/>
          <w:iCs/>
          <w:szCs w:val="26"/>
          <w:lang w:val="en-US"/>
        </w:rPr>
        <w:t xml:space="preserve">: </w:t>
      </w:r>
    </w:p>
    <w:p w14:paraId="44321AB3" w14:textId="2B8E50B9" w:rsidR="00102781" w:rsidRPr="00590211" w:rsidRDefault="009916FA"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w:t>
      </w:r>
      <w:r w:rsidR="00102781" w:rsidRPr="00590211">
        <w:rPr>
          <w:rFonts w:asciiTheme="majorHAnsi" w:hAnsiTheme="majorHAnsi"/>
          <w:bCs/>
          <w:iCs/>
          <w:szCs w:val="26"/>
          <w:lang w:val="en-US"/>
        </w:rPr>
        <w:t xml:space="preserve"> </w:t>
      </w:r>
      <w:r w:rsidR="004441FD" w:rsidRPr="00590211">
        <w:rPr>
          <w:rFonts w:asciiTheme="majorHAnsi" w:hAnsiTheme="majorHAnsi"/>
          <w:bCs/>
          <w:iCs/>
          <w:szCs w:val="26"/>
        </w:rPr>
        <w:t>Số lỗ lũy kế lớn hơn 15% giá trị của vốn điều lệ và các quỹ dự trữ và vi phạm tỷ lệ an toàn vốn tối thiểu</w:t>
      </w:r>
      <w:r w:rsidR="004441FD" w:rsidRPr="00590211">
        <w:rPr>
          <w:rFonts w:asciiTheme="majorHAnsi" w:hAnsiTheme="majorHAnsi"/>
          <w:bCs/>
          <w:iCs/>
          <w:szCs w:val="26"/>
          <w:lang w:val="en-US"/>
        </w:rPr>
        <w:t>;</w:t>
      </w:r>
    </w:p>
    <w:p w14:paraId="32837206" w14:textId="25CF4A0D" w:rsidR="00102781" w:rsidRPr="00590211" w:rsidRDefault="009916FA"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w:t>
      </w:r>
      <w:r w:rsidR="00102781" w:rsidRPr="00590211">
        <w:rPr>
          <w:rFonts w:asciiTheme="majorHAnsi" w:hAnsiTheme="majorHAnsi"/>
          <w:bCs/>
          <w:iCs/>
          <w:szCs w:val="26"/>
          <w:lang w:val="en-US"/>
        </w:rPr>
        <w:t xml:space="preserve"> </w:t>
      </w:r>
      <w:r w:rsidR="004441FD" w:rsidRPr="00590211">
        <w:rPr>
          <w:rFonts w:asciiTheme="majorHAnsi" w:hAnsiTheme="majorHAnsi"/>
          <w:bCs/>
          <w:iCs/>
          <w:szCs w:val="26"/>
        </w:rPr>
        <w:t>Vi phạm tỷ lệ an toàn vốn tối thiểu trong thời gian 06 tháng liên tục</w:t>
      </w:r>
      <w:r w:rsidR="004441FD" w:rsidRPr="00590211">
        <w:rPr>
          <w:rFonts w:asciiTheme="majorHAnsi" w:hAnsiTheme="majorHAnsi"/>
          <w:bCs/>
          <w:iCs/>
          <w:szCs w:val="26"/>
          <w:lang w:val="en-US"/>
        </w:rPr>
        <w:t>;</w:t>
      </w:r>
    </w:p>
    <w:p w14:paraId="03E50427" w14:textId="7BF8498D" w:rsidR="00102781" w:rsidRPr="00590211" w:rsidRDefault="009916FA" w:rsidP="00170070">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w:t>
      </w:r>
      <w:r w:rsidR="00102781" w:rsidRPr="00590211">
        <w:rPr>
          <w:rFonts w:asciiTheme="majorHAnsi" w:hAnsiTheme="majorHAnsi"/>
          <w:bCs/>
          <w:iCs/>
          <w:szCs w:val="26"/>
          <w:lang w:val="en-US"/>
        </w:rPr>
        <w:t xml:space="preserve"> </w:t>
      </w:r>
      <w:r w:rsidR="004441FD" w:rsidRPr="00590211">
        <w:rPr>
          <w:rFonts w:asciiTheme="majorHAnsi" w:hAnsiTheme="majorHAnsi"/>
          <w:bCs/>
          <w:iCs/>
          <w:szCs w:val="26"/>
        </w:rPr>
        <w:t>Vi phạm tỷ lệ khả năng chi trả trong thời gian 30 ngày liên tục</w:t>
      </w:r>
      <w:r w:rsidR="00170070" w:rsidRPr="00590211">
        <w:rPr>
          <w:rStyle w:val="FootnoteReference"/>
          <w:rFonts w:asciiTheme="majorHAnsi" w:hAnsiTheme="majorHAnsi"/>
          <w:bCs/>
          <w:iCs/>
          <w:szCs w:val="26"/>
        </w:rPr>
        <w:footnoteReference w:id="7"/>
      </w:r>
      <w:r w:rsidR="00170070" w:rsidRPr="00590211">
        <w:rPr>
          <w:rFonts w:asciiTheme="majorHAnsi" w:hAnsiTheme="majorHAnsi"/>
          <w:bCs/>
          <w:iCs/>
          <w:szCs w:val="26"/>
          <w:lang w:val="en-US"/>
        </w:rPr>
        <w:t>;</w:t>
      </w:r>
      <w:r w:rsidR="000A61E4" w:rsidRPr="00590211">
        <w:rPr>
          <w:rFonts w:asciiTheme="majorHAnsi" w:hAnsiTheme="majorHAnsi"/>
          <w:bCs/>
          <w:iCs/>
          <w:szCs w:val="26"/>
          <w:lang w:val="en-US"/>
        </w:rPr>
        <w:t xml:space="preserve"> </w:t>
      </w:r>
    </w:p>
    <w:p w14:paraId="4102532A" w14:textId="3123D45A" w:rsidR="004441FD" w:rsidRPr="00590211" w:rsidRDefault="009916FA" w:rsidP="00AE142F">
      <w:pPr>
        <w:tabs>
          <w:tab w:val="left" w:pos="709"/>
        </w:tabs>
        <w:spacing w:before="40" w:after="40"/>
        <w:ind w:firstLine="567"/>
        <w:jc w:val="both"/>
        <w:rPr>
          <w:rFonts w:asciiTheme="majorHAnsi" w:hAnsiTheme="majorHAnsi"/>
          <w:bCs/>
          <w:iCs/>
          <w:szCs w:val="26"/>
        </w:rPr>
      </w:pPr>
      <w:r w:rsidRPr="00590211">
        <w:rPr>
          <w:rFonts w:asciiTheme="majorHAnsi" w:hAnsiTheme="majorHAnsi"/>
          <w:bCs/>
          <w:iCs/>
          <w:szCs w:val="26"/>
          <w:lang w:val="en-US"/>
        </w:rPr>
        <w:t>-</w:t>
      </w:r>
      <w:r w:rsidR="00102781" w:rsidRPr="00590211">
        <w:rPr>
          <w:rFonts w:asciiTheme="majorHAnsi" w:hAnsiTheme="majorHAnsi"/>
          <w:bCs/>
          <w:iCs/>
          <w:szCs w:val="26"/>
          <w:lang w:val="en-US"/>
        </w:rPr>
        <w:t xml:space="preserve"> </w:t>
      </w:r>
      <w:r w:rsidR="004441FD" w:rsidRPr="00590211">
        <w:rPr>
          <w:rFonts w:asciiTheme="majorHAnsi" w:hAnsiTheme="majorHAnsi"/>
          <w:bCs/>
          <w:iCs/>
          <w:szCs w:val="26"/>
        </w:rPr>
        <w:t xml:space="preserve">Bị rút tiền hàng loạt dẫn đến có nguy cơ mất khả năng chi trả hoặc mất khả năng chi trả và có báo cáo gửi </w:t>
      </w:r>
      <w:r w:rsidR="00102781" w:rsidRPr="00590211">
        <w:rPr>
          <w:rFonts w:asciiTheme="majorHAnsi" w:hAnsiTheme="majorHAnsi"/>
          <w:bCs/>
          <w:iCs/>
          <w:szCs w:val="26"/>
          <w:lang w:val="en-US"/>
        </w:rPr>
        <w:t>cơ quan có thẩm quyền</w:t>
      </w:r>
      <w:r w:rsidR="004441FD" w:rsidRPr="00590211">
        <w:rPr>
          <w:rFonts w:asciiTheme="majorHAnsi" w:hAnsiTheme="majorHAnsi"/>
          <w:bCs/>
          <w:iCs/>
          <w:szCs w:val="26"/>
        </w:rPr>
        <w:t>.</w:t>
      </w:r>
    </w:p>
    <w:p w14:paraId="0C9A53F5" w14:textId="30D0A421" w:rsidR="004441FD" w:rsidRPr="00590211" w:rsidRDefault="009916FA" w:rsidP="00AE142F">
      <w:pPr>
        <w:tabs>
          <w:tab w:val="left" w:pos="709"/>
        </w:tabs>
        <w:spacing w:before="40" w:after="40"/>
        <w:ind w:firstLine="567"/>
        <w:jc w:val="both"/>
        <w:rPr>
          <w:rFonts w:asciiTheme="majorHAnsi" w:hAnsiTheme="majorHAnsi"/>
          <w:b/>
          <w:bCs/>
          <w:i/>
          <w:iCs/>
          <w:szCs w:val="26"/>
          <w:lang w:val="en-US"/>
        </w:rPr>
      </w:pPr>
      <w:r w:rsidRPr="00590211">
        <w:rPr>
          <w:rFonts w:asciiTheme="majorHAnsi" w:hAnsiTheme="majorHAnsi"/>
          <w:b/>
          <w:bCs/>
          <w:i/>
          <w:iCs/>
          <w:szCs w:val="26"/>
          <w:lang w:val="en-US"/>
        </w:rPr>
        <w:t>b)</w:t>
      </w:r>
      <w:r w:rsidR="004441FD" w:rsidRPr="00590211">
        <w:rPr>
          <w:rFonts w:asciiTheme="majorHAnsi" w:hAnsiTheme="majorHAnsi"/>
          <w:b/>
          <w:bCs/>
          <w:i/>
          <w:iCs/>
          <w:szCs w:val="26"/>
        </w:rPr>
        <w:t xml:space="preserve"> Thẩm quyền xử lý, theo dõi khi NHTM, chi nhánh NHNNg gặp sự cố và khắc phục sự cố, chấm dứt hoạt động, giải thể, </w:t>
      </w:r>
      <w:r w:rsidR="00170070" w:rsidRPr="00590211">
        <w:rPr>
          <w:rFonts w:asciiTheme="majorHAnsi" w:hAnsiTheme="majorHAnsi"/>
          <w:b/>
          <w:bCs/>
          <w:i/>
          <w:iCs/>
          <w:szCs w:val="26"/>
          <w:lang w:val="en-US"/>
        </w:rPr>
        <w:t xml:space="preserve">phá sản, </w:t>
      </w:r>
      <w:r w:rsidR="004441FD" w:rsidRPr="00590211">
        <w:rPr>
          <w:rFonts w:asciiTheme="majorHAnsi" w:hAnsiTheme="majorHAnsi"/>
          <w:b/>
          <w:bCs/>
          <w:i/>
          <w:iCs/>
          <w:szCs w:val="26"/>
        </w:rPr>
        <w:t>thanh lý tài sả</w:t>
      </w:r>
      <w:r w:rsidR="00170070" w:rsidRPr="00590211">
        <w:rPr>
          <w:rFonts w:asciiTheme="majorHAnsi" w:hAnsiTheme="majorHAnsi"/>
          <w:b/>
          <w:bCs/>
          <w:i/>
          <w:iCs/>
          <w:szCs w:val="26"/>
        </w:rPr>
        <w:t>n</w:t>
      </w:r>
      <w:r w:rsidRPr="00590211">
        <w:rPr>
          <w:rFonts w:asciiTheme="majorHAnsi" w:hAnsiTheme="majorHAnsi"/>
          <w:b/>
          <w:bCs/>
          <w:i/>
          <w:iCs/>
          <w:szCs w:val="26"/>
          <w:lang w:val="en-US"/>
        </w:rPr>
        <w:t xml:space="preserve">: </w:t>
      </w:r>
      <w:r w:rsidR="00CE70F1" w:rsidRPr="00590211">
        <w:rPr>
          <w:rFonts w:asciiTheme="majorHAnsi" w:hAnsiTheme="majorHAnsi"/>
          <w:bCs/>
          <w:iCs/>
          <w:szCs w:val="26"/>
          <w:lang w:val="en-US"/>
        </w:rPr>
        <w:t>DTNĐ</w:t>
      </w:r>
      <w:r w:rsidR="004441FD" w:rsidRPr="00590211">
        <w:rPr>
          <w:rFonts w:asciiTheme="majorHAnsi" w:hAnsiTheme="majorHAnsi"/>
          <w:bCs/>
          <w:iCs/>
          <w:szCs w:val="26"/>
          <w:lang w:val="en-US"/>
        </w:rPr>
        <w:t xml:space="preserve"> quy định theo hướng</w:t>
      </w:r>
      <w:r w:rsidR="00102781" w:rsidRPr="00590211">
        <w:rPr>
          <w:rFonts w:asciiTheme="majorHAnsi" w:hAnsiTheme="majorHAnsi"/>
          <w:bCs/>
          <w:iCs/>
          <w:szCs w:val="26"/>
          <w:lang w:val="en-US"/>
        </w:rPr>
        <w:t xml:space="preserve"> </w:t>
      </w:r>
      <w:r w:rsidR="005C6441" w:rsidRPr="00590211">
        <w:rPr>
          <w:rFonts w:asciiTheme="majorHAnsi" w:hAnsiTheme="majorHAnsi"/>
          <w:bCs/>
          <w:iCs/>
          <w:szCs w:val="26"/>
          <w:lang w:val="en-US"/>
        </w:rPr>
        <w:t>trách nhiệm</w:t>
      </w:r>
      <w:r w:rsidR="004441FD" w:rsidRPr="00590211">
        <w:rPr>
          <w:rFonts w:asciiTheme="majorHAnsi" w:hAnsiTheme="majorHAnsi"/>
          <w:bCs/>
          <w:iCs/>
          <w:szCs w:val="26"/>
        </w:rPr>
        <w:t xml:space="preserve"> xử lý, theo dõi khi NHTM, chi nhánh NHNNg</w:t>
      </w:r>
      <w:r w:rsidR="00170070" w:rsidRPr="00590211">
        <w:rPr>
          <w:rFonts w:asciiTheme="majorHAnsi" w:hAnsiTheme="majorHAnsi"/>
          <w:bCs/>
          <w:iCs/>
          <w:szCs w:val="26"/>
          <w:lang w:val="en-US"/>
        </w:rPr>
        <w:t xml:space="preserve"> là thành viên rơi vào các trường hợp nêu trên</w:t>
      </w:r>
      <w:r w:rsidR="004441FD" w:rsidRPr="00590211">
        <w:rPr>
          <w:rFonts w:asciiTheme="majorHAnsi" w:hAnsiTheme="majorHAnsi"/>
          <w:bCs/>
          <w:iCs/>
          <w:szCs w:val="26"/>
        </w:rPr>
        <w:t xml:space="preserve"> được giao cho cơ quan có thẩm quyền cấp Giấy phép, thanh tra, giám sát NHTM, chi nhánh NHNNg </w:t>
      </w:r>
      <w:r w:rsidR="00CE70F1" w:rsidRPr="00590211">
        <w:rPr>
          <w:rFonts w:asciiTheme="majorHAnsi" w:hAnsiTheme="majorHAnsi"/>
          <w:bCs/>
          <w:iCs/>
          <w:szCs w:val="26"/>
          <w:lang w:val="en-US"/>
        </w:rPr>
        <w:t>là thành viên</w:t>
      </w:r>
      <w:r w:rsidR="005C6441" w:rsidRPr="00590211">
        <w:rPr>
          <w:rFonts w:asciiTheme="majorHAnsi" w:hAnsiTheme="majorHAnsi"/>
          <w:bCs/>
          <w:iCs/>
          <w:szCs w:val="26"/>
          <w:lang w:val="en-US"/>
        </w:rPr>
        <w:t xml:space="preserve"> thực hiện</w:t>
      </w:r>
      <w:r w:rsidR="004441FD" w:rsidRPr="00590211">
        <w:rPr>
          <w:rFonts w:asciiTheme="majorHAnsi" w:hAnsiTheme="majorHAnsi"/>
          <w:bCs/>
          <w:iCs/>
          <w:szCs w:val="26"/>
          <w:lang w:val="en-US"/>
        </w:rPr>
        <w:t>.</w:t>
      </w:r>
    </w:p>
    <w:p w14:paraId="57DB955A" w14:textId="40AD97DF" w:rsidR="004441FD" w:rsidRPr="00590211" w:rsidRDefault="009916FA" w:rsidP="00170070">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
          <w:bCs/>
          <w:i/>
          <w:iCs/>
          <w:szCs w:val="26"/>
          <w:lang w:val="en-US"/>
        </w:rPr>
        <w:t>c)</w:t>
      </w:r>
      <w:r w:rsidR="00102781" w:rsidRPr="00590211">
        <w:rPr>
          <w:rFonts w:asciiTheme="majorHAnsi" w:hAnsiTheme="majorHAnsi"/>
          <w:b/>
          <w:bCs/>
          <w:i/>
          <w:iCs/>
          <w:szCs w:val="26"/>
          <w:lang w:val="en-US"/>
        </w:rPr>
        <w:t xml:space="preserve"> </w:t>
      </w:r>
      <w:r w:rsidR="004441FD" w:rsidRPr="00590211">
        <w:rPr>
          <w:rFonts w:asciiTheme="majorHAnsi" w:hAnsiTheme="majorHAnsi"/>
          <w:b/>
          <w:bCs/>
          <w:i/>
          <w:iCs/>
          <w:szCs w:val="26"/>
        </w:rPr>
        <w:t>Về Tòa án thực hiện thủ tục phá sản</w:t>
      </w:r>
      <w:r w:rsidR="00102781" w:rsidRPr="00590211">
        <w:rPr>
          <w:rFonts w:asciiTheme="majorHAnsi" w:hAnsiTheme="majorHAnsi"/>
          <w:b/>
          <w:bCs/>
          <w:i/>
          <w:iCs/>
          <w:szCs w:val="26"/>
          <w:lang w:val="en-US"/>
        </w:rPr>
        <w:t>:</w:t>
      </w:r>
      <w:r w:rsidR="004F236E" w:rsidRPr="00590211">
        <w:rPr>
          <w:rFonts w:asciiTheme="majorHAnsi" w:hAnsiTheme="majorHAnsi"/>
          <w:bCs/>
          <w:i/>
          <w:iCs/>
          <w:szCs w:val="26"/>
          <w:lang w:val="en-US"/>
        </w:rPr>
        <w:t xml:space="preserve"> </w:t>
      </w:r>
      <w:r w:rsidR="00CE70F1" w:rsidRPr="00590211">
        <w:rPr>
          <w:rFonts w:asciiTheme="majorHAnsi" w:hAnsiTheme="majorHAnsi"/>
          <w:bCs/>
          <w:iCs/>
          <w:szCs w:val="26"/>
          <w:lang w:val="en-US"/>
        </w:rPr>
        <w:t>Hiện tại DTNĐ</w:t>
      </w:r>
      <w:r w:rsidR="004441FD" w:rsidRPr="00590211">
        <w:rPr>
          <w:rFonts w:asciiTheme="majorHAnsi" w:hAnsiTheme="majorHAnsi"/>
          <w:bCs/>
          <w:iCs/>
          <w:szCs w:val="26"/>
          <w:lang w:val="en-US"/>
        </w:rPr>
        <w:t xml:space="preserve"> quy định </w:t>
      </w:r>
      <w:r w:rsidR="004441FD" w:rsidRPr="00590211">
        <w:rPr>
          <w:rFonts w:asciiTheme="majorHAnsi" w:hAnsiTheme="majorHAnsi"/>
          <w:bCs/>
          <w:iCs/>
          <w:szCs w:val="26"/>
        </w:rPr>
        <w:t xml:space="preserve">Tòa án chuyên biệt </w:t>
      </w:r>
      <w:r w:rsidR="004441FD" w:rsidRPr="00590211">
        <w:rPr>
          <w:rFonts w:asciiTheme="majorHAnsi" w:hAnsiTheme="majorHAnsi"/>
          <w:bCs/>
          <w:iCs/>
          <w:szCs w:val="26"/>
          <w:lang w:val="en-US"/>
        </w:rPr>
        <w:t xml:space="preserve">thuộc TTTC </w:t>
      </w:r>
      <w:r w:rsidR="004441FD" w:rsidRPr="00590211">
        <w:rPr>
          <w:rFonts w:asciiTheme="majorHAnsi" w:hAnsiTheme="majorHAnsi"/>
          <w:bCs/>
          <w:iCs/>
          <w:szCs w:val="26"/>
        </w:rPr>
        <w:t xml:space="preserve">có </w:t>
      </w:r>
      <w:r w:rsidR="004F236E" w:rsidRPr="00590211">
        <w:rPr>
          <w:rFonts w:asciiTheme="majorHAnsi" w:hAnsiTheme="majorHAnsi"/>
          <w:bCs/>
          <w:iCs/>
          <w:szCs w:val="26"/>
          <w:lang w:val="en-US"/>
        </w:rPr>
        <w:t>thẩm quyền</w:t>
      </w:r>
      <w:r w:rsidR="004441FD" w:rsidRPr="00590211">
        <w:rPr>
          <w:rFonts w:asciiTheme="majorHAnsi" w:hAnsiTheme="majorHAnsi"/>
          <w:bCs/>
          <w:iCs/>
          <w:szCs w:val="26"/>
        </w:rPr>
        <w:t xml:space="preserve"> giải quyết việc phá sản </w:t>
      </w:r>
      <w:r w:rsidR="004441FD" w:rsidRPr="00590211">
        <w:rPr>
          <w:rFonts w:asciiTheme="majorHAnsi" w:hAnsiTheme="majorHAnsi"/>
          <w:bCs/>
          <w:iCs/>
          <w:szCs w:val="26"/>
          <w:lang w:val="en-US"/>
        </w:rPr>
        <w:t xml:space="preserve">của NHTM </w:t>
      </w:r>
      <w:r w:rsidR="00FE1C65" w:rsidRPr="00590211">
        <w:rPr>
          <w:rFonts w:asciiTheme="majorHAnsi" w:hAnsiTheme="majorHAnsi"/>
          <w:bCs/>
          <w:iCs/>
          <w:szCs w:val="26"/>
          <w:lang w:val="en-US"/>
        </w:rPr>
        <w:t>là thành viên</w:t>
      </w:r>
      <w:r w:rsidR="00170070" w:rsidRPr="00590211">
        <w:rPr>
          <w:rFonts w:asciiTheme="majorHAnsi" w:hAnsiTheme="majorHAnsi"/>
          <w:bCs/>
          <w:iCs/>
          <w:szCs w:val="26"/>
          <w:lang w:val="en-US"/>
        </w:rPr>
        <w:t xml:space="preserve"> (quy định này là phù hợp với  </w:t>
      </w:r>
      <w:r w:rsidR="00CE70F1" w:rsidRPr="00590211">
        <w:rPr>
          <w:rFonts w:asciiTheme="majorHAnsi" w:hAnsiTheme="majorHAnsi"/>
          <w:bCs/>
          <w:iCs/>
          <w:szCs w:val="26"/>
          <w:lang w:val="en-US"/>
        </w:rPr>
        <w:t>Kế hoạch hành động triển khai xây dựng TTTC</w:t>
      </w:r>
      <w:r w:rsidR="00170070" w:rsidRPr="00590211">
        <w:rPr>
          <w:rFonts w:asciiTheme="majorHAnsi" w:hAnsiTheme="majorHAnsi"/>
          <w:bCs/>
          <w:iCs/>
          <w:szCs w:val="26"/>
          <w:lang w:val="en-US"/>
        </w:rPr>
        <w:t xml:space="preserve">). </w:t>
      </w:r>
    </w:p>
    <w:p w14:paraId="22294F9B" w14:textId="60359A86" w:rsidR="004F236E" w:rsidRPr="00590211" w:rsidRDefault="004F236E" w:rsidP="00AE142F">
      <w:pPr>
        <w:tabs>
          <w:tab w:val="left" w:pos="709"/>
        </w:tabs>
        <w:spacing w:before="40" w:after="40"/>
        <w:ind w:firstLine="567"/>
        <w:jc w:val="both"/>
        <w:rPr>
          <w:rFonts w:asciiTheme="majorHAnsi" w:hAnsiTheme="majorHAnsi"/>
          <w:b/>
          <w:bCs/>
          <w:i/>
          <w:iCs/>
          <w:szCs w:val="26"/>
          <w:lang w:val="en-US"/>
        </w:rPr>
      </w:pPr>
      <w:r w:rsidRPr="00590211">
        <w:rPr>
          <w:rFonts w:asciiTheme="majorHAnsi" w:hAnsiTheme="majorHAnsi"/>
          <w:b/>
          <w:bCs/>
          <w:i/>
          <w:iCs/>
          <w:szCs w:val="26"/>
          <w:lang w:val="en-US"/>
        </w:rPr>
        <w:t>3.</w:t>
      </w:r>
      <w:r w:rsidR="00FB0959" w:rsidRPr="00590211">
        <w:rPr>
          <w:rFonts w:asciiTheme="majorHAnsi" w:hAnsiTheme="majorHAnsi"/>
          <w:b/>
          <w:bCs/>
          <w:i/>
          <w:iCs/>
          <w:szCs w:val="26"/>
          <w:lang w:val="en-US"/>
        </w:rPr>
        <w:t>8</w:t>
      </w:r>
      <w:r w:rsidRPr="00590211">
        <w:rPr>
          <w:i/>
          <w:szCs w:val="26"/>
        </w:rPr>
        <w:t xml:space="preserve"> </w:t>
      </w:r>
      <w:r w:rsidRPr="00590211">
        <w:rPr>
          <w:rFonts w:asciiTheme="majorHAnsi" w:hAnsiTheme="majorHAnsi"/>
          <w:b/>
          <w:bCs/>
          <w:i/>
          <w:iCs/>
          <w:szCs w:val="26"/>
          <w:lang w:val="en-US"/>
        </w:rPr>
        <w:t>Về quản lý ngoại hối</w:t>
      </w:r>
    </w:p>
    <w:p w14:paraId="27272D74" w14:textId="013FF9B6" w:rsidR="00B74D7F" w:rsidRPr="00590211" w:rsidRDefault="00B74D7F"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Quy định về quản lý ngoại hối tại DTNĐ được xây dựng phù hợp với quy định tại Nghị quyết 222</w:t>
      </w:r>
      <w:r w:rsidR="002547DB" w:rsidRPr="00590211">
        <w:rPr>
          <w:rFonts w:asciiTheme="majorHAnsi" w:hAnsiTheme="majorHAnsi"/>
          <w:bCs/>
          <w:iCs/>
          <w:szCs w:val="26"/>
          <w:lang w:val="en-US"/>
        </w:rPr>
        <w:t xml:space="preserve"> về chính sách ngoại hối. Theo đó, DTNĐ quy định những nội dung chính về quản lý ngoại hối như sau:</w:t>
      </w:r>
    </w:p>
    <w:p w14:paraId="0E5B6F7F" w14:textId="47FFBE27" w:rsidR="002547DB" w:rsidRPr="00590211" w:rsidRDefault="002547DB"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
          <w:iCs/>
          <w:szCs w:val="26"/>
          <w:lang w:val="en-US"/>
        </w:rPr>
        <w:t>- Về việc sử dụng ngoại tệ:</w:t>
      </w:r>
      <w:r w:rsidRPr="00590211">
        <w:rPr>
          <w:rFonts w:asciiTheme="majorHAnsi" w:hAnsiTheme="majorHAnsi"/>
          <w:bCs/>
          <w:iCs/>
          <w:szCs w:val="26"/>
          <w:lang w:val="en-US"/>
        </w:rPr>
        <w:t xml:space="preserve"> DTNĐ quy định việc sử dụng ngoại tệ của </w:t>
      </w:r>
      <w:r w:rsidR="00155D75" w:rsidRPr="00590211">
        <w:rPr>
          <w:rFonts w:asciiTheme="majorHAnsi" w:hAnsiTheme="majorHAnsi"/>
          <w:bCs/>
          <w:iCs/>
          <w:szCs w:val="26"/>
          <w:lang w:val="en-US"/>
        </w:rPr>
        <w:t xml:space="preserve">thành viên (bao gồm </w:t>
      </w:r>
      <w:r w:rsidRPr="00590211">
        <w:rPr>
          <w:rFonts w:asciiTheme="majorHAnsi" w:hAnsiTheme="majorHAnsi"/>
          <w:bCs/>
          <w:iCs/>
          <w:szCs w:val="26"/>
          <w:lang w:val="en-US"/>
        </w:rPr>
        <w:t>NHTM, chi nhánh NHNNg là thành viên</w:t>
      </w:r>
      <w:r w:rsidR="00155D75" w:rsidRPr="00590211">
        <w:rPr>
          <w:rFonts w:asciiTheme="majorHAnsi" w:hAnsiTheme="majorHAnsi"/>
          <w:bCs/>
          <w:iCs/>
          <w:szCs w:val="26"/>
          <w:lang w:val="en-US"/>
        </w:rPr>
        <w:t xml:space="preserve"> và </w:t>
      </w:r>
      <w:r w:rsidRPr="00590211">
        <w:rPr>
          <w:rFonts w:asciiTheme="majorHAnsi" w:hAnsiTheme="majorHAnsi"/>
          <w:bCs/>
          <w:iCs/>
          <w:szCs w:val="26"/>
          <w:lang w:val="en-US"/>
        </w:rPr>
        <w:t xml:space="preserve">thành viên </w:t>
      </w:r>
      <w:r w:rsidR="00155D75" w:rsidRPr="00590211">
        <w:rPr>
          <w:rFonts w:asciiTheme="majorHAnsi" w:hAnsiTheme="majorHAnsi"/>
          <w:bCs/>
          <w:iCs/>
          <w:szCs w:val="26"/>
          <w:lang w:val="en-US"/>
        </w:rPr>
        <w:t>khác)</w:t>
      </w:r>
      <w:r w:rsidR="00DA3768" w:rsidRPr="00590211">
        <w:rPr>
          <w:rFonts w:asciiTheme="majorHAnsi" w:hAnsiTheme="majorHAnsi"/>
          <w:bCs/>
          <w:iCs/>
          <w:szCs w:val="26"/>
          <w:lang w:val="en-US"/>
        </w:rPr>
        <w:t>.</w:t>
      </w:r>
      <w:r w:rsidRPr="00590211">
        <w:rPr>
          <w:rFonts w:asciiTheme="majorHAnsi" w:hAnsiTheme="majorHAnsi"/>
          <w:bCs/>
          <w:iCs/>
          <w:szCs w:val="26"/>
          <w:lang w:val="en-US"/>
        </w:rPr>
        <w:t> </w:t>
      </w:r>
      <w:r w:rsidR="00DA3768" w:rsidRPr="00590211">
        <w:rPr>
          <w:rFonts w:asciiTheme="majorHAnsi" w:hAnsiTheme="majorHAnsi"/>
          <w:bCs/>
          <w:iCs/>
          <w:szCs w:val="26"/>
          <w:lang w:val="en-US"/>
        </w:rPr>
        <w:t>Đồng thời, để</w:t>
      </w:r>
      <w:r w:rsidR="00DA3768" w:rsidRPr="00590211">
        <w:rPr>
          <w:rFonts w:asciiTheme="majorHAnsi" w:hAnsiTheme="majorHAnsi"/>
          <w:bCs/>
          <w:i/>
          <w:iCs/>
          <w:szCs w:val="26"/>
          <w:lang w:val="en-US"/>
        </w:rPr>
        <w:t xml:space="preserve"> </w:t>
      </w:r>
      <w:r w:rsidR="00DA3768" w:rsidRPr="00590211">
        <w:rPr>
          <w:rFonts w:asciiTheme="majorHAnsi" w:hAnsiTheme="majorHAnsi"/>
          <w:bCs/>
          <w:iCs/>
          <w:szCs w:val="26"/>
          <w:lang w:val="en-US"/>
        </w:rPr>
        <w:t xml:space="preserve">hạn chế rủi ro lợi dụng chính sách, đảm bảo tách bạch giao dịch thanh toán, chuyển tiền ngoại tệ trong TTTC với các giao dịch thanh toán, chuyển tiền với phần còn lại của lãnh thổ Việt Nam, </w:t>
      </w:r>
      <w:r w:rsidR="00B74DAF" w:rsidRPr="00590211">
        <w:rPr>
          <w:rFonts w:asciiTheme="majorHAnsi" w:hAnsiTheme="majorHAnsi"/>
          <w:bCs/>
          <w:iCs/>
          <w:szCs w:val="26"/>
          <w:lang w:val="en-US"/>
        </w:rPr>
        <w:t>DTNĐ</w:t>
      </w:r>
      <w:r w:rsidR="00DA3768" w:rsidRPr="00590211">
        <w:rPr>
          <w:rFonts w:asciiTheme="majorHAnsi" w:hAnsiTheme="majorHAnsi"/>
          <w:bCs/>
          <w:iCs/>
          <w:szCs w:val="26"/>
          <w:lang w:val="en-US"/>
        </w:rPr>
        <w:t xml:space="preserve"> quy định các giao dịch thanh toán, chuyển tiền giữ</w:t>
      </w:r>
      <w:r w:rsidR="00155D75" w:rsidRPr="00590211">
        <w:rPr>
          <w:rFonts w:asciiTheme="majorHAnsi" w:hAnsiTheme="majorHAnsi"/>
          <w:bCs/>
          <w:iCs/>
          <w:szCs w:val="26"/>
          <w:lang w:val="en-US"/>
        </w:rPr>
        <w:t>a các t</w:t>
      </w:r>
      <w:r w:rsidR="00DA3768" w:rsidRPr="00590211">
        <w:rPr>
          <w:rFonts w:asciiTheme="majorHAnsi" w:hAnsiTheme="majorHAnsi"/>
          <w:bCs/>
          <w:iCs/>
          <w:szCs w:val="26"/>
          <w:lang w:val="en-US"/>
        </w:rPr>
        <w:t>hành viên phải được thực hiện thông qua tài khoản thanh toán bằng ngoại tệ củ</w:t>
      </w:r>
      <w:r w:rsidR="00155D75" w:rsidRPr="00590211">
        <w:rPr>
          <w:rFonts w:asciiTheme="majorHAnsi" w:hAnsiTheme="majorHAnsi"/>
          <w:bCs/>
          <w:iCs/>
          <w:szCs w:val="26"/>
          <w:lang w:val="en-US"/>
        </w:rPr>
        <w:t>a t</w:t>
      </w:r>
      <w:r w:rsidR="00DA3768" w:rsidRPr="00590211">
        <w:rPr>
          <w:rFonts w:asciiTheme="majorHAnsi" w:hAnsiTheme="majorHAnsi"/>
          <w:bCs/>
          <w:iCs/>
          <w:szCs w:val="26"/>
          <w:lang w:val="en-US"/>
        </w:rPr>
        <w:t>hành viên mở tại NHTM, chi nhánh NHNNg là thành viên.</w:t>
      </w:r>
    </w:p>
    <w:p w14:paraId="7B5C70EC" w14:textId="77777777" w:rsidR="003F2980" w:rsidRPr="00590211" w:rsidRDefault="00DA3768" w:rsidP="00DA3768">
      <w:pPr>
        <w:tabs>
          <w:tab w:val="left" w:pos="709"/>
        </w:tabs>
        <w:spacing w:before="40" w:after="40"/>
        <w:ind w:firstLine="567"/>
        <w:jc w:val="both"/>
        <w:rPr>
          <w:rFonts w:asciiTheme="majorHAnsi" w:hAnsiTheme="majorHAnsi"/>
          <w:bCs/>
          <w:i/>
          <w:iCs/>
          <w:szCs w:val="26"/>
          <w:lang w:val="en-US"/>
        </w:rPr>
      </w:pPr>
      <w:r w:rsidRPr="00590211">
        <w:rPr>
          <w:rFonts w:asciiTheme="majorHAnsi" w:hAnsiTheme="majorHAnsi"/>
          <w:bCs/>
          <w:i/>
          <w:iCs/>
          <w:szCs w:val="26"/>
          <w:lang w:val="en-US"/>
        </w:rPr>
        <w:t xml:space="preserve">- Về hoạt động vay, cho vay của thành viên TTTC: </w:t>
      </w:r>
    </w:p>
    <w:p w14:paraId="68304700" w14:textId="616CB36D" w:rsidR="00DA3768" w:rsidRPr="00590211" w:rsidRDefault="003F2980" w:rsidP="00B74DAF">
      <w:pPr>
        <w:tabs>
          <w:tab w:val="left" w:pos="709"/>
        </w:tabs>
        <w:spacing w:before="40" w:after="40"/>
        <w:ind w:firstLine="567"/>
        <w:jc w:val="both"/>
        <w:rPr>
          <w:rFonts w:asciiTheme="majorHAnsi" w:hAnsiTheme="majorHAnsi"/>
          <w:bCs/>
          <w:iCs/>
          <w:szCs w:val="26"/>
          <w:lang w:val="sv-SE"/>
        </w:rPr>
      </w:pPr>
      <w:r w:rsidRPr="00590211">
        <w:rPr>
          <w:rFonts w:asciiTheme="majorHAnsi" w:hAnsiTheme="majorHAnsi"/>
          <w:bCs/>
          <w:iCs/>
          <w:szCs w:val="26"/>
          <w:lang w:val="en-US"/>
        </w:rPr>
        <w:lastRenderedPageBreak/>
        <w:t>+</w:t>
      </w:r>
      <w:r w:rsidR="00B74DAF" w:rsidRPr="00590211">
        <w:rPr>
          <w:rFonts w:asciiTheme="majorHAnsi" w:hAnsiTheme="majorHAnsi"/>
          <w:bCs/>
          <w:iCs/>
          <w:szCs w:val="26"/>
          <w:lang w:val="en-US"/>
        </w:rPr>
        <w:t xml:space="preserve"> </w:t>
      </w:r>
      <w:r w:rsidR="00DA3768" w:rsidRPr="00590211">
        <w:rPr>
          <w:rFonts w:asciiTheme="majorHAnsi" w:hAnsiTheme="majorHAnsi"/>
          <w:bCs/>
          <w:iCs/>
          <w:szCs w:val="26"/>
          <w:lang w:val="en-US"/>
        </w:rPr>
        <w:t xml:space="preserve">DTNĐ quy định </w:t>
      </w:r>
      <w:r w:rsidR="00DA3768" w:rsidRPr="00590211">
        <w:rPr>
          <w:rFonts w:asciiTheme="majorHAnsi" w:hAnsiTheme="majorHAnsi"/>
          <w:bCs/>
          <w:iCs/>
          <w:szCs w:val="26"/>
          <w:lang w:val="sv-SE"/>
        </w:rPr>
        <w:t xml:space="preserve">điều kiện đối với NHTM 100% vốn trong nước và tổ chức khác do tổ chức trong nước thành lập được cho vay tổ chức cá nhân nước ngoài; quy định rõ nguyên tắc </w:t>
      </w:r>
      <w:r w:rsidR="005C6441" w:rsidRPr="00590211">
        <w:rPr>
          <w:rFonts w:asciiTheme="majorHAnsi" w:hAnsiTheme="majorHAnsi"/>
          <w:bCs/>
          <w:iCs/>
          <w:szCs w:val="26"/>
          <w:lang w:val="sv-SE"/>
        </w:rPr>
        <w:t>t</w:t>
      </w:r>
      <w:r w:rsidR="00DA3768" w:rsidRPr="00590211">
        <w:rPr>
          <w:rFonts w:asciiTheme="majorHAnsi" w:hAnsiTheme="majorHAnsi"/>
          <w:bCs/>
          <w:iCs/>
          <w:szCs w:val="26"/>
          <w:lang w:val="sv-SE"/>
        </w:rPr>
        <w:t>hành viên phải thực hiện qua tài khoản vốn (tài khoản thanh toán có tính chấ</w:t>
      </w:r>
      <w:r w:rsidR="005C6441" w:rsidRPr="00590211">
        <w:rPr>
          <w:rFonts w:asciiTheme="majorHAnsi" w:hAnsiTheme="majorHAnsi"/>
          <w:bCs/>
          <w:iCs/>
          <w:szCs w:val="26"/>
          <w:lang w:val="sv-SE"/>
        </w:rPr>
        <w:t>t chuyên dùng); quy định việc</w:t>
      </w:r>
      <w:r w:rsidR="00DA3768" w:rsidRPr="00590211">
        <w:rPr>
          <w:rFonts w:asciiTheme="majorHAnsi" w:hAnsiTheme="majorHAnsi"/>
          <w:bCs/>
          <w:iCs/>
          <w:szCs w:val="26"/>
          <w:lang w:val="sv-SE"/>
        </w:rPr>
        <w:t xml:space="preserve"> khai báo và tuân thủ chế độ báo cáo theo hướng dẫn củ</w:t>
      </w:r>
      <w:r w:rsidR="00B74DAF" w:rsidRPr="00590211">
        <w:rPr>
          <w:rFonts w:asciiTheme="majorHAnsi" w:hAnsiTheme="majorHAnsi"/>
          <w:bCs/>
          <w:iCs/>
          <w:szCs w:val="26"/>
          <w:lang w:val="sv-SE"/>
        </w:rPr>
        <w:t>a NHNN; quy định thành viên có thể cho vay bằng ngoại tệ đối với các tổ chức trên lãnh thổ Việt Nam với điều kiện bên đi vay tại Việt Nam phải tuân thủ điều kiện vay và thực hiện các thủ tục khai báo, đăng ký, báo cáo khoả</w:t>
      </w:r>
      <w:r w:rsidR="00155D75" w:rsidRPr="00590211">
        <w:rPr>
          <w:rFonts w:asciiTheme="majorHAnsi" w:hAnsiTheme="majorHAnsi"/>
          <w:bCs/>
          <w:iCs/>
          <w:szCs w:val="26"/>
          <w:lang w:val="sv-SE"/>
        </w:rPr>
        <w:t>n vay...</w:t>
      </w:r>
    </w:p>
    <w:p w14:paraId="4DAC9FFA" w14:textId="3EA77053" w:rsidR="00D237B5" w:rsidRPr="00590211" w:rsidRDefault="00DA3768" w:rsidP="00AE142F">
      <w:pPr>
        <w:tabs>
          <w:tab w:val="left" w:pos="709"/>
        </w:tabs>
        <w:spacing w:before="40" w:after="40"/>
        <w:ind w:firstLine="567"/>
        <w:jc w:val="both"/>
        <w:rPr>
          <w:rFonts w:asciiTheme="majorHAnsi" w:hAnsiTheme="majorHAnsi"/>
          <w:bCs/>
          <w:iCs/>
          <w:szCs w:val="26"/>
          <w:lang w:val="sv-SE"/>
        </w:rPr>
      </w:pPr>
      <w:r w:rsidRPr="00590211">
        <w:rPr>
          <w:rFonts w:asciiTheme="majorHAnsi" w:hAnsiTheme="majorHAnsi"/>
          <w:bCs/>
          <w:iCs/>
          <w:szCs w:val="26"/>
          <w:lang w:val="sv-SE"/>
        </w:rPr>
        <w:t xml:space="preserve">+ </w:t>
      </w:r>
      <w:r w:rsidR="00D237B5" w:rsidRPr="00590211">
        <w:rPr>
          <w:rFonts w:asciiTheme="majorHAnsi" w:hAnsiTheme="majorHAnsi"/>
          <w:bCs/>
          <w:iCs/>
          <w:szCs w:val="26"/>
          <w:lang w:val="sv-SE"/>
        </w:rPr>
        <w:t>Đối với trường hợp</w:t>
      </w:r>
      <w:r w:rsidR="00D237B5" w:rsidRPr="00590211">
        <w:rPr>
          <w:rFonts w:asciiTheme="majorHAnsi" w:hAnsiTheme="majorHAnsi"/>
          <w:b/>
          <w:bCs/>
          <w:iCs/>
          <w:szCs w:val="26"/>
          <w:lang w:val="sv-SE"/>
        </w:rPr>
        <w:t xml:space="preserve"> </w:t>
      </w:r>
      <w:r w:rsidR="00D237B5" w:rsidRPr="00590211">
        <w:rPr>
          <w:rFonts w:asciiTheme="majorHAnsi" w:hAnsiTheme="majorHAnsi"/>
          <w:bCs/>
          <w:iCs/>
          <w:szCs w:val="26"/>
          <w:lang w:val="sv-SE"/>
        </w:rPr>
        <w:t xml:space="preserve">NHTM 100% vốn trong nước và tổ chức khác do tổ chức trong nước thành lập được </w:t>
      </w:r>
      <w:r w:rsidR="00D237B5" w:rsidRPr="00590211">
        <w:rPr>
          <w:rFonts w:asciiTheme="majorHAnsi" w:hAnsiTheme="majorHAnsi"/>
          <w:b/>
          <w:bCs/>
          <w:iCs/>
          <w:szCs w:val="26"/>
          <w:lang w:val="sv-SE"/>
        </w:rPr>
        <w:t>cho vay tổ chức cá nhân nước ngoài</w:t>
      </w:r>
      <w:r w:rsidR="003F2980" w:rsidRPr="00590211">
        <w:rPr>
          <w:rFonts w:asciiTheme="majorHAnsi" w:hAnsiTheme="majorHAnsi"/>
          <w:bCs/>
          <w:iCs/>
          <w:szCs w:val="26"/>
          <w:lang w:val="sv-SE"/>
        </w:rPr>
        <w:t>, vi</w:t>
      </w:r>
      <w:r w:rsidR="00D237B5" w:rsidRPr="00590211">
        <w:rPr>
          <w:rFonts w:asciiTheme="majorHAnsi" w:hAnsiTheme="majorHAnsi"/>
          <w:bCs/>
          <w:iCs/>
          <w:szCs w:val="26"/>
          <w:lang w:val="sv-SE"/>
        </w:rPr>
        <w:t>ệc cho vay ra nước ngoài của nhóm đối tượng này được quản lý theo từng giao dịch (tương tự quy định hiện hành về cho vay ra nước ngoài), tuy nhiên</w:t>
      </w:r>
      <w:r w:rsidR="003F2980" w:rsidRPr="00590211">
        <w:rPr>
          <w:rFonts w:asciiTheme="majorHAnsi" w:hAnsiTheme="majorHAnsi"/>
          <w:bCs/>
          <w:iCs/>
          <w:szCs w:val="26"/>
          <w:lang w:val="sv-SE"/>
        </w:rPr>
        <w:t xml:space="preserve"> DTNĐ quy định nới lỏng hơn theo hướng </w:t>
      </w:r>
      <w:r w:rsidR="00D237B5" w:rsidRPr="00590211">
        <w:rPr>
          <w:rFonts w:asciiTheme="majorHAnsi" w:hAnsiTheme="majorHAnsi"/>
          <w:bCs/>
          <w:iCs/>
          <w:szCs w:val="26"/>
          <w:lang w:val="sv-SE"/>
        </w:rPr>
        <w:t xml:space="preserve">không yêu cầu tổ chức không phải </w:t>
      </w:r>
      <w:r w:rsidR="003F2980" w:rsidRPr="00590211">
        <w:rPr>
          <w:rFonts w:asciiTheme="majorHAnsi" w:hAnsiTheme="majorHAnsi"/>
          <w:bCs/>
          <w:iCs/>
          <w:szCs w:val="26"/>
          <w:lang w:val="sv-SE"/>
        </w:rPr>
        <w:t>NHTM, chi nhánh NHNNg</w:t>
      </w:r>
      <w:r w:rsidR="00D237B5" w:rsidRPr="00590211">
        <w:rPr>
          <w:rFonts w:asciiTheme="majorHAnsi" w:hAnsiTheme="majorHAnsi"/>
          <w:bCs/>
          <w:iCs/>
          <w:szCs w:val="26"/>
          <w:lang w:val="sv-SE"/>
        </w:rPr>
        <w:t xml:space="preserve"> phải xin Thủ tướng chấp thuận từng giao dịch như hiện hành; giảm bớt các trường hợp phải đăng ký, đăng ký thay đổi</w:t>
      </w:r>
      <w:r w:rsidR="003F2980" w:rsidRPr="00590211">
        <w:rPr>
          <w:rFonts w:asciiTheme="majorHAnsi" w:hAnsiTheme="majorHAnsi"/>
          <w:bCs/>
          <w:iCs/>
          <w:szCs w:val="26"/>
          <w:lang w:val="sv-SE"/>
        </w:rPr>
        <w:t xml:space="preserve"> </w:t>
      </w:r>
      <w:r w:rsidR="003F2980" w:rsidRPr="00590211">
        <w:rPr>
          <w:rFonts w:asciiTheme="majorHAnsi" w:hAnsiTheme="majorHAnsi"/>
          <w:b/>
          <w:bCs/>
          <w:i/>
          <w:iCs/>
          <w:szCs w:val="26"/>
          <w:lang w:val="en-US"/>
        </w:rPr>
        <w:t>(chính sách vượt trội)</w:t>
      </w:r>
      <w:r w:rsidR="00D237B5" w:rsidRPr="00590211">
        <w:rPr>
          <w:rFonts w:asciiTheme="majorHAnsi" w:hAnsiTheme="majorHAnsi"/>
          <w:bCs/>
          <w:iCs/>
          <w:szCs w:val="26"/>
          <w:lang w:val="sv-SE"/>
        </w:rPr>
        <w:t xml:space="preserve">. </w:t>
      </w:r>
    </w:p>
    <w:p w14:paraId="4E809B87" w14:textId="4AC71527" w:rsidR="004F236E" w:rsidRPr="00590211" w:rsidRDefault="00B74DAF"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
          <w:iCs/>
          <w:szCs w:val="26"/>
          <w:lang w:val="sv-SE"/>
        </w:rPr>
        <w:t xml:space="preserve">- </w:t>
      </w:r>
      <w:r w:rsidRPr="00590211">
        <w:rPr>
          <w:rFonts w:asciiTheme="majorHAnsi" w:hAnsiTheme="majorHAnsi"/>
          <w:bCs/>
          <w:i/>
          <w:iCs/>
          <w:szCs w:val="26"/>
          <w:lang w:val="en-US"/>
        </w:rPr>
        <w:t>Về hoạt động đầu tư gián tiếp ra nước ngoài của NHTM, chi nhánh NHNNg là thành viên:</w:t>
      </w:r>
      <w:r w:rsidRPr="00590211">
        <w:rPr>
          <w:rFonts w:asciiTheme="majorHAnsi" w:hAnsiTheme="majorHAnsi"/>
          <w:b/>
          <w:bCs/>
          <w:iCs/>
          <w:szCs w:val="26"/>
          <w:lang w:val="en-US"/>
        </w:rPr>
        <w:t xml:space="preserve"> </w:t>
      </w:r>
      <w:r w:rsidRPr="00590211">
        <w:rPr>
          <w:rFonts w:asciiTheme="majorHAnsi" w:hAnsiTheme="majorHAnsi"/>
          <w:bCs/>
          <w:iCs/>
          <w:szCs w:val="26"/>
          <w:lang w:val="sv-SE"/>
        </w:rPr>
        <w:t xml:space="preserve">Việc đầu tư gián tiếp ra nước ngoài của nhóm đối tượng này được quản lý trên cơ sở đáp ứng các điều kiện để cấp Giấy phép thực hiện (tương tự như quy định hiện hành tại Nghị định 135/2015/NĐ-CP và Thông tư 10/2016/TT-NHNN). Tuy nhiên, các điều kiện được </w:t>
      </w:r>
      <w:r w:rsidR="005D6B84" w:rsidRPr="00590211">
        <w:rPr>
          <w:rFonts w:asciiTheme="majorHAnsi" w:hAnsiTheme="majorHAnsi"/>
          <w:bCs/>
          <w:iCs/>
          <w:szCs w:val="26"/>
          <w:lang w:val="sv-SE"/>
        </w:rPr>
        <w:t xml:space="preserve">xây dựng theo hướng </w:t>
      </w:r>
      <w:r w:rsidRPr="00590211">
        <w:rPr>
          <w:rFonts w:asciiTheme="majorHAnsi" w:hAnsiTheme="majorHAnsi"/>
          <w:bCs/>
          <w:iCs/>
          <w:szCs w:val="26"/>
          <w:lang w:val="sv-SE"/>
        </w:rPr>
        <w:t xml:space="preserve">nới lỏng hơn: </w:t>
      </w:r>
      <w:r w:rsidRPr="00590211">
        <w:rPr>
          <w:rFonts w:asciiTheme="majorHAnsi" w:hAnsiTheme="majorHAnsi"/>
          <w:b/>
          <w:bCs/>
          <w:iCs/>
          <w:szCs w:val="26"/>
          <w:lang w:val="sv-SE"/>
        </w:rPr>
        <w:t>(i)</w:t>
      </w:r>
      <w:r w:rsidRPr="00590211">
        <w:rPr>
          <w:rFonts w:asciiTheme="majorHAnsi" w:hAnsiTheme="majorHAnsi"/>
          <w:bCs/>
          <w:iCs/>
          <w:szCs w:val="26"/>
          <w:lang w:val="sv-SE"/>
        </w:rPr>
        <w:t xml:space="preserve"> Chỉ yêu cầu hoạt động có lãi và không có nợ thuế trong </w:t>
      </w:r>
      <w:r w:rsidRPr="00590211">
        <w:rPr>
          <w:rFonts w:asciiTheme="majorHAnsi" w:hAnsiTheme="majorHAnsi"/>
          <w:bCs/>
          <w:iCs/>
          <w:szCs w:val="26"/>
          <w:u w:val="single"/>
          <w:lang w:val="sv-SE"/>
        </w:rPr>
        <w:t>năm liền trước</w:t>
      </w:r>
      <w:r w:rsidRPr="00590211">
        <w:rPr>
          <w:rFonts w:asciiTheme="majorHAnsi" w:hAnsiTheme="majorHAnsi"/>
          <w:bCs/>
          <w:iCs/>
          <w:szCs w:val="26"/>
          <w:lang w:val="sv-SE"/>
        </w:rPr>
        <w:t xml:space="preserve"> (thay vì 03 năm như quy định hiện hành); </w:t>
      </w:r>
      <w:r w:rsidRPr="00590211">
        <w:rPr>
          <w:rFonts w:asciiTheme="majorHAnsi" w:hAnsiTheme="majorHAnsi"/>
          <w:b/>
          <w:bCs/>
          <w:iCs/>
          <w:szCs w:val="26"/>
          <w:lang w:val="sv-SE"/>
        </w:rPr>
        <w:t>(ii)</w:t>
      </w:r>
      <w:r w:rsidRPr="00590211">
        <w:rPr>
          <w:rFonts w:asciiTheme="majorHAnsi" w:hAnsiTheme="majorHAnsi"/>
          <w:bCs/>
          <w:iCs/>
          <w:szCs w:val="26"/>
          <w:lang w:val="sv-SE"/>
        </w:rPr>
        <w:t xml:space="preserve"> Chính phủ không phê duyệt Tổng hạn mức </w:t>
      </w:r>
      <w:r w:rsidR="00155D75" w:rsidRPr="00590211">
        <w:rPr>
          <w:rFonts w:asciiTheme="majorHAnsi" w:hAnsiTheme="majorHAnsi"/>
          <w:bCs/>
          <w:iCs/>
          <w:szCs w:val="26"/>
          <w:lang w:val="sv-SE"/>
        </w:rPr>
        <w:t xml:space="preserve">đầu tư gián tiếp </w:t>
      </w:r>
      <w:r w:rsidRPr="00590211">
        <w:rPr>
          <w:rFonts w:asciiTheme="majorHAnsi" w:hAnsiTheme="majorHAnsi"/>
          <w:bCs/>
          <w:iCs/>
          <w:szCs w:val="26"/>
          <w:lang w:val="sv-SE"/>
        </w:rPr>
        <w:t xml:space="preserve">hàng năm, NHNN không phân bổ hạn mức cho từng tổ chức trên cơ sở phê duyệt Tổng hạn mức của </w:t>
      </w:r>
      <w:r w:rsidR="00155D75" w:rsidRPr="00590211">
        <w:rPr>
          <w:rFonts w:asciiTheme="majorHAnsi" w:hAnsiTheme="majorHAnsi"/>
          <w:bCs/>
          <w:iCs/>
          <w:szCs w:val="26"/>
          <w:lang w:val="sv-SE"/>
        </w:rPr>
        <w:t xml:space="preserve">Thủ tướng Chính phủ </w:t>
      </w:r>
      <w:r w:rsidR="00155D75" w:rsidRPr="00590211">
        <w:rPr>
          <w:rFonts w:asciiTheme="majorHAnsi" w:hAnsiTheme="majorHAnsi"/>
          <w:b/>
          <w:bCs/>
          <w:i/>
          <w:iCs/>
          <w:szCs w:val="26"/>
          <w:lang w:val="en-US"/>
        </w:rPr>
        <w:t>(chính sách vượt trội)</w:t>
      </w:r>
      <w:r w:rsidRPr="00590211">
        <w:rPr>
          <w:rFonts w:asciiTheme="majorHAnsi" w:hAnsiTheme="majorHAnsi"/>
          <w:bCs/>
          <w:iCs/>
          <w:szCs w:val="26"/>
          <w:lang w:val="sv-SE"/>
        </w:rPr>
        <w:t>.</w:t>
      </w:r>
    </w:p>
    <w:p w14:paraId="433B3A7D" w14:textId="1BB8F8B1" w:rsidR="004F236E" w:rsidRPr="00590211" w:rsidRDefault="004F236E" w:rsidP="00AE142F">
      <w:pPr>
        <w:tabs>
          <w:tab w:val="left" w:pos="709"/>
        </w:tabs>
        <w:spacing w:before="40" w:after="40"/>
        <w:ind w:firstLine="567"/>
        <w:jc w:val="both"/>
        <w:rPr>
          <w:rFonts w:asciiTheme="majorHAnsi" w:hAnsiTheme="majorHAnsi"/>
          <w:b/>
          <w:bCs/>
          <w:i/>
          <w:iCs/>
          <w:szCs w:val="26"/>
          <w:lang w:val="en-US"/>
        </w:rPr>
      </w:pPr>
      <w:r w:rsidRPr="00590211">
        <w:rPr>
          <w:rFonts w:asciiTheme="majorHAnsi" w:hAnsiTheme="majorHAnsi"/>
          <w:b/>
          <w:bCs/>
          <w:i/>
          <w:iCs/>
          <w:szCs w:val="26"/>
          <w:lang w:val="en-US"/>
        </w:rPr>
        <w:t>3.9. Về phòng, chống rửa tiền</w:t>
      </w:r>
    </w:p>
    <w:p w14:paraId="796F1820" w14:textId="736CA9E3" w:rsidR="004F236E" w:rsidRPr="00590211" w:rsidRDefault="004F236E" w:rsidP="00AE142F">
      <w:pPr>
        <w:tabs>
          <w:tab w:val="left" w:pos="709"/>
        </w:tabs>
        <w:spacing w:before="40" w:after="40"/>
        <w:ind w:firstLine="567"/>
        <w:jc w:val="both"/>
        <w:rPr>
          <w:rFonts w:asciiTheme="majorHAnsi" w:hAnsiTheme="majorHAnsi"/>
          <w:bCs/>
          <w:iCs/>
          <w:szCs w:val="26"/>
        </w:rPr>
      </w:pPr>
      <w:r w:rsidRPr="00590211">
        <w:rPr>
          <w:rFonts w:asciiTheme="majorHAnsi" w:hAnsiTheme="majorHAnsi"/>
          <w:bCs/>
          <w:iCs/>
          <w:szCs w:val="26"/>
          <w:lang w:val="pt-BR"/>
        </w:rPr>
        <w:t xml:space="preserve">- </w:t>
      </w:r>
      <w:r w:rsidR="00756440" w:rsidRPr="00590211">
        <w:rPr>
          <w:rFonts w:asciiTheme="majorHAnsi" w:hAnsiTheme="majorHAnsi"/>
          <w:bCs/>
          <w:iCs/>
          <w:szCs w:val="26"/>
          <w:lang w:val="en-US"/>
        </w:rPr>
        <w:t>DTNĐ q</w:t>
      </w:r>
      <w:r w:rsidRPr="00590211">
        <w:rPr>
          <w:rFonts w:asciiTheme="majorHAnsi" w:hAnsiTheme="majorHAnsi"/>
          <w:bCs/>
          <w:iCs/>
          <w:szCs w:val="26"/>
        </w:rPr>
        <w:t>uy định cụ thể trách nhiệm thực hiện các biện pháp phòng, chống rửa tiền</w:t>
      </w:r>
      <w:r w:rsidRPr="00590211">
        <w:rPr>
          <w:rFonts w:asciiTheme="majorHAnsi" w:hAnsiTheme="majorHAnsi"/>
          <w:bCs/>
          <w:iCs/>
          <w:szCs w:val="26"/>
          <w:lang w:val="en-US"/>
        </w:rPr>
        <w:t xml:space="preserve"> </w:t>
      </w:r>
      <w:r w:rsidRPr="00590211">
        <w:rPr>
          <w:rFonts w:asciiTheme="majorHAnsi" w:hAnsiTheme="majorHAnsi"/>
          <w:bCs/>
          <w:iCs/>
          <w:szCs w:val="26"/>
        </w:rPr>
        <w:t>của đối tượng báo cáo tại TTTC và của các tổ chức, cá nhân khác có liên quan tại TTTC;</w:t>
      </w:r>
      <w:r w:rsidR="00756440" w:rsidRPr="00590211">
        <w:rPr>
          <w:rFonts w:asciiTheme="majorHAnsi" w:hAnsiTheme="majorHAnsi"/>
          <w:bCs/>
          <w:iCs/>
          <w:szCs w:val="26"/>
          <w:lang w:val="en-US"/>
        </w:rPr>
        <w:t xml:space="preserve"> q</w:t>
      </w:r>
      <w:r w:rsidRPr="00590211">
        <w:rPr>
          <w:rFonts w:asciiTheme="majorHAnsi" w:hAnsiTheme="majorHAnsi"/>
          <w:bCs/>
          <w:iCs/>
          <w:szCs w:val="26"/>
        </w:rPr>
        <w:t xml:space="preserve">uy định trách nhiệm của Cơ quan giám sát TTTC, </w:t>
      </w:r>
      <w:r w:rsidRPr="00590211">
        <w:rPr>
          <w:rFonts w:asciiTheme="majorHAnsi" w:hAnsiTheme="majorHAnsi"/>
          <w:bCs/>
          <w:iCs/>
          <w:szCs w:val="26"/>
          <w:lang w:val="en-US"/>
        </w:rPr>
        <w:t>NHNN</w:t>
      </w:r>
      <w:r w:rsidRPr="00590211">
        <w:rPr>
          <w:rFonts w:asciiTheme="majorHAnsi" w:hAnsiTheme="majorHAnsi"/>
          <w:bCs/>
          <w:iCs/>
          <w:szCs w:val="26"/>
        </w:rPr>
        <w:t xml:space="preserve">, Bộ Công an, Bộ Quốc phòng và các bộ, ngành có liên quan trong thực hiện chức năng quản lý nhà nước về </w:t>
      </w:r>
      <w:r w:rsidR="002E6C79" w:rsidRPr="00590211">
        <w:rPr>
          <w:rFonts w:asciiTheme="majorHAnsi" w:hAnsiTheme="majorHAnsi"/>
          <w:bCs/>
          <w:iCs/>
          <w:szCs w:val="26"/>
          <w:lang w:val="en-US"/>
        </w:rPr>
        <w:t>phòng, chống rửa tiền</w:t>
      </w:r>
      <w:r w:rsidRPr="00590211">
        <w:rPr>
          <w:rFonts w:asciiTheme="majorHAnsi" w:hAnsiTheme="majorHAnsi"/>
          <w:bCs/>
          <w:iCs/>
          <w:szCs w:val="26"/>
        </w:rPr>
        <w:t xml:space="preserve"> tại TTTC đảm bảo phù hợp với quy định của pháp luật</w:t>
      </w:r>
      <w:r w:rsidR="002E6C79" w:rsidRPr="00590211">
        <w:rPr>
          <w:rFonts w:asciiTheme="majorHAnsi" w:hAnsiTheme="majorHAnsi"/>
          <w:bCs/>
          <w:iCs/>
          <w:szCs w:val="26"/>
          <w:lang w:val="en-US"/>
        </w:rPr>
        <w:t xml:space="preserve"> phòng, chống rửa tiền</w:t>
      </w:r>
      <w:r w:rsidRPr="00590211">
        <w:rPr>
          <w:rFonts w:asciiTheme="majorHAnsi" w:hAnsiTheme="majorHAnsi"/>
          <w:bCs/>
          <w:iCs/>
          <w:szCs w:val="26"/>
        </w:rPr>
        <w:t>.</w:t>
      </w:r>
    </w:p>
    <w:p w14:paraId="35FD83AE" w14:textId="40C1EBCC" w:rsidR="004F236E" w:rsidRPr="00590211" w:rsidRDefault="004F236E" w:rsidP="00AE142F">
      <w:pPr>
        <w:tabs>
          <w:tab w:val="left" w:pos="709"/>
        </w:tabs>
        <w:spacing w:before="40" w:after="40"/>
        <w:ind w:firstLine="567"/>
        <w:jc w:val="both"/>
        <w:rPr>
          <w:rFonts w:asciiTheme="majorHAnsi" w:hAnsiTheme="majorHAnsi"/>
          <w:bCs/>
          <w:iCs/>
          <w:szCs w:val="26"/>
        </w:rPr>
      </w:pPr>
      <w:r w:rsidRPr="00590211">
        <w:rPr>
          <w:rFonts w:asciiTheme="majorHAnsi" w:hAnsiTheme="majorHAnsi"/>
          <w:bCs/>
          <w:iCs/>
          <w:szCs w:val="26"/>
          <w:lang w:val="en-US"/>
        </w:rPr>
        <w:t xml:space="preserve">- </w:t>
      </w:r>
      <w:r w:rsidR="00756440" w:rsidRPr="00590211">
        <w:rPr>
          <w:rFonts w:asciiTheme="majorHAnsi" w:hAnsiTheme="majorHAnsi"/>
          <w:bCs/>
          <w:iCs/>
          <w:szCs w:val="26"/>
          <w:lang w:val="en-US"/>
        </w:rPr>
        <w:t>DTNĐ</w:t>
      </w:r>
      <w:r w:rsidRPr="00590211">
        <w:rPr>
          <w:rFonts w:asciiTheme="majorHAnsi" w:hAnsiTheme="majorHAnsi"/>
          <w:bCs/>
          <w:iCs/>
          <w:szCs w:val="26"/>
        </w:rPr>
        <w:t xml:space="preserve"> quy định một số </w:t>
      </w:r>
      <w:r w:rsidRPr="00590211">
        <w:rPr>
          <w:rFonts w:asciiTheme="majorHAnsi" w:hAnsiTheme="majorHAnsi"/>
          <w:b/>
          <w:bCs/>
          <w:iCs/>
          <w:szCs w:val="26"/>
        </w:rPr>
        <w:t>chính sách đặc thù</w:t>
      </w:r>
      <w:r w:rsidR="00756440" w:rsidRPr="00590211">
        <w:rPr>
          <w:rFonts w:asciiTheme="majorHAnsi" w:hAnsiTheme="majorHAnsi"/>
          <w:b/>
          <w:bCs/>
          <w:iCs/>
          <w:szCs w:val="26"/>
          <w:lang w:val="en-US"/>
        </w:rPr>
        <w:t>, vượt trội</w:t>
      </w:r>
      <w:r w:rsidRPr="00590211">
        <w:rPr>
          <w:rFonts w:asciiTheme="majorHAnsi" w:hAnsiTheme="majorHAnsi"/>
          <w:bCs/>
          <w:iCs/>
          <w:szCs w:val="26"/>
        </w:rPr>
        <w:t xml:space="preserve"> cho đối tượng báo cáo tại TTTC gồm: </w:t>
      </w:r>
      <w:r w:rsidRPr="00590211">
        <w:rPr>
          <w:rFonts w:asciiTheme="majorHAnsi" w:hAnsiTheme="majorHAnsi"/>
          <w:b/>
          <w:bCs/>
          <w:iCs/>
          <w:szCs w:val="26"/>
        </w:rPr>
        <w:t>(i)</w:t>
      </w:r>
      <w:r w:rsidRPr="00590211">
        <w:rPr>
          <w:rFonts w:asciiTheme="majorHAnsi" w:hAnsiTheme="majorHAnsi"/>
          <w:bCs/>
          <w:iCs/>
          <w:szCs w:val="26"/>
        </w:rPr>
        <w:t xml:space="preserve"> cho phép thực hiện các biện pháp </w:t>
      </w:r>
      <w:r w:rsidR="002E6C79" w:rsidRPr="00590211">
        <w:rPr>
          <w:rFonts w:asciiTheme="majorHAnsi" w:hAnsiTheme="majorHAnsi"/>
          <w:bCs/>
          <w:iCs/>
          <w:szCs w:val="26"/>
          <w:lang w:val="en-US"/>
        </w:rPr>
        <w:t>phòng, chống rửa tiền</w:t>
      </w:r>
      <w:r w:rsidR="002E6C79" w:rsidRPr="00590211">
        <w:rPr>
          <w:rFonts w:asciiTheme="majorHAnsi" w:hAnsiTheme="majorHAnsi"/>
          <w:bCs/>
          <w:iCs/>
          <w:szCs w:val="26"/>
        </w:rPr>
        <w:t xml:space="preserve"> </w:t>
      </w:r>
      <w:r w:rsidR="00756440" w:rsidRPr="00590211">
        <w:rPr>
          <w:rFonts w:asciiTheme="majorHAnsi" w:hAnsiTheme="majorHAnsi"/>
          <w:bCs/>
          <w:iCs/>
          <w:szCs w:val="26"/>
          <w:lang w:val="en-US"/>
        </w:rPr>
        <w:t>mà</w:t>
      </w:r>
      <w:r w:rsidRPr="00590211">
        <w:rPr>
          <w:rFonts w:asciiTheme="majorHAnsi" w:hAnsiTheme="majorHAnsi"/>
          <w:bCs/>
          <w:iCs/>
          <w:szCs w:val="26"/>
        </w:rPr>
        <w:t xml:space="preserve"> </w:t>
      </w:r>
      <w:r w:rsidR="00756440" w:rsidRPr="00590211">
        <w:rPr>
          <w:rFonts w:asciiTheme="majorHAnsi" w:hAnsiTheme="majorHAnsi"/>
          <w:bCs/>
          <w:iCs/>
          <w:szCs w:val="26"/>
          <w:lang w:val="en-US"/>
        </w:rPr>
        <w:t xml:space="preserve">chủ sở hữu, </w:t>
      </w:r>
      <w:r w:rsidRPr="00590211">
        <w:rPr>
          <w:rFonts w:asciiTheme="majorHAnsi" w:hAnsiTheme="majorHAnsi"/>
          <w:bCs/>
          <w:iCs/>
          <w:szCs w:val="26"/>
        </w:rPr>
        <w:t>ngân hàng mẹ</w:t>
      </w:r>
      <w:r w:rsidR="00D0361B" w:rsidRPr="00590211">
        <w:rPr>
          <w:rFonts w:asciiTheme="majorHAnsi" w:hAnsiTheme="majorHAnsi"/>
          <w:bCs/>
          <w:iCs/>
          <w:szCs w:val="26"/>
        </w:rPr>
        <w:t xml:space="preserve"> đang áp dụng</w:t>
      </w:r>
      <w:r w:rsidRPr="00590211">
        <w:rPr>
          <w:rFonts w:asciiTheme="majorHAnsi" w:hAnsiTheme="majorHAnsi"/>
          <w:bCs/>
          <w:iCs/>
          <w:szCs w:val="26"/>
        </w:rPr>
        <w:t xml:space="preserve"> mà pháp luật Việt Nam chưa có quy định nhưng đảm bảo không trái quy định của pháp luật Việt Nam; </w:t>
      </w:r>
      <w:r w:rsidRPr="00590211">
        <w:rPr>
          <w:rFonts w:asciiTheme="majorHAnsi" w:hAnsiTheme="majorHAnsi"/>
          <w:b/>
          <w:bCs/>
          <w:iCs/>
          <w:szCs w:val="26"/>
        </w:rPr>
        <w:t>(ii)</w:t>
      </w:r>
      <w:r w:rsidRPr="00590211">
        <w:rPr>
          <w:rFonts w:asciiTheme="majorHAnsi" w:hAnsiTheme="majorHAnsi"/>
          <w:bCs/>
          <w:iCs/>
          <w:szCs w:val="26"/>
        </w:rPr>
        <w:t xml:space="preserve"> áp dụng chế độ báo cáo giao dịch chuyển tiền điện tử quốc tế (ngưỡng báo cáo 1.000 USD) đối với các đối tượng báo cáo tại TTTC.</w:t>
      </w:r>
    </w:p>
    <w:p w14:paraId="4E0D5D9A" w14:textId="3DCD8652" w:rsidR="000C31E2" w:rsidRPr="00590211" w:rsidRDefault="000C31E2" w:rsidP="00AE142F">
      <w:pPr>
        <w:tabs>
          <w:tab w:val="left" w:pos="709"/>
        </w:tabs>
        <w:spacing w:before="40" w:after="40"/>
        <w:ind w:firstLine="567"/>
        <w:jc w:val="both"/>
        <w:rPr>
          <w:rFonts w:asciiTheme="majorHAnsi" w:hAnsiTheme="majorHAnsi"/>
          <w:b/>
          <w:bCs/>
          <w:i/>
          <w:iCs/>
          <w:szCs w:val="26"/>
          <w:lang w:val="en-US"/>
        </w:rPr>
      </w:pPr>
      <w:r w:rsidRPr="00590211">
        <w:rPr>
          <w:rFonts w:asciiTheme="majorHAnsi" w:hAnsiTheme="majorHAnsi"/>
          <w:b/>
          <w:bCs/>
          <w:i/>
          <w:iCs/>
          <w:szCs w:val="26"/>
          <w:lang w:val="en-US"/>
        </w:rPr>
        <w:t>3.10. Về thanh tra, giám sát</w:t>
      </w:r>
    </w:p>
    <w:p w14:paraId="71CCB642" w14:textId="4AFFF5B1" w:rsidR="000C31E2" w:rsidRPr="00590211" w:rsidRDefault="000C31E2" w:rsidP="00AE142F">
      <w:pPr>
        <w:tabs>
          <w:tab w:val="left" w:pos="709"/>
        </w:tabs>
        <w:spacing w:before="40" w:after="40"/>
        <w:ind w:firstLine="567"/>
        <w:jc w:val="both"/>
        <w:rPr>
          <w:rFonts w:asciiTheme="majorHAnsi" w:hAnsiTheme="majorHAnsi"/>
          <w:bCs/>
          <w:i/>
          <w:iCs/>
          <w:szCs w:val="26"/>
          <w:u w:val="single"/>
          <w:lang w:val="en-US"/>
        </w:rPr>
      </w:pPr>
      <w:r w:rsidRPr="00590211">
        <w:rPr>
          <w:rFonts w:asciiTheme="majorHAnsi" w:hAnsiTheme="majorHAnsi"/>
          <w:bCs/>
          <w:iCs/>
          <w:szCs w:val="26"/>
          <w:lang w:val="en-US"/>
        </w:rPr>
        <w:t xml:space="preserve">Tương tự như đã trình bày tại Mục IV.3.1 Tờ trình này về thẩm quyền cấp, sửa đổi, bổ sung và thu hồi Giấy phép, </w:t>
      </w:r>
      <w:r w:rsidR="00155D75" w:rsidRPr="00590211">
        <w:rPr>
          <w:rFonts w:asciiTheme="majorHAnsi" w:hAnsiTheme="majorHAnsi"/>
          <w:bCs/>
          <w:iCs/>
          <w:szCs w:val="26"/>
          <w:lang w:val="en-US"/>
        </w:rPr>
        <w:t>DTNĐ</w:t>
      </w:r>
      <w:r w:rsidRPr="00590211">
        <w:rPr>
          <w:rFonts w:asciiTheme="majorHAnsi" w:hAnsiTheme="majorHAnsi"/>
          <w:bCs/>
          <w:iCs/>
          <w:szCs w:val="26"/>
          <w:lang w:val="en-US"/>
        </w:rPr>
        <w:t xml:space="preserve"> quy định thẩm quyền thanh tra, giám sát theo 02 phương án:</w:t>
      </w:r>
    </w:p>
    <w:p w14:paraId="7A9183F9" w14:textId="0DB2793C" w:rsidR="000C31E2" w:rsidRPr="00590211" w:rsidRDefault="000C31E2" w:rsidP="00AE142F">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
          <w:bCs/>
          <w:iCs/>
          <w:szCs w:val="26"/>
          <w:lang w:val="en-US"/>
        </w:rPr>
        <w:t>- Phương án 1</w:t>
      </w:r>
      <w:r w:rsidRPr="00590211">
        <w:rPr>
          <w:rFonts w:asciiTheme="majorHAnsi" w:hAnsiTheme="majorHAnsi"/>
          <w:bCs/>
          <w:iCs/>
          <w:szCs w:val="26"/>
          <w:lang w:val="en-US"/>
        </w:rPr>
        <w:t>:</w:t>
      </w:r>
      <w:r w:rsidR="00AE142F" w:rsidRPr="00590211">
        <w:rPr>
          <w:rFonts w:asciiTheme="majorHAnsi" w:hAnsiTheme="majorHAnsi"/>
          <w:bCs/>
          <w:iCs/>
          <w:szCs w:val="26"/>
          <w:lang w:val="en-US"/>
        </w:rPr>
        <w:t xml:space="preserve"> </w:t>
      </w:r>
      <w:r w:rsidRPr="00590211">
        <w:rPr>
          <w:rFonts w:asciiTheme="majorHAnsi" w:hAnsiTheme="majorHAnsi"/>
          <w:bCs/>
          <w:iCs/>
          <w:szCs w:val="26"/>
          <w:lang w:val="en-US"/>
        </w:rPr>
        <w:t xml:space="preserve">Trong </w:t>
      </w:r>
      <w:r w:rsidRPr="00590211">
        <w:rPr>
          <w:rFonts w:asciiTheme="majorHAnsi" w:hAnsiTheme="majorHAnsi"/>
          <w:b/>
          <w:bCs/>
          <w:iCs/>
          <w:szCs w:val="26"/>
          <w:lang w:val="en-US"/>
        </w:rPr>
        <w:t xml:space="preserve">05 năm đầu </w:t>
      </w:r>
      <w:r w:rsidR="00155D75" w:rsidRPr="00590211">
        <w:rPr>
          <w:rFonts w:asciiTheme="majorHAnsi" w:hAnsiTheme="majorHAnsi"/>
          <w:b/>
          <w:bCs/>
          <w:iCs/>
          <w:szCs w:val="26"/>
          <w:lang w:val="en-US"/>
        </w:rPr>
        <w:t>sau khi TTTC thành lập</w:t>
      </w:r>
      <w:r w:rsidRPr="00590211">
        <w:rPr>
          <w:rFonts w:asciiTheme="majorHAnsi" w:hAnsiTheme="majorHAnsi"/>
          <w:bCs/>
          <w:iCs/>
          <w:szCs w:val="26"/>
          <w:lang w:val="en-US"/>
        </w:rPr>
        <w:t>, NHNN sẽ thực hiện thanh tra, giám sát, kiểm tra, xử lý vi phạm đối với hoạt động của các NHTM, chi nhánh NHNNg là thành viên TTTC theo chức năng, nhiệm vụ được giao hoặc theo kiến nghị của Cơ quan giám sát TTTC.</w:t>
      </w:r>
      <w:r w:rsidR="00AE142F" w:rsidRPr="00590211">
        <w:rPr>
          <w:rFonts w:asciiTheme="majorHAnsi" w:hAnsiTheme="majorHAnsi"/>
          <w:bCs/>
          <w:iCs/>
          <w:szCs w:val="26"/>
          <w:lang w:val="en-US"/>
        </w:rPr>
        <w:t xml:space="preserve"> </w:t>
      </w:r>
      <w:r w:rsidRPr="00590211">
        <w:rPr>
          <w:rFonts w:asciiTheme="majorHAnsi" w:hAnsiTheme="majorHAnsi"/>
          <w:bCs/>
          <w:iCs/>
          <w:szCs w:val="26"/>
          <w:lang w:val="en-US"/>
        </w:rPr>
        <w:t xml:space="preserve">Sau </w:t>
      </w:r>
      <w:r w:rsidR="00155D75" w:rsidRPr="00590211">
        <w:rPr>
          <w:rFonts w:asciiTheme="majorHAnsi" w:hAnsiTheme="majorHAnsi"/>
          <w:bCs/>
          <w:iCs/>
          <w:szCs w:val="26"/>
          <w:lang w:val="en-US"/>
        </w:rPr>
        <w:t>thời gian này</w:t>
      </w:r>
      <w:r w:rsidRPr="00590211">
        <w:rPr>
          <w:rFonts w:asciiTheme="majorHAnsi" w:hAnsiTheme="majorHAnsi"/>
          <w:bCs/>
          <w:iCs/>
          <w:szCs w:val="26"/>
          <w:lang w:val="en-US"/>
        </w:rPr>
        <w:t xml:space="preserve">, Cơ quan giám sát TTTC sẽ thực hiện thanh tra, giám sát, kiểm tra, xử lý vi phạm đối với hoạt động của các NHTM, chi nhánh NHNNg là thành viên TTTC. NHNN sẽ phối hợp với Cơ quan giám sát TTTC trong thực hiện nhiệm vụ quản lý, giám sát hoạt động của NHTM, chi nhánh NHNNg là thành viên TTTC. </w:t>
      </w:r>
    </w:p>
    <w:p w14:paraId="5C3B4505" w14:textId="6284D8D3" w:rsidR="000C31E2" w:rsidRPr="00590211" w:rsidRDefault="000C31E2" w:rsidP="00AE142F">
      <w:pPr>
        <w:tabs>
          <w:tab w:val="left" w:pos="709"/>
        </w:tabs>
        <w:spacing w:before="40" w:after="40"/>
        <w:ind w:firstLine="567"/>
        <w:jc w:val="both"/>
        <w:rPr>
          <w:rFonts w:asciiTheme="majorHAnsi" w:hAnsiTheme="majorHAnsi"/>
          <w:bCs/>
          <w:iCs/>
          <w:szCs w:val="26"/>
        </w:rPr>
      </w:pPr>
      <w:r w:rsidRPr="00590211">
        <w:rPr>
          <w:rFonts w:asciiTheme="majorHAnsi" w:hAnsiTheme="majorHAnsi"/>
          <w:b/>
          <w:bCs/>
          <w:iCs/>
          <w:szCs w:val="26"/>
          <w:lang w:val="en-US"/>
        </w:rPr>
        <w:t>- Phương án 2:</w:t>
      </w:r>
      <w:r w:rsidR="00AE142F" w:rsidRPr="00590211">
        <w:rPr>
          <w:rFonts w:asciiTheme="majorHAnsi" w:hAnsiTheme="majorHAnsi"/>
          <w:b/>
          <w:bCs/>
          <w:iCs/>
          <w:szCs w:val="26"/>
          <w:lang w:val="en-US"/>
        </w:rPr>
        <w:t xml:space="preserve"> </w:t>
      </w:r>
      <w:r w:rsidRPr="00590211">
        <w:rPr>
          <w:rFonts w:asciiTheme="majorHAnsi" w:hAnsiTheme="majorHAnsi"/>
          <w:bCs/>
          <w:iCs/>
          <w:szCs w:val="26"/>
          <w:lang w:val="en-US"/>
        </w:rPr>
        <w:t>Việc</w:t>
      </w:r>
      <w:r w:rsidRPr="00590211">
        <w:rPr>
          <w:rFonts w:asciiTheme="majorHAnsi" w:hAnsiTheme="majorHAnsi"/>
          <w:bCs/>
          <w:iCs/>
          <w:szCs w:val="26"/>
        </w:rPr>
        <w:t xml:space="preserve"> thanh tra, giám sát</w:t>
      </w:r>
      <w:r w:rsidRPr="00590211">
        <w:rPr>
          <w:rFonts w:asciiTheme="majorHAnsi" w:hAnsiTheme="majorHAnsi"/>
          <w:bCs/>
          <w:iCs/>
          <w:szCs w:val="26"/>
          <w:lang w:val="en-US"/>
        </w:rPr>
        <w:t>, kiểm tra, xử lý vi phạm</w:t>
      </w:r>
      <w:r w:rsidRPr="00590211">
        <w:rPr>
          <w:rFonts w:asciiTheme="majorHAnsi" w:hAnsiTheme="majorHAnsi"/>
          <w:bCs/>
          <w:iCs/>
          <w:szCs w:val="26"/>
        </w:rPr>
        <w:t xml:space="preserve"> đối với hoạt động của các NHTM, chi nhánh NHNN là thành viên TTTC sẽ do Cơ quan giám sát TTTC thực </w:t>
      </w:r>
      <w:r w:rsidRPr="00590211">
        <w:rPr>
          <w:rFonts w:asciiTheme="majorHAnsi" w:hAnsiTheme="majorHAnsi"/>
          <w:bCs/>
          <w:iCs/>
          <w:szCs w:val="26"/>
        </w:rPr>
        <w:lastRenderedPageBreak/>
        <w:t xml:space="preserve">hiện, chịu trách nhiệm. NHNN sẽ phối hợp với Cơ quan giám sát TTTC trong thực hiện nhiệm vụ quản lý, giám sát hoạt động của NHTM, chi nhánh NHNN là thành viên TTTC. Theo đó, </w:t>
      </w:r>
      <w:r w:rsidR="00155D75" w:rsidRPr="00590211">
        <w:rPr>
          <w:rFonts w:asciiTheme="majorHAnsi" w:hAnsiTheme="majorHAnsi"/>
          <w:bCs/>
          <w:iCs/>
          <w:szCs w:val="26"/>
          <w:lang w:val="en-US"/>
        </w:rPr>
        <w:t>DTNĐ</w:t>
      </w:r>
      <w:r w:rsidRPr="00590211">
        <w:rPr>
          <w:rFonts w:asciiTheme="majorHAnsi" w:hAnsiTheme="majorHAnsi"/>
          <w:bCs/>
          <w:iCs/>
          <w:szCs w:val="26"/>
        </w:rPr>
        <w:t xml:space="preserve"> quy định quy tắc chung, nội dung, hình thức, biện pháp xử lý đối với hoạt động thanh tra, giám sát. </w:t>
      </w:r>
    </w:p>
    <w:p w14:paraId="0E7AB6C5" w14:textId="3F68A5A3" w:rsidR="00484A2D" w:rsidRPr="00590211" w:rsidRDefault="00132AB1" w:rsidP="00533607">
      <w:pPr>
        <w:tabs>
          <w:tab w:val="left" w:pos="709"/>
        </w:tabs>
        <w:spacing w:before="40" w:after="40"/>
        <w:ind w:firstLine="567"/>
        <w:jc w:val="both"/>
        <w:rPr>
          <w:rFonts w:asciiTheme="majorHAnsi" w:hAnsiTheme="majorHAnsi"/>
          <w:b/>
          <w:szCs w:val="26"/>
          <w:lang w:val="sv-SE"/>
        </w:rPr>
      </w:pPr>
      <w:r w:rsidRPr="00590211">
        <w:rPr>
          <w:rFonts w:asciiTheme="majorHAnsi" w:hAnsiTheme="majorHAnsi"/>
          <w:b/>
          <w:bCs/>
          <w:i/>
          <w:iCs/>
          <w:szCs w:val="26"/>
          <w:lang w:val="en-US"/>
        </w:rPr>
        <w:t xml:space="preserve">3.11. </w:t>
      </w:r>
      <w:r w:rsidR="00484A2D" w:rsidRPr="00590211">
        <w:rPr>
          <w:rFonts w:asciiTheme="majorHAnsi" w:hAnsiTheme="majorHAnsi"/>
          <w:b/>
          <w:i/>
          <w:szCs w:val="26"/>
          <w:lang w:val="sv-SE"/>
        </w:rPr>
        <w:t>Vấn đề còn ý kiến khác nhau cần xin ý kiến cấp có thẩm quyền và kiến nghị phương án giải quyết:</w:t>
      </w:r>
      <w:r w:rsidR="00484A2D" w:rsidRPr="00590211">
        <w:rPr>
          <w:rFonts w:asciiTheme="majorHAnsi" w:hAnsiTheme="majorHAnsi"/>
          <w:b/>
          <w:szCs w:val="26"/>
          <w:lang w:val="sv-SE"/>
        </w:rPr>
        <w:t xml:space="preserve"> </w:t>
      </w:r>
    </w:p>
    <w:p w14:paraId="14C265A8" w14:textId="51613A29" w:rsidR="00484A2D" w:rsidRPr="00590211" w:rsidRDefault="00484A2D" w:rsidP="00AE142F">
      <w:pPr>
        <w:tabs>
          <w:tab w:val="left" w:pos="993"/>
        </w:tabs>
        <w:spacing w:before="40" w:after="40"/>
        <w:ind w:firstLine="567"/>
        <w:jc w:val="both"/>
        <w:rPr>
          <w:rFonts w:asciiTheme="majorHAnsi" w:hAnsiTheme="majorHAnsi"/>
          <w:b/>
          <w:szCs w:val="26"/>
          <w:lang w:val="sv-SE"/>
        </w:rPr>
      </w:pPr>
      <w:r w:rsidRPr="00590211">
        <w:rPr>
          <w:rFonts w:asciiTheme="majorHAnsi" w:hAnsiTheme="majorHAnsi"/>
          <w:b/>
          <w:szCs w:val="26"/>
          <w:lang w:val="sv-SE"/>
        </w:rPr>
        <w:t xml:space="preserve">V. NHỮNG NỘI DUNG BỔ SUNG MỚI SO VỚI </w:t>
      </w:r>
      <w:r w:rsidR="00155D75" w:rsidRPr="00590211">
        <w:rPr>
          <w:rFonts w:asciiTheme="majorHAnsi" w:hAnsiTheme="majorHAnsi"/>
          <w:b/>
          <w:szCs w:val="26"/>
          <w:lang w:val="sv-SE"/>
        </w:rPr>
        <w:t>DTNĐ</w:t>
      </w:r>
      <w:r w:rsidRPr="00590211">
        <w:rPr>
          <w:rFonts w:asciiTheme="majorHAnsi" w:hAnsiTheme="majorHAnsi"/>
          <w:b/>
          <w:szCs w:val="26"/>
          <w:lang w:val="sv-SE"/>
        </w:rPr>
        <w:t xml:space="preserve"> GỬI THẨM ĐỊNH </w:t>
      </w:r>
    </w:p>
    <w:p w14:paraId="6ECDB1A9" w14:textId="56136EAB" w:rsidR="00E735D4" w:rsidRPr="00590211" w:rsidRDefault="00E735D4" w:rsidP="00E735D4">
      <w:pPr>
        <w:tabs>
          <w:tab w:val="left" w:pos="709"/>
        </w:tabs>
        <w:spacing w:before="40" w:after="40"/>
        <w:ind w:firstLine="567"/>
        <w:jc w:val="both"/>
        <w:rPr>
          <w:rFonts w:asciiTheme="majorHAnsi" w:hAnsiTheme="majorHAnsi"/>
          <w:b/>
          <w:bCs/>
          <w:iCs/>
          <w:szCs w:val="26"/>
          <w:lang w:val="en-US"/>
        </w:rPr>
      </w:pPr>
      <w:r w:rsidRPr="00590211">
        <w:rPr>
          <w:rFonts w:asciiTheme="majorHAnsi" w:hAnsiTheme="majorHAnsi"/>
          <w:b/>
          <w:szCs w:val="26"/>
          <w:lang w:val="sv-SE"/>
        </w:rPr>
        <w:t>VI.</w:t>
      </w:r>
      <w:r w:rsidRPr="00590211">
        <w:rPr>
          <w:rFonts w:asciiTheme="majorHAnsi" w:hAnsiTheme="majorHAnsi"/>
          <w:b/>
          <w:bCs/>
          <w:iCs/>
          <w:szCs w:val="26"/>
          <w:lang w:val="en-US"/>
        </w:rPr>
        <w:t xml:space="preserve"> ĐỀ XUẤT BAN HÀNH NGHỊ ĐỊNH THEO TRÌNH TỰ, THỦ TỤC RÚT GỌN</w:t>
      </w:r>
    </w:p>
    <w:p w14:paraId="42897AFA" w14:textId="1BB77684" w:rsidR="00E735D4" w:rsidRPr="00590211" w:rsidRDefault="00E735D4" w:rsidP="00E735D4">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Căn cứ quy định tại khoản 3 Điều 51 Luật Ban hành văn bản quy phạm pháp luật</w:t>
      </w:r>
      <w:r w:rsidR="00D314CB" w:rsidRPr="00590211">
        <w:rPr>
          <w:rFonts w:asciiTheme="majorHAnsi" w:hAnsiTheme="majorHAnsi"/>
          <w:bCs/>
          <w:iCs/>
          <w:szCs w:val="26"/>
          <w:lang w:val="en-US"/>
        </w:rPr>
        <w:t xml:space="preserve"> (Luật BHVBQPPL)</w:t>
      </w:r>
      <w:r w:rsidRPr="00590211">
        <w:rPr>
          <w:rStyle w:val="FootnoteReference"/>
          <w:rFonts w:asciiTheme="majorHAnsi" w:hAnsiTheme="majorHAnsi"/>
          <w:bCs/>
          <w:iCs/>
          <w:szCs w:val="26"/>
          <w:lang w:val="en-US"/>
        </w:rPr>
        <w:footnoteReference w:id="8"/>
      </w:r>
      <w:r w:rsidRPr="00590211">
        <w:rPr>
          <w:rFonts w:asciiTheme="majorHAnsi" w:hAnsiTheme="majorHAnsi"/>
          <w:bCs/>
          <w:iCs/>
          <w:szCs w:val="26"/>
          <w:lang w:val="en-US"/>
        </w:rPr>
        <w:t xml:space="preserve">, NHNN xin đề xuất Chính phủ </w:t>
      </w:r>
      <w:r w:rsidR="00A46512" w:rsidRPr="00590211">
        <w:rPr>
          <w:rFonts w:asciiTheme="majorHAnsi" w:hAnsiTheme="majorHAnsi"/>
          <w:bCs/>
          <w:iCs/>
          <w:szCs w:val="26"/>
          <w:lang w:val="en-US"/>
        </w:rPr>
        <w:t xml:space="preserve">xem xét, cho phép </w:t>
      </w:r>
      <w:r w:rsidRPr="00590211">
        <w:rPr>
          <w:rFonts w:asciiTheme="majorHAnsi" w:hAnsiTheme="majorHAnsi"/>
          <w:bCs/>
          <w:iCs/>
          <w:szCs w:val="26"/>
          <w:lang w:val="en-US"/>
        </w:rPr>
        <w:t>ban hành Nghị định</w:t>
      </w:r>
      <w:r w:rsidR="00A46512" w:rsidRPr="00590211">
        <w:rPr>
          <w:rFonts w:asciiTheme="majorHAnsi" w:hAnsiTheme="majorHAnsi"/>
          <w:bCs/>
          <w:iCs/>
          <w:szCs w:val="26"/>
          <w:lang w:val="en-US"/>
        </w:rPr>
        <w:t xml:space="preserve"> này</w:t>
      </w:r>
      <w:r w:rsidRPr="00590211">
        <w:rPr>
          <w:rFonts w:asciiTheme="majorHAnsi" w:hAnsiTheme="majorHAnsi"/>
          <w:bCs/>
          <w:iCs/>
          <w:szCs w:val="26"/>
          <w:lang w:val="en-US"/>
        </w:rPr>
        <w:t xml:space="preserve"> theo trình tự, thủ tục rút gọn</w:t>
      </w:r>
      <w:r w:rsidR="00D314CB" w:rsidRPr="00590211">
        <w:rPr>
          <w:rFonts w:asciiTheme="majorHAnsi" w:hAnsiTheme="majorHAnsi"/>
          <w:bCs/>
          <w:iCs/>
          <w:szCs w:val="26"/>
          <w:lang w:val="en-US"/>
        </w:rPr>
        <w:t xml:space="preserve"> </w:t>
      </w:r>
      <w:r w:rsidR="00A46512" w:rsidRPr="00590211">
        <w:rPr>
          <w:rFonts w:asciiTheme="majorHAnsi" w:hAnsiTheme="majorHAnsi"/>
          <w:bCs/>
          <w:iCs/>
          <w:szCs w:val="26"/>
          <w:lang w:val="en-US"/>
        </w:rPr>
        <w:t xml:space="preserve">với các lý do </w:t>
      </w:r>
      <w:r w:rsidR="00D314CB" w:rsidRPr="00590211">
        <w:rPr>
          <w:rFonts w:asciiTheme="majorHAnsi" w:hAnsiTheme="majorHAnsi"/>
          <w:bCs/>
          <w:iCs/>
          <w:szCs w:val="26"/>
          <w:lang w:val="en-US"/>
        </w:rPr>
        <w:t>như sau:</w:t>
      </w:r>
    </w:p>
    <w:p w14:paraId="6425889E" w14:textId="125E9FAD" w:rsidR="00E735D4" w:rsidRPr="00590211" w:rsidRDefault="00E735D4" w:rsidP="00E735D4">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
          <w:iCs/>
          <w:szCs w:val="26"/>
          <w:lang w:val="en-US"/>
        </w:rPr>
        <w:t>- Sự cần thiết ban hành Nghị định theo trình tự, thủ tục rút gọn:</w:t>
      </w:r>
      <w:r w:rsidRPr="00590211">
        <w:rPr>
          <w:rFonts w:asciiTheme="majorHAnsi" w:hAnsiTheme="majorHAnsi"/>
          <w:bCs/>
          <w:iCs/>
          <w:szCs w:val="26"/>
          <w:lang w:val="en-US"/>
        </w:rPr>
        <w:t xml:space="preserve"> Tại Mục I.2 Tờ trình này, NHNN đã trình bày cơ sở thực tiễn, sự cần thiết cần phải ban hành Nghị định để tạo cơ sở pháp lý cho việc thực hiện</w:t>
      </w:r>
      <w:r w:rsidR="00155D75" w:rsidRPr="00590211">
        <w:rPr>
          <w:rFonts w:asciiTheme="majorHAnsi" w:hAnsiTheme="majorHAnsi"/>
          <w:bCs/>
          <w:iCs/>
          <w:szCs w:val="26"/>
          <w:lang w:val="en-US"/>
        </w:rPr>
        <w:t xml:space="preserve"> hoạt động ngân hàng cũng như</w:t>
      </w:r>
      <w:r w:rsidRPr="00590211">
        <w:rPr>
          <w:rFonts w:asciiTheme="majorHAnsi" w:hAnsiTheme="majorHAnsi"/>
          <w:bCs/>
          <w:iCs/>
          <w:szCs w:val="26"/>
          <w:lang w:val="en-US"/>
        </w:rPr>
        <w:t xml:space="preserve"> các giao d</w:t>
      </w:r>
      <w:r w:rsidR="005D6B84" w:rsidRPr="00590211">
        <w:rPr>
          <w:rFonts w:asciiTheme="majorHAnsi" w:hAnsiTheme="majorHAnsi"/>
          <w:bCs/>
          <w:iCs/>
          <w:szCs w:val="26"/>
          <w:lang w:val="en-US"/>
        </w:rPr>
        <w:t xml:space="preserve">ịch </w:t>
      </w:r>
      <w:r w:rsidRPr="00590211">
        <w:rPr>
          <w:rFonts w:asciiTheme="majorHAnsi" w:hAnsiTheme="majorHAnsi"/>
          <w:bCs/>
          <w:iCs/>
          <w:szCs w:val="26"/>
          <w:lang w:val="en-US"/>
        </w:rPr>
        <w:t xml:space="preserve">ngoại hối tại TTTC; tạo cơ sở pháp lý cho việc thanh tra, giám sát, phòng, chống rửa tiền… Đồng thời, tại Kế hoạch hành động triển khai xây dựng TTTC có nội dung giao các Bộ, ngành khẩn trương trình Chính phủ xem xét việc ban hành các Nghị định hướng dẫn thực hiện Nghị quyết 222 theo trình tự, thủ tục rút gọn, hoàn thành trong tháng 8/2025. Do đó, việc ban hành Nghị định theo trình tự, thủ tục rút gọn là </w:t>
      </w:r>
      <w:r w:rsidR="005D6B84" w:rsidRPr="00590211">
        <w:rPr>
          <w:rFonts w:asciiTheme="majorHAnsi" w:hAnsiTheme="majorHAnsi"/>
          <w:bCs/>
          <w:iCs/>
          <w:szCs w:val="26"/>
          <w:lang w:val="en-US"/>
        </w:rPr>
        <w:t>hết sức</w:t>
      </w:r>
      <w:r w:rsidRPr="00590211">
        <w:rPr>
          <w:rFonts w:asciiTheme="majorHAnsi" w:hAnsiTheme="majorHAnsi"/>
          <w:bCs/>
          <w:iCs/>
          <w:szCs w:val="26"/>
          <w:lang w:val="en-US"/>
        </w:rPr>
        <w:t xml:space="preserve"> cần thiết.</w:t>
      </w:r>
    </w:p>
    <w:p w14:paraId="45CEEA95" w14:textId="333AD073" w:rsidR="00E735D4" w:rsidRPr="00590211" w:rsidRDefault="00E735D4" w:rsidP="00E735D4">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
          <w:iCs/>
          <w:szCs w:val="26"/>
          <w:lang w:val="en-US"/>
        </w:rPr>
        <w:t>- Phạm vi điều chỉnh, đối tượng áp dụng:</w:t>
      </w:r>
      <w:r w:rsidRPr="00590211">
        <w:rPr>
          <w:rFonts w:asciiTheme="majorHAnsi" w:hAnsiTheme="majorHAnsi"/>
          <w:bCs/>
          <w:iCs/>
          <w:szCs w:val="26"/>
          <w:lang w:val="en-US"/>
        </w:rPr>
        <w:t xml:space="preserve"> </w:t>
      </w:r>
      <w:r w:rsidR="005D6B84" w:rsidRPr="00590211">
        <w:rPr>
          <w:rFonts w:asciiTheme="majorHAnsi" w:hAnsiTheme="majorHAnsi"/>
          <w:bCs/>
          <w:iCs/>
          <w:szCs w:val="26"/>
          <w:lang w:val="en-US"/>
        </w:rPr>
        <w:t>Đ</w:t>
      </w:r>
      <w:r w:rsidRPr="00590211">
        <w:rPr>
          <w:rFonts w:asciiTheme="majorHAnsi" w:hAnsiTheme="majorHAnsi"/>
          <w:bCs/>
          <w:iCs/>
          <w:szCs w:val="26"/>
          <w:lang w:val="en-US"/>
        </w:rPr>
        <w:t xml:space="preserve">ược </w:t>
      </w:r>
      <w:r w:rsidR="005D6B84" w:rsidRPr="00590211">
        <w:rPr>
          <w:rFonts w:asciiTheme="majorHAnsi" w:hAnsiTheme="majorHAnsi"/>
          <w:bCs/>
          <w:iCs/>
          <w:szCs w:val="26"/>
          <w:lang w:val="en-US"/>
        </w:rPr>
        <w:t xml:space="preserve">nêu </w:t>
      </w:r>
      <w:r w:rsidRPr="00590211">
        <w:rPr>
          <w:rFonts w:asciiTheme="majorHAnsi" w:hAnsiTheme="majorHAnsi"/>
          <w:bCs/>
          <w:iCs/>
          <w:szCs w:val="26"/>
          <w:lang w:val="en-US"/>
        </w:rPr>
        <w:t>tại Mục IV.1 Tờ trình này.</w:t>
      </w:r>
    </w:p>
    <w:p w14:paraId="6C27B063" w14:textId="7C351ECD" w:rsidR="00E735D4" w:rsidRPr="00590211" w:rsidRDefault="00E735D4" w:rsidP="00E735D4">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
          <w:iCs/>
          <w:szCs w:val="26"/>
          <w:lang w:val="en-US"/>
        </w:rPr>
        <w:t>- Dự kiến các nội dung chính của DTNĐ:</w:t>
      </w:r>
      <w:r w:rsidRPr="00590211">
        <w:rPr>
          <w:rFonts w:asciiTheme="majorHAnsi" w:hAnsiTheme="majorHAnsi"/>
          <w:bCs/>
          <w:iCs/>
          <w:szCs w:val="26"/>
          <w:lang w:val="en-US"/>
        </w:rPr>
        <w:t xml:space="preserve"> </w:t>
      </w:r>
      <w:r w:rsidR="005D6B84" w:rsidRPr="00590211">
        <w:rPr>
          <w:rFonts w:asciiTheme="majorHAnsi" w:hAnsiTheme="majorHAnsi"/>
          <w:bCs/>
          <w:iCs/>
          <w:szCs w:val="26"/>
          <w:lang w:val="en-US"/>
        </w:rPr>
        <w:t>Được nêu</w:t>
      </w:r>
      <w:r w:rsidRPr="00590211">
        <w:rPr>
          <w:rFonts w:asciiTheme="majorHAnsi" w:hAnsiTheme="majorHAnsi"/>
          <w:bCs/>
          <w:iCs/>
          <w:szCs w:val="26"/>
          <w:lang w:val="en-US"/>
        </w:rPr>
        <w:t xml:space="preserve"> tại Mục IV.3 Tờ trình này.</w:t>
      </w:r>
    </w:p>
    <w:p w14:paraId="0F8869CE" w14:textId="77777777" w:rsidR="00FA1CA9" w:rsidRPr="00590211" w:rsidRDefault="00E735D4" w:rsidP="00D314CB">
      <w:pPr>
        <w:tabs>
          <w:tab w:val="left" w:pos="709"/>
        </w:tabs>
        <w:spacing w:before="40" w:after="40"/>
        <w:ind w:firstLine="567"/>
        <w:jc w:val="both"/>
        <w:rPr>
          <w:rFonts w:asciiTheme="majorHAnsi" w:hAnsiTheme="majorHAnsi"/>
          <w:bCs/>
          <w:i/>
          <w:iCs/>
          <w:szCs w:val="26"/>
          <w:lang w:val="en-US"/>
        </w:rPr>
      </w:pPr>
      <w:r w:rsidRPr="00590211">
        <w:rPr>
          <w:rFonts w:asciiTheme="majorHAnsi" w:hAnsiTheme="majorHAnsi"/>
          <w:bCs/>
          <w:i/>
          <w:iCs/>
          <w:szCs w:val="26"/>
          <w:lang w:val="en-US"/>
        </w:rPr>
        <w:t xml:space="preserve">- </w:t>
      </w:r>
      <w:r w:rsidR="00D314CB" w:rsidRPr="00590211">
        <w:rPr>
          <w:rFonts w:asciiTheme="majorHAnsi" w:hAnsiTheme="majorHAnsi"/>
          <w:bCs/>
          <w:i/>
          <w:iCs/>
          <w:szCs w:val="26"/>
          <w:lang w:val="en-US"/>
        </w:rPr>
        <w:t>Căn cứ áp dụng</w:t>
      </w:r>
      <w:r w:rsidR="00D314CB" w:rsidRPr="00590211">
        <w:rPr>
          <w:i/>
          <w:szCs w:val="26"/>
        </w:rPr>
        <w:t xml:space="preserve"> </w:t>
      </w:r>
      <w:r w:rsidR="00D314CB" w:rsidRPr="00590211">
        <w:rPr>
          <w:rFonts w:asciiTheme="majorHAnsi" w:hAnsiTheme="majorHAnsi"/>
          <w:bCs/>
          <w:i/>
          <w:iCs/>
          <w:szCs w:val="26"/>
          <w:lang w:val="en-US"/>
        </w:rPr>
        <w:t>trình tự, thủ tục rút gọn quy định tại khoản 1 Điều 50</w:t>
      </w:r>
      <w:r w:rsidR="00D314CB" w:rsidRPr="00590211">
        <w:rPr>
          <w:szCs w:val="26"/>
        </w:rPr>
        <w:t xml:space="preserve"> </w:t>
      </w:r>
      <w:r w:rsidR="00D314CB" w:rsidRPr="00590211">
        <w:rPr>
          <w:rFonts w:asciiTheme="majorHAnsi" w:hAnsiTheme="majorHAnsi"/>
          <w:bCs/>
          <w:i/>
          <w:iCs/>
          <w:szCs w:val="26"/>
          <w:lang w:val="en-US"/>
        </w:rPr>
        <w:t xml:space="preserve">Luật BHVBQPPL: </w:t>
      </w:r>
    </w:p>
    <w:p w14:paraId="4B60FAE5" w14:textId="2884CB81" w:rsidR="00FA1CA9" w:rsidRPr="00590211" w:rsidRDefault="00FA1CA9" w:rsidP="00D314CB">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 xml:space="preserve">Tại Mục II.3 Tờ trình số 456/TTr-CP ngày 30/5/2025 của Chính phủ trình Quốc hội về dự thảo Nghị quyết về TTTC có nội dung như sau: </w:t>
      </w:r>
      <w:r w:rsidRPr="00590211">
        <w:rPr>
          <w:rFonts w:asciiTheme="majorHAnsi" w:hAnsiTheme="majorHAnsi"/>
          <w:bCs/>
          <w:i/>
          <w:iCs/>
          <w:szCs w:val="26"/>
          <w:lang w:val="en-US"/>
        </w:rPr>
        <w:t>“3. Hoàn thiện hồ sơ đề nghị xây dựng Nghị quyết, trình Ủy ban T</w:t>
      </w:r>
      <w:r w:rsidR="00C55E9B" w:rsidRPr="00590211">
        <w:rPr>
          <w:rFonts w:asciiTheme="majorHAnsi" w:hAnsiTheme="majorHAnsi"/>
          <w:bCs/>
          <w:i/>
          <w:iCs/>
          <w:szCs w:val="26"/>
          <w:lang w:val="en-US"/>
        </w:rPr>
        <w:t>hường vụ Quốc hội bổ sung vào chương trình lập pháp của Quốc hội năm 2025. Trên cơ sở đó, ngày 26/3/2025, Ủy ban Thường vụ Quốc hội đã ban hành Nghị quyết số 75/2025/UBTVQH15, trong đó đã bổ sung Nghị quyết về TTTC tại Việt Nam thực hiện theo quy trình thủ tục rút gọn.</w:t>
      </w:r>
      <w:r w:rsidRPr="00590211">
        <w:rPr>
          <w:rFonts w:asciiTheme="majorHAnsi" w:hAnsiTheme="majorHAnsi"/>
          <w:bCs/>
          <w:i/>
          <w:iCs/>
          <w:szCs w:val="26"/>
          <w:lang w:val="en-US"/>
        </w:rPr>
        <w:t xml:space="preserve">” </w:t>
      </w:r>
    </w:p>
    <w:p w14:paraId="7280017B" w14:textId="5BDA8DE7" w:rsidR="00E735D4" w:rsidRPr="00590211" w:rsidRDefault="00C55E9B" w:rsidP="00D314CB">
      <w:pPr>
        <w:tabs>
          <w:tab w:val="left" w:pos="709"/>
        </w:tabs>
        <w:spacing w:before="40" w:after="40"/>
        <w:ind w:firstLine="567"/>
        <w:jc w:val="both"/>
        <w:rPr>
          <w:rFonts w:asciiTheme="majorHAnsi" w:hAnsiTheme="majorHAnsi"/>
          <w:bCs/>
          <w:iCs/>
          <w:szCs w:val="26"/>
          <w:lang w:val="en-US"/>
        </w:rPr>
      </w:pPr>
      <w:r w:rsidRPr="00590211">
        <w:rPr>
          <w:rFonts w:asciiTheme="majorHAnsi" w:hAnsiTheme="majorHAnsi"/>
          <w:bCs/>
          <w:iCs/>
          <w:szCs w:val="26"/>
          <w:lang w:val="en-US"/>
        </w:rPr>
        <w:t xml:space="preserve">Theo đó, </w:t>
      </w:r>
      <w:r w:rsidR="00D314CB" w:rsidRPr="00590211">
        <w:rPr>
          <w:rFonts w:asciiTheme="majorHAnsi" w:hAnsiTheme="majorHAnsi"/>
          <w:bCs/>
          <w:iCs/>
          <w:szCs w:val="26"/>
          <w:lang w:val="en-US"/>
        </w:rPr>
        <w:t xml:space="preserve">Nghị định này thuộc trường hợp quy định tại điểm e khoản 1 Điều 50 Luật BHVBQPPL </w:t>
      </w:r>
      <w:r w:rsidR="00D314CB" w:rsidRPr="00590211">
        <w:rPr>
          <w:rFonts w:asciiTheme="majorHAnsi" w:hAnsiTheme="majorHAnsi"/>
          <w:bCs/>
          <w:i/>
          <w:iCs/>
          <w:szCs w:val="26"/>
          <w:lang w:val="en-US"/>
        </w:rPr>
        <w:t>“e) Trường hợp ban hành văn bản quy định chi tiết của văn bản quy phạm pháp luật được ban hành theo trình tự, thủ tục rút gọn và trong trường hợp đặc biệt.”</w:t>
      </w:r>
    </w:p>
    <w:p w14:paraId="2EA3E393" w14:textId="75DF436B" w:rsidR="00484A2D" w:rsidRPr="00590211" w:rsidRDefault="00E735D4" w:rsidP="00AE142F">
      <w:pPr>
        <w:tabs>
          <w:tab w:val="left" w:pos="993"/>
        </w:tabs>
        <w:spacing w:before="40" w:after="40"/>
        <w:ind w:firstLine="567"/>
        <w:jc w:val="both"/>
        <w:rPr>
          <w:rFonts w:asciiTheme="majorHAnsi" w:hAnsiTheme="majorHAnsi"/>
          <w:b/>
          <w:szCs w:val="26"/>
          <w:lang w:val="sv-SE"/>
        </w:rPr>
      </w:pPr>
      <w:r w:rsidRPr="00590211">
        <w:rPr>
          <w:rFonts w:asciiTheme="majorHAnsi" w:hAnsiTheme="majorHAnsi"/>
          <w:b/>
          <w:szCs w:val="26"/>
          <w:lang w:val="sv-SE"/>
        </w:rPr>
        <w:t>VII.</w:t>
      </w:r>
      <w:r w:rsidR="00484A2D" w:rsidRPr="00590211">
        <w:rPr>
          <w:rFonts w:asciiTheme="majorHAnsi" w:hAnsiTheme="majorHAnsi"/>
          <w:b/>
          <w:szCs w:val="26"/>
          <w:lang w:val="sv-SE"/>
        </w:rPr>
        <w:t xml:space="preserve"> DỰ KIẾN NGUỒN LỰC, ĐIỀU KIỆN ĐẢM BẢO CHO VIỆC THI HÀNH NGHỊ ĐỊNH VÀ THỜI GIAN TRÌNH BAN HÀNH</w:t>
      </w:r>
    </w:p>
    <w:p w14:paraId="5067EC92" w14:textId="77777777" w:rsidR="00FA1CA9" w:rsidRPr="00590211" w:rsidRDefault="00484A2D" w:rsidP="00AE142F">
      <w:pPr>
        <w:spacing w:before="40" w:after="40"/>
        <w:ind w:firstLine="567"/>
        <w:jc w:val="both"/>
        <w:rPr>
          <w:rFonts w:asciiTheme="majorHAnsi" w:hAnsiTheme="majorHAnsi"/>
          <w:b/>
          <w:szCs w:val="26"/>
        </w:rPr>
      </w:pPr>
      <w:r w:rsidRPr="00590211">
        <w:rPr>
          <w:rFonts w:asciiTheme="majorHAnsi" w:hAnsiTheme="majorHAnsi"/>
          <w:b/>
          <w:szCs w:val="26"/>
          <w:lang w:val="sv-SE"/>
        </w:rPr>
        <w:t xml:space="preserve">1. </w:t>
      </w:r>
      <w:r w:rsidR="00FA1CA9" w:rsidRPr="00590211">
        <w:rPr>
          <w:rFonts w:asciiTheme="majorHAnsi" w:hAnsiTheme="majorHAnsi"/>
          <w:b/>
          <w:szCs w:val="26"/>
        </w:rPr>
        <w:t xml:space="preserve">Về tính tương thích với điều ước quốc tế </w:t>
      </w:r>
    </w:p>
    <w:p w14:paraId="5F1B71E4" w14:textId="316D9B4B" w:rsidR="00FA1CA9" w:rsidRPr="00590211" w:rsidRDefault="00FA1CA9" w:rsidP="00AE142F">
      <w:pPr>
        <w:spacing w:before="40" w:after="40"/>
        <w:ind w:firstLine="567"/>
        <w:jc w:val="both"/>
        <w:rPr>
          <w:rFonts w:asciiTheme="majorHAnsi" w:hAnsiTheme="majorHAnsi"/>
          <w:szCs w:val="26"/>
          <w:lang w:val="sv-SE"/>
        </w:rPr>
      </w:pPr>
      <w:r w:rsidRPr="00590211">
        <w:rPr>
          <w:rFonts w:asciiTheme="majorHAnsi" w:hAnsiTheme="majorHAnsi"/>
          <w:szCs w:val="26"/>
          <w:lang w:val="en-US"/>
        </w:rPr>
        <w:t>DTNĐ</w:t>
      </w:r>
      <w:r w:rsidRPr="00590211">
        <w:rPr>
          <w:rFonts w:asciiTheme="majorHAnsi" w:hAnsiTheme="majorHAnsi"/>
          <w:szCs w:val="26"/>
        </w:rPr>
        <w:t xml:space="preserve"> không có nội dung trái với các điều ước quốc tế liên quan mà nước Cộng hòa xã hội chủ nghĩa Việt Nam là thành viên.</w:t>
      </w:r>
    </w:p>
    <w:p w14:paraId="605E42A9" w14:textId="655E84F4" w:rsidR="00484A2D" w:rsidRPr="00590211" w:rsidRDefault="00FA1CA9" w:rsidP="00AE142F">
      <w:pPr>
        <w:spacing w:before="40" w:after="40"/>
        <w:ind w:firstLine="567"/>
        <w:jc w:val="both"/>
        <w:rPr>
          <w:rFonts w:asciiTheme="majorHAnsi" w:hAnsiTheme="majorHAnsi"/>
          <w:b/>
          <w:szCs w:val="26"/>
          <w:lang w:val="sv-SE"/>
        </w:rPr>
      </w:pPr>
      <w:r w:rsidRPr="00590211">
        <w:rPr>
          <w:rFonts w:asciiTheme="majorHAnsi" w:hAnsiTheme="majorHAnsi"/>
          <w:b/>
          <w:szCs w:val="26"/>
          <w:lang w:val="sv-SE"/>
        </w:rPr>
        <w:t xml:space="preserve">2. </w:t>
      </w:r>
      <w:r w:rsidR="00484A2D" w:rsidRPr="00590211">
        <w:rPr>
          <w:rFonts w:asciiTheme="majorHAnsi" w:hAnsiTheme="majorHAnsi"/>
          <w:b/>
          <w:szCs w:val="26"/>
          <w:lang w:val="sv-SE"/>
        </w:rPr>
        <w:t>Về bảo đảm nguồn nhân lực, quốc phòng, an ninh</w:t>
      </w:r>
    </w:p>
    <w:p w14:paraId="5A352A6A" w14:textId="7D37ECAC" w:rsidR="00484A2D" w:rsidRPr="00590211" w:rsidRDefault="00FA1CA9" w:rsidP="00AE142F">
      <w:pPr>
        <w:spacing w:before="40" w:after="40"/>
        <w:ind w:firstLine="567"/>
        <w:jc w:val="both"/>
        <w:rPr>
          <w:rFonts w:asciiTheme="majorHAnsi" w:hAnsiTheme="majorHAnsi"/>
          <w:spacing w:val="6"/>
          <w:szCs w:val="26"/>
          <w:lang w:val="sv-SE"/>
        </w:rPr>
      </w:pPr>
      <w:r w:rsidRPr="00590211">
        <w:rPr>
          <w:rFonts w:asciiTheme="majorHAnsi" w:hAnsiTheme="majorHAnsi"/>
          <w:b/>
          <w:spacing w:val="6"/>
          <w:szCs w:val="26"/>
          <w:lang w:val="sv-SE"/>
        </w:rPr>
        <w:t>3</w:t>
      </w:r>
      <w:r w:rsidR="00484A2D" w:rsidRPr="00590211">
        <w:rPr>
          <w:rFonts w:asciiTheme="majorHAnsi" w:hAnsiTheme="majorHAnsi"/>
          <w:b/>
          <w:spacing w:val="6"/>
          <w:szCs w:val="26"/>
          <w:lang w:val="sv-SE"/>
        </w:rPr>
        <w:t>.</w:t>
      </w:r>
      <w:r w:rsidR="00484A2D" w:rsidRPr="00590211">
        <w:rPr>
          <w:rFonts w:asciiTheme="majorHAnsi" w:hAnsiTheme="majorHAnsi"/>
          <w:spacing w:val="6"/>
          <w:szCs w:val="26"/>
          <w:lang w:val="sv-SE"/>
        </w:rPr>
        <w:t xml:space="preserve"> </w:t>
      </w:r>
      <w:r w:rsidR="00484A2D" w:rsidRPr="00590211">
        <w:rPr>
          <w:rFonts w:asciiTheme="majorHAnsi" w:hAnsiTheme="majorHAnsi"/>
          <w:b/>
          <w:spacing w:val="6"/>
          <w:szCs w:val="26"/>
          <w:lang w:val="sv-SE"/>
        </w:rPr>
        <w:t>Về điều kiện đảm bảo cho việc thi hành nghị định và thời gian trình ban hành</w:t>
      </w:r>
    </w:p>
    <w:p w14:paraId="44A9010B" w14:textId="3CCA735F" w:rsidR="00484A2D" w:rsidRPr="00590211" w:rsidRDefault="00484A2D" w:rsidP="00AE142F">
      <w:pPr>
        <w:spacing w:before="40" w:after="40"/>
        <w:ind w:firstLine="567"/>
        <w:jc w:val="both"/>
        <w:rPr>
          <w:rFonts w:asciiTheme="majorHAnsi" w:hAnsiTheme="majorHAnsi"/>
          <w:szCs w:val="26"/>
          <w:lang w:val="sv-SE"/>
        </w:rPr>
      </w:pPr>
      <w:r w:rsidRPr="00590211">
        <w:rPr>
          <w:rFonts w:asciiTheme="majorHAnsi" w:hAnsiTheme="majorHAnsi"/>
          <w:szCs w:val="26"/>
          <w:lang w:val="sv-SE"/>
        </w:rPr>
        <w:t xml:space="preserve">Kinh phí bảo đảm cho công tác thi hành pháp luật </w:t>
      </w:r>
      <w:r w:rsidR="00051831" w:rsidRPr="00590211">
        <w:rPr>
          <w:rFonts w:asciiTheme="majorHAnsi" w:hAnsiTheme="majorHAnsi"/>
          <w:szCs w:val="26"/>
          <w:lang w:val="sv-SE"/>
        </w:rPr>
        <w:t xml:space="preserve">về cấp phép thành lập và hoạt động ngân hàng, quản lý ngoại hối, phòng chống rửa tiền, chống tài trợ khủng bố, tài trợ phổ </w:t>
      </w:r>
      <w:r w:rsidR="00051831" w:rsidRPr="00590211">
        <w:rPr>
          <w:rFonts w:asciiTheme="majorHAnsi" w:hAnsiTheme="majorHAnsi"/>
          <w:szCs w:val="26"/>
          <w:lang w:val="sv-SE"/>
        </w:rPr>
        <w:lastRenderedPageBreak/>
        <w:t>biến vũ khí hủy diệt hàng loạt tại TTTC</w:t>
      </w:r>
      <w:r w:rsidRPr="00590211">
        <w:rPr>
          <w:rFonts w:asciiTheme="majorHAnsi" w:hAnsiTheme="majorHAnsi"/>
          <w:szCs w:val="26"/>
          <w:lang w:val="sv-SE"/>
        </w:rPr>
        <w:t xml:space="preserve"> do ngân sách Nhà nước cấp theo quy định của Luật Ngân sách và các văn bản quy định chi tiết, hướng dẫn thi hành.</w:t>
      </w:r>
    </w:p>
    <w:p w14:paraId="0599D9D2" w14:textId="5EFD86B2" w:rsidR="00484A2D" w:rsidRPr="00590211" w:rsidRDefault="00484A2D" w:rsidP="00AE142F">
      <w:pPr>
        <w:spacing w:before="40" w:after="40"/>
        <w:ind w:firstLine="567"/>
        <w:jc w:val="both"/>
        <w:rPr>
          <w:rFonts w:asciiTheme="majorHAnsi" w:hAnsiTheme="majorHAnsi"/>
          <w:szCs w:val="26"/>
          <w:lang w:val="da-DK"/>
        </w:rPr>
      </w:pPr>
      <w:r w:rsidRPr="00590211">
        <w:rPr>
          <w:rFonts w:asciiTheme="majorHAnsi" w:hAnsiTheme="majorHAnsi"/>
          <w:szCs w:val="26"/>
        </w:rPr>
        <w:t xml:space="preserve">Trên đây </w:t>
      </w:r>
      <w:r w:rsidRPr="00590211">
        <w:rPr>
          <w:rFonts w:asciiTheme="majorHAnsi" w:hAnsiTheme="majorHAnsi"/>
          <w:szCs w:val="26"/>
          <w:lang w:val="sv-SE"/>
        </w:rPr>
        <w:t>Tờ trình về</w:t>
      </w:r>
      <w:r w:rsidRPr="00590211">
        <w:rPr>
          <w:rFonts w:asciiTheme="majorHAnsi" w:hAnsiTheme="majorHAnsi"/>
          <w:szCs w:val="26"/>
        </w:rPr>
        <w:t xml:space="preserve"> dự thảo Nghị định</w:t>
      </w:r>
      <w:r w:rsidR="00051831" w:rsidRPr="00590211">
        <w:rPr>
          <w:rFonts w:asciiTheme="majorHAnsi" w:hAnsiTheme="majorHAnsi"/>
          <w:szCs w:val="26"/>
          <w:lang w:val="en-US"/>
        </w:rPr>
        <w:t xml:space="preserve"> quy định</w:t>
      </w:r>
      <w:r w:rsidRPr="00590211">
        <w:rPr>
          <w:rFonts w:asciiTheme="majorHAnsi" w:hAnsiTheme="majorHAnsi"/>
          <w:szCs w:val="26"/>
        </w:rPr>
        <w:t xml:space="preserve"> </w:t>
      </w:r>
      <w:r w:rsidR="00051831" w:rsidRPr="00590211">
        <w:rPr>
          <w:rFonts w:asciiTheme="majorHAnsi" w:hAnsiTheme="majorHAnsi"/>
          <w:szCs w:val="26"/>
          <w:lang w:val="da-DK"/>
        </w:rPr>
        <w:t>về cấp phép thành lập và hoạt động ngân hàng, quản lý ngoại hối, phòng chống rửa tiền, chống tài trợ khủng bố, tài trợ phổ biến vũ khí hủy diệt hàng loạt tại TTTC</w:t>
      </w:r>
      <w:r w:rsidRPr="00590211">
        <w:rPr>
          <w:rFonts w:asciiTheme="majorHAnsi" w:hAnsiTheme="majorHAnsi"/>
          <w:szCs w:val="26"/>
        </w:rPr>
        <w:t>,</w:t>
      </w:r>
      <w:r w:rsidRPr="00590211">
        <w:rPr>
          <w:rFonts w:asciiTheme="majorHAnsi" w:hAnsiTheme="majorHAnsi"/>
          <w:szCs w:val="26"/>
          <w:lang w:val="sv-SE"/>
        </w:rPr>
        <w:t xml:space="preserve"> NHNN xin</w:t>
      </w:r>
      <w:r w:rsidRPr="00590211">
        <w:rPr>
          <w:rFonts w:asciiTheme="majorHAnsi" w:hAnsiTheme="majorHAnsi"/>
          <w:szCs w:val="26"/>
        </w:rPr>
        <w:t xml:space="preserve"> kính trình Chính phủ xem xét, quyết định./.</w:t>
      </w:r>
      <w:r w:rsidRPr="00590211">
        <w:rPr>
          <w:rFonts w:asciiTheme="majorHAnsi" w:hAnsiTheme="majorHAnsi"/>
          <w:szCs w:val="26"/>
          <w:lang w:val="da-DK"/>
        </w:rPr>
        <w:t xml:space="preserve"> </w:t>
      </w:r>
    </w:p>
    <w:p w14:paraId="7A4602A3" w14:textId="77777777" w:rsidR="00484A2D" w:rsidRPr="00590211" w:rsidRDefault="00484A2D" w:rsidP="00AE142F">
      <w:pPr>
        <w:spacing w:before="40" w:after="40"/>
        <w:ind w:firstLine="567"/>
        <w:jc w:val="both"/>
        <w:rPr>
          <w:rFonts w:asciiTheme="majorHAnsi" w:hAnsiTheme="majorHAnsi"/>
          <w:szCs w:val="26"/>
          <w:lang w:val="da-DK"/>
        </w:rPr>
      </w:pPr>
      <w:r w:rsidRPr="00590211">
        <w:rPr>
          <w:rFonts w:asciiTheme="majorHAnsi" w:hAnsiTheme="majorHAnsi"/>
          <w:i/>
          <w:szCs w:val="26"/>
          <w:lang w:val="da-DK"/>
        </w:rPr>
        <w:t xml:space="preserve">Xin gửi kèm theo: </w:t>
      </w:r>
    </w:p>
    <w:p w14:paraId="6AE00DA4" w14:textId="77777777" w:rsidR="00484A2D" w:rsidRPr="00590211" w:rsidRDefault="00484A2D" w:rsidP="00AE142F">
      <w:pPr>
        <w:spacing w:before="40" w:after="40"/>
        <w:ind w:firstLine="567"/>
        <w:jc w:val="both"/>
        <w:rPr>
          <w:rFonts w:asciiTheme="majorHAnsi" w:hAnsiTheme="majorHAnsi"/>
          <w:i/>
          <w:szCs w:val="26"/>
          <w:lang w:val="da-DK"/>
        </w:rPr>
      </w:pPr>
      <w:r w:rsidRPr="00590211">
        <w:rPr>
          <w:rFonts w:asciiTheme="majorHAnsi" w:hAnsiTheme="majorHAnsi"/>
          <w:i/>
          <w:szCs w:val="26"/>
          <w:lang w:val="da-DK"/>
        </w:rPr>
        <w:t xml:space="preserve">(1) Dự thảo Nghị định; </w:t>
      </w:r>
    </w:p>
    <w:p w14:paraId="3078321B" w14:textId="77777777" w:rsidR="00484A2D" w:rsidRPr="00590211" w:rsidRDefault="00484A2D" w:rsidP="00AE142F">
      <w:pPr>
        <w:spacing w:before="40" w:after="40"/>
        <w:ind w:firstLine="567"/>
        <w:jc w:val="both"/>
        <w:rPr>
          <w:rFonts w:asciiTheme="majorHAnsi" w:hAnsiTheme="majorHAnsi"/>
          <w:i/>
          <w:szCs w:val="26"/>
          <w:lang w:val="da-DK"/>
        </w:rPr>
      </w:pPr>
      <w:r w:rsidRPr="00590211">
        <w:rPr>
          <w:rFonts w:asciiTheme="majorHAnsi" w:hAnsiTheme="majorHAnsi"/>
          <w:i/>
          <w:szCs w:val="26"/>
          <w:lang w:val="da-DK"/>
        </w:rPr>
        <w:t xml:space="preserve">(2) Báo cáo thẩm định; Báo cáo tiếp thu và giải trình ý kiến thẩm định; </w:t>
      </w:r>
    </w:p>
    <w:p w14:paraId="0E271472" w14:textId="77777777" w:rsidR="00484A2D" w:rsidRPr="00590211" w:rsidRDefault="00484A2D" w:rsidP="00AE142F">
      <w:pPr>
        <w:spacing w:before="40" w:after="40"/>
        <w:ind w:firstLine="567"/>
        <w:jc w:val="both"/>
        <w:rPr>
          <w:rFonts w:asciiTheme="majorHAnsi" w:hAnsiTheme="majorHAnsi"/>
          <w:i/>
          <w:szCs w:val="26"/>
          <w:lang w:val="da-DK"/>
        </w:rPr>
      </w:pPr>
      <w:r w:rsidRPr="00590211">
        <w:rPr>
          <w:rFonts w:asciiTheme="majorHAnsi" w:hAnsiTheme="majorHAnsi"/>
          <w:i/>
          <w:szCs w:val="26"/>
          <w:lang w:val="da-DK"/>
        </w:rPr>
        <w:t xml:space="preserve">(3) Báo cáo tiếp thu và giải trình ý kiến góp ý Bộ, ngành và các cơ quan, đơn vị, cá nhân; </w:t>
      </w:r>
    </w:p>
    <w:p w14:paraId="58C6EA5F" w14:textId="5770F91E" w:rsidR="000D1FBD" w:rsidRPr="00590211" w:rsidRDefault="00484A2D" w:rsidP="00AE142F">
      <w:pPr>
        <w:pStyle w:val="Body"/>
        <w:spacing w:after="120" w:line="240" w:lineRule="auto"/>
        <w:ind w:firstLine="567"/>
        <w:jc w:val="both"/>
        <w:rPr>
          <w:rFonts w:asciiTheme="majorHAnsi" w:hAnsiTheme="majorHAnsi" w:cstheme="majorHAnsi"/>
          <w:sz w:val="26"/>
          <w:szCs w:val="26"/>
        </w:rPr>
      </w:pPr>
      <w:r w:rsidRPr="00590211">
        <w:rPr>
          <w:rFonts w:asciiTheme="majorHAnsi" w:hAnsiTheme="majorHAnsi" w:cstheme="majorHAnsi"/>
          <w:i/>
          <w:sz w:val="26"/>
          <w:szCs w:val="26"/>
          <w:lang w:val="da-DK"/>
        </w:rPr>
        <w:t>(</w:t>
      </w:r>
      <w:r w:rsidR="00F72CEB" w:rsidRPr="00590211">
        <w:rPr>
          <w:rFonts w:asciiTheme="majorHAnsi" w:hAnsiTheme="majorHAnsi" w:cstheme="majorHAnsi"/>
          <w:i/>
          <w:sz w:val="26"/>
          <w:szCs w:val="26"/>
          <w:lang w:val="da-DK"/>
        </w:rPr>
        <w:t>4</w:t>
      </w:r>
      <w:r w:rsidRPr="00590211">
        <w:rPr>
          <w:rFonts w:asciiTheme="majorHAnsi" w:hAnsiTheme="majorHAnsi" w:cstheme="majorHAnsi"/>
          <w:i/>
          <w:sz w:val="26"/>
          <w:szCs w:val="26"/>
          <w:lang w:val="da-DK"/>
        </w:rPr>
        <w:t>) Bảng thuyết minh.</w:t>
      </w:r>
    </w:p>
    <w:tbl>
      <w:tblPr>
        <w:tblStyle w:val="TableGrid"/>
        <w:tblpPr w:leftFromText="180" w:rightFromText="180" w:vertAnchor="text" w:horzAnchor="margin" w:tblpY="156"/>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01"/>
      </w:tblGrid>
      <w:tr w:rsidR="00CB45D0" w14:paraId="38EDC850" w14:textId="77777777" w:rsidTr="00FD70EC">
        <w:trPr>
          <w:trHeight w:val="2707"/>
        </w:trPr>
        <w:tc>
          <w:tcPr>
            <w:tcW w:w="4678" w:type="dxa"/>
          </w:tcPr>
          <w:p w14:paraId="301CA4B6" w14:textId="61627276" w:rsidR="00CB45D0" w:rsidRDefault="00CB45D0" w:rsidP="00D314CB">
            <w:pPr>
              <w:ind w:left="284" w:hanging="142"/>
              <w:jc w:val="left"/>
              <w:rPr>
                <w:b/>
                <w:i/>
                <w:sz w:val="24"/>
                <w:lang w:val="en-US"/>
              </w:rPr>
            </w:pPr>
            <w:r w:rsidRPr="006400CC">
              <w:rPr>
                <w:b/>
                <w:i/>
                <w:sz w:val="24"/>
                <w:lang w:val="en-US"/>
              </w:rPr>
              <w:t>Nơi nhận:</w:t>
            </w:r>
          </w:p>
          <w:p w14:paraId="5CB483E4" w14:textId="77777777" w:rsidR="00D314CB" w:rsidRPr="00E6057B" w:rsidRDefault="00D314CB" w:rsidP="00D314CB">
            <w:pPr>
              <w:ind w:left="284" w:hanging="142"/>
              <w:jc w:val="left"/>
              <w:rPr>
                <w:sz w:val="22"/>
              </w:rPr>
            </w:pPr>
            <w:r w:rsidRPr="00E6057B">
              <w:rPr>
                <w:sz w:val="22"/>
              </w:rPr>
              <w:t>- Như trên;</w:t>
            </w:r>
          </w:p>
          <w:p w14:paraId="1434AD0E" w14:textId="77777777" w:rsidR="00D314CB" w:rsidRPr="00E6057B" w:rsidRDefault="00D314CB" w:rsidP="00D314CB">
            <w:pPr>
              <w:ind w:left="284" w:hanging="142"/>
              <w:jc w:val="left"/>
              <w:rPr>
                <w:sz w:val="22"/>
              </w:rPr>
            </w:pPr>
            <w:r w:rsidRPr="00E6057B">
              <w:rPr>
                <w:sz w:val="22"/>
              </w:rPr>
              <w:t>- Văn phòng Chính phủ;</w:t>
            </w:r>
          </w:p>
          <w:p w14:paraId="43DFA2CA" w14:textId="77777777" w:rsidR="00D314CB" w:rsidRPr="00E6057B" w:rsidRDefault="00D314CB" w:rsidP="00D314CB">
            <w:pPr>
              <w:ind w:left="284" w:hanging="142"/>
              <w:jc w:val="left"/>
              <w:rPr>
                <w:sz w:val="22"/>
              </w:rPr>
            </w:pPr>
            <w:r w:rsidRPr="00E6057B">
              <w:rPr>
                <w:sz w:val="22"/>
              </w:rPr>
              <w:t>- Bộ Tư pháp;</w:t>
            </w:r>
          </w:p>
          <w:p w14:paraId="7574FBC4" w14:textId="77777777" w:rsidR="00D314CB" w:rsidRPr="00E6057B" w:rsidRDefault="00D314CB" w:rsidP="00D314CB">
            <w:pPr>
              <w:ind w:left="284" w:hanging="142"/>
              <w:jc w:val="left"/>
              <w:rPr>
                <w:sz w:val="22"/>
              </w:rPr>
            </w:pPr>
            <w:r w:rsidRPr="00E6057B">
              <w:rPr>
                <w:sz w:val="22"/>
              </w:rPr>
              <w:t>- Ban Lãnh đạo NHNN (để báo cáo);</w:t>
            </w:r>
          </w:p>
          <w:p w14:paraId="18CE00CC" w14:textId="23C2075F" w:rsidR="00D314CB" w:rsidRPr="00E6057B" w:rsidRDefault="00D314CB" w:rsidP="00D314CB">
            <w:pPr>
              <w:ind w:left="284" w:hanging="142"/>
              <w:jc w:val="left"/>
              <w:rPr>
                <w:sz w:val="22"/>
                <w:lang w:val="en-US"/>
              </w:rPr>
            </w:pPr>
            <w:r w:rsidRPr="00E6057B">
              <w:rPr>
                <w:sz w:val="22"/>
              </w:rPr>
              <w:t xml:space="preserve">- Lưu: VP, </w:t>
            </w:r>
            <w:r w:rsidRPr="00E6057B">
              <w:rPr>
                <w:sz w:val="22"/>
                <w:lang w:val="en-US"/>
              </w:rPr>
              <w:t>ATHT3</w:t>
            </w:r>
            <w:r w:rsidRPr="00E6057B">
              <w:rPr>
                <w:sz w:val="22"/>
              </w:rPr>
              <w:t>.</w:t>
            </w:r>
          </w:p>
          <w:p w14:paraId="55E795FC" w14:textId="16A43DF0" w:rsidR="00CB45D0" w:rsidRPr="00C734BB" w:rsidRDefault="00CB45D0" w:rsidP="001C51A4">
            <w:pPr>
              <w:pStyle w:val="ListParagraph"/>
              <w:ind w:left="284"/>
              <w:jc w:val="left"/>
              <w:rPr>
                <w:sz w:val="24"/>
                <w:szCs w:val="24"/>
                <w:lang w:val="en-US"/>
              </w:rPr>
            </w:pPr>
          </w:p>
        </w:tc>
        <w:tc>
          <w:tcPr>
            <w:tcW w:w="5301" w:type="dxa"/>
          </w:tcPr>
          <w:p w14:paraId="075F8ED5" w14:textId="20F87EA3" w:rsidR="003A7F75" w:rsidRPr="003A7F75" w:rsidRDefault="003A7F75" w:rsidP="001F3E72">
            <w:pPr>
              <w:ind w:left="315"/>
              <w:rPr>
                <w:b/>
                <w:sz w:val="27"/>
                <w:szCs w:val="27"/>
                <w:lang w:val="en-US"/>
              </w:rPr>
            </w:pPr>
            <w:r w:rsidRPr="003A7F75">
              <w:rPr>
                <w:b/>
                <w:sz w:val="27"/>
                <w:szCs w:val="27"/>
                <w:lang w:val="en-US"/>
              </w:rPr>
              <w:t>KT. THỐNG ĐỐC</w:t>
            </w:r>
          </w:p>
          <w:p w14:paraId="64373EDD" w14:textId="7C63451E" w:rsidR="00CB45D0" w:rsidRPr="003A7F75" w:rsidRDefault="00CB45D0" w:rsidP="001F3E72">
            <w:pPr>
              <w:ind w:left="315"/>
              <w:rPr>
                <w:b/>
                <w:sz w:val="27"/>
                <w:szCs w:val="27"/>
                <w:lang w:val="en-US"/>
              </w:rPr>
            </w:pPr>
            <w:r w:rsidRPr="003A7F75">
              <w:rPr>
                <w:b/>
                <w:sz w:val="27"/>
                <w:szCs w:val="27"/>
                <w:lang w:val="en-US"/>
              </w:rPr>
              <w:t>PHÓ THỐNG ĐỐC</w:t>
            </w:r>
          </w:p>
          <w:p w14:paraId="3D3C95EE" w14:textId="77777777" w:rsidR="00CB45D0" w:rsidRPr="003A7F75" w:rsidRDefault="00CB45D0" w:rsidP="001F3E72">
            <w:pPr>
              <w:ind w:left="315"/>
              <w:rPr>
                <w:b/>
                <w:sz w:val="27"/>
                <w:szCs w:val="27"/>
                <w:lang w:val="en-US"/>
              </w:rPr>
            </w:pPr>
          </w:p>
          <w:p w14:paraId="61E956F2" w14:textId="77777777" w:rsidR="00CB45D0" w:rsidRPr="003A7F75" w:rsidRDefault="00CB45D0" w:rsidP="001F3E72">
            <w:pPr>
              <w:ind w:left="315"/>
              <w:rPr>
                <w:b/>
                <w:sz w:val="27"/>
                <w:szCs w:val="27"/>
                <w:lang w:val="en-US"/>
              </w:rPr>
            </w:pPr>
          </w:p>
          <w:p w14:paraId="1797BB2A" w14:textId="77777777" w:rsidR="00CB45D0" w:rsidRPr="003A7F75" w:rsidRDefault="00CB45D0" w:rsidP="001F3E72">
            <w:pPr>
              <w:ind w:left="315"/>
              <w:rPr>
                <w:b/>
                <w:sz w:val="27"/>
                <w:szCs w:val="27"/>
                <w:lang w:val="en-US"/>
              </w:rPr>
            </w:pPr>
          </w:p>
          <w:p w14:paraId="14532204" w14:textId="77777777" w:rsidR="00CB45D0" w:rsidRPr="003A7F75" w:rsidRDefault="00CB45D0" w:rsidP="001F3E72">
            <w:pPr>
              <w:ind w:left="315"/>
              <w:rPr>
                <w:b/>
                <w:sz w:val="27"/>
                <w:szCs w:val="27"/>
                <w:lang w:val="en-US"/>
              </w:rPr>
            </w:pPr>
          </w:p>
          <w:p w14:paraId="129A81F0" w14:textId="77777777" w:rsidR="00CB45D0" w:rsidRDefault="00CB45D0" w:rsidP="001F3E72">
            <w:pPr>
              <w:ind w:left="315"/>
              <w:rPr>
                <w:b/>
                <w:sz w:val="27"/>
                <w:szCs w:val="27"/>
                <w:lang w:val="en-US"/>
              </w:rPr>
            </w:pPr>
          </w:p>
          <w:p w14:paraId="5D7E71CD" w14:textId="77777777" w:rsidR="00E953DC" w:rsidRPr="003A7F75" w:rsidRDefault="00E953DC" w:rsidP="001F3E72">
            <w:pPr>
              <w:ind w:left="315"/>
              <w:rPr>
                <w:b/>
                <w:sz w:val="27"/>
                <w:szCs w:val="27"/>
                <w:lang w:val="en-US"/>
              </w:rPr>
            </w:pPr>
          </w:p>
          <w:p w14:paraId="0C00D239" w14:textId="77777777" w:rsidR="00CB45D0" w:rsidRPr="003A7F75" w:rsidRDefault="00CB45D0" w:rsidP="001F3E72">
            <w:pPr>
              <w:ind w:left="315"/>
              <w:rPr>
                <w:b/>
                <w:sz w:val="27"/>
                <w:szCs w:val="27"/>
                <w:lang w:val="en-US"/>
              </w:rPr>
            </w:pPr>
          </w:p>
          <w:p w14:paraId="39466E09" w14:textId="77777777" w:rsidR="00CB45D0" w:rsidRPr="003A7F75" w:rsidRDefault="00CB45D0" w:rsidP="001F3E72">
            <w:pPr>
              <w:ind w:left="315"/>
              <w:rPr>
                <w:b/>
                <w:sz w:val="27"/>
                <w:szCs w:val="27"/>
                <w:lang w:val="en-US"/>
              </w:rPr>
            </w:pPr>
          </w:p>
          <w:p w14:paraId="79B9A2C8" w14:textId="6F248DCD" w:rsidR="00CB45D0" w:rsidRPr="003A7F75" w:rsidRDefault="00CB45D0" w:rsidP="00AE002E">
            <w:pPr>
              <w:ind w:left="315"/>
              <w:rPr>
                <w:b/>
                <w:sz w:val="27"/>
                <w:szCs w:val="27"/>
                <w:lang w:val="en-US"/>
              </w:rPr>
            </w:pPr>
            <w:r w:rsidRPr="003A7F75">
              <w:rPr>
                <w:b/>
                <w:sz w:val="27"/>
                <w:szCs w:val="27"/>
                <w:lang w:val="en-US"/>
              </w:rPr>
              <w:t>Phạm Tiến Dũng</w:t>
            </w:r>
          </w:p>
        </w:tc>
      </w:tr>
    </w:tbl>
    <w:p w14:paraId="09136367" w14:textId="5F730D58" w:rsidR="00522C70" w:rsidRPr="00D1227A" w:rsidRDefault="00522C70" w:rsidP="00690E13">
      <w:pPr>
        <w:jc w:val="both"/>
        <w:rPr>
          <w:sz w:val="2"/>
          <w:szCs w:val="2"/>
          <w:lang w:val="en-US"/>
        </w:rPr>
      </w:pPr>
    </w:p>
    <w:sectPr w:rsidR="00522C70" w:rsidRPr="00D1227A" w:rsidSect="00734D1A">
      <w:headerReference w:type="default" r:id="rId11"/>
      <w:footerReference w:type="default" r:id="rId12"/>
      <w:footerReference w:type="first" r:id="rId13"/>
      <w:pgSz w:w="11906" w:h="16838" w:code="9"/>
      <w:pgMar w:top="992" w:right="992" w:bottom="993" w:left="1559"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8E375" w14:textId="77777777" w:rsidR="005A70CB" w:rsidRDefault="005A70CB" w:rsidP="00857E38">
      <w:r>
        <w:separator/>
      </w:r>
    </w:p>
  </w:endnote>
  <w:endnote w:type="continuationSeparator" w:id="0">
    <w:p w14:paraId="264E68C0" w14:textId="77777777" w:rsidR="005A70CB" w:rsidRDefault="005A70CB" w:rsidP="0085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40D93" w14:textId="77777777" w:rsidR="000C31E2" w:rsidRDefault="000C31E2">
    <w:pPr>
      <w:pStyle w:val="Footer"/>
    </w:pPr>
  </w:p>
  <w:p w14:paraId="26799E97" w14:textId="77777777" w:rsidR="000C31E2" w:rsidRDefault="000C3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46B37" w14:textId="77777777" w:rsidR="000C31E2" w:rsidRDefault="000C31E2">
    <w:pPr>
      <w:pStyle w:val="Footer"/>
    </w:pPr>
  </w:p>
  <w:p w14:paraId="5F71DA92" w14:textId="77777777" w:rsidR="000C31E2" w:rsidRDefault="000C3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DA273" w14:textId="77777777" w:rsidR="005A70CB" w:rsidRDefault="005A70CB" w:rsidP="00857E38">
      <w:r>
        <w:separator/>
      </w:r>
    </w:p>
  </w:footnote>
  <w:footnote w:type="continuationSeparator" w:id="0">
    <w:p w14:paraId="485E776E" w14:textId="77777777" w:rsidR="005A70CB" w:rsidRDefault="005A70CB" w:rsidP="00857E38">
      <w:r>
        <w:continuationSeparator/>
      </w:r>
    </w:p>
  </w:footnote>
  <w:footnote w:id="1">
    <w:p w14:paraId="64C5E19C" w14:textId="77777777" w:rsidR="00533607" w:rsidRPr="00AB1914" w:rsidRDefault="00533607" w:rsidP="00533607">
      <w:pPr>
        <w:pStyle w:val="FootnoteText"/>
        <w:jc w:val="both"/>
      </w:pPr>
      <w:r>
        <w:rPr>
          <w:rStyle w:val="FootnoteReference"/>
        </w:rPr>
        <w:footnoteRef/>
      </w:r>
      <w:r>
        <w:t xml:space="preserve"> </w:t>
      </w:r>
      <w:r w:rsidRPr="00AB1914">
        <w:t>Theo quy định hiện hành, các tổ chức tín dụng (TCTD) Việt Nam được thực hiện huy động tiền gửi từ các tổ chức và cá nhân trong nước và NHNN phải thực hiện can thiệp sớm, áp dụng kiểm soát đặc biệt, các biện pháp tái cơ cấu… khi hoạt động của TCTD gặp sự cố; phải thực hiện các nghiệp vụ ngân hàng trung ương (tái cấp vốn, dự trữ bắt buộc, nghiệp vụ thị trường mở, mua bán ngoại tệ…).</w:t>
      </w:r>
    </w:p>
  </w:footnote>
  <w:footnote w:id="2">
    <w:p w14:paraId="166CF81D" w14:textId="77777777" w:rsidR="00533607" w:rsidRPr="00842C42" w:rsidRDefault="00533607" w:rsidP="00533607">
      <w:pPr>
        <w:pStyle w:val="FootnoteText"/>
        <w:jc w:val="both"/>
        <w:rPr>
          <w:lang w:val="en-US"/>
        </w:rPr>
      </w:pPr>
      <w:r>
        <w:rPr>
          <w:rStyle w:val="FootnoteReference"/>
        </w:rPr>
        <w:footnoteRef/>
      </w:r>
      <w:r>
        <w:t xml:space="preserve"> </w:t>
      </w:r>
      <w:r>
        <w:rPr>
          <w:lang w:val="en-US"/>
        </w:rPr>
        <w:t xml:space="preserve">Nội dung này đã được </w:t>
      </w:r>
      <w:r w:rsidRPr="00842C42">
        <w:rPr>
          <w:lang w:val="en-US"/>
        </w:rPr>
        <w:t xml:space="preserve">Đảng ủy Chính phủ trình Bộ Chính trị </w:t>
      </w:r>
      <w:r>
        <w:rPr>
          <w:lang w:val="en-US"/>
        </w:rPr>
        <w:t xml:space="preserve">tại </w:t>
      </w:r>
      <w:r w:rsidRPr="00842C42">
        <w:rPr>
          <w:lang w:val="en-US"/>
        </w:rPr>
        <w:t>Tờ trình số 28/TTr-ĐU ngày 29/4/2025 báo cáo, xin ý kiến (bổ sung) về xây dự</w:t>
      </w:r>
      <w:r>
        <w:rPr>
          <w:lang w:val="en-US"/>
        </w:rPr>
        <w:t>ng TTTC.</w:t>
      </w:r>
    </w:p>
  </w:footnote>
  <w:footnote w:id="3">
    <w:p w14:paraId="2E782516" w14:textId="77777777" w:rsidR="000C31E2" w:rsidRPr="00445578" w:rsidRDefault="000C31E2" w:rsidP="00AE142F">
      <w:pPr>
        <w:pStyle w:val="FootnoteText"/>
        <w:jc w:val="both"/>
      </w:pPr>
      <w:r w:rsidRPr="00445578">
        <w:rPr>
          <w:rStyle w:val="FootnoteReference"/>
        </w:rPr>
        <w:footnoteRef/>
      </w:r>
      <w:r w:rsidRPr="00445578">
        <w:t xml:space="preserve"> Nghị định số 162/2024/NĐ-CP ngày 20/12/2024 quy định điều kiện cấp Giấy phép đối với quỹ tín dụng nhân dân, tổ chức tài chính vi mô và điều kiện đối với chủ sở hữu của </w:t>
      </w:r>
      <w:r>
        <w:t>TCTD</w:t>
      </w:r>
      <w:r w:rsidRPr="00445578">
        <w:t xml:space="preserve"> là công ty trách nhiệm hữu hạn một thành viên, cổ đông sáng lập, thành viên sáng lập.</w:t>
      </w:r>
    </w:p>
  </w:footnote>
  <w:footnote w:id="4">
    <w:p w14:paraId="52338B97" w14:textId="77777777" w:rsidR="000C31E2" w:rsidRPr="00772436" w:rsidRDefault="000C31E2" w:rsidP="00AE142F">
      <w:pPr>
        <w:pStyle w:val="FootnoteText"/>
        <w:jc w:val="both"/>
      </w:pPr>
      <w:r w:rsidRPr="00772436">
        <w:rPr>
          <w:rStyle w:val="FootnoteReference"/>
        </w:rPr>
        <w:footnoteRef/>
      </w:r>
      <w:r w:rsidRPr="00772436">
        <w:t xml:space="preserve"> Thông tư số 32/2024/TT-NHNN ngày 30/6/2024 quy định về mạng lưới hoạt động của NHTM.</w:t>
      </w:r>
    </w:p>
  </w:footnote>
  <w:footnote w:id="5">
    <w:p w14:paraId="4051A028" w14:textId="77777777" w:rsidR="005C6441" w:rsidRPr="00977D33" w:rsidRDefault="005C6441" w:rsidP="005C6441">
      <w:pPr>
        <w:pStyle w:val="FootnoteText"/>
        <w:jc w:val="both"/>
        <w:rPr>
          <w:lang w:val="en-US"/>
        </w:rPr>
      </w:pPr>
      <w:r>
        <w:rPr>
          <w:rStyle w:val="FootnoteReference"/>
        </w:rPr>
        <w:footnoteRef/>
      </w:r>
      <w:r>
        <w:t xml:space="preserve"> </w:t>
      </w:r>
      <w:r w:rsidRPr="00977D33">
        <w:t>Chuẩn mực quốc tế về kế toán (IAS/IFRS) do Ủy ban Chuẩn mực kế toán quốc tế ban hành hoặc các nguyên tắc kế toán được chấp nhận chung theo quy định tại điểm e khoản 1 Điều 11 Nghị quyết 222</w:t>
      </w:r>
      <w:r>
        <w:rPr>
          <w:lang w:val="en-US"/>
        </w:rPr>
        <w:t>.</w:t>
      </w:r>
    </w:p>
  </w:footnote>
  <w:footnote w:id="6">
    <w:p w14:paraId="505894A7" w14:textId="77777777" w:rsidR="000C31E2" w:rsidRDefault="000C31E2" w:rsidP="00AE142F">
      <w:pPr>
        <w:pStyle w:val="FootnoteText"/>
        <w:jc w:val="both"/>
        <w:rPr>
          <w:lang w:val="en-US"/>
        </w:rPr>
      </w:pPr>
      <w:r>
        <w:rPr>
          <w:rStyle w:val="FootnoteReference"/>
        </w:rPr>
        <w:footnoteRef/>
      </w:r>
      <w:r>
        <w:t xml:space="preserve"> Nghị quyết số 259/NQ-CP ngày 31/12/2024 của Chính phủ </w:t>
      </w:r>
      <w:r>
        <w:rPr>
          <w:bCs/>
        </w:rPr>
        <w:t>về ban hành kế hoạch hành động triển khai thực hiện Thông báo số 47-TB/TW ngày 15/11/2024 của Bộ Chính trị về xây dựng TTTC tại Việt Nam.</w:t>
      </w:r>
    </w:p>
  </w:footnote>
  <w:footnote w:id="7">
    <w:p w14:paraId="02CFA71B" w14:textId="58ABF53F" w:rsidR="00170070" w:rsidRDefault="00170070" w:rsidP="00170070">
      <w:pPr>
        <w:pStyle w:val="FootnoteText"/>
        <w:jc w:val="both"/>
      </w:pPr>
      <w:r>
        <w:rPr>
          <w:rStyle w:val="FootnoteReference"/>
        </w:rPr>
        <w:footnoteRef/>
      </w:r>
      <w:r>
        <w:t xml:space="preserve"> </w:t>
      </w:r>
      <w:r>
        <w:rPr>
          <w:lang w:val="en-US"/>
        </w:rPr>
        <w:t>V</w:t>
      </w:r>
      <w:r w:rsidRPr="00170070">
        <w:t xml:space="preserve">i phạm tỷ lệ khả năng chi trả trong thời gian 30 ngày liên tục </w:t>
      </w:r>
      <w:r>
        <w:t>được chia thành 02 trường hợp như sau:</w:t>
      </w:r>
    </w:p>
    <w:p w14:paraId="734A754C" w14:textId="0F6B8B9C" w:rsidR="00170070" w:rsidRPr="00170070" w:rsidRDefault="00170070" w:rsidP="00170070">
      <w:pPr>
        <w:pStyle w:val="FootnoteText"/>
        <w:jc w:val="both"/>
        <w:rPr>
          <w:lang w:val="en-US"/>
        </w:rPr>
      </w:pPr>
      <w:r w:rsidRPr="00170070">
        <w:rPr>
          <w:b/>
          <w:lang w:val="en-US"/>
        </w:rPr>
        <w:t>(i)</w:t>
      </w:r>
      <w:r>
        <w:t xml:space="preserve"> Đối với NHTM 100% vốn nước ngoài, chi nhánh NHNNg áp dụng Chuẩn mực quốc tế về kế toán: Trường hợp gặp sự cố được xác định là khi vi phạm tỷ lệ khả năng chi trả (LCR) theo chính sách của ngân hàng mẹ/chủ sở hữu trong 30 ngày liên tục</w:t>
      </w:r>
      <w:r>
        <w:rPr>
          <w:lang w:val="en-US"/>
        </w:rPr>
        <w:t>;</w:t>
      </w:r>
    </w:p>
    <w:p w14:paraId="05412546" w14:textId="589C6921" w:rsidR="00170070" w:rsidRPr="00170070" w:rsidRDefault="00170070" w:rsidP="00170070">
      <w:pPr>
        <w:pStyle w:val="FootnoteText"/>
        <w:jc w:val="both"/>
        <w:rPr>
          <w:lang w:val="en-US"/>
        </w:rPr>
      </w:pPr>
      <w:r w:rsidRPr="00170070">
        <w:rPr>
          <w:b/>
          <w:lang w:val="en-US"/>
        </w:rPr>
        <w:t>(ii)</w:t>
      </w:r>
      <w:r>
        <w:t xml:space="preserve"> Đối với NHTM 100% vốn trong nước, NHTM 100% vốn nước ngoài, chi nhánh NHNNg không áp dụng Chuẩn mực quốc tế về kế toán: Trường hợp gặp sự cố được xác định là khi vi phạm tỷ lệ khả năng chi trả theo quy định hiện hành của Thống đốc NHNN  trong 30 ngày liên tục. Theo đó, tỷ lệ khả năng chi trả bao gồm 2 tỷ lệ: tỷ lệ khả năng chi trả trong 30 ngày và tỷ lệ dự trữ thanh khoản.</w:t>
      </w:r>
    </w:p>
  </w:footnote>
  <w:footnote w:id="8">
    <w:p w14:paraId="4341BCB3" w14:textId="306AD4F2" w:rsidR="00E735D4" w:rsidRPr="00E735D4" w:rsidRDefault="00E735D4" w:rsidP="00E735D4">
      <w:pPr>
        <w:pStyle w:val="FootnoteText"/>
        <w:jc w:val="both"/>
        <w:rPr>
          <w:lang w:val="en-US"/>
        </w:rPr>
      </w:pPr>
      <w:r>
        <w:rPr>
          <w:rStyle w:val="FootnoteReference"/>
        </w:rPr>
        <w:footnoteRef/>
      </w:r>
      <w:r>
        <w:t xml:space="preserve"> </w:t>
      </w:r>
      <w:r>
        <w:rPr>
          <w:lang w:val="en-US"/>
        </w:rPr>
        <w:t>Quy định về nội dung Văn bản đề nghị áp dụng trình tự, thủ tục rút gọn.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367591"/>
      <w:docPartObj>
        <w:docPartGallery w:val="Page Numbers (Top of Page)"/>
        <w:docPartUnique/>
      </w:docPartObj>
    </w:sdtPr>
    <w:sdtEndPr>
      <w:rPr>
        <w:noProof/>
      </w:rPr>
    </w:sdtEndPr>
    <w:sdtContent>
      <w:p w14:paraId="25C561F4" w14:textId="6DD9C7EB" w:rsidR="000C31E2" w:rsidRDefault="000C31E2">
        <w:pPr>
          <w:pStyle w:val="Header"/>
        </w:pPr>
        <w:r>
          <w:fldChar w:fldCharType="begin"/>
        </w:r>
        <w:r>
          <w:instrText xml:space="preserve"> PAGE   \* MERGEFORMAT </w:instrText>
        </w:r>
        <w:r>
          <w:fldChar w:fldCharType="separate"/>
        </w:r>
        <w:r w:rsidR="00A57450">
          <w:rPr>
            <w:noProof/>
          </w:rPr>
          <w:t>10</w:t>
        </w:r>
        <w:r>
          <w:rPr>
            <w:noProof/>
          </w:rPr>
          <w:fldChar w:fldCharType="end"/>
        </w:r>
      </w:p>
    </w:sdtContent>
  </w:sdt>
  <w:p w14:paraId="204B8BFC" w14:textId="77777777" w:rsidR="000C31E2" w:rsidRDefault="000C3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B0013"/>
    <w:multiLevelType w:val="hybridMultilevel"/>
    <w:tmpl w:val="F50A1A1C"/>
    <w:lvl w:ilvl="0" w:tplc="C7E6512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471DAF"/>
    <w:multiLevelType w:val="hybridMultilevel"/>
    <w:tmpl w:val="DC14957A"/>
    <w:lvl w:ilvl="0" w:tplc="03262304">
      <w:start w:val="2"/>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nsid w:val="298C0D0F"/>
    <w:multiLevelType w:val="hybridMultilevel"/>
    <w:tmpl w:val="4CD2A0FC"/>
    <w:lvl w:ilvl="0" w:tplc="5AFCD3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F9F167E"/>
    <w:multiLevelType w:val="hybridMultilevel"/>
    <w:tmpl w:val="A6A6B54A"/>
    <w:lvl w:ilvl="0" w:tplc="5A503EA2">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1C4DEA"/>
    <w:multiLevelType w:val="hybridMultilevel"/>
    <w:tmpl w:val="394EEA4A"/>
    <w:lvl w:ilvl="0" w:tplc="CCF4597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F8A56A0"/>
    <w:multiLevelType w:val="multilevel"/>
    <w:tmpl w:val="F444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C3281"/>
    <w:multiLevelType w:val="hybridMultilevel"/>
    <w:tmpl w:val="BEA43D96"/>
    <w:lvl w:ilvl="0" w:tplc="924CF1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5F6E0C"/>
    <w:multiLevelType w:val="hybridMultilevel"/>
    <w:tmpl w:val="A4A62706"/>
    <w:lvl w:ilvl="0" w:tplc="B7B40D4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17E7377"/>
    <w:multiLevelType w:val="hybridMultilevel"/>
    <w:tmpl w:val="02944B16"/>
    <w:lvl w:ilvl="0" w:tplc="5716423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2F801AB"/>
    <w:multiLevelType w:val="hybridMultilevel"/>
    <w:tmpl w:val="EC1CAFBC"/>
    <w:lvl w:ilvl="0" w:tplc="30D6D72A">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7225E5"/>
    <w:multiLevelType w:val="hybridMultilevel"/>
    <w:tmpl w:val="D4D0D030"/>
    <w:lvl w:ilvl="0" w:tplc="F82653A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10"/>
  </w:num>
  <w:num w:numId="6">
    <w:abstractNumId w:val="0"/>
  </w:num>
  <w:num w:numId="7">
    <w:abstractNumId w:val="2"/>
  </w:num>
  <w:num w:numId="8">
    <w:abstractNumId w:val="5"/>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8E"/>
    <w:rsid w:val="000015D6"/>
    <w:rsid w:val="00001853"/>
    <w:rsid w:val="0000275D"/>
    <w:rsid w:val="00002F6B"/>
    <w:rsid w:val="00003BB8"/>
    <w:rsid w:val="00004E01"/>
    <w:rsid w:val="00004FDF"/>
    <w:rsid w:val="00005E29"/>
    <w:rsid w:val="00007927"/>
    <w:rsid w:val="000102F4"/>
    <w:rsid w:val="00014C24"/>
    <w:rsid w:val="0001545C"/>
    <w:rsid w:val="000161BA"/>
    <w:rsid w:val="000175EB"/>
    <w:rsid w:val="00020301"/>
    <w:rsid w:val="0002181F"/>
    <w:rsid w:val="000222DD"/>
    <w:rsid w:val="000234C7"/>
    <w:rsid w:val="000251F2"/>
    <w:rsid w:val="00026C71"/>
    <w:rsid w:val="000334A3"/>
    <w:rsid w:val="00041165"/>
    <w:rsid w:val="00047923"/>
    <w:rsid w:val="00050A2D"/>
    <w:rsid w:val="00051831"/>
    <w:rsid w:val="00052F6F"/>
    <w:rsid w:val="000539FC"/>
    <w:rsid w:val="000549A8"/>
    <w:rsid w:val="00055139"/>
    <w:rsid w:val="00060A59"/>
    <w:rsid w:val="00071481"/>
    <w:rsid w:val="00071825"/>
    <w:rsid w:val="000733E2"/>
    <w:rsid w:val="00073672"/>
    <w:rsid w:val="000762EB"/>
    <w:rsid w:val="00077F18"/>
    <w:rsid w:val="000808F8"/>
    <w:rsid w:val="000809CF"/>
    <w:rsid w:val="0008201C"/>
    <w:rsid w:val="00082544"/>
    <w:rsid w:val="0008405C"/>
    <w:rsid w:val="00084985"/>
    <w:rsid w:val="00085C84"/>
    <w:rsid w:val="000864E0"/>
    <w:rsid w:val="000914FE"/>
    <w:rsid w:val="0009499E"/>
    <w:rsid w:val="000955A4"/>
    <w:rsid w:val="00097B0C"/>
    <w:rsid w:val="000A294D"/>
    <w:rsid w:val="000A2A1C"/>
    <w:rsid w:val="000A5AFA"/>
    <w:rsid w:val="000A61E4"/>
    <w:rsid w:val="000B21FE"/>
    <w:rsid w:val="000B4469"/>
    <w:rsid w:val="000B596D"/>
    <w:rsid w:val="000B5AC8"/>
    <w:rsid w:val="000C2238"/>
    <w:rsid w:val="000C31E2"/>
    <w:rsid w:val="000C6257"/>
    <w:rsid w:val="000C67C4"/>
    <w:rsid w:val="000C78B8"/>
    <w:rsid w:val="000D1FBD"/>
    <w:rsid w:val="000D2B8C"/>
    <w:rsid w:val="000D53E6"/>
    <w:rsid w:val="000E053E"/>
    <w:rsid w:val="000E1C9D"/>
    <w:rsid w:val="000E63FD"/>
    <w:rsid w:val="000F002D"/>
    <w:rsid w:val="000F0A56"/>
    <w:rsid w:val="000F113D"/>
    <w:rsid w:val="000F1445"/>
    <w:rsid w:val="000F19A9"/>
    <w:rsid w:val="000F3081"/>
    <w:rsid w:val="000F5FFC"/>
    <w:rsid w:val="00102781"/>
    <w:rsid w:val="00121C9A"/>
    <w:rsid w:val="0012438C"/>
    <w:rsid w:val="00124FFA"/>
    <w:rsid w:val="00125099"/>
    <w:rsid w:val="00125EA4"/>
    <w:rsid w:val="00130950"/>
    <w:rsid w:val="00132AB1"/>
    <w:rsid w:val="0013373D"/>
    <w:rsid w:val="00134108"/>
    <w:rsid w:val="001347A8"/>
    <w:rsid w:val="00135BAC"/>
    <w:rsid w:val="001373A4"/>
    <w:rsid w:val="00137BE6"/>
    <w:rsid w:val="001411FF"/>
    <w:rsid w:val="00141397"/>
    <w:rsid w:val="00151608"/>
    <w:rsid w:val="001516A5"/>
    <w:rsid w:val="001516FB"/>
    <w:rsid w:val="0015243B"/>
    <w:rsid w:val="00155D75"/>
    <w:rsid w:val="00156555"/>
    <w:rsid w:val="00160A8D"/>
    <w:rsid w:val="00160B7C"/>
    <w:rsid w:val="00163D44"/>
    <w:rsid w:val="00166B89"/>
    <w:rsid w:val="00170070"/>
    <w:rsid w:val="001711A7"/>
    <w:rsid w:val="0017223F"/>
    <w:rsid w:val="00173EDE"/>
    <w:rsid w:val="001756BA"/>
    <w:rsid w:val="00175CAC"/>
    <w:rsid w:val="00183263"/>
    <w:rsid w:val="0018389C"/>
    <w:rsid w:val="00184517"/>
    <w:rsid w:val="001906D6"/>
    <w:rsid w:val="00191562"/>
    <w:rsid w:val="00191746"/>
    <w:rsid w:val="001936AB"/>
    <w:rsid w:val="001941ED"/>
    <w:rsid w:val="001943F6"/>
    <w:rsid w:val="001A0305"/>
    <w:rsid w:val="001A039E"/>
    <w:rsid w:val="001A1683"/>
    <w:rsid w:val="001A6174"/>
    <w:rsid w:val="001A6B8A"/>
    <w:rsid w:val="001B2FF3"/>
    <w:rsid w:val="001B4E54"/>
    <w:rsid w:val="001B517F"/>
    <w:rsid w:val="001B5544"/>
    <w:rsid w:val="001B55E6"/>
    <w:rsid w:val="001B652C"/>
    <w:rsid w:val="001B7021"/>
    <w:rsid w:val="001C0DD8"/>
    <w:rsid w:val="001C206C"/>
    <w:rsid w:val="001C51A4"/>
    <w:rsid w:val="001C6241"/>
    <w:rsid w:val="001C660C"/>
    <w:rsid w:val="001D018C"/>
    <w:rsid w:val="001D34DC"/>
    <w:rsid w:val="001D4F7A"/>
    <w:rsid w:val="001D7271"/>
    <w:rsid w:val="001E1875"/>
    <w:rsid w:val="001F0C74"/>
    <w:rsid w:val="001F195D"/>
    <w:rsid w:val="001F1F52"/>
    <w:rsid w:val="001F3E72"/>
    <w:rsid w:val="0020026B"/>
    <w:rsid w:val="002035EE"/>
    <w:rsid w:val="00210960"/>
    <w:rsid w:val="00216548"/>
    <w:rsid w:val="00221264"/>
    <w:rsid w:val="002212EF"/>
    <w:rsid w:val="0022135C"/>
    <w:rsid w:val="00221734"/>
    <w:rsid w:val="00221FB3"/>
    <w:rsid w:val="00222AF9"/>
    <w:rsid w:val="002251F4"/>
    <w:rsid w:val="00226495"/>
    <w:rsid w:val="00226739"/>
    <w:rsid w:val="002320F5"/>
    <w:rsid w:val="00233A92"/>
    <w:rsid w:val="00234D97"/>
    <w:rsid w:val="00236705"/>
    <w:rsid w:val="00237C4E"/>
    <w:rsid w:val="002411E1"/>
    <w:rsid w:val="0024163D"/>
    <w:rsid w:val="00242D76"/>
    <w:rsid w:val="002430CF"/>
    <w:rsid w:val="00244DAF"/>
    <w:rsid w:val="002478DA"/>
    <w:rsid w:val="002502E4"/>
    <w:rsid w:val="00253C80"/>
    <w:rsid w:val="00254479"/>
    <w:rsid w:val="002547DB"/>
    <w:rsid w:val="002561DB"/>
    <w:rsid w:val="002572B8"/>
    <w:rsid w:val="00260714"/>
    <w:rsid w:val="00260EA1"/>
    <w:rsid w:val="002637E7"/>
    <w:rsid w:val="00265418"/>
    <w:rsid w:val="0026613F"/>
    <w:rsid w:val="00266E37"/>
    <w:rsid w:val="00271248"/>
    <w:rsid w:val="00271950"/>
    <w:rsid w:val="00272C03"/>
    <w:rsid w:val="00274DCE"/>
    <w:rsid w:val="0027594B"/>
    <w:rsid w:val="00275CA0"/>
    <w:rsid w:val="00276E34"/>
    <w:rsid w:val="002772E8"/>
    <w:rsid w:val="0028212B"/>
    <w:rsid w:val="00282F5E"/>
    <w:rsid w:val="0028465E"/>
    <w:rsid w:val="00284FA1"/>
    <w:rsid w:val="00285BBE"/>
    <w:rsid w:val="0029017B"/>
    <w:rsid w:val="00291821"/>
    <w:rsid w:val="00293A78"/>
    <w:rsid w:val="002978E6"/>
    <w:rsid w:val="002A3DA2"/>
    <w:rsid w:val="002B5C0C"/>
    <w:rsid w:val="002B604F"/>
    <w:rsid w:val="002C16D3"/>
    <w:rsid w:val="002C20EC"/>
    <w:rsid w:val="002C2EBC"/>
    <w:rsid w:val="002C40B5"/>
    <w:rsid w:val="002C65FD"/>
    <w:rsid w:val="002C7616"/>
    <w:rsid w:val="002D4A41"/>
    <w:rsid w:val="002D7FDD"/>
    <w:rsid w:val="002E09A4"/>
    <w:rsid w:val="002E56D2"/>
    <w:rsid w:val="002E66AF"/>
    <w:rsid w:val="002E672C"/>
    <w:rsid w:val="002E6C79"/>
    <w:rsid w:val="002E7AEE"/>
    <w:rsid w:val="002F254B"/>
    <w:rsid w:val="002F57D4"/>
    <w:rsid w:val="002F6EE5"/>
    <w:rsid w:val="00300513"/>
    <w:rsid w:val="00303F39"/>
    <w:rsid w:val="00304C3B"/>
    <w:rsid w:val="00306733"/>
    <w:rsid w:val="003157F7"/>
    <w:rsid w:val="00315AB9"/>
    <w:rsid w:val="00316FE4"/>
    <w:rsid w:val="00317248"/>
    <w:rsid w:val="00317CE7"/>
    <w:rsid w:val="003211DA"/>
    <w:rsid w:val="00321EF4"/>
    <w:rsid w:val="00323593"/>
    <w:rsid w:val="003258A2"/>
    <w:rsid w:val="00326DBA"/>
    <w:rsid w:val="00332A50"/>
    <w:rsid w:val="00341F2C"/>
    <w:rsid w:val="003503F3"/>
    <w:rsid w:val="00350A3E"/>
    <w:rsid w:val="0035181E"/>
    <w:rsid w:val="00355650"/>
    <w:rsid w:val="00361B5C"/>
    <w:rsid w:val="00362F4E"/>
    <w:rsid w:val="00365020"/>
    <w:rsid w:val="00366BD3"/>
    <w:rsid w:val="0036774E"/>
    <w:rsid w:val="00367C88"/>
    <w:rsid w:val="00374516"/>
    <w:rsid w:val="00376582"/>
    <w:rsid w:val="00377369"/>
    <w:rsid w:val="00377709"/>
    <w:rsid w:val="003821C6"/>
    <w:rsid w:val="00392136"/>
    <w:rsid w:val="0039755D"/>
    <w:rsid w:val="003979A4"/>
    <w:rsid w:val="003A5052"/>
    <w:rsid w:val="003A7F75"/>
    <w:rsid w:val="003B0E1E"/>
    <w:rsid w:val="003B3D35"/>
    <w:rsid w:val="003B42EE"/>
    <w:rsid w:val="003B57A9"/>
    <w:rsid w:val="003B5FF0"/>
    <w:rsid w:val="003B67FA"/>
    <w:rsid w:val="003B68F3"/>
    <w:rsid w:val="003B7600"/>
    <w:rsid w:val="003C7733"/>
    <w:rsid w:val="003D1B0B"/>
    <w:rsid w:val="003D2EEF"/>
    <w:rsid w:val="003D3B1B"/>
    <w:rsid w:val="003D40B7"/>
    <w:rsid w:val="003E125B"/>
    <w:rsid w:val="003E2877"/>
    <w:rsid w:val="003E6E8C"/>
    <w:rsid w:val="003E706F"/>
    <w:rsid w:val="003F2853"/>
    <w:rsid w:val="003F2980"/>
    <w:rsid w:val="003F2F2B"/>
    <w:rsid w:val="003F33BA"/>
    <w:rsid w:val="003F34A5"/>
    <w:rsid w:val="003F3F06"/>
    <w:rsid w:val="003F4AC0"/>
    <w:rsid w:val="003F6610"/>
    <w:rsid w:val="003F7819"/>
    <w:rsid w:val="003F7E76"/>
    <w:rsid w:val="00406449"/>
    <w:rsid w:val="00406E08"/>
    <w:rsid w:val="0041094D"/>
    <w:rsid w:val="00412526"/>
    <w:rsid w:val="004173E3"/>
    <w:rsid w:val="00420610"/>
    <w:rsid w:val="0042327A"/>
    <w:rsid w:val="00430220"/>
    <w:rsid w:val="0043335D"/>
    <w:rsid w:val="0044077B"/>
    <w:rsid w:val="004441FD"/>
    <w:rsid w:val="004466A5"/>
    <w:rsid w:val="00451EE3"/>
    <w:rsid w:val="00453DF2"/>
    <w:rsid w:val="00455F4C"/>
    <w:rsid w:val="00461624"/>
    <w:rsid w:val="00463589"/>
    <w:rsid w:val="00464605"/>
    <w:rsid w:val="004669C2"/>
    <w:rsid w:val="00466EBA"/>
    <w:rsid w:val="0046755E"/>
    <w:rsid w:val="004709FB"/>
    <w:rsid w:val="00473D4A"/>
    <w:rsid w:val="0047612B"/>
    <w:rsid w:val="00480449"/>
    <w:rsid w:val="00480858"/>
    <w:rsid w:val="00480C52"/>
    <w:rsid w:val="00481404"/>
    <w:rsid w:val="00481616"/>
    <w:rsid w:val="00482123"/>
    <w:rsid w:val="0048232F"/>
    <w:rsid w:val="00484A2D"/>
    <w:rsid w:val="00487324"/>
    <w:rsid w:val="0049156B"/>
    <w:rsid w:val="00493CC5"/>
    <w:rsid w:val="0049626F"/>
    <w:rsid w:val="004962BD"/>
    <w:rsid w:val="004A2406"/>
    <w:rsid w:val="004A2C9B"/>
    <w:rsid w:val="004A3314"/>
    <w:rsid w:val="004A5D79"/>
    <w:rsid w:val="004A7F9E"/>
    <w:rsid w:val="004B1864"/>
    <w:rsid w:val="004B75A4"/>
    <w:rsid w:val="004C155B"/>
    <w:rsid w:val="004C3D28"/>
    <w:rsid w:val="004C5558"/>
    <w:rsid w:val="004C575C"/>
    <w:rsid w:val="004D3138"/>
    <w:rsid w:val="004D5B1D"/>
    <w:rsid w:val="004E00D5"/>
    <w:rsid w:val="004E1ADA"/>
    <w:rsid w:val="004E38C2"/>
    <w:rsid w:val="004E5052"/>
    <w:rsid w:val="004E6165"/>
    <w:rsid w:val="004E7AA8"/>
    <w:rsid w:val="004F027B"/>
    <w:rsid w:val="004F116E"/>
    <w:rsid w:val="004F236E"/>
    <w:rsid w:val="004F2827"/>
    <w:rsid w:val="004F5585"/>
    <w:rsid w:val="00502BB8"/>
    <w:rsid w:val="005101F0"/>
    <w:rsid w:val="00522C70"/>
    <w:rsid w:val="005257A9"/>
    <w:rsid w:val="005275B5"/>
    <w:rsid w:val="005277D3"/>
    <w:rsid w:val="00533607"/>
    <w:rsid w:val="00540F3B"/>
    <w:rsid w:val="00541394"/>
    <w:rsid w:val="00543B14"/>
    <w:rsid w:val="00547AE6"/>
    <w:rsid w:val="00552C95"/>
    <w:rsid w:val="0056408E"/>
    <w:rsid w:val="00564708"/>
    <w:rsid w:val="005648D2"/>
    <w:rsid w:val="00564ECE"/>
    <w:rsid w:val="00571096"/>
    <w:rsid w:val="00571CF2"/>
    <w:rsid w:val="00576F25"/>
    <w:rsid w:val="005828CE"/>
    <w:rsid w:val="00583C05"/>
    <w:rsid w:val="00585446"/>
    <w:rsid w:val="005857BC"/>
    <w:rsid w:val="005857CE"/>
    <w:rsid w:val="00586731"/>
    <w:rsid w:val="00590211"/>
    <w:rsid w:val="005965F8"/>
    <w:rsid w:val="005A14A3"/>
    <w:rsid w:val="005A29EF"/>
    <w:rsid w:val="005A5C2C"/>
    <w:rsid w:val="005A70CB"/>
    <w:rsid w:val="005A7BDB"/>
    <w:rsid w:val="005B1722"/>
    <w:rsid w:val="005B2803"/>
    <w:rsid w:val="005B42C6"/>
    <w:rsid w:val="005B55A9"/>
    <w:rsid w:val="005B6F6F"/>
    <w:rsid w:val="005C2FEB"/>
    <w:rsid w:val="005C499C"/>
    <w:rsid w:val="005C58C6"/>
    <w:rsid w:val="005C6441"/>
    <w:rsid w:val="005D12AE"/>
    <w:rsid w:val="005D2433"/>
    <w:rsid w:val="005D5403"/>
    <w:rsid w:val="005D63F7"/>
    <w:rsid w:val="005D6B84"/>
    <w:rsid w:val="005E1BFD"/>
    <w:rsid w:val="005E71C7"/>
    <w:rsid w:val="005E71D0"/>
    <w:rsid w:val="005F1EE2"/>
    <w:rsid w:val="005F5BDD"/>
    <w:rsid w:val="005F7F23"/>
    <w:rsid w:val="0060081E"/>
    <w:rsid w:val="006018F3"/>
    <w:rsid w:val="00601F95"/>
    <w:rsid w:val="00605B15"/>
    <w:rsid w:val="00607C29"/>
    <w:rsid w:val="00612BD8"/>
    <w:rsid w:val="00615533"/>
    <w:rsid w:val="00620E7A"/>
    <w:rsid w:val="00626E05"/>
    <w:rsid w:val="006274EE"/>
    <w:rsid w:val="006300C7"/>
    <w:rsid w:val="00633321"/>
    <w:rsid w:val="00635F57"/>
    <w:rsid w:val="00637820"/>
    <w:rsid w:val="006400CC"/>
    <w:rsid w:val="00640C98"/>
    <w:rsid w:val="00644832"/>
    <w:rsid w:val="0064483A"/>
    <w:rsid w:val="006464A1"/>
    <w:rsid w:val="00652FDD"/>
    <w:rsid w:val="00654AB1"/>
    <w:rsid w:val="006645CB"/>
    <w:rsid w:val="006654F6"/>
    <w:rsid w:val="006662ED"/>
    <w:rsid w:val="00666C24"/>
    <w:rsid w:val="0067287E"/>
    <w:rsid w:val="00677523"/>
    <w:rsid w:val="00677686"/>
    <w:rsid w:val="00681777"/>
    <w:rsid w:val="00683570"/>
    <w:rsid w:val="00683C56"/>
    <w:rsid w:val="0068459B"/>
    <w:rsid w:val="0068461C"/>
    <w:rsid w:val="00685980"/>
    <w:rsid w:val="00690841"/>
    <w:rsid w:val="00690E13"/>
    <w:rsid w:val="006928C5"/>
    <w:rsid w:val="006940D2"/>
    <w:rsid w:val="00694CD7"/>
    <w:rsid w:val="006954C1"/>
    <w:rsid w:val="00695A45"/>
    <w:rsid w:val="00696AAF"/>
    <w:rsid w:val="006A0258"/>
    <w:rsid w:val="006A14ED"/>
    <w:rsid w:val="006B2554"/>
    <w:rsid w:val="006B41F3"/>
    <w:rsid w:val="006B560B"/>
    <w:rsid w:val="006C5F39"/>
    <w:rsid w:val="006C6403"/>
    <w:rsid w:val="006C6FF9"/>
    <w:rsid w:val="006D1170"/>
    <w:rsid w:val="006D2194"/>
    <w:rsid w:val="006D3119"/>
    <w:rsid w:val="006D7805"/>
    <w:rsid w:val="006D7FE9"/>
    <w:rsid w:val="006E1348"/>
    <w:rsid w:val="006E559B"/>
    <w:rsid w:val="006E674A"/>
    <w:rsid w:val="006E6B1B"/>
    <w:rsid w:val="006E6E6E"/>
    <w:rsid w:val="006E7089"/>
    <w:rsid w:val="006F17A0"/>
    <w:rsid w:val="006F246F"/>
    <w:rsid w:val="006F381B"/>
    <w:rsid w:val="006F70B9"/>
    <w:rsid w:val="00700365"/>
    <w:rsid w:val="0070270F"/>
    <w:rsid w:val="00703B58"/>
    <w:rsid w:val="00706952"/>
    <w:rsid w:val="007069AF"/>
    <w:rsid w:val="00707FED"/>
    <w:rsid w:val="0071047D"/>
    <w:rsid w:val="00710EC1"/>
    <w:rsid w:val="00712016"/>
    <w:rsid w:val="00712C11"/>
    <w:rsid w:val="00715359"/>
    <w:rsid w:val="00716F3C"/>
    <w:rsid w:val="00717B12"/>
    <w:rsid w:val="0072131A"/>
    <w:rsid w:val="00722C31"/>
    <w:rsid w:val="00724B89"/>
    <w:rsid w:val="00725925"/>
    <w:rsid w:val="00725E3E"/>
    <w:rsid w:val="00730FFC"/>
    <w:rsid w:val="00734541"/>
    <w:rsid w:val="00734D1A"/>
    <w:rsid w:val="007361E3"/>
    <w:rsid w:val="007369C7"/>
    <w:rsid w:val="00744920"/>
    <w:rsid w:val="00744F24"/>
    <w:rsid w:val="00746AB2"/>
    <w:rsid w:val="00746F6D"/>
    <w:rsid w:val="0074784A"/>
    <w:rsid w:val="00750562"/>
    <w:rsid w:val="007522C4"/>
    <w:rsid w:val="00752F7B"/>
    <w:rsid w:val="00754E85"/>
    <w:rsid w:val="00756440"/>
    <w:rsid w:val="00756E8B"/>
    <w:rsid w:val="00760FBD"/>
    <w:rsid w:val="007634BD"/>
    <w:rsid w:val="00763CE9"/>
    <w:rsid w:val="00764912"/>
    <w:rsid w:val="007672ED"/>
    <w:rsid w:val="00767B7B"/>
    <w:rsid w:val="00767E29"/>
    <w:rsid w:val="00767F8C"/>
    <w:rsid w:val="007713FA"/>
    <w:rsid w:val="00771E0A"/>
    <w:rsid w:val="0077304F"/>
    <w:rsid w:val="0077464E"/>
    <w:rsid w:val="0077644E"/>
    <w:rsid w:val="0077649C"/>
    <w:rsid w:val="00780593"/>
    <w:rsid w:val="00785976"/>
    <w:rsid w:val="00792242"/>
    <w:rsid w:val="00792AF8"/>
    <w:rsid w:val="007A0DD0"/>
    <w:rsid w:val="007A1945"/>
    <w:rsid w:val="007B0368"/>
    <w:rsid w:val="007B3FC8"/>
    <w:rsid w:val="007B401C"/>
    <w:rsid w:val="007C0ACD"/>
    <w:rsid w:val="007C5A9D"/>
    <w:rsid w:val="007C5B25"/>
    <w:rsid w:val="007C66C3"/>
    <w:rsid w:val="007C7866"/>
    <w:rsid w:val="007D6317"/>
    <w:rsid w:val="007D7BB8"/>
    <w:rsid w:val="007E40FE"/>
    <w:rsid w:val="007E4E62"/>
    <w:rsid w:val="007E5545"/>
    <w:rsid w:val="007E672D"/>
    <w:rsid w:val="007E6B99"/>
    <w:rsid w:val="007E7F2C"/>
    <w:rsid w:val="007F01C0"/>
    <w:rsid w:val="007F0BF7"/>
    <w:rsid w:val="007F0E61"/>
    <w:rsid w:val="007F12EF"/>
    <w:rsid w:val="007F41D8"/>
    <w:rsid w:val="007F532F"/>
    <w:rsid w:val="007F73E8"/>
    <w:rsid w:val="00800F6C"/>
    <w:rsid w:val="008056BB"/>
    <w:rsid w:val="00805A09"/>
    <w:rsid w:val="0081282F"/>
    <w:rsid w:val="008146F7"/>
    <w:rsid w:val="008175A2"/>
    <w:rsid w:val="00822B8B"/>
    <w:rsid w:val="00823981"/>
    <w:rsid w:val="00823E5F"/>
    <w:rsid w:val="00824771"/>
    <w:rsid w:val="00827D48"/>
    <w:rsid w:val="00830157"/>
    <w:rsid w:val="008329EB"/>
    <w:rsid w:val="00832BBC"/>
    <w:rsid w:val="00834C04"/>
    <w:rsid w:val="008350D3"/>
    <w:rsid w:val="0084124E"/>
    <w:rsid w:val="00841F96"/>
    <w:rsid w:val="00842B38"/>
    <w:rsid w:val="00842C42"/>
    <w:rsid w:val="00842C63"/>
    <w:rsid w:val="008430B5"/>
    <w:rsid w:val="00843DB0"/>
    <w:rsid w:val="0085003D"/>
    <w:rsid w:val="0085133F"/>
    <w:rsid w:val="0085199D"/>
    <w:rsid w:val="00852A8B"/>
    <w:rsid w:val="00855C10"/>
    <w:rsid w:val="008570B5"/>
    <w:rsid w:val="00857E38"/>
    <w:rsid w:val="00860F0D"/>
    <w:rsid w:val="0086212C"/>
    <w:rsid w:val="00862295"/>
    <w:rsid w:val="00867DE3"/>
    <w:rsid w:val="008766AB"/>
    <w:rsid w:val="0087750E"/>
    <w:rsid w:val="00881946"/>
    <w:rsid w:val="00882BBE"/>
    <w:rsid w:val="00882C0C"/>
    <w:rsid w:val="008877FB"/>
    <w:rsid w:val="00894F3B"/>
    <w:rsid w:val="00895882"/>
    <w:rsid w:val="00897228"/>
    <w:rsid w:val="008A24F3"/>
    <w:rsid w:val="008A561B"/>
    <w:rsid w:val="008A6C56"/>
    <w:rsid w:val="008A7340"/>
    <w:rsid w:val="008B0B23"/>
    <w:rsid w:val="008B51B5"/>
    <w:rsid w:val="008C1190"/>
    <w:rsid w:val="008C1296"/>
    <w:rsid w:val="008C1692"/>
    <w:rsid w:val="008C282C"/>
    <w:rsid w:val="008C2EFA"/>
    <w:rsid w:val="008C5632"/>
    <w:rsid w:val="008C5B35"/>
    <w:rsid w:val="008C6112"/>
    <w:rsid w:val="008C6796"/>
    <w:rsid w:val="008D1A9D"/>
    <w:rsid w:val="008D1CEE"/>
    <w:rsid w:val="008D3EBE"/>
    <w:rsid w:val="008D4AFE"/>
    <w:rsid w:val="008D6010"/>
    <w:rsid w:val="008D60E8"/>
    <w:rsid w:val="008D7BC6"/>
    <w:rsid w:val="008E14CB"/>
    <w:rsid w:val="008E17E0"/>
    <w:rsid w:val="008E1B79"/>
    <w:rsid w:val="008E1B88"/>
    <w:rsid w:val="008E6F5E"/>
    <w:rsid w:val="008E743F"/>
    <w:rsid w:val="008F45D1"/>
    <w:rsid w:val="009005A0"/>
    <w:rsid w:val="00910D99"/>
    <w:rsid w:val="009114C4"/>
    <w:rsid w:val="00911862"/>
    <w:rsid w:val="00911ECE"/>
    <w:rsid w:val="00917772"/>
    <w:rsid w:val="00917FF8"/>
    <w:rsid w:val="00923557"/>
    <w:rsid w:val="009247AE"/>
    <w:rsid w:val="00925AE1"/>
    <w:rsid w:val="00927124"/>
    <w:rsid w:val="009311C2"/>
    <w:rsid w:val="00932564"/>
    <w:rsid w:val="009333E0"/>
    <w:rsid w:val="00935B13"/>
    <w:rsid w:val="00936598"/>
    <w:rsid w:val="00940D17"/>
    <w:rsid w:val="0094121C"/>
    <w:rsid w:val="009414FA"/>
    <w:rsid w:val="00941E33"/>
    <w:rsid w:val="00943DDB"/>
    <w:rsid w:val="0094512D"/>
    <w:rsid w:val="0094673A"/>
    <w:rsid w:val="00955D2B"/>
    <w:rsid w:val="009564B5"/>
    <w:rsid w:val="00960E77"/>
    <w:rsid w:val="009702FB"/>
    <w:rsid w:val="0097193D"/>
    <w:rsid w:val="00973DF0"/>
    <w:rsid w:val="009741F9"/>
    <w:rsid w:val="00977D33"/>
    <w:rsid w:val="00977DD3"/>
    <w:rsid w:val="0098735B"/>
    <w:rsid w:val="009916FA"/>
    <w:rsid w:val="0099178E"/>
    <w:rsid w:val="00991ECB"/>
    <w:rsid w:val="009941FA"/>
    <w:rsid w:val="00995ED3"/>
    <w:rsid w:val="009A05BB"/>
    <w:rsid w:val="009A1696"/>
    <w:rsid w:val="009A2D62"/>
    <w:rsid w:val="009A4174"/>
    <w:rsid w:val="009A452E"/>
    <w:rsid w:val="009A50AB"/>
    <w:rsid w:val="009A5DCF"/>
    <w:rsid w:val="009A616B"/>
    <w:rsid w:val="009B0303"/>
    <w:rsid w:val="009B1FD4"/>
    <w:rsid w:val="009B3CC5"/>
    <w:rsid w:val="009B5AAE"/>
    <w:rsid w:val="009C4030"/>
    <w:rsid w:val="009C576E"/>
    <w:rsid w:val="009C63C8"/>
    <w:rsid w:val="009C7438"/>
    <w:rsid w:val="009C7955"/>
    <w:rsid w:val="009C7DFF"/>
    <w:rsid w:val="009D04D4"/>
    <w:rsid w:val="009D277A"/>
    <w:rsid w:val="009D7335"/>
    <w:rsid w:val="009E0E42"/>
    <w:rsid w:val="009E5595"/>
    <w:rsid w:val="009E7080"/>
    <w:rsid w:val="009E7EFC"/>
    <w:rsid w:val="009E7F64"/>
    <w:rsid w:val="009F0191"/>
    <w:rsid w:val="009F0CDE"/>
    <w:rsid w:val="009F2E25"/>
    <w:rsid w:val="009F495B"/>
    <w:rsid w:val="009F623B"/>
    <w:rsid w:val="00A0089F"/>
    <w:rsid w:val="00A02D56"/>
    <w:rsid w:val="00A03521"/>
    <w:rsid w:val="00A04D1C"/>
    <w:rsid w:val="00A07E07"/>
    <w:rsid w:val="00A07F36"/>
    <w:rsid w:val="00A116FC"/>
    <w:rsid w:val="00A11D19"/>
    <w:rsid w:val="00A11D23"/>
    <w:rsid w:val="00A12147"/>
    <w:rsid w:val="00A1281C"/>
    <w:rsid w:val="00A13762"/>
    <w:rsid w:val="00A17C1C"/>
    <w:rsid w:val="00A21A3F"/>
    <w:rsid w:val="00A21F49"/>
    <w:rsid w:val="00A24559"/>
    <w:rsid w:val="00A26AD1"/>
    <w:rsid w:val="00A272C3"/>
    <w:rsid w:val="00A33086"/>
    <w:rsid w:val="00A339A1"/>
    <w:rsid w:val="00A359BB"/>
    <w:rsid w:val="00A4358A"/>
    <w:rsid w:val="00A446BA"/>
    <w:rsid w:val="00A4517D"/>
    <w:rsid w:val="00A46512"/>
    <w:rsid w:val="00A470D9"/>
    <w:rsid w:val="00A47113"/>
    <w:rsid w:val="00A5014C"/>
    <w:rsid w:val="00A51E41"/>
    <w:rsid w:val="00A57450"/>
    <w:rsid w:val="00A6055F"/>
    <w:rsid w:val="00A614AF"/>
    <w:rsid w:val="00A67542"/>
    <w:rsid w:val="00A72819"/>
    <w:rsid w:val="00A8012F"/>
    <w:rsid w:val="00A87646"/>
    <w:rsid w:val="00A910DC"/>
    <w:rsid w:val="00A9178C"/>
    <w:rsid w:val="00A938CB"/>
    <w:rsid w:val="00A944A7"/>
    <w:rsid w:val="00A962E9"/>
    <w:rsid w:val="00A96E50"/>
    <w:rsid w:val="00A97A41"/>
    <w:rsid w:val="00AA3376"/>
    <w:rsid w:val="00AA3CA6"/>
    <w:rsid w:val="00AA7C01"/>
    <w:rsid w:val="00AB0CCF"/>
    <w:rsid w:val="00AB1914"/>
    <w:rsid w:val="00AB3845"/>
    <w:rsid w:val="00AB39C7"/>
    <w:rsid w:val="00AB7783"/>
    <w:rsid w:val="00AB7E30"/>
    <w:rsid w:val="00AC285D"/>
    <w:rsid w:val="00AC3612"/>
    <w:rsid w:val="00AC55F6"/>
    <w:rsid w:val="00AC703A"/>
    <w:rsid w:val="00AD1153"/>
    <w:rsid w:val="00AD551C"/>
    <w:rsid w:val="00AD5A6E"/>
    <w:rsid w:val="00AE002E"/>
    <w:rsid w:val="00AE142F"/>
    <w:rsid w:val="00AE1623"/>
    <w:rsid w:val="00AE1749"/>
    <w:rsid w:val="00AE3383"/>
    <w:rsid w:val="00AE4E73"/>
    <w:rsid w:val="00AE73BB"/>
    <w:rsid w:val="00AF1591"/>
    <w:rsid w:val="00AF4FED"/>
    <w:rsid w:val="00AF776B"/>
    <w:rsid w:val="00AF7EED"/>
    <w:rsid w:val="00B01865"/>
    <w:rsid w:val="00B01F9F"/>
    <w:rsid w:val="00B0454A"/>
    <w:rsid w:val="00B0471B"/>
    <w:rsid w:val="00B107DA"/>
    <w:rsid w:val="00B119D1"/>
    <w:rsid w:val="00B142E9"/>
    <w:rsid w:val="00B162CF"/>
    <w:rsid w:val="00B17CF2"/>
    <w:rsid w:val="00B21A31"/>
    <w:rsid w:val="00B21EC7"/>
    <w:rsid w:val="00B21F1C"/>
    <w:rsid w:val="00B223AE"/>
    <w:rsid w:val="00B249BD"/>
    <w:rsid w:val="00B258E2"/>
    <w:rsid w:val="00B27C15"/>
    <w:rsid w:val="00B331FC"/>
    <w:rsid w:val="00B3460E"/>
    <w:rsid w:val="00B34DB0"/>
    <w:rsid w:val="00B35D08"/>
    <w:rsid w:val="00B36B3C"/>
    <w:rsid w:val="00B405C4"/>
    <w:rsid w:val="00B40C5E"/>
    <w:rsid w:val="00B424EC"/>
    <w:rsid w:val="00B4702F"/>
    <w:rsid w:val="00B50A8F"/>
    <w:rsid w:val="00B52E6B"/>
    <w:rsid w:val="00B5305D"/>
    <w:rsid w:val="00B549B0"/>
    <w:rsid w:val="00B63CE0"/>
    <w:rsid w:val="00B64CE9"/>
    <w:rsid w:val="00B65527"/>
    <w:rsid w:val="00B67142"/>
    <w:rsid w:val="00B70FB5"/>
    <w:rsid w:val="00B71A7E"/>
    <w:rsid w:val="00B723E1"/>
    <w:rsid w:val="00B725F8"/>
    <w:rsid w:val="00B7353B"/>
    <w:rsid w:val="00B74D7F"/>
    <w:rsid w:val="00B74DAF"/>
    <w:rsid w:val="00B75167"/>
    <w:rsid w:val="00B754D1"/>
    <w:rsid w:val="00B7739C"/>
    <w:rsid w:val="00B77A29"/>
    <w:rsid w:val="00B77E7E"/>
    <w:rsid w:val="00B82F49"/>
    <w:rsid w:val="00B835B1"/>
    <w:rsid w:val="00B87CC7"/>
    <w:rsid w:val="00B87D98"/>
    <w:rsid w:val="00B941BC"/>
    <w:rsid w:val="00B95636"/>
    <w:rsid w:val="00B9796D"/>
    <w:rsid w:val="00B97B97"/>
    <w:rsid w:val="00BA1EC2"/>
    <w:rsid w:val="00BA2CAD"/>
    <w:rsid w:val="00BA4044"/>
    <w:rsid w:val="00BA529D"/>
    <w:rsid w:val="00BA5756"/>
    <w:rsid w:val="00BB31EB"/>
    <w:rsid w:val="00BB44F1"/>
    <w:rsid w:val="00BB575B"/>
    <w:rsid w:val="00BB5A8E"/>
    <w:rsid w:val="00BB60E1"/>
    <w:rsid w:val="00BB6280"/>
    <w:rsid w:val="00BC7476"/>
    <w:rsid w:val="00BC7B63"/>
    <w:rsid w:val="00BD0763"/>
    <w:rsid w:val="00BD1920"/>
    <w:rsid w:val="00BD2B04"/>
    <w:rsid w:val="00BD2B42"/>
    <w:rsid w:val="00BD43DB"/>
    <w:rsid w:val="00BE2954"/>
    <w:rsid w:val="00BE3E0E"/>
    <w:rsid w:val="00BE6FEA"/>
    <w:rsid w:val="00BE7CD0"/>
    <w:rsid w:val="00BF2B97"/>
    <w:rsid w:val="00BF461A"/>
    <w:rsid w:val="00BF4AFC"/>
    <w:rsid w:val="00BF70D6"/>
    <w:rsid w:val="00C02C99"/>
    <w:rsid w:val="00C07EA5"/>
    <w:rsid w:val="00C17382"/>
    <w:rsid w:val="00C17A79"/>
    <w:rsid w:val="00C25E2A"/>
    <w:rsid w:val="00C26DD7"/>
    <w:rsid w:val="00C26EC2"/>
    <w:rsid w:val="00C31395"/>
    <w:rsid w:val="00C32A1A"/>
    <w:rsid w:val="00C36186"/>
    <w:rsid w:val="00C36A7B"/>
    <w:rsid w:val="00C41171"/>
    <w:rsid w:val="00C41583"/>
    <w:rsid w:val="00C4177B"/>
    <w:rsid w:val="00C461EA"/>
    <w:rsid w:val="00C55AAC"/>
    <w:rsid w:val="00C55E9B"/>
    <w:rsid w:val="00C55F59"/>
    <w:rsid w:val="00C569EE"/>
    <w:rsid w:val="00C56B19"/>
    <w:rsid w:val="00C5702C"/>
    <w:rsid w:val="00C622DC"/>
    <w:rsid w:val="00C6332D"/>
    <w:rsid w:val="00C637A7"/>
    <w:rsid w:val="00C63E4D"/>
    <w:rsid w:val="00C64245"/>
    <w:rsid w:val="00C642A0"/>
    <w:rsid w:val="00C66025"/>
    <w:rsid w:val="00C7250B"/>
    <w:rsid w:val="00C7253E"/>
    <w:rsid w:val="00C730F1"/>
    <w:rsid w:val="00C734BB"/>
    <w:rsid w:val="00C74312"/>
    <w:rsid w:val="00C7455B"/>
    <w:rsid w:val="00C75D02"/>
    <w:rsid w:val="00C75E2F"/>
    <w:rsid w:val="00C80D0B"/>
    <w:rsid w:val="00C86CAF"/>
    <w:rsid w:val="00C871AD"/>
    <w:rsid w:val="00C902DC"/>
    <w:rsid w:val="00CA04C0"/>
    <w:rsid w:val="00CA2977"/>
    <w:rsid w:val="00CA5C3D"/>
    <w:rsid w:val="00CA6373"/>
    <w:rsid w:val="00CA7F26"/>
    <w:rsid w:val="00CB30A4"/>
    <w:rsid w:val="00CB45D0"/>
    <w:rsid w:val="00CB47BD"/>
    <w:rsid w:val="00CB7F96"/>
    <w:rsid w:val="00CC10E1"/>
    <w:rsid w:val="00CC1BC9"/>
    <w:rsid w:val="00CC1CE5"/>
    <w:rsid w:val="00CC3390"/>
    <w:rsid w:val="00CC4527"/>
    <w:rsid w:val="00CC61EE"/>
    <w:rsid w:val="00CC723B"/>
    <w:rsid w:val="00CC766D"/>
    <w:rsid w:val="00CD7FB5"/>
    <w:rsid w:val="00CE5D2A"/>
    <w:rsid w:val="00CE6E8C"/>
    <w:rsid w:val="00CE70F1"/>
    <w:rsid w:val="00CF36C6"/>
    <w:rsid w:val="00CF7832"/>
    <w:rsid w:val="00CF7EB9"/>
    <w:rsid w:val="00D0361B"/>
    <w:rsid w:val="00D03A80"/>
    <w:rsid w:val="00D053F0"/>
    <w:rsid w:val="00D10422"/>
    <w:rsid w:val="00D11291"/>
    <w:rsid w:val="00D1227A"/>
    <w:rsid w:val="00D12952"/>
    <w:rsid w:val="00D14533"/>
    <w:rsid w:val="00D17B8D"/>
    <w:rsid w:val="00D213C5"/>
    <w:rsid w:val="00D21FD8"/>
    <w:rsid w:val="00D2370F"/>
    <w:rsid w:val="00D237B5"/>
    <w:rsid w:val="00D23E60"/>
    <w:rsid w:val="00D246D2"/>
    <w:rsid w:val="00D314CB"/>
    <w:rsid w:val="00D33591"/>
    <w:rsid w:val="00D33D98"/>
    <w:rsid w:val="00D37B80"/>
    <w:rsid w:val="00D447AF"/>
    <w:rsid w:val="00D50A70"/>
    <w:rsid w:val="00D54F43"/>
    <w:rsid w:val="00D57CF8"/>
    <w:rsid w:val="00D600C0"/>
    <w:rsid w:val="00D73991"/>
    <w:rsid w:val="00D758DB"/>
    <w:rsid w:val="00D762BF"/>
    <w:rsid w:val="00D7730F"/>
    <w:rsid w:val="00D77AB7"/>
    <w:rsid w:val="00D77B72"/>
    <w:rsid w:val="00D82D43"/>
    <w:rsid w:val="00D8432B"/>
    <w:rsid w:val="00D9161D"/>
    <w:rsid w:val="00D92DB3"/>
    <w:rsid w:val="00D94644"/>
    <w:rsid w:val="00D95953"/>
    <w:rsid w:val="00D9598C"/>
    <w:rsid w:val="00D95996"/>
    <w:rsid w:val="00D97A9D"/>
    <w:rsid w:val="00DA169C"/>
    <w:rsid w:val="00DA3768"/>
    <w:rsid w:val="00DA46B8"/>
    <w:rsid w:val="00DA5E16"/>
    <w:rsid w:val="00DA5F0C"/>
    <w:rsid w:val="00DB44FA"/>
    <w:rsid w:val="00DB67B3"/>
    <w:rsid w:val="00DC338D"/>
    <w:rsid w:val="00DC5529"/>
    <w:rsid w:val="00DD155A"/>
    <w:rsid w:val="00DD22D3"/>
    <w:rsid w:val="00DE4CB3"/>
    <w:rsid w:val="00DE5B61"/>
    <w:rsid w:val="00DE6588"/>
    <w:rsid w:val="00DE6742"/>
    <w:rsid w:val="00DE7A23"/>
    <w:rsid w:val="00DE7C37"/>
    <w:rsid w:val="00DF00D7"/>
    <w:rsid w:val="00DF06A8"/>
    <w:rsid w:val="00DF2B62"/>
    <w:rsid w:val="00DF350A"/>
    <w:rsid w:val="00DF5318"/>
    <w:rsid w:val="00DF5D06"/>
    <w:rsid w:val="00E00C01"/>
    <w:rsid w:val="00E022C1"/>
    <w:rsid w:val="00E05198"/>
    <w:rsid w:val="00E05747"/>
    <w:rsid w:val="00E074F7"/>
    <w:rsid w:val="00E12661"/>
    <w:rsid w:val="00E14F6C"/>
    <w:rsid w:val="00E17097"/>
    <w:rsid w:val="00E2258B"/>
    <w:rsid w:val="00E22824"/>
    <w:rsid w:val="00E24573"/>
    <w:rsid w:val="00E307F1"/>
    <w:rsid w:val="00E30CEC"/>
    <w:rsid w:val="00E31166"/>
    <w:rsid w:val="00E31609"/>
    <w:rsid w:val="00E31912"/>
    <w:rsid w:val="00E3295F"/>
    <w:rsid w:val="00E32A0E"/>
    <w:rsid w:val="00E33BF4"/>
    <w:rsid w:val="00E36046"/>
    <w:rsid w:val="00E37D78"/>
    <w:rsid w:val="00E41532"/>
    <w:rsid w:val="00E44294"/>
    <w:rsid w:val="00E44926"/>
    <w:rsid w:val="00E47D71"/>
    <w:rsid w:val="00E52B88"/>
    <w:rsid w:val="00E54435"/>
    <w:rsid w:val="00E55BC5"/>
    <w:rsid w:val="00E6057B"/>
    <w:rsid w:val="00E607B6"/>
    <w:rsid w:val="00E61426"/>
    <w:rsid w:val="00E618EE"/>
    <w:rsid w:val="00E629F4"/>
    <w:rsid w:val="00E65054"/>
    <w:rsid w:val="00E6671A"/>
    <w:rsid w:val="00E671C4"/>
    <w:rsid w:val="00E735D4"/>
    <w:rsid w:val="00E75941"/>
    <w:rsid w:val="00E75A9D"/>
    <w:rsid w:val="00E77E24"/>
    <w:rsid w:val="00E8093B"/>
    <w:rsid w:val="00E81935"/>
    <w:rsid w:val="00E82FE7"/>
    <w:rsid w:val="00E83A94"/>
    <w:rsid w:val="00E8584B"/>
    <w:rsid w:val="00E920F4"/>
    <w:rsid w:val="00E95155"/>
    <w:rsid w:val="00E953DC"/>
    <w:rsid w:val="00EA2C41"/>
    <w:rsid w:val="00EA571B"/>
    <w:rsid w:val="00EB0142"/>
    <w:rsid w:val="00EB1197"/>
    <w:rsid w:val="00EB52C4"/>
    <w:rsid w:val="00EB537E"/>
    <w:rsid w:val="00EB6191"/>
    <w:rsid w:val="00EC0B09"/>
    <w:rsid w:val="00EC0F2F"/>
    <w:rsid w:val="00EC4543"/>
    <w:rsid w:val="00ED0EC0"/>
    <w:rsid w:val="00ED2167"/>
    <w:rsid w:val="00ED2AC1"/>
    <w:rsid w:val="00ED5405"/>
    <w:rsid w:val="00ED5B70"/>
    <w:rsid w:val="00ED6EF6"/>
    <w:rsid w:val="00EE05B5"/>
    <w:rsid w:val="00EE1801"/>
    <w:rsid w:val="00EE40B5"/>
    <w:rsid w:val="00EE6E1F"/>
    <w:rsid w:val="00EF05C0"/>
    <w:rsid w:val="00F006D0"/>
    <w:rsid w:val="00F13F94"/>
    <w:rsid w:val="00F149EE"/>
    <w:rsid w:val="00F1532A"/>
    <w:rsid w:val="00F16B9A"/>
    <w:rsid w:val="00F21444"/>
    <w:rsid w:val="00F226E7"/>
    <w:rsid w:val="00F25B3F"/>
    <w:rsid w:val="00F26C7E"/>
    <w:rsid w:val="00F27FBE"/>
    <w:rsid w:val="00F30EDE"/>
    <w:rsid w:val="00F312DB"/>
    <w:rsid w:val="00F33B9D"/>
    <w:rsid w:val="00F34FCA"/>
    <w:rsid w:val="00F36388"/>
    <w:rsid w:val="00F41B92"/>
    <w:rsid w:val="00F4256C"/>
    <w:rsid w:val="00F51997"/>
    <w:rsid w:val="00F54C25"/>
    <w:rsid w:val="00F57437"/>
    <w:rsid w:val="00F60F2F"/>
    <w:rsid w:val="00F67F4D"/>
    <w:rsid w:val="00F72CEB"/>
    <w:rsid w:val="00F73802"/>
    <w:rsid w:val="00F74028"/>
    <w:rsid w:val="00F75810"/>
    <w:rsid w:val="00F75A1C"/>
    <w:rsid w:val="00F75CD7"/>
    <w:rsid w:val="00F80373"/>
    <w:rsid w:val="00F8053C"/>
    <w:rsid w:val="00F81742"/>
    <w:rsid w:val="00F81EF8"/>
    <w:rsid w:val="00F91E81"/>
    <w:rsid w:val="00F91F56"/>
    <w:rsid w:val="00F93CAC"/>
    <w:rsid w:val="00F93FF8"/>
    <w:rsid w:val="00F94038"/>
    <w:rsid w:val="00F949EF"/>
    <w:rsid w:val="00F9689A"/>
    <w:rsid w:val="00FA0E98"/>
    <w:rsid w:val="00FA1CA9"/>
    <w:rsid w:val="00FA2EB4"/>
    <w:rsid w:val="00FA31C3"/>
    <w:rsid w:val="00FA3497"/>
    <w:rsid w:val="00FA671A"/>
    <w:rsid w:val="00FA6F43"/>
    <w:rsid w:val="00FB0389"/>
    <w:rsid w:val="00FB0959"/>
    <w:rsid w:val="00FB3043"/>
    <w:rsid w:val="00FB39B3"/>
    <w:rsid w:val="00FB4400"/>
    <w:rsid w:val="00FB442B"/>
    <w:rsid w:val="00FB44AC"/>
    <w:rsid w:val="00FC0D79"/>
    <w:rsid w:val="00FC3233"/>
    <w:rsid w:val="00FC3C3A"/>
    <w:rsid w:val="00FC62E7"/>
    <w:rsid w:val="00FD60FA"/>
    <w:rsid w:val="00FD6139"/>
    <w:rsid w:val="00FD70EC"/>
    <w:rsid w:val="00FE0165"/>
    <w:rsid w:val="00FE0D3B"/>
    <w:rsid w:val="00FE1C65"/>
    <w:rsid w:val="00FE26CA"/>
    <w:rsid w:val="00FE4E1D"/>
    <w:rsid w:val="00FE6877"/>
    <w:rsid w:val="00FF1633"/>
    <w:rsid w:val="00FF1B92"/>
    <w:rsid w:val="00FF1CB0"/>
    <w:rsid w:val="00FF2B25"/>
    <w:rsid w:val="00FF59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7102409"/>
  <w15:docId w15:val="{F633DBD2-B791-42C6-80D6-F07CB1A3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sz w:val="26"/>
        <w:szCs w:val="22"/>
        <w:lang w:val="vi-VN"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EBA"/>
  </w:style>
  <w:style w:type="paragraph" w:styleId="Heading1">
    <w:name w:val="heading 1"/>
    <w:basedOn w:val="Normal"/>
    <w:next w:val="Normal"/>
    <w:link w:val="Heading1Char"/>
    <w:qFormat/>
    <w:rsid w:val="00F36388"/>
    <w:pPr>
      <w:keepNext/>
      <w:tabs>
        <w:tab w:val="left" w:pos="720"/>
        <w:tab w:val="center" w:pos="2160"/>
        <w:tab w:val="left" w:pos="2640"/>
        <w:tab w:val="center" w:pos="3600"/>
      </w:tabs>
      <w:spacing w:before="240"/>
      <w:jc w:val="left"/>
      <w:outlineLvl w:val="0"/>
    </w:pPr>
    <w:rPr>
      <w:rFonts w:eastAsia="Times New Roman" w:cs="Times New Roman"/>
      <w:sz w:val="28"/>
      <w:szCs w:val="28"/>
      <w:lang w:val="en-US"/>
    </w:rPr>
  </w:style>
  <w:style w:type="paragraph" w:styleId="Heading3">
    <w:name w:val="heading 3"/>
    <w:basedOn w:val="Normal"/>
    <w:next w:val="Normal"/>
    <w:link w:val="Heading3Char"/>
    <w:uiPriority w:val="9"/>
    <w:semiHidden/>
    <w:unhideWhenUsed/>
    <w:qFormat/>
    <w:rsid w:val="0068598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6212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numbered (a)),List Paragraph11,Bullets,Numbered Paragraph,Main numbered paragraph,Абзац списка1,EASPR13-01 normal,List Paragraph 1,List Paragraph1,Use Case List Paragraph,Celula,Tabela,Numbered List Paragraph,References,Te"/>
    <w:basedOn w:val="Normal"/>
    <w:link w:val="ListParagraphChar"/>
    <w:uiPriority w:val="34"/>
    <w:qFormat/>
    <w:rsid w:val="00236705"/>
    <w:pPr>
      <w:ind w:left="720"/>
      <w:contextualSpacing/>
    </w:pPr>
  </w:style>
  <w:style w:type="paragraph" w:styleId="Header">
    <w:name w:val="header"/>
    <w:basedOn w:val="Normal"/>
    <w:link w:val="HeaderChar"/>
    <w:uiPriority w:val="99"/>
    <w:unhideWhenUsed/>
    <w:rsid w:val="00857E38"/>
    <w:pPr>
      <w:tabs>
        <w:tab w:val="center" w:pos="4513"/>
        <w:tab w:val="right" w:pos="9026"/>
      </w:tabs>
    </w:pPr>
  </w:style>
  <w:style w:type="character" w:customStyle="1" w:styleId="HeaderChar">
    <w:name w:val="Header Char"/>
    <w:basedOn w:val="DefaultParagraphFont"/>
    <w:link w:val="Header"/>
    <w:uiPriority w:val="99"/>
    <w:rsid w:val="00857E38"/>
  </w:style>
  <w:style w:type="paragraph" w:styleId="Footer">
    <w:name w:val="footer"/>
    <w:basedOn w:val="Normal"/>
    <w:link w:val="FooterChar"/>
    <w:uiPriority w:val="99"/>
    <w:unhideWhenUsed/>
    <w:rsid w:val="00857E38"/>
    <w:pPr>
      <w:tabs>
        <w:tab w:val="center" w:pos="4513"/>
        <w:tab w:val="right" w:pos="9026"/>
      </w:tabs>
    </w:pPr>
  </w:style>
  <w:style w:type="character" w:customStyle="1" w:styleId="FooterChar">
    <w:name w:val="Footer Char"/>
    <w:basedOn w:val="DefaultParagraphFont"/>
    <w:link w:val="Footer"/>
    <w:uiPriority w:val="99"/>
    <w:rsid w:val="00857E38"/>
  </w:style>
  <w:style w:type="paragraph" w:styleId="BalloonText">
    <w:name w:val="Balloon Text"/>
    <w:basedOn w:val="Normal"/>
    <w:link w:val="BalloonTextChar"/>
    <w:uiPriority w:val="99"/>
    <w:semiHidden/>
    <w:unhideWhenUsed/>
    <w:rsid w:val="00D95953"/>
    <w:rPr>
      <w:rFonts w:ascii="Tahoma" w:hAnsi="Tahoma" w:cs="Tahoma"/>
      <w:sz w:val="16"/>
      <w:szCs w:val="16"/>
    </w:rPr>
  </w:style>
  <w:style w:type="character" w:customStyle="1" w:styleId="BalloonTextChar">
    <w:name w:val="Balloon Text Char"/>
    <w:basedOn w:val="DefaultParagraphFont"/>
    <w:link w:val="BalloonText"/>
    <w:uiPriority w:val="99"/>
    <w:semiHidden/>
    <w:rsid w:val="00D95953"/>
    <w:rPr>
      <w:rFonts w:ascii="Tahoma" w:hAnsi="Tahoma" w:cs="Tahoma"/>
      <w:sz w:val="16"/>
      <w:szCs w:val="16"/>
    </w:rPr>
  </w:style>
  <w:style w:type="character" w:customStyle="1" w:styleId="Heading1Char">
    <w:name w:val="Heading 1 Char"/>
    <w:basedOn w:val="DefaultParagraphFont"/>
    <w:link w:val="Heading1"/>
    <w:rsid w:val="00F36388"/>
    <w:rPr>
      <w:rFonts w:eastAsia="Times New Roman" w:cs="Times New Roman"/>
      <w:sz w:val="28"/>
      <w:szCs w:val="28"/>
      <w:lang w:val="en-US"/>
    </w:rPr>
  </w:style>
  <w:style w:type="paragraph" w:customStyle="1" w:styleId="Body">
    <w:name w:val="Body"/>
    <w:rsid w:val="00F36388"/>
    <w:pPr>
      <w:pBdr>
        <w:top w:val="nil"/>
        <w:left w:val="nil"/>
        <w:bottom w:val="nil"/>
        <w:right w:val="nil"/>
        <w:between w:val="nil"/>
        <w:bar w:val="nil"/>
      </w:pBdr>
      <w:spacing w:after="200" w:line="276" w:lineRule="auto"/>
      <w:jc w:val="left"/>
    </w:pPr>
    <w:rPr>
      <w:rFonts w:ascii="Calibri" w:eastAsia="Arial Unicode MS" w:hAnsi="Calibri" w:cs="Arial Unicode MS"/>
      <w:color w:val="000000"/>
      <w:sz w:val="22"/>
      <w:u w:color="000000"/>
      <w:bdr w:val="nil"/>
      <w:lang w:val="en-US"/>
      <w14:textOutline w14:w="0" w14:cap="flat" w14:cmpd="sng" w14:algn="ctr">
        <w14:noFill/>
        <w14:prstDash w14:val="solid"/>
        <w14:bevel/>
      </w14:textOutline>
    </w:rPr>
  </w:style>
  <w:style w:type="paragraph" w:styleId="NormalWeb">
    <w:name w:val="Normal (Web)"/>
    <w:uiPriority w:val="99"/>
    <w:rsid w:val="00F36388"/>
    <w:pPr>
      <w:pBdr>
        <w:top w:val="nil"/>
        <w:left w:val="nil"/>
        <w:bottom w:val="nil"/>
        <w:right w:val="nil"/>
        <w:between w:val="nil"/>
        <w:bar w:val="nil"/>
      </w:pBdr>
      <w:spacing w:before="100" w:after="100"/>
      <w:jc w:val="left"/>
    </w:pPr>
    <w:rPr>
      <w:rFonts w:eastAsia="Arial Unicode MS" w:cs="Arial Unicode MS"/>
      <w:color w:val="000000"/>
      <w:sz w:val="24"/>
      <w:szCs w:val="24"/>
      <w:u w:color="000000"/>
      <w:bdr w:val="nil"/>
      <w:lang w:val="en-US"/>
    </w:rPr>
  </w:style>
  <w:style w:type="paragraph" w:styleId="BodyText2">
    <w:name w:val="Body Text 2"/>
    <w:basedOn w:val="Normal"/>
    <w:link w:val="BodyText2Char"/>
    <w:rsid w:val="00F36388"/>
    <w:pPr>
      <w:jc w:val="both"/>
    </w:pPr>
    <w:rPr>
      <w:rFonts w:ascii=".VnTime" w:eastAsia="Times New Roman" w:hAnsi=".VnTime" w:cs="Times New Roman"/>
      <w:sz w:val="28"/>
      <w:szCs w:val="24"/>
      <w:lang w:val="en-US"/>
    </w:rPr>
  </w:style>
  <w:style w:type="character" w:customStyle="1" w:styleId="BodyText2Char">
    <w:name w:val="Body Text 2 Char"/>
    <w:basedOn w:val="DefaultParagraphFont"/>
    <w:link w:val="BodyText2"/>
    <w:rsid w:val="00F36388"/>
    <w:rPr>
      <w:rFonts w:ascii=".VnTime" w:eastAsia="Times New Roman" w:hAnsi=".VnTime" w:cs="Times New Roman"/>
      <w:sz w:val="28"/>
      <w:szCs w:val="24"/>
      <w:lang w:val="en-US"/>
    </w:rPr>
  </w:style>
  <w:style w:type="character" w:customStyle="1" w:styleId="ListParagraphChar">
    <w:name w:val="List Paragraph Char"/>
    <w:aliases w:val="List Paragraph (numbered (a)) Char,List Paragraph11 Char,Bullets Char,Numbered Paragraph Char,Main numbered paragraph Char,Абзац списка1 Char,EASPR13-01 normal Char,List Paragraph 1 Char,List Paragraph1 Char,Celula Char,Tabela Char"/>
    <w:basedOn w:val="DefaultParagraphFont"/>
    <w:link w:val="ListParagraph"/>
    <w:uiPriority w:val="34"/>
    <w:qFormat/>
    <w:locked/>
    <w:rsid w:val="00F36388"/>
  </w:style>
  <w:style w:type="character" w:styleId="Emphasis">
    <w:name w:val="Emphasis"/>
    <w:basedOn w:val="DefaultParagraphFont"/>
    <w:uiPriority w:val="20"/>
    <w:qFormat/>
    <w:rsid w:val="00F36388"/>
    <w:rPr>
      <w:i/>
      <w:iCs/>
    </w:rPr>
  </w:style>
  <w:style w:type="paragraph" w:styleId="FootnoteText">
    <w:name w:val="footnote text"/>
    <w:basedOn w:val="Normal"/>
    <w:link w:val="FootnoteTextChar"/>
    <w:uiPriority w:val="99"/>
    <w:semiHidden/>
    <w:unhideWhenUsed/>
    <w:rsid w:val="000E053E"/>
    <w:rPr>
      <w:sz w:val="20"/>
      <w:szCs w:val="20"/>
    </w:rPr>
  </w:style>
  <w:style w:type="character" w:customStyle="1" w:styleId="FootnoteTextChar">
    <w:name w:val="Footnote Text Char"/>
    <w:basedOn w:val="DefaultParagraphFont"/>
    <w:link w:val="FootnoteText"/>
    <w:uiPriority w:val="99"/>
    <w:semiHidden/>
    <w:rsid w:val="000E053E"/>
    <w:rPr>
      <w:sz w:val="20"/>
      <w:szCs w:val="20"/>
    </w:rPr>
  </w:style>
  <w:style w:type="character" w:styleId="FootnoteReference">
    <w:name w:val="footnote reference"/>
    <w:aliases w:val="Footnote text,ftref,BearingPoint,16 Point,Superscript 6 Point,fr,Footnote Text1,f,(NECG) Footnote Reference,BVI fnr,footnote ref,Footnote Text Char Char Char Char Char Char Ch Char Char Char Char Char Char C,Ref,de nota al pie,Footnot"/>
    <w:basedOn w:val="DefaultParagraphFont"/>
    <w:link w:val="CharChar1CharCharCharChar1CharCharCharCharCharCharCharChar"/>
    <w:uiPriority w:val="99"/>
    <w:unhideWhenUsed/>
    <w:qFormat/>
    <w:rsid w:val="000E053E"/>
    <w:rPr>
      <w:vertAlign w:val="superscript"/>
    </w:rPr>
  </w:style>
  <w:style w:type="character" w:styleId="Strong">
    <w:name w:val="Strong"/>
    <w:basedOn w:val="DefaultParagraphFont"/>
    <w:uiPriority w:val="22"/>
    <w:qFormat/>
    <w:rsid w:val="007672ED"/>
    <w:rPr>
      <w:b/>
      <w:bCs/>
    </w:rPr>
  </w:style>
  <w:style w:type="character" w:customStyle="1" w:styleId="Heading3Char">
    <w:name w:val="Heading 3 Char"/>
    <w:basedOn w:val="DefaultParagraphFont"/>
    <w:link w:val="Heading3"/>
    <w:uiPriority w:val="9"/>
    <w:semiHidden/>
    <w:rsid w:val="0068598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6212C"/>
    <w:rPr>
      <w:rFonts w:asciiTheme="majorHAnsi" w:eastAsiaTheme="majorEastAsia" w:hAnsiTheme="majorHAnsi" w:cstheme="majorBidi"/>
      <w:b/>
      <w:bCs/>
      <w:i/>
      <w:iCs/>
      <w:color w:val="4F81BD" w:themeColor="accent1"/>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qFormat/>
    <w:rsid w:val="00484A2D"/>
    <w:pPr>
      <w:spacing w:after="160" w:line="240" w:lineRule="exact"/>
      <w:jc w:val="lef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3259">
      <w:bodyDiv w:val="1"/>
      <w:marLeft w:val="0"/>
      <w:marRight w:val="0"/>
      <w:marTop w:val="0"/>
      <w:marBottom w:val="0"/>
      <w:divBdr>
        <w:top w:val="none" w:sz="0" w:space="0" w:color="auto"/>
        <w:left w:val="none" w:sz="0" w:space="0" w:color="auto"/>
        <w:bottom w:val="none" w:sz="0" w:space="0" w:color="auto"/>
        <w:right w:val="none" w:sz="0" w:space="0" w:color="auto"/>
      </w:divBdr>
    </w:div>
    <w:div w:id="79909125">
      <w:bodyDiv w:val="1"/>
      <w:marLeft w:val="0"/>
      <w:marRight w:val="0"/>
      <w:marTop w:val="0"/>
      <w:marBottom w:val="0"/>
      <w:divBdr>
        <w:top w:val="none" w:sz="0" w:space="0" w:color="auto"/>
        <w:left w:val="none" w:sz="0" w:space="0" w:color="auto"/>
        <w:bottom w:val="none" w:sz="0" w:space="0" w:color="auto"/>
        <w:right w:val="none" w:sz="0" w:space="0" w:color="auto"/>
      </w:divBdr>
    </w:div>
    <w:div w:id="297878454">
      <w:bodyDiv w:val="1"/>
      <w:marLeft w:val="0"/>
      <w:marRight w:val="0"/>
      <w:marTop w:val="0"/>
      <w:marBottom w:val="0"/>
      <w:divBdr>
        <w:top w:val="none" w:sz="0" w:space="0" w:color="auto"/>
        <w:left w:val="none" w:sz="0" w:space="0" w:color="auto"/>
        <w:bottom w:val="none" w:sz="0" w:space="0" w:color="auto"/>
        <w:right w:val="none" w:sz="0" w:space="0" w:color="auto"/>
      </w:divBdr>
    </w:div>
    <w:div w:id="323431747">
      <w:bodyDiv w:val="1"/>
      <w:marLeft w:val="0"/>
      <w:marRight w:val="0"/>
      <w:marTop w:val="0"/>
      <w:marBottom w:val="0"/>
      <w:divBdr>
        <w:top w:val="none" w:sz="0" w:space="0" w:color="auto"/>
        <w:left w:val="none" w:sz="0" w:space="0" w:color="auto"/>
        <w:bottom w:val="none" w:sz="0" w:space="0" w:color="auto"/>
        <w:right w:val="none" w:sz="0" w:space="0" w:color="auto"/>
      </w:divBdr>
    </w:div>
    <w:div w:id="336857478">
      <w:bodyDiv w:val="1"/>
      <w:marLeft w:val="0"/>
      <w:marRight w:val="0"/>
      <w:marTop w:val="0"/>
      <w:marBottom w:val="0"/>
      <w:divBdr>
        <w:top w:val="none" w:sz="0" w:space="0" w:color="auto"/>
        <w:left w:val="none" w:sz="0" w:space="0" w:color="auto"/>
        <w:bottom w:val="none" w:sz="0" w:space="0" w:color="auto"/>
        <w:right w:val="none" w:sz="0" w:space="0" w:color="auto"/>
      </w:divBdr>
    </w:div>
    <w:div w:id="338583616">
      <w:bodyDiv w:val="1"/>
      <w:marLeft w:val="0"/>
      <w:marRight w:val="0"/>
      <w:marTop w:val="0"/>
      <w:marBottom w:val="0"/>
      <w:divBdr>
        <w:top w:val="none" w:sz="0" w:space="0" w:color="auto"/>
        <w:left w:val="none" w:sz="0" w:space="0" w:color="auto"/>
        <w:bottom w:val="none" w:sz="0" w:space="0" w:color="auto"/>
        <w:right w:val="none" w:sz="0" w:space="0" w:color="auto"/>
      </w:divBdr>
    </w:div>
    <w:div w:id="395321831">
      <w:bodyDiv w:val="1"/>
      <w:marLeft w:val="0"/>
      <w:marRight w:val="0"/>
      <w:marTop w:val="0"/>
      <w:marBottom w:val="0"/>
      <w:divBdr>
        <w:top w:val="none" w:sz="0" w:space="0" w:color="auto"/>
        <w:left w:val="none" w:sz="0" w:space="0" w:color="auto"/>
        <w:bottom w:val="none" w:sz="0" w:space="0" w:color="auto"/>
        <w:right w:val="none" w:sz="0" w:space="0" w:color="auto"/>
      </w:divBdr>
    </w:div>
    <w:div w:id="463158816">
      <w:bodyDiv w:val="1"/>
      <w:marLeft w:val="0"/>
      <w:marRight w:val="0"/>
      <w:marTop w:val="0"/>
      <w:marBottom w:val="0"/>
      <w:divBdr>
        <w:top w:val="none" w:sz="0" w:space="0" w:color="auto"/>
        <w:left w:val="none" w:sz="0" w:space="0" w:color="auto"/>
        <w:bottom w:val="none" w:sz="0" w:space="0" w:color="auto"/>
        <w:right w:val="none" w:sz="0" w:space="0" w:color="auto"/>
      </w:divBdr>
    </w:div>
    <w:div w:id="545146282">
      <w:bodyDiv w:val="1"/>
      <w:marLeft w:val="0"/>
      <w:marRight w:val="0"/>
      <w:marTop w:val="0"/>
      <w:marBottom w:val="0"/>
      <w:divBdr>
        <w:top w:val="none" w:sz="0" w:space="0" w:color="auto"/>
        <w:left w:val="none" w:sz="0" w:space="0" w:color="auto"/>
        <w:bottom w:val="none" w:sz="0" w:space="0" w:color="auto"/>
        <w:right w:val="none" w:sz="0" w:space="0" w:color="auto"/>
      </w:divBdr>
    </w:div>
    <w:div w:id="627473162">
      <w:bodyDiv w:val="1"/>
      <w:marLeft w:val="0"/>
      <w:marRight w:val="0"/>
      <w:marTop w:val="0"/>
      <w:marBottom w:val="0"/>
      <w:divBdr>
        <w:top w:val="none" w:sz="0" w:space="0" w:color="auto"/>
        <w:left w:val="none" w:sz="0" w:space="0" w:color="auto"/>
        <w:bottom w:val="none" w:sz="0" w:space="0" w:color="auto"/>
        <w:right w:val="none" w:sz="0" w:space="0" w:color="auto"/>
      </w:divBdr>
    </w:div>
    <w:div w:id="702830761">
      <w:bodyDiv w:val="1"/>
      <w:marLeft w:val="0"/>
      <w:marRight w:val="0"/>
      <w:marTop w:val="0"/>
      <w:marBottom w:val="0"/>
      <w:divBdr>
        <w:top w:val="none" w:sz="0" w:space="0" w:color="auto"/>
        <w:left w:val="none" w:sz="0" w:space="0" w:color="auto"/>
        <w:bottom w:val="none" w:sz="0" w:space="0" w:color="auto"/>
        <w:right w:val="none" w:sz="0" w:space="0" w:color="auto"/>
      </w:divBdr>
    </w:div>
    <w:div w:id="715081244">
      <w:bodyDiv w:val="1"/>
      <w:marLeft w:val="0"/>
      <w:marRight w:val="0"/>
      <w:marTop w:val="0"/>
      <w:marBottom w:val="0"/>
      <w:divBdr>
        <w:top w:val="none" w:sz="0" w:space="0" w:color="auto"/>
        <w:left w:val="none" w:sz="0" w:space="0" w:color="auto"/>
        <w:bottom w:val="none" w:sz="0" w:space="0" w:color="auto"/>
        <w:right w:val="none" w:sz="0" w:space="0" w:color="auto"/>
      </w:divBdr>
    </w:div>
    <w:div w:id="756174475">
      <w:bodyDiv w:val="1"/>
      <w:marLeft w:val="0"/>
      <w:marRight w:val="0"/>
      <w:marTop w:val="0"/>
      <w:marBottom w:val="0"/>
      <w:divBdr>
        <w:top w:val="none" w:sz="0" w:space="0" w:color="auto"/>
        <w:left w:val="none" w:sz="0" w:space="0" w:color="auto"/>
        <w:bottom w:val="none" w:sz="0" w:space="0" w:color="auto"/>
        <w:right w:val="none" w:sz="0" w:space="0" w:color="auto"/>
      </w:divBdr>
    </w:div>
    <w:div w:id="823817162">
      <w:bodyDiv w:val="1"/>
      <w:marLeft w:val="0"/>
      <w:marRight w:val="0"/>
      <w:marTop w:val="0"/>
      <w:marBottom w:val="0"/>
      <w:divBdr>
        <w:top w:val="none" w:sz="0" w:space="0" w:color="auto"/>
        <w:left w:val="none" w:sz="0" w:space="0" w:color="auto"/>
        <w:bottom w:val="none" w:sz="0" w:space="0" w:color="auto"/>
        <w:right w:val="none" w:sz="0" w:space="0" w:color="auto"/>
      </w:divBdr>
    </w:div>
    <w:div w:id="1062018288">
      <w:bodyDiv w:val="1"/>
      <w:marLeft w:val="0"/>
      <w:marRight w:val="0"/>
      <w:marTop w:val="0"/>
      <w:marBottom w:val="0"/>
      <w:divBdr>
        <w:top w:val="none" w:sz="0" w:space="0" w:color="auto"/>
        <w:left w:val="none" w:sz="0" w:space="0" w:color="auto"/>
        <w:bottom w:val="none" w:sz="0" w:space="0" w:color="auto"/>
        <w:right w:val="none" w:sz="0" w:space="0" w:color="auto"/>
      </w:divBdr>
    </w:div>
    <w:div w:id="1144396833">
      <w:bodyDiv w:val="1"/>
      <w:marLeft w:val="0"/>
      <w:marRight w:val="0"/>
      <w:marTop w:val="0"/>
      <w:marBottom w:val="0"/>
      <w:divBdr>
        <w:top w:val="none" w:sz="0" w:space="0" w:color="auto"/>
        <w:left w:val="none" w:sz="0" w:space="0" w:color="auto"/>
        <w:bottom w:val="none" w:sz="0" w:space="0" w:color="auto"/>
        <w:right w:val="none" w:sz="0" w:space="0" w:color="auto"/>
      </w:divBdr>
    </w:div>
    <w:div w:id="1228606904">
      <w:bodyDiv w:val="1"/>
      <w:marLeft w:val="0"/>
      <w:marRight w:val="0"/>
      <w:marTop w:val="0"/>
      <w:marBottom w:val="0"/>
      <w:divBdr>
        <w:top w:val="none" w:sz="0" w:space="0" w:color="auto"/>
        <w:left w:val="none" w:sz="0" w:space="0" w:color="auto"/>
        <w:bottom w:val="none" w:sz="0" w:space="0" w:color="auto"/>
        <w:right w:val="none" w:sz="0" w:space="0" w:color="auto"/>
      </w:divBdr>
    </w:div>
    <w:div w:id="1365129498">
      <w:bodyDiv w:val="1"/>
      <w:marLeft w:val="0"/>
      <w:marRight w:val="0"/>
      <w:marTop w:val="0"/>
      <w:marBottom w:val="0"/>
      <w:divBdr>
        <w:top w:val="none" w:sz="0" w:space="0" w:color="auto"/>
        <w:left w:val="none" w:sz="0" w:space="0" w:color="auto"/>
        <w:bottom w:val="none" w:sz="0" w:space="0" w:color="auto"/>
        <w:right w:val="none" w:sz="0" w:space="0" w:color="auto"/>
      </w:divBdr>
    </w:div>
    <w:div w:id="1375500399">
      <w:bodyDiv w:val="1"/>
      <w:marLeft w:val="0"/>
      <w:marRight w:val="0"/>
      <w:marTop w:val="0"/>
      <w:marBottom w:val="0"/>
      <w:divBdr>
        <w:top w:val="none" w:sz="0" w:space="0" w:color="auto"/>
        <w:left w:val="none" w:sz="0" w:space="0" w:color="auto"/>
        <w:bottom w:val="none" w:sz="0" w:space="0" w:color="auto"/>
        <w:right w:val="none" w:sz="0" w:space="0" w:color="auto"/>
      </w:divBdr>
    </w:div>
    <w:div w:id="1461729499">
      <w:bodyDiv w:val="1"/>
      <w:marLeft w:val="0"/>
      <w:marRight w:val="0"/>
      <w:marTop w:val="0"/>
      <w:marBottom w:val="0"/>
      <w:divBdr>
        <w:top w:val="none" w:sz="0" w:space="0" w:color="auto"/>
        <w:left w:val="none" w:sz="0" w:space="0" w:color="auto"/>
        <w:bottom w:val="none" w:sz="0" w:space="0" w:color="auto"/>
        <w:right w:val="none" w:sz="0" w:space="0" w:color="auto"/>
      </w:divBdr>
    </w:div>
    <w:div w:id="1467357905">
      <w:bodyDiv w:val="1"/>
      <w:marLeft w:val="0"/>
      <w:marRight w:val="0"/>
      <w:marTop w:val="0"/>
      <w:marBottom w:val="0"/>
      <w:divBdr>
        <w:top w:val="none" w:sz="0" w:space="0" w:color="auto"/>
        <w:left w:val="none" w:sz="0" w:space="0" w:color="auto"/>
        <w:bottom w:val="none" w:sz="0" w:space="0" w:color="auto"/>
        <w:right w:val="none" w:sz="0" w:space="0" w:color="auto"/>
      </w:divBdr>
    </w:div>
    <w:div w:id="1552232046">
      <w:bodyDiv w:val="1"/>
      <w:marLeft w:val="0"/>
      <w:marRight w:val="0"/>
      <w:marTop w:val="0"/>
      <w:marBottom w:val="0"/>
      <w:divBdr>
        <w:top w:val="none" w:sz="0" w:space="0" w:color="auto"/>
        <w:left w:val="none" w:sz="0" w:space="0" w:color="auto"/>
        <w:bottom w:val="none" w:sz="0" w:space="0" w:color="auto"/>
        <w:right w:val="none" w:sz="0" w:space="0" w:color="auto"/>
      </w:divBdr>
    </w:div>
    <w:div w:id="1632201078">
      <w:bodyDiv w:val="1"/>
      <w:marLeft w:val="0"/>
      <w:marRight w:val="0"/>
      <w:marTop w:val="0"/>
      <w:marBottom w:val="0"/>
      <w:divBdr>
        <w:top w:val="none" w:sz="0" w:space="0" w:color="auto"/>
        <w:left w:val="none" w:sz="0" w:space="0" w:color="auto"/>
        <w:bottom w:val="none" w:sz="0" w:space="0" w:color="auto"/>
        <w:right w:val="none" w:sz="0" w:space="0" w:color="auto"/>
      </w:divBdr>
    </w:div>
    <w:div w:id="1911231256">
      <w:bodyDiv w:val="1"/>
      <w:marLeft w:val="0"/>
      <w:marRight w:val="0"/>
      <w:marTop w:val="0"/>
      <w:marBottom w:val="0"/>
      <w:divBdr>
        <w:top w:val="none" w:sz="0" w:space="0" w:color="auto"/>
        <w:left w:val="none" w:sz="0" w:space="0" w:color="auto"/>
        <w:bottom w:val="none" w:sz="0" w:space="0" w:color="auto"/>
        <w:right w:val="none" w:sz="0" w:space="0" w:color="auto"/>
      </w:divBdr>
    </w:div>
    <w:div w:id="1993177010">
      <w:bodyDiv w:val="1"/>
      <w:marLeft w:val="0"/>
      <w:marRight w:val="0"/>
      <w:marTop w:val="0"/>
      <w:marBottom w:val="0"/>
      <w:divBdr>
        <w:top w:val="none" w:sz="0" w:space="0" w:color="auto"/>
        <w:left w:val="none" w:sz="0" w:space="0" w:color="auto"/>
        <w:bottom w:val="none" w:sz="0" w:space="0" w:color="auto"/>
        <w:right w:val="none" w:sz="0" w:space="0" w:color="auto"/>
      </w:divBdr>
    </w:div>
    <w:div w:id="1996184697">
      <w:bodyDiv w:val="1"/>
      <w:marLeft w:val="0"/>
      <w:marRight w:val="0"/>
      <w:marTop w:val="0"/>
      <w:marBottom w:val="0"/>
      <w:divBdr>
        <w:top w:val="none" w:sz="0" w:space="0" w:color="auto"/>
        <w:left w:val="none" w:sz="0" w:space="0" w:color="auto"/>
        <w:bottom w:val="none" w:sz="0" w:space="0" w:color="auto"/>
        <w:right w:val="none" w:sz="0" w:space="0" w:color="auto"/>
      </w:divBdr>
    </w:div>
    <w:div w:id="2025134910">
      <w:bodyDiv w:val="1"/>
      <w:marLeft w:val="0"/>
      <w:marRight w:val="0"/>
      <w:marTop w:val="0"/>
      <w:marBottom w:val="0"/>
      <w:divBdr>
        <w:top w:val="none" w:sz="0" w:space="0" w:color="auto"/>
        <w:left w:val="none" w:sz="0" w:space="0" w:color="auto"/>
        <w:bottom w:val="none" w:sz="0" w:space="0" w:color="auto"/>
        <w:right w:val="none" w:sz="0" w:space="0" w:color="auto"/>
      </w:divBdr>
    </w:div>
    <w:div w:id="21098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06191-A7D7-450A-A024-7A513AD12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B04A61-53E2-4573-A2BA-988DC66D65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D3376E-85B5-497C-BF7E-D10177678402}">
  <ds:schemaRefs>
    <ds:schemaRef ds:uri="http://schemas.microsoft.com/sharepoint/v3/contenttype/forms"/>
  </ds:schemaRefs>
</ds:datastoreItem>
</file>

<file path=customXml/itemProps4.xml><?xml version="1.0" encoding="utf-8"?>
<ds:datastoreItem xmlns:ds="http://schemas.openxmlformats.org/officeDocument/2006/customXml" ds:itemID="{2A1C12CB-18D5-42C0-84C4-95CD099F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 Thi Thu Thuy (TBNH)</cp:lastModifiedBy>
  <cp:revision>2</cp:revision>
  <cp:lastPrinted>2025-08-14T09:33:00Z</cp:lastPrinted>
  <dcterms:created xsi:type="dcterms:W3CDTF">2025-08-18T04:38:00Z</dcterms:created>
  <dcterms:modified xsi:type="dcterms:W3CDTF">2025-08-18T04:38:00Z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