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99" w:type="dxa"/>
        <w:jc w:val="center"/>
        <w:tblLook w:val="01E0" w:firstRow="1" w:lastRow="1" w:firstColumn="1" w:lastColumn="1" w:noHBand="0" w:noVBand="0"/>
      </w:tblPr>
      <w:tblGrid>
        <w:gridCol w:w="3579"/>
        <w:gridCol w:w="6520"/>
      </w:tblGrid>
      <w:tr w:rsidR="008B50E3" w:rsidRPr="00A7610D" w14:paraId="48C93028" w14:textId="77777777" w:rsidTr="00F434B3">
        <w:trPr>
          <w:trHeight w:val="643"/>
          <w:jc w:val="center"/>
        </w:trPr>
        <w:tc>
          <w:tcPr>
            <w:tcW w:w="3579" w:type="dxa"/>
          </w:tcPr>
          <w:p w14:paraId="421B439D" w14:textId="77777777" w:rsidR="008B50E3" w:rsidRPr="00A7610D" w:rsidRDefault="008B50E3" w:rsidP="008B50E3">
            <w:pPr>
              <w:jc w:val="center"/>
              <w:rPr>
                <w:rFonts w:ascii="Times New Roman" w:hAnsi="Times New Roman"/>
                <w:b/>
                <w:sz w:val="28"/>
                <w:szCs w:val="28"/>
                <w:lang w:val="nl-NL"/>
              </w:rPr>
            </w:pPr>
            <w:r w:rsidRPr="00A7610D">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0EC59AFD" wp14:editId="58A297DC">
                      <wp:simplePos x="0" y="0"/>
                      <wp:positionH relativeFrom="column">
                        <wp:posOffset>512445</wp:posOffset>
                      </wp:positionH>
                      <wp:positionV relativeFrom="paragraph">
                        <wp:posOffset>248920</wp:posOffset>
                      </wp:positionV>
                      <wp:extent cx="109537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4A74BA2"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5pt,19.6pt" to="126.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PFRRiXcAAAACAEAAA8AAABkcnMvZG93bnJldi54bWxMj0FP&#10;wzAMhe9I/IfISFymLaEVMErTCQG9cWEwcfVa01Y0TtdkW+HXY8QBbrbf0/P38tXkenWgMXSeLVws&#10;DCjiytcdNxZeX8r5ElSIyDX2nsnCJwVYFacnOWa1P/IzHdaxURLCIUMLbYxDpnWoWnIYFn4gFu3d&#10;jw6jrGOj6xGPEu56nRhzpR12LB9aHOi+pepjvXcWQrmhXfk1q2bmLW08JbuHp0e09vxsursFFWmK&#10;f2b4wRd0KIRp6/dcB9VbWJprcVpIbxJQoieXqQzb34Mucv2/QPENAAD//wMAUEsBAi0AFAAGAAgA&#10;AAAhALaDOJL+AAAA4QEAABMAAAAAAAAAAAAAAAAAAAAAAFtDb250ZW50X1R5cGVzXS54bWxQSwEC&#10;LQAUAAYACAAAACEAOP0h/9YAAACUAQAACwAAAAAAAAAAAAAAAAAvAQAAX3JlbHMvLnJlbHNQSwEC&#10;LQAUAAYACAAAACEAQz+j57ABAABIAwAADgAAAAAAAAAAAAAAAAAuAgAAZHJzL2Uyb0RvYy54bWxQ&#10;SwECLQAUAAYACAAAACEA8VFGJdwAAAAIAQAADwAAAAAAAAAAAAAAAAAKBAAAZHJzL2Rvd25yZXYu&#10;eG1sUEsFBgAAAAAEAAQA8wAAABMFAAAAAA==&#10;"/>
                  </w:pict>
                </mc:Fallback>
              </mc:AlternateContent>
            </w:r>
            <w:r w:rsidRPr="00A7610D">
              <w:rPr>
                <w:rFonts w:ascii="Times New Roman" w:hAnsi="Times New Roman"/>
                <w:b/>
                <w:sz w:val="28"/>
                <w:szCs w:val="28"/>
                <w:lang w:val="nl-NL"/>
              </w:rPr>
              <w:t>BỘ TÀI CHÍNH</w:t>
            </w:r>
          </w:p>
        </w:tc>
        <w:tc>
          <w:tcPr>
            <w:tcW w:w="6520" w:type="dxa"/>
          </w:tcPr>
          <w:p w14:paraId="2AFDBCBF" w14:textId="77777777" w:rsidR="008B50E3" w:rsidRPr="00A7610D" w:rsidRDefault="008B50E3" w:rsidP="008B50E3">
            <w:pPr>
              <w:spacing w:after="0" w:line="240" w:lineRule="auto"/>
              <w:jc w:val="center"/>
              <w:rPr>
                <w:rFonts w:ascii="Times New Roman" w:hAnsi="Times New Roman"/>
                <w:b/>
                <w:sz w:val="28"/>
                <w:szCs w:val="28"/>
                <w:lang w:val="nl-NL"/>
              </w:rPr>
            </w:pPr>
            <w:r w:rsidRPr="00A7610D">
              <w:rPr>
                <w:rFonts w:ascii="Times New Roman" w:hAnsi="Times New Roman"/>
                <w:b/>
                <w:sz w:val="28"/>
                <w:szCs w:val="28"/>
                <w:lang w:val="nl-NL"/>
              </w:rPr>
              <w:t>CỘNG HÒA XÃ HỘI CHỦ NGHĨA VIỆT NAM</w:t>
            </w:r>
          </w:p>
          <w:p w14:paraId="633EB5A4" w14:textId="77777777" w:rsidR="008B50E3" w:rsidRPr="00A7610D" w:rsidRDefault="008B50E3" w:rsidP="008B50E3">
            <w:pPr>
              <w:spacing w:after="0" w:line="240" w:lineRule="auto"/>
              <w:jc w:val="center"/>
              <w:rPr>
                <w:rFonts w:ascii="Times New Roman" w:hAnsi="Times New Roman"/>
                <w:b/>
                <w:sz w:val="28"/>
                <w:szCs w:val="28"/>
                <w:lang w:val="nl-NL"/>
              </w:rPr>
            </w:pPr>
            <w:r w:rsidRPr="00A7610D">
              <w:rPr>
                <w:rFonts w:ascii="Times New Roman" w:hAnsi="Times New Roman"/>
                <w:b/>
                <w:sz w:val="28"/>
                <w:szCs w:val="28"/>
                <w:lang w:val="nl-NL"/>
              </w:rPr>
              <w:t>Độc lập – Tự do – Hạnh phúc</w:t>
            </w:r>
          </w:p>
          <w:p w14:paraId="77CB2EA4" w14:textId="77777777" w:rsidR="008B50E3" w:rsidRPr="00A7610D" w:rsidRDefault="008B50E3" w:rsidP="008B50E3">
            <w:pPr>
              <w:spacing w:after="0" w:line="240" w:lineRule="auto"/>
              <w:jc w:val="center"/>
              <w:rPr>
                <w:rFonts w:ascii="Times New Roman" w:hAnsi="Times New Roman"/>
                <w:b/>
                <w:sz w:val="28"/>
                <w:szCs w:val="28"/>
                <w:lang w:val="nl-NL"/>
              </w:rPr>
            </w:pPr>
            <w:r w:rsidRPr="00A7610D">
              <w:rPr>
                <w:rFonts w:ascii="Times New Roman" w:hAnsi="Times New Roman"/>
                <w:b/>
                <w:noProof/>
                <w:sz w:val="28"/>
                <w:szCs w:val="28"/>
              </w:rPr>
              <mc:AlternateContent>
                <mc:Choice Requires="wps">
                  <w:drawing>
                    <wp:anchor distT="4294967295" distB="4294967295" distL="114300" distR="114300" simplePos="0" relativeHeight="251659264" behindDoc="0" locked="0" layoutInCell="1" allowOverlap="1" wp14:anchorId="63034ADB" wp14:editId="24398764">
                      <wp:simplePos x="0" y="0"/>
                      <wp:positionH relativeFrom="column">
                        <wp:posOffset>868680</wp:posOffset>
                      </wp:positionH>
                      <wp:positionV relativeFrom="paragraph">
                        <wp:posOffset>30480</wp:posOffset>
                      </wp:positionV>
                      <wp:extent cx="224282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9CFCE3D"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2.4pt" to="2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48rwEAAEgDAAAOAAAAZHJzL2Uyb0RvYy54bWysU8Fu2zAMvQ/YPwi6L06Mde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XH+vbOvVE&#10;XWIVNJfCQBy/GhxF3rTSWZ99gAaOjxwzEWguKfna44N1rvTSeTG18vNNfVMKGJ3VOZjTmPr91pE4&#10;Qp6G8hVVKfI2jfDgdQEbDOgv530E61726XHnz2Zk/XnYuNmjPu3oYlJqV2F5Hq08D2/Ppfr1B9j8&#10;BgAA//8DAFBLAwQUAAYACAAAACEA2Vg2vdoAAAAHAQAADwAAAGRycy9kb3ducmV2LnhtbEyPwU7D&#10;MAyG70i8Q2QkLhNL2KZplKYTAnrjwmDi6jWmrWicrsm2wtNjuMDJ+vRbvz/n69F36khDbANbuJ4a&#10;UMRVcC3XFl5fyqsVqJiQHXaBycInRVgX52c5Zi6c+JmOm1QrKeGYoYUmpT7TOlYNeYzT0BNL9h4G&#10;j0lwqLUb8CTlvtMzY5baY8tyocGe7huqPjYHbyGWW9qXX5NqYt7mdaDZ/uHpEa29vBjvbkElGtPf&#10;MvzoizoU4rQLB3ZRdcLzpagnCwsZki9ujPy2+2Vd5Pq/f/ENAAD//wMAUEsBAi0AFAAGAAgAAAAh&#10;ALaDOJL+AAAA4QEAABMAAAAAAAAAAAAAAAAAAAAAAFtDb250ZW50X1R5cGVzXS54bWxQSwECLQAU&#10;AAYACAAAACEAOP0h/9YAAACUAQAACwAAAAAAAAAAAAAAAAAvAQAAX3JlbHMvLnJlbHNQSwECLQAU&#10;AAYACAAAACEAOcOePK8BAABIAwAADgAAAAAAAAAAAAAAAAAuAgAAZHJzL2Uyb0RvYy54bWxQSwEC&#10;LQAUAAYACAAAACEA2Vg2vdoAAAAHAQAADwAAAAAAAAAAAAAAAAAJBAAAZHJzL2Rvd25yZXYueG1s&#10;UEsFBgAAAAAEAAQA8wAAABAFAAAAAA==&#10;"/>
                  </w:pict>
                </mc:Fallback>
              </mc:AlternateContent>
            </w:r>
          </w:p>
        </w:tc>
      </w:tr>
      <w:tr w:rsidR="008B50E3" w:rsidRPr="00A7610D" w14:paraId="39EB310D" w14:textId="77777777" w:rsidTr="00F434B3">
        <w:trPr>
          <w:trHeight w:val="53"/>
          <w:jc w:val="center"/>
        </w:trPr>
        <w:tc>
          <w:tcPr>
            <w:tcW w:w="3579" w:type="dxa"/>
          </w:tcPr>
          <w:p w14:paraId="69493BA1" w14:textId="06A07FB3" w:rsidR="008B50E3" w:rsidRPr="00A7610D" w:rsidRDefault="008B50E3" w:rsidP="008B50E3">
            <w:pPr>
              <w:jc w:val="center"/>
              <w:rPr>
                <w:rFonts w:ascii="Times New Roman" w:hAnsi="Times New Roman"/>
                <w:sz w:val="28"/>
                <w:szCs w:val="28"/>
                <w:lang w:val="nl-NL"/>
              </w:rPr>
            </w:pPr>
          </w:p>
        </w:tc>
        <w:tc>
          <w:tcPr>
            <w:tcW w:w="6520" w:type="dxa"/>
          </w:tcPr>
          <w:p w14:paraId="39818C2B" w14:textId="75754CCB" w:rsidR="008B50E3" w:rsidRPr="00A7610D" w:rsidRDefault="008B50E3" w:rsidP="004A7CD0">
            <w:pPr>
              <w:spacing w:after="0" w:line="240" w:lineRule="auto"/>
              <w:jc w:val="center"/>
              <w:rPr>
                <w:rFonts w:ascii="Times New Roman" w:hAnsi="Times New Roman"/>
                <w:i/>
                <w:sz w:val="28"/>
                <w:szCs w:val="28"/>
                <w:lang w:val="nl-NL"/>
              </w:rPr>
            </w:pPr>
            <w:r w:rsidRPr="00A7610D">
              <w:rPr>
                <w:rFonts w:ascii="Times New Roman" w:hAnsi="Times New Roman"/>
                <w:i/>
                <w:sz w:val="28"/>
                <w:szCs w:val="28"/>
                <w:lang w:val="nl-NL"/>
              </w:rPr>
              <w:t xml:space="preserve">Hà Nội, ngày </w:t>
            </w:r>
            <w:r w:rsidR="008D5EE1" w:rsidRPr="00A7610D">
              <w:rPr>
                <w:rFonts w:ascii="Times New Roman" w:hAnsi="Times New Roman"/>
                <w:i/>
                <w:sz w:val="28"/>
                <w:szCs w:val="28"/>
                <w:lang w:val="nl-NL"/>
              </w:rPr>
              <w:t xml:space="preserve">   </w:t>
            </w:r>
            <w:r w:rsidRPr="00A7610D">
              <w:rPr>
                <w:rFonts w:ascii="Times New Roman" w:hAnsi="Times New Roman"/>
                <w:i/>
                <w:sz w:val="28"/>
                <w:szCs w:val="28"/>
                <w:lang w:val="nl-NL"/>
              </w:rPr>
              <w:t xml:space="preserve">     tháng  </w:t>
            </w:r>
            <w:r w:rsidR="008D5EE1" w:rsidRPr="00A7610D">
              <w:rPr>
                <w:rFonts w:ascii="Times New Roman" w:hAnsi="Times New Roman"/>
                <w:i/>
                <w:sz w:val="28"/>
                <w:szCs w:val="28"/>
                <w:lang w:val="nl-NL"/>
              </w:rPr>
              <w:t xml:space="preserve">   </w:t>
            </w:r>
            <w:r w:rsidRPr="00A7610D">
              <w:rPr>
                <w:rFonts w:ascii="Times New Roman" w:hAnsi="Times New Roman"/>
                <w:i/>
                <w:sz w:val="28"/>
                <w:szCs w:val="28"/>
                <w:lang w:val="nl-NL"/>
              </w:rPr>
              <w:t xml:space="preserve">  năm 2025</w:t>
            </w:r>
          </w:p>
        </w:tc>
      </w:tr>
    </w:tbl>
    <w:p w14:paraId="33F9E9CD" w14:textId="77777777" w:rsidR="006B001F" w:rsidRPr="00A7610D" w:rsidRDefault="006B001F" w:rsidP="0027342A">
      <w:pPr>
        <w:spacing w:after="0" w:line="240" w:lineRule="auto"/>
        <w:jc w:val="center"/>
        <w:rPr>
          <w:rFonts w:ascii="Times New Roman" w:hAnsi="Times New Roman" w:cs="Times New Roman"/>
          <w:b/>
          <w:bCs/>
          <w:sz w:val="28"/>
          <w:szCs w:val="28"/>
        </w:rPr>
      </w:pPr>
    </w:p>
    <w:p w14:paraId="2023DE54" w14:textId="3757879A" w:rsidR="006B001F" w:rsidRPr="00A7610D" w:rsidRDefault="00F434B3" w:rsidP="0027342A">
      <w:pPr>
        <w:spacing w:after="0" w:line="240" w:lineRule="auto"/>
        <w:jc w:val="center"/>
        <w:rPr>
          <w:rFonts w:ascii="Times New Roman" w:hAnsi="Times New Roman" w:cs="Times New Roman"/>
          <w:b/>
          <w:bCs/>
          <w:sz w:val="28"/>
          <w:szCs w:val="28"/>
        </w:rPr>
      </w:pPr>
      <w:r w:rsidRPr="00A7610D">
        <w:rPr>
          <w:rFonts w:ascii="Times New Roman" w:hAnsi="Times New Roman" w:cs="Times New Roman"/>
          <w:b/>
          <w:bCs/>
          <w:sz w:val="28"/>
          <w:szCs w:val="28"/>
        </w:rPr>
        <w:t xml:space="preserve">BẢN THUYẾT MINH </w:t>
      </w:r>
    </w:p>
    <w:p w14:paraId="57A560E1" w14:textId="43427252" w:rsidR="00F434B3" w:rsidRPr="00A7610D" w:rsidRDefault="00F434B3" w:rsidP="0027342A">
      <w:pPr>
        <w:spacing w:after="0" w:line="240" w:lineRule="auto"/>
        <w:jc w:val="center"/>
        <w:rPr>
          <w:rFonts w:ascii="Times New Roman" w:hAnsi="Times New Roman" w:cs="Times New Roman"/>
          <w:b/>
          <w:bCs/>
          <w:sz w:val="28"/>
          <w:szCs w:val="28"/>
        </w:rPr>
      </w:pPr>
      <w:r w:rsidRPr="00A7610D">
        <w:rPr>
          <w:rFonts w:ascii="Times New Roman" w:hAnsi="Times New Roman" w:cs="Times New Roman"/>
          <w:b/>
          <w:bCs/>
          <w:sz w:val="28"/>
          <w:szCs w:val="28"/>
        </w:rPr>
        <w:t xml:space="preserve">QUY PHẠM HÓA CHÍNH SÁCH CỦA </w:t>
      </w:r>
      <w:r w:rsidR="009E64AC" w:rsidRPr="00A7610D">
        <w:rPr>
          <w:rFonts w:ascii="Times New Roman" w:hAnsi="Times New Roman" w:cs="Times New Roman"/>
          <w:b/>
          <w:bCs/>
          <w:sz w:val="28"/>
          <w:szCs w:val="28"/>
        </w:rPr>
        <w:t>LUẬT ĐẦU TƯ (THAY THẾ)</w:t>
      </w:r>
    </w:p>
    <w:p w14:paraId="25801921" w14:textId="1189F2C9" w:rsidR="00F434B3" w:rsidRPr="00A7610D" w:rsidRDefault="006B001F" w:rsidP="00B43D57">
      <w:pPr>
        <w:spacing w:before="120"/>
        <w:jc w:val="center"/>
        <w:rPr>
          <w:rFonts w:ascii="Times New Roman" w:hAnsi="Times New Roman" w:cs="Times New Roman"/>
          <w:sz w:val="28"/>
          <w:szCs w:val="28"/>
        </w:rPr>
      </w:pPr>
      <w:r w:rsidRPr="00A7610D">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C23337D" wp14:editId="7CF3FDAB">
                <wp:simplePos x="0" y="0"/>
                <wp:positionH relativeFrom="column">
                  <wp:posOffset>3270885</wp:posOffset>
                </wp:positionH>
                <wp:positionV relativeFrom="paragraph">
                  <wp:posOffset>49530</wp:posOffset>
                </wp:positionV>
                <wp:extent cx="2026920" cy="0"/>
                <wp:effectExtent l="0" t="0" r="0" b="0"/>
                <wp:wrapNone/>
                <wp:docPr id="520742822" name="Straight Connector 1"/>
                <wp:cNvGraphicFramePr/>
                <a:graphic xmlns:a="http://schemas.openxmlformats.org/drawingml/2006/main">
                  <a:graphicData uri="http://schemas.microsoft.com/office/word/2010/wordprocessingShape">
                    <wps:wsp>
                      <wps:cNvCnPr/>
                      <wps:spPr>
                        <a:xfrm>
                          <a:off x="0" y="0"/>
                          <a:ext cx="202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A1D585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7.55pt,3.9pt" to="417.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nZmAEAAIgDAAAOAAAAZHJzL2Uyb0RvYy54bWysU8tu2zAQvAfIPxC8x5J1CFrBsg8J2kuQ&#10;Bn18AEMtLSJ8YclY8t93SdtykARBUeRC8TEzu7O7Wm0ma9gOMGrvOr5c1JyBk77XbtvxP7+/XX3h&#10;LCbhemG8g47vIfLN+vJiNYYWGj940wMyEnGxHUPHh5RCW1VRDmBFXPgAjh6VRysSHXFb9ShGUrem&#10;aur6uho99gG9hBjp9vbwyNdFXymQ6YdSERIzHafcUlmxrI95rdYr0W5RhEHLYxriP7KwQjsKOkvd&#10;iiTYM+o3UlZL9NGrtJDeVl4pLaF4IDfL+pWbX4MIULxQcWKYyxQ/T1be727cA1IZxhDbGB4wu5gU&#10;2vyl/NhUirWfiwVTYpIum7q5/tpQTeXprToTA8b0HbxledNxo132IVqxu4uJghH0BKHDOXTZpb2B&#10;DDbuJyimewq2LOwyFXBjkO0E9bN/Wub+kVZBZorSxsyk+mPSEZtpUCblX4kzukT0Ls1Eq53H96Km&#10;6ZSqOuBPrg9es+1H3+9LI0o5qN3F2XE08zy9PBf6+Qda/wUAAP//AwBQSwMEFAAGAAgAAAAhAM6y&#10;N0HcAAAABwEAAA8AAABkcnMvZG93bnJldi54bWxMj8FOwzAQRO9I/IO1SNyok5aWKsSpqkoIcUE0&#10;hbsbu07AXke2k4a/Z+FSjqMZzbwpN5OzbNQhdh4F5LMMmMbGqw6NgPfD090aWEwSlbQetYBvHWFT&#10;XV+VslD+jHs91skwKsFYSAFtSn3BeWxa7WSc+V4jeScfnEwkg+EqyDOVO8vnWbbiTnZIC63s9a7V&#10;zVc9OAH2JYwfZme2cXjer+rPt9P89TAKcXszbR+BJT2lSxh+8QkdKmI6+gFVZFbAMl/mFBXwQA/I&#10;Xy/uF8COf5pXJf/PX/0AAAD//wMAUEsBAi0AFAAGAAgAAAAhALaDOJL+AAAA4QEAABMAAAAAAAAA&#10;AAAAAAAAAAAAAFtDb250ZW50X1R5cGVzXS54bWxQSwECLQAUAAYACAAAACEAOP0h/9YAAACUAQAA&#10;CwAAAAAAAAAAAAAAAAAvAQAAX3JlbHMvLnJlbHNQSwECLQAUAAYACAAAACEAR5uZ2ZgBAACIAwAA&#10;DgAAAAAAAAAAAAAAAAAuAgAAZHJzL2Uyb0RvYy54bWxQSwECLQAUAAYACAAAACEAzrI3QdwAAAAH&#10;AQAADwAAAAAAAAAAAAAAAADyAwAAZHJzL2Rvd25yZXYueG1sUEsFBgAAAAAEAAQA8wAAAPsEAAAA&#10;AA==&#10;" strokecolor="black [3200]" strokeweight=".5pt">
                <v:stroke joinstyle="miter"/>
              </v:line>
            </w:pict>
          </mc:Fallback>
        </mc:AlternateContent>
      </w:r>
    </w:p>
    <w:tbl>
      <w:tblPr>
        <w:tblStyle w:val="TableGrid"/>
        <w:tblW w:w="13887" w:type="dxa"/>
        <w:tblLook w:val="04A0" w:firstRow="1" w:lastRow="0" w:firstColumn="1" w:lastColumn="0" w:noHBand="0" w:noVBand="1"/>
      </w:tblPr>
      <w:tblGrid>
        <w:gridCol w:w="4426"/>
        <w:gridCol w:w="4426"/>
        <w:gridCol w:w="5035"/>
      </w:tblGrid>
      <w:tr w:rsidR="00F434B3" w:rsidRPr="00A7610D" w14:paraId="29694F41" w14:textId="77777777" w:rsidTr="006B001F">
        <w:tc>
          <w:tcPr>
            <w:tcW w:w="4426" w:type="dxa"/>
          </w:tcPr>
          <w:p w14:paraId="0640B320" w14:textId="4D5B97F8" w:rsidR="00F434B3" w:rsidRPr="00A7610D" w:rsidRDefault="00160B7E" w:rsidP="00F434B3">
            <w:pPr>
              <w:spacing w:before="120"/>
              <w:jc w:val="center"/>
              <w:rPr>
                <w:rFonts w:ascii="Times New Roman" w:hAnsi="Times New Roman" w:cs="Times New Roman"/>
                <w:b/>
                <w:bCs/>
                <w:sz w:val="28"/>
                <w:szCs w:val="28"/>
              </w:rPr>
            </w:pPr>
            <w:r w:rsidRPr="00A7610D">
              <w:rPr>
                <w:rFonts w:ascii="Times New Roman" w:hAnsi="Times New Roman" w:cs="Times New Roman"/>
                <w:b/>
                <w:bCs/>
                <w:sz w:val="28"/>
                <w:szCs w:val="28"/>
              </w:rPr>
              <w:t>TÊN</w:t>
            </w:r>
            <w:r w:rsidR="00F434B3" w:rsidRPr="00A7610D">
              <w:rPr>
                <w:rFonts w:ascii="Times New Roman" w:hAnsi="Times New Roman" w:cs="Times New Roman"/>
                <w:b/>
                <w:bCs/>
                <w:sz w:val="28"/>
                <w:szCs w:val="28"/>
              </w:rPr>
              <w:t xml:space="preserve"> CHÍNH SÁCH</w:t>
            </w:r>
          </w:p>
        </w:tc>
        <w:tc>
          <w:tcPr>
            <w:tcW w:w="4426" w:type="dxa"/>
          </w:tcPr>
          <w:p w14:paraId="7B248799" w14:textId="794C407A" w:rsidR="00F434B3" w:rsidRPr="00A7610D" w:rsidRDefault="00160B7E" w:rsidP="00F434B3">
            <w:pPr>
              <w:spacing w:before="120"/>
              <w:jc w:val="center"/>
              <w:rPr>
                <w:rFonts w:ascii="Times New Roman" w:hAnsi="Times New Roman" w:cs="Times New Roman"/>
                <w:b/>
                <w:bCs/>
                <w:sz w:val="28"/>
                <w:szCs w:val="28"/>
              </w:rPr>
            </w:pPr>
            <w:r w:rsidRPr="00A7610D">
              <w:rPr>
                <w:rFonts w:ascii="Times New Roman" w:hAnsi="Times New Roman" w:cs="Times New Roman"/>
                <w:b/>
                <w:bCs/>
                <w:sz w:val="28"/>
                <w:szCs w:val="28"/>
              </w:rPr>
              <w:t>NỘI DUNG CHÍNH SÁCH</w:t>
            </w:r>
          </w:p>
        </w:tc>
        <w:tc>
          <w:tcPr>
            <w:tcW w:w="5035" w:type="dxa"/>
          </w:tcPr>
          <w:p w14:paraId="4372E288" w14:textId="2D6672E2" w:rsidR="00F434B3" w:rsidRPr="00A7610D" w:rsidRDefault="00160B7E" w:rsidP="00F434B3">
            <w:pPr>
              <w:spacing w:before="120"/>
              <w:jc w:val="center"/>
              <w:rPr>
                <w:rFonts w:ascii="Times New Roman" w:hAnsi="Times New Roman" w:cs="Times New Roman"/>
                <w:b/>
                <w:bCs/>
                <w:sz w:val="28"/>
                <w:szCs w:val="28"/>
              </w:rPr>
            </w:pPr>
            <w:r w:rsidRPr="00A7610D">
              <w:rPr>
                <w:rFonts w:ascii="Times New Roman" w:hAnsi="Times New Roman" w:cs="Times New Roman"/>
                <w:b/>
                <w:bCs/>
                <w:sz w:val="28"/>
                <w:szCs w:val="28"/>
              </w:rPr>
              <w:t>DỰ KIẾN QUY ĐỊNH</w:t>
            </w:r>
          </w:p>
        </w:tc>
      </w:tr>
      <w:tr w:rsidR="00704CD5" w:rsidRPr="00A7610D" w14:paraId="6DBBF29C" w14:textId="77777777" w:rsidTr="006B001F">
        <w:tc>
          <w:tcPr>
            <w:tcW w:w="4426" w:type="dxa"/>
          </w:tcPr>
          <w:p w14:paraId="48122DE8" w14:textId="2389BCAC" w:rsidR="00704CD5" w:rsidRPr="00A7610D" w:rsidRDefault="00704CD5" w:rsidP="00704CD5">
            <w:pPr>
              <w:spacing w:before="120"/>
              <w:jc w:val="both"/>
              <w:rPr>
                <w:rFonts w:ascii="Times New Roman" w:hAnsi="Times New Roman" w:cs="Times New Roman"/>
                <w:sz w:val="28"/>
                <w:szCs w:val="28"/>
              </w:rPr>
            </w:pPr>
            <w:r w:rsidRPr="00A7610D">
              <w:rPr>
                <w:rFonts w:ascii="Times New Roman" w:hAnsi="Times New Roman" w:cs="Times New Roman"/>
                <w:b/>
                <w:sz w:val="28"/>
                <w:szCs w:val="28"/>
              </w:rPr>
              <w:t xml:space="preserve">Chính sách 1: </w:t>
            </w:r>
            <w:r w:rsidRPr="00A7610D">
              <w:rPr>
                <w:rFonts w:ascii="Times New Roman" w:hAnsi="Times New Roman" w:cs="Times New Roman"/>
                <w:bCs/>
                <w:sz w:val="28"/>
                <w:szCs w:val="28"/>
              </w:rPr>
              <w:t>Hoàn thiện, đơn giản hoá thủ tục đầu tư kinh doanh, tiếp tục tăng cường phân cấp thẩm quyền chấp thuận chủ trương đầu tư</w:t>
            </w:r>
          </w:p>
        </w:tc>
        <w:tc>
          <w:tcPr>
            <w:tcW w:w="4426" w:type="dxa"/>
          </w:tcPr>
          <w:p w14:paraId="20FA88C5" w14:textId="77777777" w:rsidR="00704CD5" w:rsidRPr="00A7610D" w:rsidRDefault="00704CD5" w:rsidP="00704CD5">
            <w:pPr>
              <w:spacing w:before="120" w:after="120" w:line="360" w:lineRule="exact"/>
              <w:jc w:val="both"/>
              <w:rPr>
                <w:rFonts w:ascii="Times New Roman" w:eastAsia="Calibri" w:hAnsi="Times New Roman" w:cs="Times New Roman"/>
                <w:bCs/>
                <w:spacing w:val="-4"/>
                <w:kern w:val="2"/>
                <w:sz w:val="28"/>
                <w:szCs w:val="28"/>
                <w:lang w:val="vi-VN"/>
                <w14:ligatures w14:val="standardContextual"/>
              </w:rPr>
            </w:pPr>
            <w:r w:rsidRPr="00A7610D">
              <w:rPr>
                <w:rFonts w:ascii="Times New Roman" w:eastAsia="Calibri" w:hAnsi="Times New Roman" w:cs="Times New Roman"/>
                <w:bCs/>
                <w:spacing w:val="-4"/>
                <w:kern w:val="2"/>
                <w:sz w:val="28"/>
                <w:szCs w:val="28"/>
                <w:lang w:val="vi-VN"/>
                <w14:ligatures w14:val="standardContextual"/>
              </w:rPr>
              <w:t>- Sửa đổi, hoàn thiện, đơn giản hoá thủ tục đầu tư kinh doanh bao gồm: thủ tục chấp thuận chủ trương đầu tư, lựa chọn nhà đầu tư, thủ tục cấp Giấy chứng nhận đăng ký đầu tư, thủ tục đầu tư theo hình thức thành lập tổ chức kinh tế của nhà đầu tư nước ngoài để đơn giản hoá thủ tục hành chính, tháo gỡ “điểm nghẽn”, đẩy nhanh quá trình đưa dự án vào triển khai, hoạt động.</w:t>
            </w:r>
          </w:p>
          <w:p w14:paraId="465D9F65" w14:textId="77777777" w:rsidR="00704CD5" w:rsidRPr="00A7610D" w:rsidRDefault="00704CD5" w:rsidP="00704CD5">
            <w:pPr>
              <w:spacing w:before="120" w:after="120" w:line="360" w:lineRule="exact"/>
              <w:jc w:val="both"/>
              <w:rPr>
                <w:rFonts w:ascii="Times New Roman" w:eastAsia="Calibri" w:hAnsi="Times New Roman" w:cs="Times New Roman"/>
                <w:bCs/>
                <w:spacing w:val="-4"/>
                <w:kern w:val="2"/>
                <w:sz w:val="28"/>
                <w:szCs w:val="28"/>
                <w:lang w:val="vi-VN"/>
                <w14:ligatures w14:val="standardContextual"/>
              </w:rPr>
            </w:pPr>
            <w:r w:rsidRPr="00A7610D">
              <w:rPr>
                <w:rFonts w:ascii="Times New Roman" w:eastAsia="Calibri" w:hAnsi="Times New Roman" w:cs="Times New Roman"/>
                <w:bCs/>
                <w:spacing w:val="-4"/>
                <w:kern w:val="2"/>
                <w:sz w:val="28"/>
                <w:szCs w:val="28"/>
                <w:lang w:val="vi-VN"/>
                <w14:ligatures w14:val="standardContextual"/>
              </w:rPr>
              <w:t>- Tiếp tục đẩy mạnh phân cấp thẩm quyền chấp thuận chủ trương đầu tư của Quốc hội, Thủ tướng Chính phủ, thực hiện chủ trương “</w:t>
            </w:r>
            <w:r w:rsidRPr="00A7610D">
              <w:rPr>
                <w:rFonts w:ascii="Times New Roman" w:eastAsia="Calibri" w:hAnsi="Times New Roman" w:cs="Times New Roman"/>
                <w:i/>
                <w:iCs/>
                <w:sz w:val="28"/>
                <w:szCs w:val="28"/>
              </w:rPr>
              <w:t>địa phương quyết, địa phương làm, địa phương chịu trách nhiệm</w:t>
            </w:r>
            <w:r w:rsidRPr="00A7610D">
              <w:rPr>
                <w:rFonts w:ascii="Times New Roman" w:eastAsia="Calibri" w:hAnsi="Times New Roman" w:cs="Times New Roman"/>
                <w:sz w:val="28"/>
                <w:szCs w:val="28"/>
                <w:lang w:val="vi-VN"/>
              </w:rPr>
              <w:t>.”</w:t>
            </w:r>
          </w:p>
          <w:p w14:paraId="7C77E715" w14:textId="6508E308" w:rsidR="00704CD5" w:rsidRPr="00A7610D" w:rsidRDefault="00704CD5" w:rsidP="00704CD5">
            <w:pPr>
              <w:spacing w:before="120"/>
              <w:jc w:val="both"/>
              <w:rPr>
                <w:rFonts w:ascii="Times New Roman" w:hAnsi="Times New Roman" w:cs="Times New Roman"/>
                <w:sz w:val="28"/>
                <w:szCs w:val="28"/>
              </w:rPr>
            </w:pPr>
          </w:p>
        </w:tc>
        <w:tc>
          <w:tcPr>
            <w:tcW w:w="5035" w:type="dxa"/>
          </w:tcPr>
          <w:p w14:paraId="7A8B08EF" w14:textId="19EA2A60" w:rsidR="00192FC1" w:rsidRPr="00A7610D" w:rsidRDefault="00704CD5"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(1) </w:t>
            </w:r>
            <w:r w:rsidR="00192FC1" w:rsidRPr="00A7610D">
              <w:rPr>
                <w:rFonts w:ascii="Times New Roman" w:hAnsi="Times New Roman" w:cs="Times New Roman"/>
                <w:sz w:val="28"/>
                <w:szCs w:val="28"/>
              </w:rPr>
              <w:t xml:space="preserve">Về thủ tục chấp thuận chủ trương đầu tư, cấp Giấy chứng nhận đăng ký đầu tư </w:t>
            </w:r>
          </w:p>
          <w:p w14:paraId="2D525BF9" w14:textId="77777777" w:rsidR="001A6168" w:rsidRPr="00A7610D" w:rsidRDefault="001A6168" w:rsidP="001A6168">
            <w:pPr>
              <w:spacing w:before="120" w:after="120" w:line="360" w:lineRule="exact"/>
              <w:jc w:val="both"/>
              <w:rPr>
                <w:rFonts w:ascii="Times New Roman" w:hAnsi="Times New Roman" w:cs="Times New Roman"/>
                <w:sz w:val="28"/>
                <w:szCs w:val="28"/>
                <w:lang w:val="vi-VN"/>
              </w:rPr>
            </w:pPr>
            <w:r w:rsidRPr="00A7610D">
              <w:rPr>
                <w:rFonts w:ascii="Times New Roman" w:hAnsi="Times New Roman" w:cs="Times New Roman"/>
                <w:sz w:val="28"/>
                <w:szCs w:val="28"/>
                <w:lang w:val="vi-VN"/>
              </w:rPr>
              <w:t>i) Về thủ tục chấp thuận chủ trương đầu tư</w:t>
            </w:r>
          </w:p>
          <w:p w14:paraId="4B9F3566" w14:textId="77777777" w:rsidR="001A6168" w:rsidRPr="00A7610D" w:rsidRDefault="001A6168" w:rsidP="001A6168">
            <w:pPr>
              <w:spacing w:before="120" w:after="120" w:line="360" w:lineRule="exact"/>
              <w:jc w:val="both"/>
              <w:rPr>
                <w:rFonts w:ascii="Times New Roman" w:hAnsi="Times New Roman" w:cs="Times New Roman"/>
                <w:sz w:val="28"/>
                <w:szCs w:val="28"/>
                <w:lang w:val="vi-VN"/>
              </w:rPr>
            </w:pPr>
            <w:r w:rsidRPr="00A7610D">
              <w:rPr>
                <w:rFonts w:ascii="Times New Roman" w:hAnsi="Times New Roman" w:cs="Times New Roman"/>
                <w:sz w:val="28"/>
                <w:szCs w:val="28"/>
                <w:lang w:val="vi-VN"/>
              </w:rPr>
              <w:t xml:space="preserve">- Quy định việc thực hiện thủ tục chấp thuận chủ trương đầu tư </w:t>
            </w:r>
            <w:r w:rsidRPr="00A7610D">
              <w:rPr>
                <w:rFonts w:ascii="Times New Roman" w:hAnsi="Times New Roman" w:cs="Times New Roman"/>
                <w:sz w:val="28"/>
                <w:szCs w:val="28"/>
              </w:rPr>
              <w:t xml:space="preserve">chỉ áp dụng </w:t>
            </w:r>
            <w:r w:rsidRPr="00A7610D">
              <w:rPr>
                <w:rFonts w:ascii="Times New Roman" w:hAnsi="Times New Roman" w:cs="Times New Roman"/>
                <w:sz w:val="28"/>
                <w:szCs w:val="28"/>
                <w:lang w:val="vi-VN"/>
              </w:rPr>
              <w:t xml:space="preserve">đối với  dự án </w:t>
            </w:r>
            <w:r w:rsidRPr="00A7610D">
              <w:rPr>
                <w:rFonts w:ascii="Times New Roman" w:hAnsi="Times New Roman" w:cs="Times New Roman"/>
                <w:sz w:val="28"/>
                <w:szCs w:val="28"/>
              </w:rPr>
              <w:t>ảnh</w:t>
            </w:r>
            <w:r w:rsidRPr="00A7610D">
              <w:rPr>
                <w:rFonts w:ascii="Times New Roman" w:hAnsi="Times New Roman" w:cs="Times New Roman"/>
                <w:sz w:val="28"/>
                <w:szCs w:val="28"/>
                <w:lang w:val="vi-VN"/>
              </w:rPr>
              <w:t xml:space="preserve"> hưởng </w:t>
            </w:r>
            <w:r w:rsidRPr="00A7610D">
              <w:rPr>
                <w:rFonts w:ascii="Times New Roman" w:hAnsi="Times New Roman" w:cs="Times New Roman"/>
                <w:sz w:val="28"/>
                <w:szCs w:val="28"/>
              </w:rPr>
              <w:t>lớn đến môi trường hoặc tiềm ẩn khả năng ảnh hưởng nghiêm trọng đến môi trường</w:t>
            </w:r>
            <w:r w:rsidRPr="00A7610D">
              <w:rPr>
                <w:rFonts w:ascii="Times New Roman" w:hAnsi="Times New Roman" w:cs="Times New Roman"/>
                <w:sz w:val="28"/>
                <w:szCs w:val="28"/>
                <w:lang w:val="vi-VN"/>
              </w:rPr>
              <w:t xml:space="preserve">, dự án ảnh hưởng đến quốc phòng an ninh, </w:t>
            </w:r>
            <w:r w:rsidRPr="00A7610D">
              <w:rPr>
                <w:rFonts w:ascii="Times New Roman" w:eastAsia="Calibri" w:hAnsi="Times New Roman" w:cs="Times New Roman"/>
                <w:bCs/>
                <w:spacing w:val="-4"/>
                <w:sz w:val="28"/>
                <w:szCs w:val="28"/>
                <w:lang w:val="vi-VN"/>
              </w:rPr>
              <w:t>dự án có sử dụng tài nguyên (nguồn lực) của đất nước như đất, rừng, biển, khoáng sản…, dự án đầu tư lớn, trong các lĩnh vực quan trọng như cảng biển, sân bay…</w:t>
            </w:r>
          </w:p>
          <w:p w14:paraId="35D07102" w14:textId="77777777" w:rsidR="001A6168" w:rsidRPr="00A7610D" w:rsidRDefault="001A6168" w:rsidP="001A6168">
            <w:pPr>
              <w:spacing w:before="120" w:after="120" w:line="360" w:lineRule="exact"/>
              <w:jc w:val="both"/>
              <w:rPr>
                <w:rFonts w:ascii="Times New Roman" w:hAnsi="Times New Roman" w:cs="Times New Roman"/>
                <w:sz w:val="28"/>
                <w:szCs w:val="28"/>
                <w:lang w:val="vi-VN"/>
              </w:rPr>
            </w:pPr>
            <w:r w:rsidRPr="00A7610D">
              <w:rPr>
                <w:rFonts w:ascii="Times New Roman" w:hAnsi="Times New Roman" w:cs="Times New Roman"/>
                <w:sz w:val="28"/>
                <w:szCs w:val="28"/>
                <w:lang w:val="vi-VN"/>
              </w:rPr>
              <w:t xml:space="preserve">- Đơn giản hoá việc thực hiện thủ tục này nhằm giải quyết, khắc phục những vấn đề vướng mắc, tồn tại của thủ tục chấp thuận chủ trương đầu tư hiện nay, thúc đẩy nhanh quá trình thực hiện thủ tục này, khơi thông </w:t>
            </w:r>
            <w:r w:rsidRPr="00A7610D">
              <w:rPr>
                <w:rFonts w:ascii="Times New Roman" w:hAnsi="Times New Roman" w:cs="Times New Roman"/>
                <w:sz w:val="28"/>
                <w:szCs w:val="28"/>
                <w:lang w:val="vi-VN"/>
              </w:rPr>
              <w:lastRenderedPageBreak/>
              <w:t>nguồn lực đầu tư phát triển kinh tế xã hội theo hướng:</w:t>
            </w:r>
          </w:p>
          <w:p w14:paraId="188C233C"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Đẩy mạnh phân cấp, phân quyền chấp thuân chủ trương đầu tư, thu hẹp diện dự án phải thực hiện chấp thuận chủ trương đầu tư. Theo đó:</w:t>
            </w:r>
          </w:p>
          <w:p w14:paraId="53306F8A"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Quốc hội chỉ chấp thuận chủ trương đầu tư đối với dự án có</w:t>
            </w:r>
            <w:r w:rsidRPr="00A7610D">
              <w:rPr>
                <w:rFonts w:ascii="Times New Roman" w:hAnsi="Times New Roman" w:cs="Times New Roman"/>
                <w:sz w:val="28"/>
                <w:szCs w:val="28"/>
              </w:rPr>
              <w:t xml:space="preserve"> yêu cầu áp dụng cơ chế, chính sách đặc biệt cần được Quốc hội quyết định</w:t>
            </w:r>
            <w:r w:rsidRPr="00A7610D">
              <w:rPr>
                <w:rFonts w:ascii="Times New Roman" w:hAnsi="Times New Roman" w:cs="Times New Roman"/>
                <w:sz w:val="28"/>
                <w:szCs w:val="28"/>
                <w:lang w:val="vi-VN"/>
              </w:rPr>
              <w:t>. Đối với các dự án còn lại thuộc thẩm quyền CTCTĐT của Quốc hội, thực hiện phân cấp thẩm quyền cho Thủ tướng chính phủ, bao gồm</w:t>
            </w:r>
            <w:r w:rsidRPr="00A7610D">
              <w:rPr>
                <w:rFonts w:ascii="Times New Roman" w:eastAsia="Calibri" w:hAnsi="Times New Roman" w:cs="Times New Roman"/>
                <w:bCs/>
                <w:spacing w:val="-4"/>
                <w:sz w:val="28"/>
                <w:szCs w:val="28"/>
                <w:lang w:val="vi-VN"/>
              </w:rPr>
              <w:t xml:space="preserve">: </w:t>
            </w:r>
            <w:r w:rsidRPr="00A7610D">
              <w:rPr>
                <w:rFonts w:ascii="Times New Roman" w:eastAsia="Calibri" w:hAnsi="Times New Roman" w:cs="Times New Roman"/>
                <w:bCs/>
                <w:i/>
                <w:iCs/>
                <w:spacing w:val="-4"/>
                <w:sz w:val="28"/>
                <w:szCs w:val="28"/>
                <w:lang w:val="en-AU"/>
              </w:rPr>
              <w:t>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 Dự án đầu tư có yêu cầu chuyển mục đích sử dụng đất trồng lúa nước từ 02 vụ trở lên với quy mô từ 500 ha trở lên;</w:t>
            </w:r>
            <w:r w:rsidRPr="00A7610D">
              <w:rPr>
                <w:rFonts w:ascii="Times New Roman" w:eastAsia="Calibri" w:hAnsi="Times New Roman" w:cs="Times New Roman"/>
                <w:bCs/>
                <w:i/>
                <w:iCs/>
                <w:spacing w:val="-4"/>
                <w:sz w:val="28"/>
                <w:szCs w:val="28"/>
                <w:lang w:val="vi-VN"/>
              </w:rPr>
              <w:t xml:space="preserve"> </w:t>
            </w:r>
            <w:r w:rsidRPr="00A7610D">
              <w:rPr>
                <w:rFonts w:ascii="Times New Roman" w:eastAsia="Calibri" w:hAnsi="Times New Roman" w:cs="Times New Roman"/>
                <w:bCs/>
                <w:i/>
                <w:iCs/>
                <w:spacing w:val="-4"/>
                <w:sz w:val="28"/>
                <w:szCs w:val="28"/>
                <w:lang w:val="en-AU"/>
              </w:rPr>
              <w:t>Dự án đầu tư có yêu cầu di dân tái định cư từ 20.000 người trở lên ở miền núi, từ 50.000 người trở lên ở vùng khác</w:t>
            </w:r>
            <w:r w:rsidRPr="00A7610D">
              <w:rPr>
                <w:rFonts w:ascii="Times New Roman" w:eastAsia="Calibri" w:hAnsi="Times New Roman" w:cs="Times New Roman"/>
                <w:bCs/>
                <w:spacing w:val="-4"/>
                <w:sz w:val="28"/>
                <w:szCs w:val="28"/>
                <w:lang w:val="en-AU"/>
              </w:rPr>
              <w:t>;</w:t>
            </w:r>
          </w:p>
          <w:p w14:paraId="0433EA90"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xml:space="preserve">++ Tiếp tục phân quyền CTCTĐT của Thủ tướng Chính phủ cho UBND cấp tỉnh đối với: </w:t>
            </w:r>
            <w:r w:rsidRPr="00A7610D">
              <w:rPr>
                <w:rFonts w:ascii="Times New Roman" w:hAnsi="Times New Roman" w:cs="Times New Roman"/>
                <w:i/>
                <w:iCs/>
                <w:sz w:val="28"/>
                <w:szCs w:val="28"/>
              </w:rPr>
              <w:t xml:space="preserve">Dự án đầu tư của nhà đầu tư nước </w:t>
            </w:r>
            <w:r w:rsidRPr="00A7610D">
              <w:rPr>
                <w:rFonts w:ascii="Times New Roman" w:hAnsi="Times New Roman" w:cs="Times New Roman"/>
                <w:i/>
                <w:iCs/>
                <w:sz w:val="28"/>
                <w:szCs w:val="28"/>
              </w:rPr>
              <w:lastRenderedPageBreak/>
              <w:t>ngoài trong lĩnh vực</w:t>
            </w:r>
            <w:r w:rsidRPr="00A7610D">
              <w:rPr>
                <w:rFonts w:ascii="Times New Roman" w:hAnsi="Times New Roman" w:cs="Times New Roman"/>
                <w:i/>
                <w:iCs/>
                <w:sz w:val="28"/>
                <w:szCs w:val="28"/>
                <w:lang w:val="vi-VN"/>
              </w:rPr>
              <w:t xml:space="preserve"> trồng rừng; </w:t>
            </w:r>
            <w:r w:rsidRPr="00A7610D">
              <w:rPr>
                <w:rFonts w:ascii="Times New Roman" w:hAnsi="Times New Roman" w:cs="Times New Roman"/>
                <w:i/>
                <w:iCs/>
                <w:sz w:val="28"/>
                <w:szCs w:val="28"/>
              </w:rPr>
              <w:t>Dự án đầu tư có kinh doanh đặt cược, ca-si-nô (casino</w:t>
            </w:r>
            <w:r w:rsidRPr="00A7610D">
              <w:rPr>
                <w:rFonts w:ascii="Times New Roman" w:hAnsi="Times New Roman" w:cs="Times New Roman"/>
                <w:i/>
                <w:iCs/>
                <w:sz w:val="28"/>
                <w:szCs w:val="28"/>
                <w:lang w:val="vi-VN"/>
              </w:rPr>
              <w:t>; Dự án điện gió ngoài khơi theo quy định của pháp luật về điện lực.</w:t>
            </w:r>
          </w:p>
          <w:p w14:paraId="56BA393A"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xml:space="preserve">+ Thu hẹp diện dự án phải thực hiện thủ tục chấp thuận chủ trương đầu tư của UBND cấp tỉnh </w:t>
            </w:r>
            <w:r w:rsidRPr="00A7610D">
              <w:rPr>
                <w:rFonts w:ascii="Times New Roman" w:eastAsia="Calibri" w:hAnsi="Times New Roman" w:cs="Times New Roman"/>
                <w:bCs/>
                <w:spacing w:val="-4"/>
                <w:sz w:val="28"/>
                <w:szCs w:val="28"/>
              </w:rPr>
              <w:t xml:space="preserve">đối với </w:t>
            </w:r>
            <w:r w:rsidRPr="00A7610D">
              <w:rPr>
                <w:rFonts w:ascii="Times New Roman" w:eastAsia="Calibri" w:hAnsi="Times New Roman" w:cs="Times New Roman"/>
                <w:bCs/>
                <w:spacing w:val="-4"/>
                <w:sz w:val="28"/>
                <w:szCs w:val="28"/>
                <w:lang w:val="vi-VN"/>
              </w:rPr>
              <w:t>các dự án đã được công bố để lựa chọn nhà đầu tư theo hình thức đấu giá quyền sử dụng đất, đấu thầu lựa chọn nhà đầu tư (</w:t>
            </w:r>
            <w:r w:rsidRPr="00A7610D">
              <w:rPr>
                <w:rFonts w:ascii="Times New Roman" w:eastAsia="Calibri" w:hAnsi="Times New Roman" w:cs="Times New Roman"/>
                <w:bCs/>
                <w:i/>
                <w:iCs/>
                <w:spacing w:val="-4"/>
                <w:sz w:val="28"/>
                <w:szCs w:val="28"/>
                <w:lang w:val="vi-VN"/>
              </w:rPr>
              <w:t xml:space="preserve">như </w:t>
            </w:r>
            <w:r w:rsidRPr="00A7610D">
              <w:rPr>
                <w:rFonts w:ascii="Times New Roman" w:hAnsi="Times New Roman" w:cs="Times New Roman"/>
                <w:i/>
                <w:iCs/>
                <w:spacing w:val="-4"/>
                <w:sz w:val="28"/>
                <w:szCs w:val="28"/>
                <w:lang w:val="vi-VN"/>
              </w:rPr>
              <w:t xml:space="preserve">các dự án xây dựng nhà ở, khu đô thị, nhà ở xã hội, dự án thực hiện thủ tục xác định số lượng nhà đầu tư quan tâm theo quy định của pháp luật đấu thầu và pháp luật chuyên ngành như dự án chợ, </w:t>
            </w:r>
            <w:r w:rsidRPr="00A7610D">
              <w:rPr>
                <w:rFonts w:ascii="Times New Roman" w:hAnsi="Times New Roman" w:cs="Times New Roman"/>
                <w:i/>
                <w:iCs/>
                <w:spacing w:val="-4"/>
                <w:sz w:val="28"/>
                <w:szCs w:val="28"/>
              </w:rPr>
              <w:t>xây dựng công trình cấp nước</w:t>
            </w:r>
            <w:r w:rsidRPr="00A7610D">
              <w:rPr>
                <w:rFonts w:ascii="Times New Roman" w:hAnsi="Times New Roman" w:cs="Times New Roman"/>
                <w:i/>
                <w:iCs/>
                <w:spacing w:val="-4"/>
                <w:sz w:val="28"/>
                <w:szCs w:val="28"/>
                <w:lang w:val="vi-VN"/>
              </w:rPr>
              <w:t xml:space="preserve">, </w:t>
            </w:r>
            <w:r w:rsidRPr="00A7610D">
              <w:rPr>
                <w:rFonts w:ascii="Times New Roman" w:hAnsi="Times New Roman" w:cs="Times New Roman"/>
                <w:i/>
                <w:iCs/>
                <w:spacing w:val="-4"/>
                <w:sz w:val="28"/>
                <w:szCs w:val="28"/>
              </w:rPr>
              <w:t>xây dựng công trình xử lý chất thải rắn sinh hoạt</w:t>
            </w:r>
            <w:r w:rsidRPr="00A7610D">
              <w:rPr>
                <w:rFonts w:ascii="Times New Roman" w:eastAsia="Calibri" w:hAnsi="Times New Roman" w:cs="Times New Roman"/>
                <w:bCs/>
                <w:spacing w:val="-4"/>
                <w:sz w:val="28"/>
                <w:szCs w:val="28"/>
                <w:lang w:val="vi-VN"/>
              </w:rPr>
              <w:t>…). Theo đó, UBND cấp tỉnh chấp thuận chủ trương đầu tư đối với các dự án sau:</w:t>
            </w:r>
          </w:p>
          <w:p w14:paraId="413258A3" w14:textId="77777777" w:rsidR="001A6168" w:rsidRPr="00A7610D" w:rsidRDefault="001A6168" w:rsidP="001A6168">
            <w:pPr>
              <w:spacing w:before="120" w:after="120" w:line="360" w:lineRule="exact"/>
              <w:jc w:val="both"/>
              <w:rPr>
                <w:rFonts w:ascii="Times New Roman" w:hAnsi="Times New Roman" w:cs="Times New Roman"/>
                <w:i/>
                <w:iCs/>
                <w:strike/>
                <w:spacing w:val="-8"/>
                <w:sz w:val="28"/>
                <w:szCs w:val="28"/>
                <w:lang w:val="vi-VN"/>
              </w:rPr>
            </w:pPr>
            <w:r w:rsidRPr="00A7610D">
              <w:rPr>
                <w:rFonts w:ascii="Times New Roman" w:eastAsia="Calibri" w:hAnsi="Times New Roman" w:cs="Times New Roman"/>
                <w:bCs/>
                <w:spacing w:val="-4"/>
                <w:sz w:val="28"/>
                <w:szCs w:val="28"/>
                <w:lang w:val="vi-VN"/>
              </w:rPr>
              <w:t xml:space="preserve">++ Dự án </w:t>
            </w:r>
            <w:r w:rsidRPr="00A7610D">
              <w:rPr>
                <w:rFonts w:ascii="Times New Roman" w:eastAsia="Calibri" w:hAnsi="Times New Roman" w:cs="Times New Roman"/>
                <w:bCs/>
                <w:spacing w:val="-4"/>
                <w:sz w:val="28"/>
                <w:szCs w:val="28"/>
              </w:rPr>
              <w:t xml:space="preserve">đề xuất </w:t>
            </w:r>
            <w:r w:rsidRPr="00A7610D">
              <w:rPr>
                <w:rFonts w:ascii="Times New Roman" w:eastAsia="Calibri" w:hAnsi="Times New Roman" w:cs="Times New Roman"/>
                <w:bCs/>
                <w:spacing w:val="-4"/>
                <w:sz w:val="28"/>
                <w:szCs w:val="28"/>
                <w:lang w:val="vi-VN"/>
              </w:rPr>
              <w:t>sử dụng tài nguyên (nguồn lực) như đất, rừng, biển, khoáng sản (trừ các dự án đã được công bố để lựa chọn nhà đầu tư theo hình thức đấu giá quyền sử dụng đất, đấu thầu lựa chọn nhà đầu tư)</w:t>
            </w:r>
            <w:r w:rsidRPr="00A7610D">
              <w:rPr>
                <w:rFonts w:ascii="Times New Roman" w:hAnsi="Times New Roman" w:cs="Times New Roman"/>
                <w:i/>
                <w:iCs/>
                <w:spacing w:val="-8"/>
                <w:sz w:val="28"/>
                <w:szCs w:val="28"/>
                <w:lang w:val="vi-VN"/>
              </w:rPr>
              <w:t>.</w:t>
            </w:r>
          </w:p>
          <w:p w14:paraId="437F34A4"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xml:space="preserve">++ Dự án </w:t>
            </w:r>
            <w:r w:rsidRPr="00A7610D">
              <w:rPr>
                <w:rFonts w:ascii="Times New Roman" w:hAnsi="Times New Roman" w:cs="Times New Roman"/>
                <w:sz w:val="28"/>
                <w:szCs w:val="28"/>
                <w:lang w:val="vi-VN"/>
              </w:rPr>
              <w:t xml:space="preserve">sử dụng đất, khu vực biển tại </w:t>
            </w:r>
            <w:r w:rsidRPr="00A7610D">
              <w:rPr>
                <w:rFonts w:ascii="Times New Roman" w:hAnsi="Times New Roman" w:cs="Times New Roman"/>
                <w:sz w:val="28"/>
                <w:szCs w:val="28"/>
              </w:rPr>
              <w:t>tại đảo và xã, phường, thị trấn biên giới; xã, phường, thị trấn ven biển; khu vực khác có ảnh hưởng đến quốc phòng, an ninh.</w:t>
            </w:r>
          </w:p>
          <w:p w14:paraId="02133FBD" w14:textId="77777777" w:rsidR="001A6168" w:rsidRPr="00A7610D" w:rsidRDefault="001A6168" w:rsidP="001A6168">
            <w:pPr>
              <w:spacing w:before="120" w:after="120" w:line="360" w:lineRule="exact"/>
              <w:jc w:val="both"/>
              <w:rPr>
                <w:rFonts w:ascii="Times New Roman" w:hAnsi="Times New Roman" w:cs="Times New Roman"/>
                <w:sz w:val="28"/>
                <w:szCs w:val="28"/>
                <w:lang w:val="vi-VN"/>
              </w:rPr>
            </w:pPr>
            <w:r w:rsidRPr="00A7610D">
              <w:rPr>
                <w:rFonts w:ascii="Times New Roman" w:hAnsi="Times New Roman" w:cs="Times New Roman"/>
                <w:sz w:val="28"/>
                <w:szCs w:val="28"/>
                <w:lang w:val="vi-VN"/>
              </w:rPr>
              <w:lastRenderedPageBreak/>
              <w:t>++ Dự án có quy mô lớn, quan trọng</w:t>
            </w:r>
            <w:r w:rsidRPr="00A7610D">
              <w:rPr>
                <w:rFonts w:ascii="Times New Roman" w:hAnsi="Times New Roman" w:cs="Times New Roman"/>
                <w:sz w:val="28"/>
                <w:szCs w:val="28"/>
              </w:rPr>
              <w:t xml:space="preserve"> trong lĩnh vực </w:t>
            </w:r>
            <w:r w:rsidRPr="00A7610D">
              <w:rPr>
                <w:rFonts w:ascii="Times New Roman" w:hAnsi="Times New Roman" w:cs="Times New Roman"/>
                <w:sz w:val="28"/>
                <w:szCs w:val="28"/>
                <w:lang w:val="vi-VN"/>
              </w:rPr>
              <w:t>cảng biển, sân bay, điện, khu công nghiệp,…</w:t>
            </w:r>
          </w:p>
          <w:p w14:paraId="3780E611"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xml:space="preserve">+ Lược bỏ, đơn giản hoá một số nội dung thẩm định chấp thuận chủ trương đầu tư có phạm vi rộng, trùng lặp với nội dung thẩm định ở các bước triển khai thực hiện dự án hoặc không thực sự cần thiết phải xem xét ngay ở giai đoạn chấp thuận chủ trương đầu tư như </w:t>
            </w:r>
            <w:r w:rsidRPr="00A7610D">
              <w:rPr>
                <w:rFonts w:ascii="Times New Roman" w:eastAsia="Calibri" w:hAnsi="Times New Roman" w:cs="Times New Roman"/>
                <w:bCs/>
                <w:i/>
                <w:iCs/>
                <w:spacing w:val="-4"/>
                <w:sz w:val="28"/>
                <w:szCs w:val="28"/>
                <w:lang w:val="vi-VN"/>
              </w:rPr>
              <w:t>nội dung thẩm định liên quan đến công nghệ, nhà ở tiến độ</w:t>
            </w:r>
            <w:r w:rsidRPr="00A7610D">
              <w:rPr>
                <w:rFonts w:ascii="Times New Roman" w:eastAsia="Calibri" w:hAnsi="Times New Roman" w:cs="Times New Roman"/>
                <w:bCs/>
                <w:spacing w:val="-4"/>
                <w:sz w:val="28"/>
                <w:szCs w:val="28"/>
                <w:lang w:val="vi-VN"/>
              </w:rPr>
              <w:t>…;</w:t>
            </w:r>
            <w:r w:rsidRPr="00A7610D">
              <w:rPr>
                <w:rFonts w:ascii="Times New Roman" w:hAnsi="Times New Roman" w:cs="Times New Roman"/>
                <w:sz w:val="28"/>
                <w:szCs w:val="28"/>
              </w:rPr>
              <w:t xml:space="preserve"> xác</w:t>
            </w:r>
            <w:r w:rsidRPr="00A7610D">
              <w:rPr>
                <w:rFonts w:ascii="Times New Roman" w:hAnsi="Times New Roman" w:cs="Times New Roman"/>
                <w:sz w:val="28"/>
                <w:szCs w:val="28"/>
                <w:lang w:val="vi-VN"/>
              </w:rPr>
              <w:t xml:space="preserve"> định nội dung </w:t>
            </w:r>
            <w:r w:rsidRPr="00A7610D">
              <w:rPr>
                <w:rFonts w:ascii="Times New Roman" w:hAnsi="Times New Roman" w:cs="Times New Roman"/>
                <w:i/>
                <w:iCs/>
                <w:sz w:val="28"/>
                <w:szCs w:val="28"/>
                <w:lang w:val="vi-VN"/>
              </w:rPr>
              <w:t xml:space="preserve">đánh giá </w:t>
            </w:r>
            <w:r w:rsidRPr="00A7610D">
              <w:rPr>
                <w:rFonts w:ascii="Times New Roman" w:hAnsi="Times New Roman" w:cs="Times New Roman"/>
                <w:i/>
                <w:iCs/>
                <w:sz w:val="28"/>
                <w:szCs w:val="28"/>
              </w:rPr>
              <w:t>sự phù hợp của dự án với quy hoạch có liên quan trực tiếp đến đề xuất thực hiện dự án</w:t>
            </w:r>
            <w:r w:rsidRPr="00A7610D">
              <w:rPr>
                <w:rFonts w:ascii="Times New Roman" w:hAnsi="Times New Roman" w:cs="Times New Roman"/>
                <w:i/>
                <w:iCs/>
                <w:sz w:val="28"/>
                <w:szCs w:val="28"/>
                <w:lang w:val="vi-VN"/>
              </w:rPr>
              <w:t xml:space="preserve"> (</w:t>
            </w:r>
            <w:r w:rsidRPr="00A7610D">
              <w:rPr>
                <w:rFonts w:ascii="Times New Roman" w:hAnsi="Times New Roman" w:cs="Times New Roman"/>
                <w:i/>
                <w:iCs/>
                <w:sz w:val="28"/>
                <w:szCs w:val="28"/>
              </w:rPr>
              <w:t>như quy hoạch ngành, quy hoạch tỉnh</w:t>
            </w:r>
            <w:r w:rsidRPr="00A7610D">
              <w:rPr>
                <w:rFonts w:ascii="Times New Roman" w:hAnsi="Times New Roman" w:cs="Times New Roman"/>
                <w:i/>
                <w:iCs/>
                <w:sz w:val="28"/>
                <w:szCs w:val="28"/>
                <w:lang w:val="vi-VN"/>
              </w:rPr>
              <w:t>…)</w:t>
            </w:r>
            <w:r w:rsidRPr="00A7610D">
              <w:rPr>
                <w:rFonts w:ascii="Times New Roman" w:eastAsia="Calibri" w:hAnsi="Times New Roman" w:cs="Times New Roman"/>
                <w:bCs/>
                <w:spacing w:val="-4"/>
                <w:sz w:val="28"/>
                <w:szCs w:val="28"/>
                <w:lang w:val="vi-VN"/>
              </w:rPr>
              <w:t xml:space="preserve"> nhằm đơn giản hoá  nội dung thẩm định chấp thuận chủ trương đầu tư.</w:t>
            </w:r>
          </w:p>
          <w:p w14:paraId="6706DAB0"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Bổ sung quy định về hình thức lựa chọn nhà đầu tư trong trường hợp chỉ định nhà đầu tư hoặc lựa chọn nhà đầu tư trong trường hợp đặc biệt theo quy định của pháp luật về đấu thầu.</w:t>
            </w:r>
          </w:p>
          <w:p w14:paraId="0D0091D8"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ii) Về thủ tục cấp Giấy chứng nhận đăng ký đầu tư</w:t>
            </w:r>
          </w:p>
          <w:p w14:paraId="69E7C144"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pacing w:val="-4"/>
                <w:sz w:val="28"/>
                <w:szCs w:val="28"/>
                <w:lang w:val="vi-VN"/>
              </w:rPr>
              <w:t xml:space="preserve">- Quy định thủ tục cấp Giấy chứng nhận đăng ký đầu tư đối </w:t>
            </w:r>
            <w:r w:rsidRPr="00A7610D">
              <w:rPr>
                <w:rFonts w:ascii="Times New Roman" w:hAnsi="Times New Roman" w:cs="Times New Roman"/>
                <w:bCs/>
                <w:sz w:val="28"/>
                <w:szCs w:val="28"/>
                <w:lang w:val="vi-VN"/>
              </w:rPr>
              <w:t xml:space="preserve">với dự án </w:t>
            </w:r>
            <w:r w:rsidRPr="00A7610D">
              <w:rPr>
                <w:rFonts w:ascii="Times New Roman" w:hAnsi="Times New Roman" w:cs="Times New Roman"/>
                <w:bCs/>
                <w:sz w:val="28"/>
                <w:szCs w:val="28"/>
              </w:rPr>
              <w:t xml:space="preserve">không thuộc diện chấp thuận chủ trương đầu tư do </w:t>
            </w:r>
            <w:r w:rsidRPr="00A7610D">
              <w:rPr>
                <w:rFonts w:ascii="Times New Roman" w:hAnsi="Times New Roman" w:cs="Times New Roman"/>
                <w:bCs/>
                <w:sz w:val="28"/>
                <w:szCs w:val="28"/>
                <w:lang w:val="vi-VN"/>
              </w:rPr>
              <w:t xml:space="preserve">nhà đầu tư </w:t>
            </w:r>
            <w:r w:rsidRPr="00A7610D">
              <w:rPr>
                <w:rFonts w:ascii="Times New Roman" w:hAnsi="Times New Roman" w:cs="Times New Roman"/>
                <w:bCs/>
                <w:sz w:val="28"/>
                <w:szCs w:val="28"/>
                <w:lang w:val="vi-VN"/>
              </w:rPr>
              <w:lastRenderedPageBreak/>
              <w:t xml:space="preserve">nước ngoài và tổ chức kinh tế </w:t>
            </w:r>
            <w:r w:rsidRPr="00A7610D">
              <w:rPr>
                <w:rFonts w:ascii="Times New Roman" w:eastAsia="Calibri" w:hAnsi="Times New Roman" w:cs="Times New Roman"/>
                <w:bCs/>
                <w:sz w:val="28"/>
                <w:szCs w:val="28"/>
                <w:lang w:val="vi-VN"/>
              </w:rPr>
              <w:t xml:space="preserve">có vốn đầu tư nước ngoài </w:t>
            </w:r>
            <w:r w:rsidRPr="00A7610D">
              <w:rPr>
                <w:rFonts w:ascii="Times New Roman" w:eastAsia="Calibri" w:hAnsi="Times New Roman" w:cs="Times New Roman"/>
                <w:bCs/>
                <w:sz w:val="28"/>
                <w:szCs w:val="28"/>
              </w:rPr>
              <w:t>nắm giữ trên 50% vốn điều lệ</w:t>
            </w:r>
            <w:r w:rsidRPr="00A7610D">
              <w:rPr>
                <w:rFonts w:ascii="Times New Roman" w:eastAsia="Calibri" w:hAnsi="Times New Roman" w:cs="Times New Roman"/>
                <w:bCs/>
                <w:sz w:val="28"/>
                <w:szCs w:val="28"/>
                <w:lang w:val="vi-VN"/>
              </w:rPr>
              <w:t>.</w:t>
            </w:r>
          </w:p>
          <w:p w14:paraId="7AEE3793" w14:textId="77777777" w:rsidR="001A6168" w:rsidRPr="00A7610D" w:rsidRDefault="001A6168" w:rsidP="001A6168">
            <w:pPr>
              <w:spacing w:before="120" w:after="120" w:line="360" w:lineRule="exact"/>
              <w:jc w:val="both"/>
              <w:rPr>
                <w:rFonts w:ascii="Times New Roman" w:eastAsia="Calibri" w:hAnsi="Times New Roman" w:cs="Times New Roman"/>
                <w:bCs/>
                <w:spacing w:val="-4"/>
                <w:sz w:val="28"/>
                <w:szCs w:val="28"/>
                <w:lang w:val="vi-VN"/>
              </w:rPr>
            </w:pPr>
            <w:r w:rsidRPr="00A7610D">
              <w:rPr>
                <w:rFonts w:ascii="Times New Roman" w:eastAsia="Calibri" w:hAnsi="Times New Roman" w:cs="Times New Roman"/>
                <w:bCs/>
                <w:sz w:val="28"/>
                <w:szCs w:val="28"/>
                <w:lang w:val="vi-VN"/>
              </w:rPr>
              <w:t xml:space="preserve">- Tiếp tục sửa đổi, hoàn thiện các quy định về xác định sự phù hợp của dự án đầu tư với quy hoạch, xác định </w:t>
            </w:r>
            <w:r w:rsidRPr="00A7610D">
              <w:rPr>
                <w:rFonts w:ascii="Times New Roman" w:eastAsia="Calibri" w:hAnsi="Times New Roman" w:cs="Times New Roman"/>
                <w:bCs/>
                <w:sz w:val="28"/>
                <w:szCs w:val="28"/>
              </w:rPr>
              <w:t>việc</w:t>
            </w:r>
            <w:r w:rsidRPr="00A7610D">
              <w:rPr>
                <w:rFonts w:ascii="Times New Roman" w:eastAsia="Calibri" w:hAnsi="Times New Roman" w:cs="Times New Roman"/>
                <w:bCs/>
                <w:sz w:val="28"/>
                <w:szCs w:val="28"/>
                <w:lang w:val="vi-VN"/>
              </w:rPr>
              <w:t xml:space="preserve"> đ</w:t>
            </w:r>
            <w:r w:rsidRPr="00A7610D">
              <w:rPr>
                <w:rFonts w:ascii="Times New Roman" w:eastAsia="Calibri" w:hAnsi="Times New Roman" w:cs="Times New Roman"/>
                <w:bCs/>
                <w:sz w:val="28"/>
                <w:szCs w:val="28"/>
              </w:rPr>
              <w:t>áp ứng điều kiện về suất đầu tư trên một diện tích đất, số lượng lao động sử dụng</w:t>
            </w:r>
            <w:r w:rsidRPr="00A7610D">
              <w:rPr>
                <w:rFonts w:ascii="Times New Roman" w:eastAsia="Calibri" w:hAnsi="Times New Roman" w:cs="Times New Roman"/>
                <w:bCs/>
                <w:sz w:val="28"/>
                <w:szCs w:val="28"/>
                <w:lang w:val="vi-VN"/>
              </w:rPr>
              <w:t>… tại Nghị định hướng dẫn.</w:t>
            </w:r>
          </w:p>
          <w:p w14:paraId="1FD6F57F" w14:textId="77777777" w:rsidR="001A6168" w:rsidRPr="00A7610D" w:rsidRDefault="001A6168" w:rsidP="001A6168">
            <w:pPr>
              <w:jc w:val="both"/>
              <w:rPr>
                <w:rFonts w:ascii="Times New Roman" w:eastAsia="Calibri" w:hAnsi="Times New Roman" w:cs="Times New Roman"/>
                <w:bCs/>
                <w:sz w:val="28"/>
                <w:szCs w:val="28"/>
              </w:rPr>
            </w:pPr>
            <w:r w:rsidRPr="00A7610D">
              <w:rPr>
                <w:rFonts w:ascii="Times New Roman" w:eastAsia="Calibri" w:hAnsi="Times New Roman" w:cs="Times New Roman"/>
                <w:bCs/>
                <w:sz w:val="28"/>
                <w:szCs w:val="28"/>
                <w:lang w:val="vi-VN"/>
              </w:rPr>
              <w:t>iii) Q</w:t>
            </w:r>
            <w:r w:rsidRPr="00A7610D">
              <w:rPr>
                <w:rFonts w:ascii="Times New Roman" w:eastAsia="Calibri" w:hAnsi="Times New Roman" w:cs="Times New Roman"/>
                <w:bCs/>
                <w:sz w:val="28"/>
                <w:szCs w:val="28"/>
              </w:rPr>
              <w:t xml:space="preserve">uản lý </w:t>
            </w:r>
            <w:r w:rsidRPr="00A7610D">
              <w:rPr>
                <w:rFonts w:ascii="Times New Roman" w:eastAsia="Calibri" w:hAnsi="Times New Roman" w:cs="Times New Roman"/>
                <w:bCs/>
                <w:sz w:val="28"/>
                <w:szCs w:val="28"/>
                <w:lang w:val="vi-VN"/>
              </w:rPr>
              <w:t>đối với dự án không thuộc diện chấp thuận chủ trương đầu tư, cấp Giấy chứng nhận đăng ký đầu tư</w:t>
            </w:r>
          </w:p>
          <w:p w14:paraId="1494BC9E" w14:textId="77777777" w:rsidR="001A6168" w:rsidRPr="00A7610D" w:rsidRDefault="001A6168" w:rsidP="001A6168">
            <w:pPr>
              <w:jc w:val="both"/>
              <w:rPr>
                <w:rFonts w:ascii="Times New Roman" w:eastAsia="Calibri" w:hAnsi="Times New Roman" w:cs="Times New Roman"/>
                <w:bCs/>
                <w:sz w:val="28"/>
                <w:szCs w:val="28"/>
                <w:lang w:val="vi-VN"/>
              </w:rPr>
            </w:pPr>
            <w:bookmarkStart w:id="0" w:name="khoan_3_42"/>
            <w:r w:rsidRPr="00A7610D">
              <w:rPr>
                <w:rFonts w:ascii="Times New Roman" w:eastAsia="Calibri" w:hAnsi="Times New Roman" w:cs="Times New Roman"/>
                <w:bCs/>
                <w:sz w:val="28"/>
                <w:szCs w:val="28"/>
                <w:lang w:val="vi-VN"/>
              </w:rPr>
              <w:t xml:space="preserve">Thực hiện quản lý đối với </w:t>
            </w:r>
            <w:r w:rsidRPr="00A7610D">
              <w:rPr>
                <w:rFonts w:ascii="Times New Roman" w:hAnsi="Times New Roman" w:cs="Times New Roman"/>
                <w:bCs/>
                <w:sz w:val="28"/>
                <w:szCs w:val="28"/>
                <w:lang w:val="vi-VN"/>
              </w:rPr>
              <w:t>dự án không thuộc diện chấp thuận chủ trương đầu tư và cấp Giấy chứng nhận đăng ký đầu tư</w:t>
            </w:r>
            <w:r w:rsidRPr="00A7610D">
              <w:rPr>
                <w:rFonts w:ascii="Times New Roman" w:eastAsia="Calibri" w:hAnsi="Times New Roman" w:cs="Times New Roman"/>
                <w:bCs/>
                <w:sz w:val="28"/>
                <w:szCs w:val="28"/>
                <w:lang w:val="vi-VN"/>
              </w:rPr>
              <w:t xml:space="preserve"> theo quy định của </w:t>
            </w:r>
            <w:r w:rsidRPr="00A7610D">
              <w:rPr>
                <w:rFonts w:ascii="Times New Roman" w:eastAsia="Calibri" w:hAnsi="Times New Roman" w:cs="Times New Roman"/>
                <w:bCs/>
                <w:sz w:val="28"/>
                <w:szCs w:val="28"/>
              </w:rPr>
              <w:t>pháp luật về quy hoạch, đất đai, môi trường, xây dựng, lao động, phòng cháy và chữa cháy, quy định khác của pháp luật có liên quan trong quá trình triển khai thực hiện dự án đầu tư</w:t>
            </w:r>
            <w:bookmarkEnd w:id="0"/>
            <w:r w:rsidRPr="00A7610D">
              <w:rPr>
                <w:rFonts w:ascii="Times New Roman" w:eastAsia="Calibri" w:hAnsi="Times New Roman" w:cs="Times New Roman"/>
                <w:bCs/>
                <w:sz w:val="28"/>
                <w:szCs w:val="28"/>
                <w:lang w:val="vi-VN"/>
              </w:rPr>
              <w:t>.</w:t>
            </w:r>
          </w:p>
          <w:p w14:paraId="63FC80E3" w14:textId="1C64225C"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(2) Về thủ tục thành lập tổ chức kinh tế của nhà đầu tư nước ngoài</w:t>
            </w:r>
          </w:p>
          <w:p w14:paraId="1EE90D9D" w14:textId="1FC7E92B" w:rsidR="00704CD5" w:rsidRPr="00A7610D" w:rsidRDefault="001A6168" w:rsidP="001A6168">
            <w:pPr>
              <w:spacing w:before="120" w:after="120" w:line="360" w:lineRule="exact"/>
              <w:jc w:val="both"/>
              <w:rPr>
                <w:rFonts w:ascii="Times New Roman" w:eastAsia="Calibri" w:hAnsi="Times New Roman" w:cs="Times New Roman"/>
                <w:b/>
                <w:sz w:val="28"/>
                <w:szCs w:val="28"/>
                <w:lang w:val="vi-VN"/>
              </w:rPr>
            </w:pPr>
            <w:r w:rsidRPr="00A7610D">
              <w:rPr>
                <w:rFonts w:ascii="Times New Roman" w:eastAsia="Calibri" w:hAnsi="Times New Roman" w:cs="Times New Roman"/>
                <w:bCs/>
                <w:sz w:val="28"/>
                <w:szCs w:val="28"/>
                <w:lang w:val="vi-VN"/>
              </w:rPr>
              <w:t>Ch</w:t>
            </w:r>
            <w:r w:rsidRPr="00A7610D">
              <w:rPr>
                <w:rFonts w:ascii="Times New Roman" w:eastAsia="Calibri" w:hAnsi="Times New Roman" w:cs="Times New Roman"/>
                <w:bCs/>
                <w:sz w:val="28"/>
                <w:szCs w:val="28"/>
              </w:rPr>
              <w:t>o</w:t>
            </w:r>
            <w:r w:rsidRPr="00A7610D">
              <w:rPr>
                <w:rFonts w:ascii="Times New Roman" w:eastAsia="Calibri" w:hAnsi="Times New Roman" w:cs="Times New Roman"/>
                <w:bCs/>
                <w:sz w:val="28"/>
                <w:szCs w:val="28"/>
                <w:lang w:val="vi-VN"/>
              </w:rPr>
              <w:t xml:space="preserve"> phép</w:t>
            </w:r>
            <w:r w:rsidRPr="00A7610D">
              <w:rPr>
                <w:rFonts w:ascii="Times New Roman" w:eastAsia="Calibri" w:hAnsi="Times New Roman" w:cs="Times New Roman"/>
                <w:bCs/>
                <w:sz w:val="28"/>
                <w:szCs w:val="28"/>
              </w:rPr>
              <w:t xml:space="preserve"> nhà đầu tư nước ngoài được thành lập tổ chức kinh tế mà không yêu</w:t>
            </w:r>
            <w:r w:rsidRPr="00A7610D">
              <w:rPr>
                <w:rFonts w:ascii="Times New Roman" w:eastAsia="Calibri" w:hAnsi="Times New Roman" w:cs="Times New Roman"/>
                <w:bCs/>
                <w:sz w:val="28"/>
                <w:szCs w:val="28"/>
                <w:lang w:val="vi-VN"/>
              </w:rPr>
              <w:t xml:space="preserve"> cầu </w:t>
            </w:r>
            <w:r w:rsidRPr="00A7610D">
              <w:rPr>
                <w:rFonts w:ascii="Times New Roman" w:eastAsia="Calibri" w:hAnsi="Times New Roman" w:cs="Times New Roman"/>
                <w:bCs/>
                <w:sz w:val="28"/>
                <w:szCs w:val="28"/>
              </w:rPr>
              <w:t>phải có dự án đầu tư trước khi thành lập</w:t>
            </w:r>
            <w:r w:rsidRPr="00A7610D">
              <w:rPr>
                <w:rFonts w:ascii="Times New Roman" w:eastAsia="Calibri" w:hAnsi="Times New Roman" w:cs="Times New Roman"/>
                <w:bCs/>
                <w:sz w:val="28"/>
                <w:szCs w:val="28"/>
                <w:lang w:val="vi-VN"/>
              </w:rPr>
              <w:t>.</w:t>
            </w:r>
          </w:p>
        </w:tc>
      </w:tr>
      <w:tr w:rsidR="00704CD5" w:rsidRPr="00A7610D" w14:paraId="304961E9" w14:textId="77777777" w:rsidTr="006B001F">
        <w:tc>
          <w:tcPr>
            <w:tcW w:w="4426" w:type="dxa"/>
          </w:tcPr>
          <w:p w14:paraId="496C235B" w14:textId="047DB1D7" w:rsidR="00704CD5" w:rsidRPr="00A7610D" w:rsidRDefault="00704CD5" w:rsidP="00704CD5">
            <w:pPr>
              <w:spacing w:before="120"/>
              <w:jc w:val="both"/>
              <w:rPr>
                <w:rFonts w:ascii="Times New Roman" w:hAnsi="Times New Roman" w:cs="Times New Roman"/>
                <w:b/>
                <w:sz w:val="28"/>
                <w:szCs w:val="28"/>
              </w:rPr>
            </w:pPr>
            <w:r w:rsidRPr="00A7610D">
              <w:rPr>
                <w:rFonts w:ascii="Times New Roman" w:hAnsi="Times New Roman" w:cs="Times New Roman"/>
                <w:b/>
                <w:sz w:val="28"/>
                <w:szCs w:val="28"/>
              </w:rPr>
              <w:lastRenderedPageBreak/>
              <w:t xml:space="preserve">Chính sách </w:t>
            </w:r>
            <w:r w:rsidR="00192FC1" w:rsidRPr="00A7610D">
              <w:rPr>
                <w:rFonts w:ascii="Times New Roman" w:hAnsi="Times New Roman" w:cs="Times New Roman"/>
                <w:b/>
                <w:sz w:val="28"/>
                <w:szCs w:val="28"/>
              </w:rPr>
              <w:t>2</w:t>
            </w:r>
            <w:r w:rsidRPr="00A7610D">
              <w:rPr>
                <w:rFonts w:ascii="Times New Roman" w:hAnsi="Times New Roman" w:cs="Times New Roman"/>
                <w:b/>
                <w:sz w:val="28"/>
                <w:szCs w:val="28"/>
              </w:rPr>
              <w:t xml:space="preserve">: </w:t>
            </w:r>
            <w:r w:rsidR="00192FC1" w:rsidRPr="00A7610D">
              <w:rPr>
                <w:rFonts w:ascii="Times New Roman" w:hAnsi="Times New Roman" w:cs="Times New Roman"/>
                <w:sz w:val="28"/>
                <w:szCs w:val="28"/>
              </w:rPr>
              <w:t>Hoàn thiện quy định về ngành, nghề đầu tư kinh doanh có điều kiện</w:t>
            </w:r>
          </w:p>
        </w:tc>
        <w:tc>
          <w:tcPr>
            <w:tcW w:w="4426" w:type="dxa"/>
          </w:tcPr>
          <w:p w14:paraId="54952C42" w14:textId="5371EA66" w:rsidR="00704CD5" w:rsidRPr="00A7610D" w:rsidRDefault="00192FC1" w:rsidP="00704CD5">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Sửa đổi, bổ sung Danh mục ngành, nghề đầu tư kinh doanh có điều kiện theo hướng hoàn thiện quy định về </w:t>
            </w:r>
            <w:r w:rsidRPr="00A7610D">
              <w:rPr>
                <w:rFonts w:ascii="Times New Roman" w:hAnsi="Times New Roman" w:cs="Times New Roman"/>
                <w:sz w:val="28"/>
                <w:szCs w:val="28"/>
              </w:rPr>
              <w:lastRenderedPageBreak/>
              <w:t>nguyên tắc xác định điều kiện đầu tư kinh doanh; tiếp tục rà soát, đề xuất bãi bỏ các ngành, nghề không cần thiết, không hợp lý, gây cản trở hoạt động sản xuất, kinh doanh.</w:t>
            </w:r>
          </w:p>
        </w:tc>
        <w:tc>
          <w:tcPr>
            <w:tcW w:w="5035" w:type="dxa"/>
          </w:tcPr>
          <w:p w14:paraId="04E1D6CC"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lastRenderedPageBreak/>
              <w:t xml:space="preserve">- Luật chỉ quy định nguyên tắc xác định ngành, nghề đầu tư kinh doanh có điều kiện là ngành, nghề mà việc thực hiện hoạt động </w:t>
            </w:r>
            <w:r w:rsidRPr="00A7610D">
              <w:rPr>
                <w:rFonts w:ascii="Times New Roman" w:hAnsi="Times New Roman" w:cs="Times New Roman"/>
                <w:sz w:val="28"/>
                <w:szCs w:val="28"/>
              </w:rPr>
              <w:lastRenderedPageBreak/>
              <w:t>đầu tư kinh doanh trong ngành, nghề đó phải đáp ứng điều kiện cần thiết vì lý do quốc phòng, an ninh quốc gia, trật tự, an toàn xã hội, đạo đức xã hội, sức khỏe của cộng đồng.</w:t>
            </w:r>
          </w:p>
          <w:p w14:paraId="66F9F4E6"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Giao Chính phủ quy định Danh mục ngành, nghề đầu tư kinh doanh có điều kiện </w:t>
            </w:r>
          </w:p>
          <w:p w14:paraId="1E34FC84"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Quy định nguyên tắc các Luật chuyên ngành không được quy định về ngành, nghề đầu tư kinh doanh có điều kiện, chỉ được quy định tại Luật Đầu tư hoặc Nghị định hướng dẫn Luật Đầu tư để đảm bảo thực hiện thống nhất quy định về hạn chế quyền kinh doanh của nhà đầu tư.</w:t>
            </w:r>
          </w:p>
          <w:p w14:paraId="79CFB46B" w14:textId="71C80913" w:rsidR="00704CD5"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Rà soát, đề xuất bãi bỏ các ngành, nghề không cần thiết, không hợp lý, gây cản trở hoạt động sản xuất, kinh doanh theo hướng chuyển từ tiền kiểm sang hậu kiểm, bãi bỏ các ngành, nghề và/hoặc điều kiện đầu tư kinh doanh có thể quản lý bằng các tiêu chuẩn, quy chuẩn kỹ thuật như: </w:t>
            </w:r>
            <w:r w:rsidRPr="00A7610D">
              <w:rPr>
                <w:rFonts w:ascii="Times New Roman" w:hAnsi="Times New Roman" w:cs="Times New Roman"/>
                <w:i/>
                <w:iCs/>
                <w:sz w:val="28"/>
                <w:szCs w:val="28"/>
              </w:rPr>
              <w:t>Kinh doanh dịch vụ đóng mới, hoán cải, sửa chữa, phục hồi phương tiện thủy nội địa; Kinh doanh dịch vụ đóng mới, hoán cải, sửa chữa tàu biển; Kinh doanh dịch vụ kế toán;…</w:t>
            </w:r>
          </w:p>
        </w:tc>
      </w:tr>
      <w:tr w:rsidR="00704CD5" w:rsidRPr="00A7610D" w14:paraId="5CA28D00" w14:textId="77777777" w:rsidTr="006B001F">
        <w:tc>
          <w:tcPr>
            <w:tcW w:w="4426" w:type="dxa"/>
          </w:tcPr>
          <w:p w14:paraId="5E573BD0" w14:textId="787278A8" w:rsidR="00704CD5" w:rsidRPr="00A7610D" w:rsidRDefault="00704CD5" w:rsidP="00704CD5">
            <w:pPr>
              <w:spacing w:before="120"/>
              <w:jc w:val="both"/>
              <w:rPr>
                <w:rFonts w:ascii="Times New Roman" w:hAnsi="Times New Roman" w:cs="Times New Roman"/>
                <w:sz w:val="28"/>
                <w:szCs w:val="28"/>
              </w:rPr>
            </w:pPr>
            <w:r w:rsidRPr="00A7610D">
              <w:rPr>
                <w:rFonts w:ascii="Times New Roman" w:hAnsi="Times New Roman" w:cs="Times New Roman"/>
                <w:b/>
                <w:sz w:val="28"/>
                <w:szCs w:val="28"/>
              </w:rPr>
              <w:t xml:space="preserve">Chính sách 2: </w:t>
            </w:r>
            <w:r w:rsidR="00192FC1" w:rsidRPr="00A7610D">
              <w:rPr>
                <w:rFonts w:ascii="Times New Roman" w:hAnsi="Times New Roman" w:cs="Times New Roman"/>
                <w:sz w:val="28"/>
                <w:szCs w:val="28"/>
              </w:rPr>
              <w:t>Hoàn thiện quy định về ngành, nghề ưu đãi đầu tư, địa bàn ưu đãi đầu tư, chính sách ưu đãi, hỗ trợ đầu tư đặc biệt</w:t>
            </w:r>
          </w:p>
        </w:tc>
        <w:tc>
          <w:tcPr>
            <w:tcW w:w="4426" w:type="dxa"/>
          </w:tcPr>
          <w:p w14:paraId="539E7F31" w14:textId="71F7CF7F" w:rsidR="00704CD5" w:rsidRPr="00A7610D" w:rsidRDefault="00192FC1" w:rsidP="00704CD5">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Sửa đổi, bổ sung quy định ngành, nghề ưu đãi đầu tư, địa bàn ưu đãi đầu tư, chính sách ưu đãi, hỗ trợ đầu tư đặc biệt để xây dựng nguyên tắc, tiêu chí xác định ngành, nghề, địa bàn ưu </w:t>
            </w:r>
            <w:r w:rsidRPr="00A7610D">
              <w:rPr>
                <w:rFonts w:ascii="Times New Roman" w:hAnsi="Times New Roman" w:cs="Times New Roman"/>
                <w:sz w:val="28"/>
                <w:szCs w:val="28"/>
              </w:rPr>
              <w:lastRenderedPageBreak/>
              <w:t>đãi đầu tư, đối tượng hưởng ưu đãi đầu tư đầu tư đặc biệt.</w:t>
            </w:r>
          </w:p>
        </w:tc>
        <w:tc>
          <w:tcPr>
            <w:tcW w:w="5035" w:type="dxa"/>
          </w:tcPr>
          <w:p w14:paraId="71EF6A80" w14:textId="5BE9BB6E"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lastRenderedPageBreak/>
              <w:t>(1) Về ngành, nghề ưu đãi đầu tư</w:t>
            </w:r>
          </w:p>
          <w:p w14:paraId="08D5AD1C"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Quy định nguyên tắc thu hút đầu tư vào những ngành, nghề trọng tâm, trọng điểm, nằm trong chiến lược phát triển kinh tế - xã </w:t>
            </w:r>
            <w:r w:rsidRPr="00A7610D">
              <w:rPr>
                <w:rFonts w:ascii="Times New Roman" w:hAnsi="Times New Roman" w:cs="Times New Roman"/>
                <w:sz w:val="28"/>
                <w:szCs w:val="28"/>
              </w:rPr>
              <w:lastRenderedPageBreak/>
              <w:t>hội của quốc gia, gồm một số ngành, nghề thuộc lĩnh vực nhằm phát triển khoa học công nghệ, đổi mới sáng tạo, chuyển đổi số; phát triển nông nghiệp, lâm nghiệp; bảo vệ môi trường, tài nguyên thiên nhiên; xây dựng và phát triển kết cấu hạ tầng, các dự án quan trọng, có quy mô lớn; phát triển sự nghiệp giáo dục, đào tạo, y tế, thể dục, thể thao và văn hóa dân tộc; phát triển ngành, nghề truyền thống; sử dụng nhiều lao động, phát triển kinh tế xanh, kinh tế tuần hoàn, kinh tế chia sẻ, kinh tế số…</w:t>
            </w:r>
          </w:p>
          <w:p w14:paraId="085EC159"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Quy định nguyên tắc ngành, nghề ưu đãi đầu tư phải được quy định tại pháp luật về đầu tư (không quy định tại các Luật chuyên ngành) để đảm bảo tính đồng bộ, thống nhất.</w:t>
            </w:r>
          </w:p>
          <w:p w14:paraId="362C3352"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Giao Chính phủ quy định chi tiết Danh mục ngành, nghề ưu đãi đầu tư. Ngành, nghề ưu đãi đầu tư cần gắn với mã ngành kinh tế quốc dân để tạo thuận lợi trong quá trình xác định đối tượng ưu đãi đầu tư.</w:t>
            </w:r>
          </w:p>
          <w:p w14:paraId="58B9AF46" w14:textId="20AA29AD"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(2) Về địa bàn ưu đãi đầu tư</w:t>
            </w:r>
          </w:p>
          <w:p w14:paraId="6685EC24"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Quy định nguyên tắc thu hút đầu tư vào các địa bàn có điều kiện kinh tế xã hội khó khăn, đặc biệt khó khăn; địa bàn có nhiều tiềm năng, lợi thế phát triển kinh tế; thu hút đầu tư các vùng trọng điểm cần ưu tiên thu hút đầu tư xanh, chuyển đổi năng lượng, phát triển công nghệ cao; thu hút đầu tư </w:t>
            </w:r>
            <w:r w:rsidRPr="00A7610D">
              <w:rPr>
                <w:rFonts w:ascii="Times New Roman" w:hAnsi="Times New Roman" w:cs="Times New Roman"/>
                <w:sz w:val="28"/>
                <w:szCs w:val="28"/>
              </w:rPr>
              <w:lastRenderedPageBreak/>
              <w:t>theo tiêu chí địa bàn có gắn với ngành, lĩnh vực cụ thể để phản ánh tiềm năng, thế mạnh và lợi thế thu hút đầu tư của từng địa phương trong từng ngành, lĩnh vực đó, tạo điều kiện cho việc thu hút nguồn lực đầu tư cho liên kết và phát triển vùng.</w:t>
            </w:r>
          </w:p>
          <w:p w14:paraId="3AC10781"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Quy định tiêu chí để phân loại, xác định địa bàn khó khăn, địa bàn đặc biệt khó khăn (dựa trên các chỉ tiêu như GRDP, cơ sở hạ tầng, tỷ lệ hô nghèo, vị trí địa lý…); nguyên tắc áp dụng, sửa đổi, bổ sung Danh mục địa bàn ưu đãi đầu tư để tạo cơ sở pháp lý cho việc xây dựng, sửa đổi, bổ sung Danh mục này; kiểm soát việc đáp ứng các tiêu chí địa bàn ưu đãi đầu tư để xem xét điều chỉnh, bổ sung Danh mục.</w:t>
            </w:r>
          </w:p>
          <w:p w14:paraId="1A49C552"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Giao Chính phủ quy định Danh mục địa bàn ưu đãi đầu tư.</w:t>
            </w:r>
          </w:p>
          <w:p w14:paraId="1B238C05" w14:textId="0F3D673A"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(3) Về chính sách ưu đãi, hỗ trợ đầu tư đặc biệt</w:t>
            </w:r>
          </w:p>
          <w:p w14:paraId="3DBF5C41"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Quy định nguyên tắc xác định đối tượng hưởng chính sách hỗ trợ đầu tư đặc biệt theo hướng tập trung vào các dự án lớn, nhằm thu hút các nhà đầu tư chiến lược, gắn với quy mô vốn đầu tư và tiến độ giải ngân có tính đến đặc thù của từng ngành, lĩnh vực.</w:t>
            </w:r>
          </w:p>
          <w:p w14:paraId="71430B8B"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Giao Chính phủ quy định cụ thể quy mô vốn đầu tư và tiến độ giải ngân của dự án </w:t>
            </w:r>
            <w:r w:rsidRPr="00A7610D">
              <w:rPr>
                <w:rFonts w:ascii="Times New Roman" w:hAnsi="Times New Roman" w:cs="Times New Roman"/>
                <w:sz w:val="28"/>
                <w:szCs w:val="28"/>
              </w:rPr>
              <w:lastRenderedPageBreak/>
              <w:t>thuộc đối tượng ưu đãi đầu tư đặc biệt phù hợp với tính chất đặc thù của từng ngành, lĩnh vực.</w:t>
            </w:r>
          </w:p>
          <w:p w14:paraId="02825279" w14:textId="341EBCD9" w:rsidR="00704CD5"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Bổ sung quy định cho phép Chính phủ đàm phán các chính sách ưu đãi đầu tư vượt trội để thu hút nhà đầu tư chiến lược trong các trường hợp đặc biệt.</w:t>
            </w:r>
          </w:p>
        </w:tc>
      </w:tr>
      <w:tr w:rsidR="00704CD5" w:rsidRPr="00A7610D" w14:paraId="76110E20" w14:textId="77777777" w:rsidTr="006B001F">
        <w:tc>
          <w:tcPr>
            <w:tcW w:w="4426" w:type="dxa"/>
          </w:tcPr>
          <w:p w14:paraId="7BB0F607" w14:textId="720EBE83" w:rsidR="00704CD5" w:rsidRPr="00A7610D" w:rsidRDefault="00704CD5" w:rsidP="00704CD5">
            <w:pPr>
              <w:spacing w:before="120"/>
              <w:jc w:val="both"/>
              <w:rPr>
                <w:rFonts w:ascii="Times New Roman" w:hAnsi="Times New Roman" w:cs="Times New Roman"/>
                <w:sz w:val="28"/>
                <w:szCs w:val="28"/>
              </w:rPr>
            </w:pPr>
            <w:r w:rsidRPr="00A7610D">
              <w:rPr>
                <w:rFonts w:ascii="Times New Roman" w:hAnsi="Times New Roman" w:cs="Times New Roman"/>
                <w:b/>
                <w:sz w:val="28"/>
                <w:szCs w:val="28"/>
              </w:rPr>
              <w:lastRenderedPageBreak/>
              <w:t xml:space="preserve">Chính sách 4: </w:t>
            </w:r>
            <w:r w:rsidR="00192FC1" w:rsidRPr="00A7610D">
              <w:rPr>
                <w:rFonts w:ascii="Times New Roman" w:hAnsi="Times New Roman" w:cs="Times New Roman"/>
                <w:bCs/>
                <w:sz w:val="28"/>
                <w:szCs w:val="28"/>
              </w:rPr>
              <w:t>Quản lý hoạt động đầu tư ra nước ngoài đảm bảo phù hợp với mục tiêu, nhu cầu quản lý của nhà nước và quyền tự do đầu tư kinh doanh của nhà đầu tư</w:t>
            </w:r>
          </w:p>
        </w:tc>
        <w:tc>
          <w:tcPr>
            <w:tcW w:w="4426" w:type="dxa"/>
          </w:tcPr>
          <w:p w14:paraId="4EDB6A5F" w14:textId="729FABBC" w:rsidR="00704CD5" w:rsidRPr="00A7610D" w:rsidRDefault="00192FC1" w:rsidP="00704CD5">
            <w:pPr>
              <w:spacing w:before="120"/>
              <w:jc w:val="both"/>
              <w:rPr>
                <w:rFonts w:ascii="Times New Roman" w:hAnsi="Times New Roman" w:cs="Times New Roman"/>
                <w:sz w:val="28"/>
                <w:szCs w:val="28"/>
              </w:rPr>
            </w:pPr>
            <w:r w:rsidRPr="00A7610D">
              <w:rPr>
                <w:rFonts w:ascii="Times New Roman" w:hAnsi="Times New Roman" w:cs="Times New Roman"/>
                <w:sz w:val="28"/>
                <w:szCs w:val="28"/>
              </w:rPr>
              <w:t>Sửa đổi quy định tại Chương V Luật Đầu tư (từ Điều 51 đến Điều 68) theo hướng bãi bỏ thủ tục đầu tư không cần thiết; tăng cường phân cấp, phân quyền cho địa phương thực hiện và quản lý.</w:t>
            </w:r>
          </w:p>
        </w:tc>
        <w:tc>
          <w:tcPr>
            <w:tcW w:w="5035" w:type="dxa"/>
          </w:tcPr>
          <w:p w14:paraId="269B3C26"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b/>
                <w:bCs/>
                <w:sz w:val="28"/>
                <w:szCs w:val="28"/>
              </w:rPr>
              <w:t>Phương án 1:</w:t>
            </w:r>
            <w:r w:rsidRPr="00A7610D">
              <w:rPr>
                <w:rFonts w:ascii="Times New Roman" w:hAnsi="Times New Roman" w:cs="Times New Roman"/>
                <w:sz w:val="28"/>
                <w:szCs w:val="28"/>
              </w:rPr>
              <w:t xml:space="preserve"> Bãi bỏ thủ tục đầu tư ra nước ngoài, chuyển sang phương thức quản lý ngoại hối</w:t>
            </w:r>
          </w:p>
          <w:p w14:paraId="2C5F3627"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Bãi bỏ thủ tục chấp thuận chủ trương đầu tư ra nước ngoài thuộc thẩm quyền của Quốc hội và của Thủ tướng Chính phủ;</w:t>
            </w:r>
          </w:p>
          <w:p w14:paraId="5BAD406C"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Bãi bỏ thủ tục cấp Giấy chứng nhận đăng ký đầu tư ra nước ngoài thuộc thẩm quyền của Bộ Tài chính.</w:t>
            </w:r>
          </w:p>
          <w:p w14:paraId="208D494D"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Chuyển sang cơ chế nhà đầu tư đăng ký với Ngân hàng Nhà nước Việt Nam để chuyển tiền ra nước ngoài.</w:t>
            </w:r>
          </w:p>
          <w:p w14:paraId="6741CF2F" w14:textId="13D62252"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b/>
                <w:bCs/>
                <w:sz w:val="28"/>
                <w:szCs w:val="28"/>
              </w:rPr>
              <w:t>Phương án 2:</w:t>
            </w:r>
            <w:r w:rsidRPr="00A7610D">
              <w:rPr>
                <w:rFonts w:ascii="Times New Roman" w:hAnsi="Times New Roman" w:cs="Times New Roman"/>
                <w:sz w:val="28"/>
                <w:szCs w:val="28"/>
              </w:rPr>
              <w:t xml:space="preserve"> Đơn giản hoá thủ tục đầu tư ra nước ngoài</w:t>
            </w:r>
          </w:p>
          <w:p w14:paraId="62B63176" w14:textId="77777777" w:rsidR="00192FC1"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Bãi bỏ thủ tục chấp thuận chủ trương đầu tư ra nước ngoài (thẩm quyền của Quốc hội, Thủ tướng Chính phủ); </w:t>
            </w:r>
          </w:p>
          <w:p w14:paraId="528C93DB" w14:textId="02947195" w:rsidR="00704CD5" w:rsidRPr="00A7610D" w:rsidRDefault="00192FC1" w:rsidP="00192FC1">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Thu hẹp diện dự án phải thực hiện thủ tục cấp Giấy chứng nhận đăng ký đầu tư ra nước ngoài theo hướng chỉ áp dụng đối với dự án có vốn đầu tư từ 20 tỷ đồng </w:t>
            </w:r>
            <w:r w:rsidRPr="00A7610D">
              <w:rPr>
                <w:rFonts w:ascii="Times New Roman" w:hAnsi="Times New Roman" w:cs="Times New Roman"/>
                <w:sz w:val="28"/>
                <w:szCs w:val="28"/>
              </w:rPr>
              <w:lastRenderedPageBreak/>
              <w:t>(~760.000 USD) trở lên, đối với các dự án có quy mô dưới 20 tỷ đồng thì chỉ cần thực hiện việc đăng ký giao dịch ngoại hối với Ngân hàng Nhà nước để chuyển tiền ra nước ngoài.</w:t>
            </w:r>
          </w:p>
        </w:tc>
      </w:tr>
      <w:tr w:rsidR="00704CD5" w14:paraId="7EC90EFF" w14:textId="77777777" w:rsidTr="006B001F">
        <w:tc>
          <w:tcPr>
            <w:tcW w:w="4426" w:type="dxa"/>
          </w:tcPr>
          <w:p w14:paraId="45444EBD" w14:textId="3CE728B7" w:rsidR="00704CD5" w:rsidRPr="00A7610D" w:rsidRDefault="00704CD5" w:rsidP="00704CD5">
            <w:pPr>
              <w:spacing w:before="120"/>
              <w:jc w:val="both"/>
              <w:rPr>
                <w:rFonts w:ascii="Times New Roman" w:hAnsi="Times New Roman" w:cs="Times New Roman"/>
                <w:sz w:val="28"/>
                <w:szCs w:val="28"/>
              </w:rPr>
            </w:pPr>
            <w:r w:rsidRPr="00A7610D">
              <w:rPr>
                <w:rFonts w:ascii="Times New Roman" w:hAnsi="Times New Roman" w:cs="Times New Roman"/>
                <w:b/>
                <w:sz w:val="28"/>
                <w:szCs w:val="28"/>
              </w:rPr>
              <w:lastRenderedPageBreak/>
              <w:t xml:space="preserve">Chính sách 5: </w:t>
            </w:r>
            <w:r w:rsidR="00021AEF" w:rsidRPr="00A7610D">
              <w:rPr>
                <w:rFonts w:ascii="Times New Roman" w:hAnsi="Times New Roman" w:cs="Times New Roman"/>
                <w:bCs/>
                <w:sz w:val="28"/>
                <w:szCs w:val="28"/>
              </w:rPr>
              <w:t>Hoàn thiện quy định về triển khai thực hiện dự án đầu tư, tháo gỡ khó khăn, vướng mắc phát sinh từ thực tiễn liên quan đến việc triển khai, thực hiện dự án đầu tư</w:t>
            </w:r>
          </w:p>
        </w:tc>
        <w:tc>
          <w:tcPr>
            <w:tcW w:w="4426" w:type="dxa"/>
          </w:tcPr>
          <w:p w14:paraId="688D857F" w14:textId="44336D87" w:rsidR="00704CD5" w:rsidRPr="00A7610D" w:rsidRDefault="00021AEF" w:rsidP="00704CD5">
            <w:pPr>
              <w:spacing w:before="120"/>
              <w:jc w:val="both"/>
              <w:rPr>
                <w:rFonts w:ascii="Times New Roman" w:hAnsi="Times New Roman" w:cs="Times New Roman"/>
                <w:sz w:val="28"/>
                <w:szCs w:val="28"/>
              </w:rPr>
            </w:pPr>
            <w:r w:rsidRPr="00A7610D">
              <w:rPr>
                <w:rFonts w:ascii="Times New Roman" w:hAnsi="Times New Roman" w:cs="Times New Roman"/>
                <w:sz w:val="28"/>
                <w:szCs w:val="28"/>
              </w:rPr>
              <w:t>Đơn giản hoá thủ tục hành chính, sửa đổi, bổ sung quy định để tháo gỡ khó khăn vướng mắc, thúc đẩy việc triển khai thực hiện dự án.</w:t>
            </w:r>
          </w:p>
        </w:tc>
        <w:tc>
          <w:tcPr>
            <w:tcW w:w="5035" w:type="dxa"/>
          </w:tcPr>
          <w:p w14:paraId="0C8CB1C2" w14:textId="77777777" w:rsidR="00021AEF" w:rsidRPr="00A7610D"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 Về ký quỹ bảo đảm thực hiện dự án:</w:t>
            </w:r>
          </w:p>
          <w:p w14:paraId="0C8C0758" w14:textId="77777777" w:rsidR="00021AEF" w:rsidRPr="00A7610D"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Tiếp tục kế thừa các quy định tại Luật Đầu tư 2020, rà soát thu hẹp trường hợp thực hiện ký quỹ (như dự án có chuyển mục đích sử dụng đất); hoàn thiện các quy định về hoàn trả, điều chỉnh, chấm dứt nghĩa vụ ký quỹ tại Nghị định hướng dẫn thi hành.</w:t>
            </w:r>
          </w:p>
          <w:p w14:paraId="7302605B" w14:textId="77777777" w:rsidR="00021AEF" w:rsidRPr="00A7610D"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 Về thủ tục chuyển nhượng dự án đầu tư</w:t>
            </w:r>
          </w:p>
          <w:p w14:paraId="3D377566" w14:textId="77777777" w:rsidR="00021AEF" w:rsidRPr="00A7610D"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Xác định cụ thể thủ tục chuyển nhượng dự án đầu tư áp dụng đối với dự án đầu tư được quyết định chủ trương đầu tư, chấp thuận chủ trương đầu tư và dự án được cấp Giấy chứng nhận đăng ký đầu tư và các giấy tờ có giá trị pháp lý tương đương theo quy định của pháp luật về đầu tư qua các thời kỳ để thực hiện thống nhất thay vì chỉ thực hiện thủ tục chuyển nhượng đối với dự án đầu tư mà nhà đầu tư được chấp thuận theo quy định tại Điều 29 của Luật Đầu tư và dự án đầu tư được cấp Giấy chứng nhận đăng ký đầu tư như quy định hiện hành. </w:t>
            </w:r>
          </w:p>
          <w:p w14:paraId="139FAB17" w14:textId="77777777" w:rsidR="00021AEF" w:rsidRPr="00A7610D"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 xml:space="preserve">+ Phân định thủ tục chuyển nhượng dự án đầu tư và chuyển nhượng tài sản của dự án </w:t>
            </w:r>
            <w:r w:rsidRPr="00A7610D">
              <w:rPr>
                <w:rFonts w:ascii="Times New Roman" w:hAnsi="Times New Roman" w:cs="Times New Roman"/>
                <w:sz w:val="28"/>
                <w:szCs w:val="28"/>
              </w:rPr>
              <w:lastRenderedPageBreak/>
              <w:t>đầu tư theo quy định của pháp luật về dân sự.</w:t>
            </w:r>
          </w:p>
          <w:p w14:paraId="6F734D72" w14:textId="77777777" w:rsidR="00021AEF" w:rsidRPr="00A7610D"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 Bổ sung quy định về chấm dứt hoạt động của dự án đầu tư trong trường hợp nhà đầu tư là tổ chức kinh tế bị giải thể, phá sản.</w:t>
            </w:r>
          </w:p>
          <w:p w14:paraId="356F022E" w14:textId="77777777" w:rsidR="00021AEF" w:rsidRPr="00A7610D"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 Lược bỏ bớt nội dung nhà đầu tư phải thực hiện thủ tục chấp thuận điều chỉnh chủ trương đầu tư.</w:t>
            </w:r>
          </w:p>
          <w:p w14:paraId="18473500" w14:textId="7EB36A9C" w:rsidR="00704CD5" w:rsidRDefault="00021AEF" w:rsidP="00021AEF">
            <w:pPr>
              <w:spacing w:before="120"/>
              <w:jc w:val="both"/>
              <w:rPr>
                <w:rFonts w:ascii="Times New Roman" w:hAnsi="Times New Roman" w:cs="Times New Roman"/>
                <w:sz w:val="28"/>
                <w:szCs w:val="28"/>
              </w:rPr>
            </w:pPr>
            <w:r w:rsidRPr="00A7610D">
              <w:rPr>
                <w:rFonts w:ascii="Times New Roman" w:hAnsi="Times New Roman" w:cs="Times New Roman"/>
                <w:sz w:val="28"/>
                <w:szCs w:val="28"/>
              </w:rPr>
              <w:t>- Bổ sung các quy định chuyển tiếp trong việc thực hiện thủ tục ngừng, chấm dứt hoạt động của dự án đầu tư.</w:t>
            </w:r>
          </w:p>
        </w:tc>
      </w:tr>
    </w:tbl>
    <w:p w14:paraId="66B7CEBE" w14:textId="14282CA6" w:rsidR="00C70904" w:rsidRPr="00377577" w:rsidRDefault="00C70904" w:rsidP="00125B4F">
      <w:pPr>
        <w:rPr>
          <w:rFonts w:ascii="Times New Roman" w:hAnsi="Times New Roman" w:cs="Times New Roman"/>
          <w:b/>
          <w:sz w:val="28"/>
          <w:szCs w:val="28"/>
        </w:rPr>
      </w:pPr>
    </w:p>
    <w:sectPr w:rsidR="00C70904" w:rsidRPr="00377577" w:rsidSect="006B001F">
      <w:headerReference w:type="default" r:id="rId8"/>
      <w:pgSz w:w="15840" w:h="12240" w:orient="landscape"/>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FECB1" w14:textId="77777777" w:rsidR="00FC29FC" w:rsidRDefault="00FC29FC" w:rsidP="005268F8">
      <w:pPr>
        <w:spacing w:after="0" w:line="240" w:lineRule="auto"/>
      </w:pPr>
      <w:r>
        <w:separator/>
      </w:r>
    </w:p>
  </w:endnote>
  <w:endnote w:type="continuationSeparator" w:id="0">
    <w:p w14:paraId="37F1D7C6" w14:textId="77777777" w:rsidR="00FC29FC" w:rsidRDefault="00FC29FC" w:rsidP="0052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78B83" w14:textId="77777777" w:rsidR="00FC29FC" w:rsidRDefault="00FC29FC" w:rsidP="005268F8">
      <w:pPr>
        <w:spacing w:after="0" w:line="240" w:lineRule="auto"/>
      </w:pPr>
      <w:r>
        <w:separator/>
      </w:r>
    </w:p>
  </w:footnote>
  <w:footnote w:type="continuationSeparator" w:id="0">
    <w:p w14:paraId="3CA50D03" w14:textId="77777777" w:rsidR="00FC29FC" w:rsidRDefault="00FC29FC" w:rsidP="00526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235050"/>
      <w:docPartObj>
        <w:docPartGallery w:val="Page Numbers (Top of Page)"/>
        <w:docPartUnique/>
      </w:docPartObj>
    </w:sdtPr>
    <w:sdtEndPr>
      <w:rPr>
        <w:noProof/>
      </w:rPr>
    </w:sdtEndPr>
    <w:sdtContent>
      <w:p w14:paraId="55EDFD71" w14:textId="344379F1" w:rsidR="00A7610D" w:rsidRDefault="00A7610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DEE755" w14:textId="77777777" w:rsidR="00A7610D" w:rsidRDefault="00A76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2087"/>
    <w:multiLevelType w:val="hybridMultilevel"/>
    <w:tmpl w:val="BD923B2A"/>
    <w:lvl w:ilvl="0" w:tplc="DAE881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705A5"/>
    <w:multiLevelType w:val="hybridMultilevel"/>
    <w:tmpl w:val="994445DC"/>
    <w:lvl w:ilvl="0" w:tplc="13B427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1ECB"/>
    <w:multiLevelType w:val="hybridMultilevel"/>
    <w:tmpl w:val="82069964"/>
    <w:lvl w:ilvl="0" w:tplc="2D9409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E10FB"/>
    <w:multiLevelType w:val="hybridMultilevel"/>
    <w:tmpl w:val="4E0448DE"/>
    <w:lvl w:ilvl="0" w:tplc="20C47AD2">
      <w:start w:val="3"/>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D4F74"/>
    <w:multiLevelType w:val="hybridMultilevel"/>
    <w:tmpl w:val="8DE89974"/>
    <w:lvl w:ilvl="0" w:tplc="412478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D77B0"/>
    <w:multiLevelType w:val="hybridMultilevel"/>
    <w:tmpl w:val="6922AEE8"/>
    <w:lvl w:ilvl="0" w:tplc="7A022A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D1A63"/>
    <w:multiLevelType w:val="hybridMultilevel"/>
    <w:tmpl w:val="89727960"/>
    <w:lvl w:ilvl="0" w:tplc="5DF85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9139F"/>
    <w:multiLevelType w:val="hybridMultilevel"/>
    <w:tmpl w:val="349E0FFA"/>
    <w:lvl w:ilvl="0" w:tplc="99D29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7204D"/>
    <w:multiLevelType w:val="hybridMultilevel"/>
    <w:tmpl w:val="426A55CC"/>
    <w:lvl w:ilvl="0" w:tplc="31A26F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D7B7C"/>
    <w:multiLevelType w:val="hybridMultilevel"/>
    <w:tmpl w:val="73E8ED10"/>
    <w:lvl w:ilvl="0" w:tplc="804EC1E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52C33"/>
    <w:multiLevelType w:val="hybridMultilevel"/>
    <w:tmpl w:val="DD6C2700"/>
    <w:lvl w:ilvl="0" w:tplc="F65025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53919"/>
    <w:multiLevelType w:val="hybridMultilevel"/>
    <w:tmpl w:val="B3F8DBD6"/>
    <w:lvl w:ilvl="0" w:tplc="949CBB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B6DFA"/>
    <w:multiLevelType w:val="hybridMultilevel"/>
    <w:tmpl w:val="CE3A2FD2"/>
    <w:lvl w:ilvl="0" w:tplc="5136E7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60AC6"/>
    <w:multiLevelType w:val="hybridMultilevel"/>
    <w:tmpl w:val="B8C4E6F6"/>
    <w:lvl w:ilvl="0" w:tplc="1E8EA0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34F43"/>
    <w:multiLevelType w:val="hybridMultilevel"/>
    <w:tmpl w:val="A58A2F20"/>
    <w:lvl w:ilvl="0" w:tplc="976CA6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E266C"/>
    <w:multiLevelType w:val="hybridMultilevel"/>
    <w:tmpl w:val="7604EE2E"/>
    <w:lvl w:ilvl="0" w:tplc="A0902FBA">
      <w:start w:val="1"/>
      <w:numFmt w:val="bullet"/>
      <w:lvlText w:val="-"/>
      <w:lvlJc w:val="left"/>
      <w:pPr>
        <w:ind w:left="430" w:hanging="360"/>
      </w:pPr>
      <w:rPr>
        <w:rFonts w:ascii="Times New Roman" w:eastAsiaTheme="minorHAnsi" w:hAnsi="Times New Roman" w:cs="Times New Roman" w:hint="default"/>
        <w:b w:val="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 w15:restartNumberingAfterBreak="0">
    <w:nsid w:val="5FC73205"/>
    <w:multiLevelType w:val="hybridMultilevel"/>
    <w:tmpl w:val="2E78419E"/>
    <w:lvl w:ilvl="0" w:tplc="9F2CC4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465EE"/>
    <w:multiLevelType w:val="hybridMultilevel"/>
    <w:tmpl w:val="B46C3842"/>
    <w:lvl w:ilvl="0" w:tplc="5F4E97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50AC1"/>
    <w:multiLevelType w:val="hybridMultilevel"/>
    <w:tmpl w:val="B5B4664A"/>
    <w:lvl w:ilvl="0" w:tplc="F5A417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B19E9"/>
    <w:multiLevelType w:val="hybridMultilevel"/>
    <w:tmpl w:val="A08A6D8E"/>
    <w:lvl w:ilvl="0" w:tplc="89888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B070E"/>
    <w:multiLevelType w:val="hybridMultilevel"/>
    <w:tmpl w:val="0B2CF42A"/>
    <w:lvl w:ilvl="0" w:tplc="7B4A2F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A575F"/>
    <w:multiLevelType w:val="hybridMultilevel"/>
    <w:tmpl w:val="7CEA839A"/>
    <w:lvl w:ilvl="0" w:tplc="DCB0E4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A0DB2"/>
    <w:multiLevelType w:val="hybridMultilevel"/>
    <w:tmpl w:val="1CDA1752"/>
    <w:lvl w:ilvl="0" w:tplc="FADA17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B775B"/>
    <w:multiLevelType w:val="hybridMultilevel"/>
    <w:tmpl w:val="5F36F2CE"/>
    <w:lvl w:ilvl="0" w:tplc="84E266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0097B"/>
    <w:multiLevelType w:val="hybridMultilevel"/>
    <w:tmpl w:val="4ACABFCC"/>
    <w:lvl w:ilvl="0" w:tplc="874E5F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A43B2"/>
    <w:multiLevelType w:val="hybridMultilevel"/>
    <w:tmpl w:val="77625132"/>
    <w:lvl w:ilvl="0" w:tplc="2B76B0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5179F"/>
    <w:multiLevelType w:val="hybridMultilevel"/>
    <w:tmpl w:val="D4985804"/>
    <w:lvl w:ilvl="0" w:tplc="A7EEC04C">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B65FE"/>
    <w:multiLevelType w:val="hybridMultilevel"/>
    <w:tmpl w:val="C1C08A28"/>
    <w:lvl w:ilvl="0" w:tplc="2222CA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3376D"/>
    <w:multiLevelType w:val="hybridMultilevel"/>
    <w:tmpl w:val="D2D28114"/>
    <w:lvl w:ilvl="0" w:tplc="C5E223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B4359"/>
    <w:multiLevelType w:val="hybridMultilevel"/>
    <w:tmpl w:val="C06C87EC"/>
    <w:lvl w:ilvl="0" w:tplc="8CC87F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C2B13"/>
    <w:multiLevelType w:val="hybridMultilevel"/>
    <w:tmpl w:val="6A86329A"/>
    <w:lvl w:ilvl="0" w:tplc="2CDC51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77847">
    <w:abstractNumId w:val="22"/>
  </w:num>
  <w:num w:numId="2" w16cid:durableId="1336305390">
    <w:abstractNumId w:val="26"/>
  </w:num>
  <w:num w:numId="3" w16cid:durableId="1454668936">
    <w:abstractNumId w:val="17"/>
  </w:num>
  <w:num w:numId="4" w16cid:durableId="263154317">
    <w:abstractNumId w:val="24"/>
  </w:num>
  <w:num w:numId="5" w16cid:durableId="1587423989">
    <w:abstractNumId w:val="5"/>
  </w:num>
  <w:num w:numId="6" w16cid:durableId="1902907447">
    <w:abstractNumId w:val="12"/>
  </w:num>
  <w:num w:numId="7" w16cid:durableId="991561605">
    <w:abstractNumId w:val="16"/>
  </w:num>
  <w:num w:numId="8" w16cid:durableId="329066565">
    <w:abstractNumId w:val="28"/>
  </w:num>
  <w:num w:numId="9" w16cid:durableId="2030600121">
    <w:abstractNumId w:val="19"/>
  </w:num>
  <w:num w:numId="10" w16cid:durableId="576749121">
    <w:abstractNumId w:val="29"/>
  </w:num>
  <w:num w:numId="11" w16cid:durableId="1517579067">
    <w:abstractNumId w:val="11"/>
  </w:num>
  <w:num w:numId="12" w16cid:durableId="122967300">
    <w:abstractNumId w:val="4"/>
  </w:num>
  <w:num w:numId="13" w16cid:durableId="170872182">
    <w:abstractNumId w:val="9"/>
  </w:num>
  <w:num w:numId="14" w16cid:durableId="887113031">
    <w:abstractNumId w:val="15"/>
  </w:num>
  <w:num w:numId="15" w16cid:durableId="1871332067">
    <w:abstractNumId w:val="14"/>
  </w:num>
  <w:num w:numId="16" w16cid:durableId="929004685">
    <w:abstractNumId w:val="1"/>
  </w:num>
  <w:num w:numId="17" w16cid:durableId="1423263386">
    <w:abstractNumId w:val="0"/>
  </w:num>
  <w:num w:numId="18" w16cid:durableId="1372338188">
    <w:abstractNumId w:val="23"/>
  </w:num>
  <w:num w:numId="19" w16cid:durableId="1857226195">
    <w:abstractNumId w:val="18"/>
  </w:num>
  <w:num w:numId="20" w16cid:durableId="397437825">
    <w:abstractNumId w:val="13"/>
  </w:num>
  <w:num w:numId="21" w16cid:durableId="465317573">
    <w:abstractNumId w:val="21"/>
  </w:num>
  <w:num w:numId="22" w16cid:durableId="910893366">
    <w:abstractNumId w:val="25"/>
  </w:num>
  <w:num w:numId="23" w16cid:durableId="1749689229">
    <w:abstractNumId w:val="6"/>
  </w:num>
  <w:num w:numId="24" w16cid:durableId="1684553198">
    <w:abstractNumId w:val="20"/>
  </w:num>
  <w:num w:numId="25" w16cid:durableId="117381660">
    <w:abstractNumId w:val="8"/>
  </w:num>
  <w:num w:numId="26" w16cid:durableId="2088452029">
    <w:abstractNumId w:val="7"/>
  </w:num>
  <w:num w:numId="27" w16cid:durableId="78136378">
    <w:abstractNumId w:val="30"/>
  </w:num>
  <w:num w:numId="28" w16cid:durableId="1845126994">
    <w:abstractNumId w:val="10"/>
  </w:num>
  <w:num w:numId="29" w16cid:durableId="1514417829">
    <w:abstractNumId w:val="27"/>
  </w:num>
  <w:num w:numId="30" w16cid:durableId="2040814837">
    <w:abstractNumId w:val="2"/>
  </w:num>
  <w:num w:numId="31" w16cid:durableId="949897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20"/>
    <w:rsid w:val="00001BDF"/>
    <w:rsid w:val="00006623"/>
    <w:rsid w:val="00021AEF"/>
    <w:rsid w:val="000259C4"/>
    <w:rsid w:val="000362CF"/>
    <w:rsid w:val="00045224"/>
    <w:rsid w:val="0004542C"/>
    <w:rsid w:val="00055208"/>
    <w:rsid w:val="00064260"/>
    <w:rsid w:val="00075113"/>
    <w:rsid w:val="00090FC4"/>
    <w:rsid w:val="000A0FBC"/>
    <w:rsid w:val="000A26F2"/>
    <w:rsid w:val="000B289F"/>
    <w:rsid w:val="000C3C40"/>
    <w:rsid w:val="000D3A7E"/>
    <w:rsid w:val="000E0A32"/>
    <w:rsid w:val="000E0F03"/>
    <w:rsid w:val="000E32CB"/>
    <w:rsid w:val="000E4F86"/>
    <w:rsid w:val="000E7666"/>
    <w:rsid w:val="001013FE"/>
    <w:rsid w:val="00104B22"/>
    <w:rsid w:val="00105717"/>
    <w:rsid w:val="00110A57"/>
    <w:rsid w:val="001147BC"/>
    <w:rsid w:val="00125B4F"/>
    <w:rsid w:val="00132BEA"/>
    <w:rsid w:val="0015070E"/>
    <w:rsid w:val="001529B4"/>
    <w:rsid w:val="0015795E"/>
    <w:rsid w:val="00160B7E"/>
    <w:rsid w:val="00161689"/>
    <w:rsid w:val="00172E48"/>
    <w:rsid w:val="0017731A"/>
    <w:rsid w:val="0018458B"/>
    <w:rsid w:val="001875B4"/>
    <w:rsid w:val="00191E0E"/>
    <w:rsid w:val="00192FC1"/>
    <w:rsid w:val="001A6168"/>
    <w:rsid w:val="001B14A9"/>
    <w:rsid w:val="001B6DAB"/>
    <w:rsid w:val="001D5426"/>
    <w:rsid w:val="001E3F0D"/>
    <w:rsid w:val="00221837"/>
    <w:rsid w:val="00233B25"/>
    <w:rsid w:val="00236127"/>
    <w:rsid w:val="00240C51"/>
    <w:rsid w:val="00247DB2"/>
    <w:rsid w:val="00255124"/>
    <w:rsid w:val="0027342A"/>
    <w:rsid w:val="00283D7C"/>
    <w:rsid w:val="00285558"/>
    <w:rsid w:val="002863EB"/>
    <w:rsid w:val="002A4A37"/>
    <w:rsid w:val="002B012C"/>
    <w:rsid w:val="002B5278"/>
    <w:rsid w:val="002B5E20"/>
    <w:rsid w:val="002D515D"/>
    <w:rsid w:val="002E193B"/>
    <w:rsid w:val="002F202E"/>
    <w:rsid w:val="002F238E"/>
    <w:rsid w:val="002F3D5F"/>
    <w:rsid w:val="00301335"/>
    <w:rsid w:val="00312543"/>
    <w:rsid w:val="00331377"/>
    <w:rsid w:val="003339B5"/>
    <w:rsid w:val="00351E99"/>
    <w:rsid w:val="003554F0"/>
    <w:rsid w:val="003561A6"/>
    <w:rsid w:val="003608BC"/>
    <w:rsid w:val="00361C66"/>
    <w:rsid w:val="00362781"/>
    <w:rsid w:val="00372898"/>
    <w:rsid w:val="00373D11"/>
    <w:rsid w:val="00373E08"/>
    <w:rsid w:val="00375C27"/>
    <w:rsid w:val="00377577"/>
    <w:rsid w:val="00384455"/>
    <w:rsid w:val="00395266"/>
    <w:rsid w:val="003A44D5"/>
    <w:rsid w:val="003A57CF"/>
    <w:rsid w:val="003A7C4C"/>
    <w:rsid w:val="003E2DC9"/>
    <w:rsid w:val="003E7316"/>
    <w:rsid w:val="00416783"/>
    <w:rsid w:val="00423EDE"/>
    <w:rsid w:val="004269FC"/>
    <w:rsid w:val="004311C1"/>
    <w:rsid w:val="00440FDC"/>
    <w:rsid w:val="00442341"/>
    <w:rsid w:val="00451E3A"/>
    <w:rsid w:val="00486497"/>
    <w:rsid w:val="0049043D"/>
    <w:rsid w:val="004A03E1"/>
    <w:rsid w:val="004A3620"/>
    <w:rsid w:val="004A7CD0"/>
    <w:rsid w:val="004B2E0D"/>
    <w:rsid w:val="004F2A68"/>
    <w:rsid w:val="0050014D"/>
    <w:rsid w:val="00502891"/>
    <w:rsid w:val="00511826"/>
    <w:rsid w:val="00511C4E"/>
    <w:rsid w:val="00511CD0"/>
    <w:rsid w:val="00514A59"/>
    <w:rsid w:val="005268F8"/>
    <w:rsid w:val="005609C5"/>
    <w:rsid w:val="0056268F"/>
    <w:rsid w:val="00571268"/>
    <w:rsid w:val="00574200"/>
    <w:rsid w:val="0057797E"/>
    <w:rsid w:val="0058182D"/>
    <w:rsid w:val="005928F9"/>
    <w:rsid w:val="00597802"/>
    <w:rsid w:val="00597A5B"/>
    <w:rsid w:val="005A02FB"/>
    <w:rsid w:val="005A0C61"/>
    <w:rsid w:val="005C0F12"/>
    <w:rsid w:val="005C219D"/>
    <w:rsid w:val="005D7D3D"/>
    <w:rsid w:val="005E551D"/>
    <w:rsid w:val="005E6648"/>
    <w:rsid w:val="005E6F57"/>
    <w:rsid w:val="005F24D0"/>
    <w:rsid w:val="005F305A"/>
    <w:rsid w:val="005F6D02"/>
    <w:rsid w:val="005F7783"/>
    <w:rsid w:val="00607E9D"/>
    <w:rsid w:val="006106EE"/>
    <w:rsid w:val="006141AC"/>
    <w:rsid w:val="0062546D"/>
    <w:rsid w:val="006513E5"/>
    <w:rsid w:val="0065401B"/>
    <w:rsid w:val="00663A6F"/>
    <w:rsid w:val="0067733F"/>
    <w:rsid w:val="006816B2"/>
    <w:rsid w:val="00681C89"/>
    <w:rsid w:val="0068606E"/>
    <w:rsid w:val="006869F6"/>
    <w:rsid w:val="006943B1"/>
    <w:rsid w:val="006A2753"/>
    <w:rsid w:val="006A2B6B"/>
    <w:rsid w:val="006B001F"/>
    <w:rsid w:val="006B43C1"/>
    <w:rsid w:val="006B79E5"/>
    <w:rsid w:val="006E31B1"/>
    <w:rsid w:val="006E330D"/>
    <w:rsid w:val="006E7DD6"/>
    <w:rsid w:val="006F7354"/>
    <w:rsid w:val="007004EB"/>
    <w:rsid w:val="00704CD5"/>
    <w:rsid w:val="007122B3"/>
    <w:rsid w:val="00721E49"/>
    <w:rsid w:val="007223E0"/>
    <w:rsid w:val="007323A1"/>
    <w:rsid w:val="007334B9"/>
    <w:rsid w:val="007342F1"/>
    <w:rsid w:val="007569BB"/>
    <w:rsid w:val="00757646"/>
    <w:rsid w:val="00765F29"/>
    <w:rsid w:val="00783596"/>
    <w:rsid w:val="00792DA1"/>
    <w:rsid w:val="0079316B"/>
    <w:rsid w:val="007A372C"/>
    <w:rsid w:val="007A7933"/>
    <w:rsid w:val="007D52D9"/>
    <w:rsid w:val="007F1F08"/>
    <w:rsid w:val="007F5DB0"/>
    <w:rsid w:val="00802512"/>
    <w:rsid w:val="008107AF"/>
    <w:rsid w:val="00833749"/>
    <w:rsid w:val="00835AE7"/>
    <w:rsid w:val="00841622"/>
    <w:rsid w:val="008422B9"/>
    <w:rsid w:val="00850C62"/>
    <w:rsid w:val="00870A13"/>
    <w:rsid w:val="00872A08"/>
    <w:rsid w:val="00880E45"/>
    <w:rsid w:val="00881E75"/>
    <w:rsid w:val="0088239A"/>
    <w:rsid w:val="0088754F"/>
    <w:rsid w:val="00892932"/>
    <w:rsid w:val="00893F3F"/>
    <w:rsid w:val="008B50E3"/>
    <w:rsid w:val="008B7EB8"/>
    <w:rsid w:val="008B7FE0"/>
    <w:rsid w:val="008D3618"/>
    <w:rsid w:val="008D45CA"/>
    <w:rsid w:val="008D5EE1"/>
    <w:rsid w:val="009035A4"/>
    <w:rsid w:val="00911087"/>
    <w:rsid w:val="00911E96"/>
    <w:rsid w:val="00914D6A"/>
    <w:rsid w:val="00925DE9"/>
    <w:rsid w:val="0093296E"/>
    <w:rsid w:val="009374D9"/>
    <w:rsid w:val="00941DEA"/>
    <w:rsid w:val="00946D6C"/>
    <w:rsid w:val="00950EC3"/>
    <w:rsid w:val="0095404A"/>
    <w:rsid w:val="00962AFA"/>
    <w:rsid w:val="00977E45"/>
    <w:rsid w:val="0099081A"/>
    <w:rsid w:val="00990A07"/>
    <w:rsid w:val="0099326E"/>
    <w:rsid w:val="009A00FF"/>
    <w:rsid w:val="009A40DF"/>
    <w:rsid w:val="009B0FC6"/>
    <w:rsid w:val="009B71D5"/>
    <w:rsid w:val="009C740A"/>
    <w:rsid w:val="009D2D99"/>
    <w:rsid w:val="009E64AC"/>
    <w:rsid w:val="009F7CF2"/>
    <w:rsid w:val="00A05BBC"/>
    <w:rsid w:val="00A24914"/>
    <w:rsid w:val="00A308AC"/>
    <w:rsid w:val="00A36B09"/>
    <w:rsid w:val="00A400AE"/>
    <w:rsid w:val="00A41C3E"/>
    <w:rsid w:val="00A56CFB"/>
    <w:rsid w:val="00A62D1F"/>
    <w:rsid w:val="00A64141"/>
    <w:rsid w:val="00A65E6F"/>
    <w:rsid w:val="00A7610D"/>
    <w:rsid w:val="00A769A6"/>
    <w:rsid w:val="00A92AFA"/>
    <w:rsid w:val="00A937BD"/>
    <w:rsid w:val="00A955BD"/>
    <w:rsid w:val="00AB4E52"/>
    <w:rsid w:val="00AD352C"/>
    <w:rsid w:val="00AF361A"/>
    <w:rsid w:val="00B00EDB"/>
    <w:rsid w:val="00B01C90"/>
    <w:rsid w:val="00B07385"/>
    <w:rsid w:val="00B07C35"/>
    <w:rsid w:val="00B07E29"/>
    <w:rsid w:val="00B2404D"/>
    <w:rsid w:val="00B2473A"/>
    <w:rsid w:val="00B36EA8"/>
    <w:rsid w:val="00B43B0B"/>
    <w:rsid w:val="00B43D57"/>
    <w:rsid w:val="00B705EE"/>
    <w:rsid w:val="00B723B9"/>
    <w:rsid w:val="00B9320A"/>
    <w:rsid w:val="00BA42ED"/>
    <w:rsid w:val="00BA7620"/>
    <w:rsid w:val="00BB3197"/>
    <w:rsid w:val="00BC1197"/>
    <w:rsid w:val="00BC2662"/>
    <w:rsid w:val="00BC46A4"/>
    <w:rsid w:val="00BC6ABF"/>
    <w:rsid w:val="00BF437E"/>
    <w:rsid w:val="00BF4862"/>
    <w:rsid w:val="00C00C5B"/>
    <w:rsid w:val="00C02DAE"/>
    <w:rsid w:val="00C13AEB"/>
    <w:rsid w:val="00C26DCD"/>
    <w:rsid w:val="00C34D67"/>
    <w:rsid w:val="00C352BD"/>
    <w:rsid w:val="00C36BFE"/>
    <w:rsid w:val="00C43415"/>
    <w:rsid w:val="00C457DC"/>
    <w:rsid w:val="00C52FC5"/>
    <w:rsid w:val="00C65F81"/>
    <w:rsid w:val="00C70904"/>
    <w:rsid w:val="00C729D7"/>
    <w:rsid w:val="00C8285F"/>
    <w:rsid w:val="00C90FDD"/>
    <w:rsid w:val="00C9187B"/>
    <w:rsid w:val="00CA0607"/>
    <w:rsid w:val="00CA35B0"/>
    <w:rsid w:val="00CC02BC"/>
    <w:rsid w:val="00CC6016"/>
    <w:rsid w:val="00CD4478"/>
    <w:rsid w:val="00CE24A4"/>
    <w:rsid w:val="00CF0C90"/>
    <w:rsid w:val="00CF2D2A"/>
    <w:rsid w:val="00CF6EBF"/>
    <w:rsid w:val="00D176FF"/>
    <w:rsid w:val="00D25AE5"/>
    <w:rsid w:val="00D31FF2"/>
    <w:rsid w:val="00D7299D"/>
    <w:rsid w:val="00D75A8E"/>
    <w:rsid w:val="00D75F8B"/>
    <w:rsid w:val="00D862B7"/>
    <w:rsid w:val="00D95A7E"/>
    <w:rsid w:val="00DA101A"/>
    <w:rsid w:val="00DA5EBA"/>
    <w:rsid w:val="00DC40C1"/>
    <w:rsid w:val="00DE3256"/>
    <w:rsid w:val="00DF609B"/>
    <w:rsid w:val="00E01FEA"/>
    <w:rsid w:val="00E11510"/>
    <w:rsid w:val="00E153FB"/>
    <w:rsid w:val="00E204A9"/>
    <w:rsid w:val="00E4224F"/>
    <w:rsid w:val="00E60AAD"/>
    <w:rsid w:val="00E612EA"/>
    <w:rsid w:val="00E61452"/>
    <w:rsid w:val="00E768CE"/>
    <w:rsid w:val="00E94C16"/>
    <w:rsid w:val="00EC0DD4"/>
    <w:rsid w:val="00EF098D"/>
    <w:rsid w:val="00EF412A"/>
    <w:rsid w:val="00EF5764"/>
    <w:rsid w:val="00F05060"/>
    <w:rsid w:val="00F16E73"/>
    <w:rsid w:val="00F26BBF"/>
    <w:rsid w:val="00F3028E"/>
    <w:rsid w:val="00F3783B"/>
    <w:rsid w:val="00F40E71"/>
    <w:rsid w:val="00F4254D"/>
    <w:rsid w:val="00F434B3"/>
    <w:rsid w:val="00F44680"/>
    <w:rsid w:val="00F50E05"/>
    <w:rsid w:val="00F51FE9"/>
    <w:rsid w:val="00F6006A"/>
    <w:rsid w:val="00F6501B"/>
    <w:rsid w:val="00F73A2F"/>
    <w:rsid w:val="00F80938"/>
    <w:rsid w:val="00F80BA0"/>
    <w:rsid w:val="00F80FF6"/>
    <w:rsid w:val="00F92AA5"/>
    <w:rsid w:val="00F96CDB"/>
    <w:rsid w:val="00F9755F"/>
    <w:rsid w:val="00FA0308"/>
    <w:rsid w:val="00FA2300"/>
    <w:rsid w:val="00FA5F81"/>
    <w:rsid w:val="00FC29FC"/>
    <w:rsid w:val="00FD483E"/>
    <w:rsid w:val="00FD499F"/>
    <w:rsid w:val="00FD5BC0"/>
    <w:rsid w:val="00FD6B52"/>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182"/>
  <w15:chartTrackingRefBased/>
  <w15:docId w15:val="{CC39A1B5-F451-4A1E-9A87-5DD01425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51"/>
  </w:style>
  <w:style w:type="paragraph" w:styleId="Heading1">
    <w:name w:val="heading 1"/>
    <w:basedOn w:val="Normal"/>
    <w:next w:val="Normal"/>
    <w:link w:val="Heading1Char"/>
    <w:uiPriority w:val="9"/>
    <w:qFormat/>
    <w:rsid w:val="006B79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C89"/>
    <w:pPr>
      <w:ind w:left="720"/>
      <w:contextualSpacing/>
    </w:pPr>
  </w:style>
  <w:style w:type="paragraph" w:styleId="NormalWeb">
    <w:name w:val="Normal (Web)"/>
    <w:basedOn w:val="Normal"/>
    <w:uiPriority w:val="99"/>
    <w:semiHidden/>
    <w:unhideWhenUsed/>
    <w:rsid w:val="00E94C16"/>
    <w:rPr>
      <w:rFonts w:ascii="Times New Roman" w:hAnsi="Times New Roman" w:cs="Times New Roman"/>
      <w:sz w:val="24"/>
      <w:szCs w:val="24"/>
    </w:rPr>
  </w:style>
  <w:style w:type="character" w:customStyle="1" w:styleId="Heading1Char">
    <w:name w:val="Heading 1 Char"/>
    <w:basedOn w:val="DefaultParagraphFont"/>
    <w:link w:val="Heading1"/>
    <w:uiPriority w:val="9"/>
    <w:rsid w:val="006B79E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7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10D"/>
  </w:style>
  <w:style w:type="paragraph" w:styleId="Footer">
    <w:name w:val="footer"/>
    <w:basedOn w:val="Normal"/>
    <w:link w:val="FooterChar"/>
    <w:uiPriority w:val="99"/>
    <w:unhideWhenUsed/>
    <w:rsid w:val="00A7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9862">
      <w:bodyDiv w:val="1"/>
      <w:marLeft w:val="0"/>
      <w:marRight w:val="0"/>
      <w:marTop w:val="0"/>
      <w:marBottom w:val="0"/>
      <w:divBdr>
        <w:top w:val="none" w:sz="0" w:space="0" w:color="auto"/>
        <w:left w:val="none" w:sz="0" w:space="0" w:color="auto"/>
        <w:bottom w:val="none" w:sz="0" w:space="0" w:color="auto"/>
        <w:right w:val="none" w:sz="0" w:space="0" w:color="auto"/>
      </w:divBdr>
    </w:div>
    <w:div w:id="185948981">
      <w:bodyDiv w:val="1"/>
      <w:marLeft w:val="0"/>
      <w:marRight w:val="0"/>
      <w:marTop w:val="0"/>
      <w:marBottom w:val="0"/>
      <w:divBdr>
        <w:top w:val="none" w:sz="0" w:space="0" w:color="auto"/>
        <w:left w:val="none" w:sz="0" w:space="0" w:color="auto"/>
        <w:bottom w:val="none" w:sz="0" w:space="0" w:color="auto"/>
        <w:right w:val="none" w:sz="0" w:space="0" w:color="auto"/>
      </w:divBdr>
    </w:div>
    <w:div w:id="291443240">
      <w:bodyDiv w:val="1"/>
      <w:marLeft w:val="0"/>
      <w:marRight w:val="0"/>
      <w:marTop w:val="0"/>
      <w:marBottom w:val="0"/>
      <w:divBdr>
        <w:top w:val="none" w:sz="0" w:space="0" w:color="auto"/>
        <w:left w:val="none" w:sz="0" w:space="0" w:color="auto"/>
        <w:bottom w:val="none" w:sz="0" w:space="0" w:color="auto"/>
        <w:right w:val="none" w:sz="0" w:space="0" w:color="auto"/>
      </w:divBdr>
      <w:divsChild>
        <w:div w:id="614093189">
          <w:marLeft w:val="0"/>
          <w:marRight w:val="0"/>
          <w:marTop w:val="120"/>
          <w:marBottom w:val="120"/>
          <w:divBdr>
            <w:top w:val="none" w:sz="0" w:space="0" w:color="auto"/>
            <w:left w:val="none" w:sz="0" w:space="0" w:color="auto"/>
            <w:bottom w:val="none" w:sz="0" w:space="0" w:color="auto"/>
            <w:right w:val="none" w:sz="0" w:space="0" w:color="auto"/>
          </w:divBdr>
        </w:div>
        <w:div w:id="66005327">
          <w:marLeft w:val="0"/>
          <w:marRight w:val="0"/>
          <w:marTop w:val="120"/>
          <w:marBottom w:val="120"/>
          <w:divBdr>
            <w:top w:val="none" w:sz="0" w:space="0" w:color="auto"/>
            <w:left w:val="none" w:sz="0" w:space="0" w:color="auto"/>
            <w:bottom w:val="none" w:sz="0" w:space="0" w:color="auto"/>
            <w:right w:val="none" w:sz="0" w:space="0" w:color="auto"/>
          </w:divBdr>
        </w:div>
        <w:div w:id="1054499849">
          <w:marLeft w:val="0"/>
          <w:marRight w:val="0"/>
          <w:marTop w:val="120"/>
          <w:marBottom w:val="120"/>
          <w:divBdr>
            <w:top w:val="none" w:sz="0" w:space="0" w:color="auto"/>
            <w:left w:val="none" w:sz="0" w:space="0" w:color="auto"/>
            <w:bottom w:val="none" w:sz="0" w:space="0" w:color="auto"/>
            <w:right w:val="none" w:sz="0" w:space="0" w:color="auto"/>
          </w:divBdr>
        </w:div>
        <w:div w:id="1089043151">
          <w:marLeft w:val="0"/>
          <w:marRight w:val="0"/>
          <w:marTop w:val="120"/>
          <w:marBottom w:val="120"/>
          <w:divBdr>
            <w:top w:val="none" w:sz="0" w:space="0" w:color="auto"/>
            <w:left w:val="none" w:sz="0" w:space="0" w:color="auto"/>
            <w:bottom w:val="none" w:sz="0" w:space="0" w:color="auto"/>
            <w:right w:val="none" w:sz="0" w:space="0" w:color="auto"/>
          </w:divBdr>
        </w:div>
      </w:divsChild>
    </w:div>
    <w:div w:id="890771811">
      <w:bodyDiv w:val="1"/>
      <w:marLeft w:val="0"/>
      <w:marRight w:val="0"/>
      <w:marTop w:val="0"/>
      <w:marBottom w:val="0"/>
      <w:divBdr>
        <w:top w:val="none" w:sz="0" w:space="0" w:color="auto"/>
        <w:left w:val="none" w:sz="0" w:space="0" w:color="auto"/>
        <w:bottom w:val="none" w:sz="0" w:space="0" w:color="auto"/>
        <w:right w:val="none" w:sz="0" w:space="0" w:color="auto"/>
      </w:divBdr>
      <w:divsChild>
        <w:div w:id="1840921102">
          <w:marLeft w:val="0"/>
          <w:marRight w:val="0"/>
          <w:marTop w:val="120"/>
          <w:marBottom w:val="120"/>
          <w:divBdr>
            <w:top w:val="none" w:sz="0" w:space="0" w:color="auto"/>
            <w:left w:val="none" w:sz="0" w:space="0" w:color="auto"/>
            <w:bottom w:val="none" w:sz="0" w:space="0" w:color="auto"/>
            <w:right w:val="none" w:sz="0" w:space="0" w:color="auto"/>
          </w:divBdr>
        </w:div>
      </w:divsChild>
    </w:div>
    <w:div w:id="1160778057">
      <w:bodyDiv w:val="1"/>
      <w:marLeft w:val="0"/>
      <w:marRight w:val="0"/>
      <w:marTop w:val="0"/>
      <w:marBottom w:val="0"/>
      <w:divBdr>
        <w:top w:val="none" w:sz="0" w:space="0" w:color="auto"/>
        <w:left w:val="none" w:sz="0" w:space="0" w:color="auto"/>
        <w:bottom w:val="none" w:sz="0" w:space="0" w:color="auto"/>
        <w:right w:val="none" w:sz="0" w:space="0" w:color="auto"/>
      </w:divBdr>
    </w:div>
    <w:div w:id="1392998107">
      <w:bodyDiv w:val="1"/>
      <w:marLeft w:val="0"/>
      <w:marRight w:val="0"/>
      <w:marTop w:val="0"/>
      <w:marBottom w:val="0"/>
      <w:divBdr>
        <w:top w:val="none" w:sz="0" w:space="0" w:color="auto"/>
        <w:left w:val="none" w:sz="0" w:space="0" w:color="auto"/>
        <w:bottom w:val="none" w:sz="0" w:space="0" w:color="auto"/>
        <w:right w:val="none" w:sz="0" w:space="0" w:color="auto"/>
      </w:divBdr>
    </w:div>
    <w:div w:id="1439334300">
      <w:bodyDiv w:val="1"/>
      <w:marLeft w:val="0"/>
      <w:marRight w:val="0"/>
      <w:marTop w:val="0"/>
      <w:marBottom w:val="0"/>
      <w:divBdr>
        <w:top w:val="none" w:sz="0" w:space="0" w:color="auto"/>
        <w:left w:val="none" w:sz="0" w:space="0" w:color="auto"/>
        <w:bottom w:val="none" w:sz="0" w:space="0" w:color="auto"/>
        <w:right w:val="none" w:sz="0" w:space="0" w:color="auto"/>
      </w:divBdr>
    </w:div>
    <w:div w:id="1535926970">
      <w:bodyDiv w:val="1"/>
      <w:marLeft w:val="0"/>
      <w:marRight w:val="0"/>
      <w:marTop w:val="0"/>
      <w:marBottom w:val="0"/>
      <w:divBdr>
        <w:top w:val="none" w:sz="0" w:space="0" w:color="auto"/>
        <w:left w:val="none" w:sz="0" w:space="0" w:color="auto"/>
        <w:bottom w:val="none" w:sz="0" w:space="0" w:color="auto"/>
        <w:right w:val="none" w:sz="0" w:space="0" w:color="auto"/>
      </w:divBdr>
    </w:div>
    <w:div w:id="1649944412">
      <w:bodyDiv w:val="1"/>
      <w:marLeft w:val="0"/>
      <w:marRight w:val="0"/>
      <w:marTop w:val="0"/>
      <w:marBottom w:val="0"/>
      <w:divBdr>
        <w:top w:val="none" w:sz="0" w:space="0" w:color="auto"/>
        <w:left w:val="none" w:sz="0" w:space="0" w:color="auto"/>
        <w:bottom w:val="none" w:sz="0" w:space="0" w:color="auto"/>
        <w:right w:val="none" w:sz="0" w:space="0" w:color="auto"/>
      </w:divBdr>
    </w:div>
    <w:div w:id="20907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75E5-44EC-47B6-92EB-277C2949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Thi Cam Tu</cp:lastModifiedBy>
  <cp:revision>3</cp:revision>
  <cp:lastPrinted>2025-07-30T11:42:00Z</cp:lastPrinted>
  <dcterms:created xsi:type="dcterms:W3CDTF">2025-07-30T10:54:00Z</dcterms:created>
  <dcterms:modified xsi:type="dcterms:W3CDTF">2025-07-30T11:42:00Z</dcterms:modified>
</cp:coreProperties>
</file>