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Layout w:type="fixed"/>
        <w:tblLook w:val="0000" w:firstRow="0" w:lastRow="0" w:firstColumn="0" w:lastColumn="0" w:noHBand="0" w:noVBand="0"/>
      </w:tblPr>
      <w:tblGrid>
        <w:gridCol w:w="3828"/>
        <w:gridCol w:w="5812"/>
      </w:tblGrid>
      <w:tr w:rsidR="007C411D" w:rsidRPr="007C411D" w14:paraId="189D48F8" w14:textId="77777777" w:rsidTr="00E27FD0">
        <w:trPr>
          <w:trHeight w:val="585"/>
        </w:trPr>
        <w:tc>
          <w:tcPr>
            <w:tcW w:w="3828" w:type="dxa"/>
          </w:tcPr>
          <w:p w14:paraId="2941B152" w14:textId="77777777" w:rsidR="007C411D" w:rsidRPr="007C411D" w:rsidRDefault="007C411D" w:rsidP="007C411D">
            <w:pPr>
              <w:jc w:val="center"/>
              <w:rPr>
                <w:b/>
                <w:color w:val="000000"/>
                <w:sz w:val="26"/>
                <w:szCs w:val="26"/>
                <w:lang w:val="nl-NL"/>
              </w:rPr>
            </w:pPr>
            <w:r w:rsidRPr="007C411D">
              <w:rPr>
                <w:b/>
                <w:color w:val="000000"/>
                <w:sz w:val="26"/>
                <w:szCs w:val="26"/>
                <w:lang w:val="nl-NL"/>
              </w:rPr>
              <w:t>BỘ TÀI CHÍNH</w:t>
            </w:r>
          </w:p>
          <w:p w14:paraId="583C59D9" w14:textId="6EE11708" w:rsidR="007C411D" w:rsidRPr="007C411D" w:rsidRDefault="00627A4A" w:rsidP="007C411D">
            <w:pPr>
              <w:jc w:val="center"/>
              <w:rPr>
                <w:color w:val="000000"/>
                <w:sz w:val="26"/>
                <w:szCs w:val="26"/>
                <w:lang w:val="nl-NL"/>
              </w:rPr>
            </w:pPr>
            <w:r>
              <w:rPr>
                <w:b/>
                <w:noProof/>
                <w:color w:val="000000"/>
              </w:rPr>
              <mc:AlternateContent>
                <mc:Choice Requires="wps">
                  <w:drawing>
                    <wp:anchor distT="0" distB="0" distL="114300" distR="114300" simplePos="0" relativeHeight="251660288" behindDoc="0" locked="0" layoutInCell="1" allowOverlap="1" wp14:anchorId="00579177" wp14:editId="05C843E3">
                      <wp:simplePos x="0" y="0"/>
                      <wp:positionH relativeFrom="column">
                        <wp:posOffset>951865</wp:posOffset>
                      </wp:positionH>
                      <wp:positionV relativeFrom="paragraph">
                        <wp:posOffset>53340</wp:posOffset>
                      </wp:positionV>
                      <wp:extent cx="401955" cy="0"/>
                      <wp:effectExtent l="13970" t="13335" r="12700" b="5715"/>
                      <wp:wrapNone/>
                      <wp:docPr id="17743069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0B326"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5pt,4.2pt" to="106.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"/>
                  </w:pict>
                </mc:Fallback>
              </mc:AlternateContent>
            </w:r>
          </w:p>
        </w:tc>
        <w:tc>
          <w:tcPr>
            <w:tcW w:w="5812" w:type="dxa"/>
          </w:tcPr>
          <w:p w14:paraId="1E4FC97A" w14:textId="77777777" w:rsidR="007C411D" w:rsidRPr="007C411D" w:rsidRDefault="007C411D" w:rsidP="007C411D">
            <w:pPr>
              <w:jc w:val="center"/>
              <w:rPr>
                <w:b/>
                <w:color w:val="000000"/>
                <w:sz w:val="26"/>
                <w:szCs w:val="26"/>
                <w:lang w:val="nl-NL"/>
              </w:rPr>
            </w:pPr>
            <w:r w:rsidRPr="007C411D">
              <w:rPr>
                <w:b/>
                <w:color w:val="000000"/>
                <w:sz w:val="26"/>
                <w:szCs w:val="26"/>
                <w:lang w:val="nl-NL"/>
              </w:rPr>
              <w:t>CỘNG HOÀ XÃ HỘI CHỦ NGHĨA VIỆT NAM</w:t>
            </w:r>
          </w:p>
          <w:p w14:paraId="75F11985" w14:textId="77777777" w:rsidR="007C411D" w:rsidRPr="007C411D" w:rsidRDefault="007C411D" w:rsidP="007C411D">
            <w:pPr>
              <w:jc w:val="center"/>
              <w:rPr>
                <w:b/>
                <w:color w:val="000000"/>
                <w:sz w:val="28"/>
                <w:szCs w:val="28"/>
              </w:rPr>
            </w:pPr>
            <w:r w:rsidRPr="007C411D">
              <w:rPr>
                <w:b/>
                <w:color w:val="000000"/>
                <w:sz w:val="28"/>
                <w:szCs w:val="28"/>
              </w:rPr>
              <w:t>Độc lập - Tự do - Hạnh phúc</w:t>
            </w:r>
          </w:p>
          <w:p w14:paraId="3D6CF91B" w14:textId="596732F5" w:rsidR="007C411D" w:rsidRPr="007C411D" w:rsidRDefault="00627A4A" w:rsidP="007C411D">
            <w:pPr>
              <w:jc w:val="center"/>
              <w:rPr>
                <w:color w:val="000000"/>
                <w:lang w:val="nl-NL"/>
              </w:rPr>
            </w:pPr>
            <w:r>
              <w:rPr>
                <w:noProof/>
                <w:color w:val="000000"/>
              </w:rPr>
              <mc:AlternateContent>
                <mc:Choice Requires="wps">
                  <w:drawing>
                    <wp:anchor distT="0" distB="0" distL="114300" distR="114300" simplePos="0" relativeHeight="251661312" behindDoc="0" locked="0" layoutInCell="1" allowOverlap="1" wp14:anchorId="3A743089" wp14:editId="4525E24B">
                      <wp:simplePos x="0" y="0"/>
                      <wp:positionH relativeFrom="column">
                        <wp:posOffset>693420</wp:posOffset>
                      </wp:positionH>
                      <wp:positionV relativeFrom="paragraph">
                        <wp:posOffset>29845</wp:posOffset>
                      </wp:positionV>
                      <wp:extent cx="2171700" cy="0"/>
                      <wp:effectExtent l="5080" t="13335" r="13970" b="5715"/>
                      <wp:wrapNone/>
                      <wp:docPr id="129052507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0096B"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2.35pt" to="225.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"/>
                  </w:pict>
                </mc:Fallback>
              </mc:AlternateContent>
            </w:r>
          </w:p>
        </w:tc>
      </w:tr>
      <w:tr w:rsidR="007C411D" w:rsidRPr="007C411D" w14:paraId="3489C0FE" w14:textId="77777777" w:rsidTr="00E27FD0">
        <w:trPr>
          <w:trHeight w:val="895"/>
        </w:trPr>
        <w:tc>
          <w:tcPr>
            <w:tcW w:w="3828" w:type="dxa"/>
          </w:tcPr>
          <w:p w14:paraId="6505027F" w14:textId="77777777" w:rsidR="007C411D" w:rsidRPr="007C411D" w:rsidRDefault="007C411D" w:rsidP="00375416">
            <w:pPr>
              <w:jc w:val="center"/>
              <w:rPr>
                <w:b/>
                <w:color w:val="000000"/>
                <w:lang w:val="nl-NL"/>
              </w:rPr>
            </w:pPr>
            <w:r w:rsidRPr="007C411D">
              <w:rPr>
                <w:color w:val="000000"/>
                <w:sz w:val="26"/>
                <w:szCs w:val="26"/>
                <w:lang w:val="nl-NL"/>
              </w:rPr>
              <w:t>Số:</w:t>
            </w:r>
            <w:r w:rsidR="001D4B05">
              <w:rPr>
                <w:b/>
                <w:color w:val="000000"/>
                <w:sz w:val="26"/>
                <w:szCs w:val="26"/>
                <w:lang w:val="nl-NL"/>
              </w:rPr>
              <w:t xml:space="preserve">      </w:t>
            </w:r>
            <w:r w:rsidRPr="007C411D">
              <w:rPr>
                <w:color w:val="000000"/>
                <w:sz w:val="26"/>
                <w:szCs w:val="26"/>
                <w:lang w:val="nl-NL"/>
              </w:rPr>
              <w:t>/</w:t>
            </w:r>
            <w:r w:rsidR="001D4B05">
              <w:rPr>
                <w:color w:val="000000"/>
                <w:sz w:val="26"/>
                <w:szCs w:val="26"/>
                <w:lang w:val="nl-NL"/>
              </w:rPr>
              <w:t>BC-BTC</w:t>
            </w:r>
          </w:p>
        </w:tc>
        <w:tc>
          <w:tcPr>
            <w:tcW w:w="5812" w:type="dxa"/>
          </w:tcPr>
          <w:p w14:paraId="0C3DA904" w14:textId="77777777" w:rsidR="007C411D" w:rsidRPr="007C411D" w:rsidRDefault="00375416" w:rsidP="00375416">
            <w:pPr>
              <w:jc w:val="center"/>
              <w:rPr>
                <w:b/>
                <w:color w:val="000000"/>
                <w:lang w:val="nl-NL"/>
              </w:rPr>
            </w:pPr>
            <w:r>
              <w:rPr>
                <w:i/>
                <w:color w:val="000000"/>
                <w:sz w:val="28"/>
                <w:szCs w:val="28"/>
                <w:lang w:val="nl-NL"/>
              </w:rPr>
              <w:t xml:space="preserve">Hà Nội, ngày </w:t>
            </w:r>
            <w:r w:rsidR="00814739">
              <w:rPr>
                <w:i/>
                <w:color w:val="000000"/>
                <w:sz w:val="28"/>
                <w:szCs w:val="28"/>
                <w:lang w:val="nl-NL"/>
              </w:rPr>
              <w:t xml:space="preserve"> </w:t>
            </w:r>
            <w:r w:rsidR="001D4B05">
              <w:rPr>
                <w:i/>
                <w:color w:val="000000"/>
                <w:sz w:val="28"/>
                <w:szCs w:val="28"/>
                <w:lang w:val="nl-NL"/>
              </w:rPr>
              <w:t xml:space="preserve">  </w:t>
            </w:r>
            <w:r w:rsidR="00814739">
              <w:rPr>
                <w:i/>
                <w:color w:val="000000"/>
                <w:sz w:val="28"/>
                <w:szCs w:val="28"/>
                <w:lang w:val="nl-NL"/>
              </w:rPr>
              <w:t xml:space="preserve">  tháng </w:t>
            </w:r>
            <w:r w:rsidR="001D4B05">
              <w:rPr>
                <w:i/>
                <w:color w:val="000000"/>
                <w:sz w:val="28"/>
                <w:szCs w:val="28"/>
                <w:lang w:val="nl-NL"/>
              </w:rPr>
              <w:t xml:space="preserve">    </w:t>
            </w:r>
            <w:r w:rsidR="007C411D" w:rsidRPr="007C411D">
              <w:rPr>
                <w:i/>
                <w:color w:val="000000"/>
                <w:sz w:val="28"/>
                <w:szCs w:val="28"/>
                <w:lang w:val="nl-NL"/>
              </w:rPr>
              <w:t xml:space="preserve"> năm 202</w:t>
            </w:r>
            <w:r w:rsidR="001D4B05">
              <w:rPr>
                <w:i/>
                <w:color w:val="000000"/>
                <w:sz w:val="28"/>
                <w:szCs w:val="28"/>
                <w:lang w:val="nl-NL"/>
              </w:rPr>
              <w:t>5</w:t>
            </w:r>
          </w:p>
        </w:tc>
      </w:tr>
    </w:tbl>
    <w:p w14:paraId="23BD8F24" w14:textId="77777777" w:rsidR="00F24E8D" w:rsidRPr="00757172" w:rsidRDefault="001D4B05" w:rsidP="00017D10">
      <w:pPr>
        <w:autoSpaceDE w:val="0"/>
        <w:autoSpaceDN w:val="0"/>
        <w:adjustRightInd w:val="0"/>
        <w:spacing w:after="120"/>
        <w:jc w:val="center"/>
        <w:rPr>
          <w:b/>
          <w:bCs/>
          <w:sz w:val="28"/>
          <w:szCs w:val="28"/>
        </w:rPr>
      </w:pPr>
      <w:r>
        <w:rPr>
          <w:b/>
          <w:bCs/>
          <w:sz w:val="28"/>
          <w:szCs w:val="28"/>
        </w:rPr>
        <w:t>BÁO CÁO</w:t>
      </w:r>
    </w:p>
    <w:p w14:paraId="3A291AC4" w14:textId="77777777" w:rsidR="001741C0" w:rsidRPr="00F125FB" w:rsidRDefault="001D4B05" w:rsidP="00017D10">
      <w:pPr>
        <w:tabs>
          <w:tab w:val="left" w:pos="2673"/>
        </w:tabs>
        <w:jc w:val="center"/>
        <w:rPr>
          <w:sz w:val="28"/>
          <w:szCs w:val="28"/>
        </w:rPr>
      </w:pPr>
      <w:r>
        <w:rPr>
          <w:b/>
          <w:sz w:val="28"/>
          <w:szCs w:val="28"/>
          <w:lang w:val="nl-NL"/>
        </w:rPr>
        <w:t>Tổng kết</w:t>
      </w:r>
      <w:r w:rsidR="0072157D">
        <w:rPr>
          <w:b/>
          <w:sz w:val="28"/>
          <w:szCs w:val="28"/>
          <w:lang w:val="nl-NL"/>
        </w:rPr>
        <w:t xml:space="preserve"> việc thi hành</w:t>
      </w:r>
      <w:r w:rsidR="001C4C72">
        <w:rPr>
          <w:b/>
          <w:sz w:val="28"/>
          <w:szCs w:val="28"/>
          <w:lang w:val="nl-NL"/>
        </w:rPr>
        <w:t xml:space="preserve"> các</w:t>
      </w:r>
      <w:r>
        <w:rPr>
          <w:b/>
          <w:sz w:val="28"/>
          <w:szCs w:val="28"/>
          <w:lang w:val="nl-NL"/>
        </w:rPr>
        <w:t xml:space="preserve"> </w:t>
      </w:r>
      <w:r w:rsidR="00F36F8A">
        <w:rPr>
          <w:b/>
          <w:sz w:val="28"/>
          <w:szCs w:val="28"/>
          <w:lang w:val="nl-NL"/>
        </w:rPr>
        <w:t>Nghị quyết của Ủy ban Thường vụ Quốc hội về mức thuế bảo vệ môi trường</w:t>
      </w:r>
      <w:r w:rsidR="00F40C6B">
        <w:rPr>
          <w:b/>
          <w:sz w:val="28"/>
          <w:szCs w:val="28"/>
          <w:lang w:val="nl-NL"/>
        </w:rPr>
        <w:t xml:space="preserve"> đối với xăng, dầu, mỡ nhờn</w:t>
      </w:r>
    </w:p>
    <w:p w14:paraId="55F49E01" w14:textId="1F8C2BB4" w:rsidR="00491910" w:rsidRDefault="00627A4A" w:rsidP="00491910">
      <w:pPr>
        <w:autoSpaceDE w:val="0"/>
        <w:autoSpaceDN w:val="0"/>
        <w:adjustRightInd w:val="0"/>
        <w:spacing w:before="120" w:after="120"/>
        <w:jc w:val="center"/>
        <w:rPr>
          <w:sz w:val="28"/>
          <w:szCs w:val="28"/>
        </w:rPr>
      </w:pPr>
      <w:r>
        <w:rPr>
          <w:noProof/>
          <w:sz w:val="28"/>
          <w:szCs w:val="28"/>
        </w:rPr>
        <mc:AlternateContent>
          <mc:Choice Requires="wps">
            <w:drawing>
              <wp:anchor distT="0" distB="0" distL="114300" distR="114300" simplePos="0" relativeHeight="251662336" behindDoc="0" locked="0" layoutInCell="1" allowOverlap="1" wp14:anchorId="1676DB5B" wp14:editId="6307065E">
                <wp:simplePos x="0" y="0"/>
                <wp:positionH relativeFrom="column">
                  <wp:posOffset>2221865</wp:posOffset>
                </wp:positionH>
                <wp:positionV relativeFrom="paragraph">
                  <wp:posOffset>88900</wp:posOffset>
                </wp:positionV>
                <wp:extent cx="1647825" cy="0"/>
                <wp:effectExtent l="5080" t="10160" r="13970" b="8890"/>
                <wp:wrapNone/>
                <wp:docPr id="9704856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583126" id="_x0000_t32" coordsize="21600,21600" o:spt="32" o:oned="t" path="m,l21600,21600e" filled="f">
                <v:path arrowok="t" fillok="f" o:connecttype="none"/>
                <o:lock v:ext="edit" shapetype="t"/>
              </v:shapetype>
              <v:shape id="AutoShape 16" o:spid="_x0000_s1026" type="#_x0000_t32" style="position:absolute;margin-left:174.95pt;margin-top:7pt;width:129.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"/>
            </w:pict>
          </mc:Fallback>
        </mc:AlternateContent>
      </w:r>
    </w:p>
    <w:p w14:paraId="245E6D2C" w14:textId="77777777" w:rsidR="00A95E28" w:rsidRDefault="00F24E8D" w:rsidP="00757F1F">
      <w:pPr>
        <w:autoSpaceDE w:val="0"/>
        <w:autoSpaceDN w:val="0"/>
        <w:adjustRightInd w:val="0"/>
        <w:jc w:val="center"/>
        <w:rPr>
          <w:sz w:val="28"/>
          <w:szCs w:val="28"/>
          <w:lang w:val="vi-VN"/>
        </w:rPr>
      </w:pPr>
      <w:r w:rsidRPr="00757172">
        <w:rPr>
          <w:sz w:val="28"/>
          <w:szCs w:val="28"/>
        </w:rPr>
        <w:t>Kính gửi: Chính phủ</w:t>
      </w:r>
    </w:p>
    <w:p w14:paraId="558EFE89" w14:textId="77777777" w:rsidR="00742EC2" w:rsidRDefault="00742EC2" w:rsidP="0080612D">
      <w:pPr>
        <w:spacing w:before="120" w:after="120"/>
        <w:ind w:firstLine="720"/>
        <w:jc w:val="both"/>
        <w:rPr>
          <w:spacing w:val="-2"/>
          <w:sz w:val="28"/>
          <w:szCs w:val="28"/>
          <w:lang w:val="sv-SE"/>
        </w:rPr>
      </w:pPr>
    </w:p>
    <w:p w14:paraId="69C7A788" w14:textId="77777777" w:rsidR="0072157D" w:rsidRDefault="0072157D" w:rsidP="0027069F">
      <w:pPr>
        <w:spacing w:before="120" w:after="120"/>
        <w:ind w:firstLine="720"/>
        <w:jc w:val="both"/>
        <w:rPr>
          <w:sz w:val="28"/>
          <w:szCs w:val="28"/>
        </w:rPr>
      </w:pPr>
      <w:r>
        <w:rPr>
          <w:sz w:val="28"/>
          <w:szCs w:val="28"/>
        </w:rPr>
        <w:t>Thực hiện quy định của Luật Ban hành văn bản quy phạm pháp luật, Bộ Tài chính đã tiến hành tổng kết việc thi hành</w:t>
      </w:r>
      <w:r w:rsidR="001C4C72">
        <w:rPr>
          <w:sz w:val="28"/>
          <w:szCs w:val="28"/>
        </w:rPr>
        <w:t xml:space="preserve"> các</w:t>
      </w:r>
      <w:r>
        <w:rPr>
          <w:sz w:val="28"/>
          <w:szCs w:val="28"/>
        </w:rPr>
        <w:t xml:space="preserve"> Nghị quyết của Ủy ban Thường vụ Quốc hội</w:t>
      </w:r>
      <w:r w:rsidR="00B976D6">
        <w:rPr>
          <w:sz w:val="28"/>
          <w:szCs w:val="28"/>
        </w:rPr>
        <w:t xml:space="preserve"> (UBTVQ</w:t>
      </w:r>
      <w:r w:rsidR="00FE1C05">
        <w:rPr>
          <w:sz w:val="28"/>
          <w:szCs w:val="28"/>
        </w:rPr>
        <w:t>H</w:t>
      </w:r>
      <w:r w:rsidR="00B976D6">
        <w:rPr>
          <w:sz w:val="28"/>
          <w:szCs w:val="28"/>
        </w:rPr>
        <w:t>)</w:t>
      </w:r>
      <w:r>
        <w:rPr>
          <w:sz w:val="28"/>
          <w:szCs w:val="28"/>
        </w:rPr>
        <w:t xml:space="preserve"> về mức thuế bảo vệ môi trường</w:t>
      </w:r>
      <w:r w:rsidR="00856C36">
        <w:rPr>
          <w:sz w:val="28"/>
          <w:szCs w:val="28"/>
        </w:rPr>
        <w:t xml:space="preserve"> (BVMT)</w:t>
      </w:r>
      <w:r w:rsidR="00F40C6B">
        <w:rPr>
          <w:sz w:val="28"/>
          <w:szCs w:val="28"/>
        </w:rPr>
        <w:t xml:space="preserve"> đối với xăng, dầu, mỡ nhờn</w:t>
      </w:r>
      <w:r>
        <w:rPr>
          <w:sz w:val="28"/>
          <w:szCs w:val="28"/>
        </w:rPr>
        <w:t>. Kết quả như sau:</w:t>
      </w:r>
    </w:p>
    <w:p w14:paraId="2B72FD7A" w14:textId="77777777" w:rsidR="001D4B05" w:rsidRDefault="00B077A8" w:rsidP="0027069F">
      <w:pPr>
        <w:spacing w:before="120" w:after="120"/>
        <w:ind w:firstLine="720"/>
        <w:jc w:val="both"/>
        <w:rPr>
          <w:b/>
          <w:bCs/>
          <w:sz w:val="26"/>
          <w:szCs w:val="26"/>
          <w:lang w:val="nl-NL"/>
        </w:rPr>
      </w:pPr>
      <w:r w:rsidRPr="00B077A8">
        <w:rPr>
          <w:b/>
          <w:bCs/>
          <w:sz w:val="26"/>
          <w:szCs w:val="26"/>
          <w:lang w:val="nl-NL"/>
        </w:rPr>
        <w:t>I. BỐI CẢNH THỰC HIỆN TỔNG KẾT</w:t>
      </w:r>
    </w:p>
    <w:p w14:paraId="7572E877" w14:textId="77777777" w:rsidR="00B125EF" w:rsidRPr="00F3542D" w:rsidRDefault="00BB7FCD" w:rsidP="0027069F">
      <w:pPr>
        <w:spacing w:before="120" w:after="120"/>
        <w:ind w:firstLine="720"/>
        <w:jc w:val="both"/>
        <w:rPr>
          <w:b/>
          <w:sz w:val="28"/>
          <w:szCs w:val="28"/>
        </w:rPr>
      </w:pPr>
      <w:r w:rsidRPr="00F3542D">
        <w:rPr>
          <w:b/>
          <w:sz w:val="28"/>
          <w:szCs w:val="28"/>
        </w:rPr>
        <w:t xml:space="preserve">1. </w:t>
      </w:r>
      <w:r w:rsidR="00B125EF" w:rsidRPr="00F3542D">
        <w:rPr>
          <w:b/>
          <w:sz w:val="28"/>
          <w:szCs w:val="28"/>
        </w:rPr>
        <w:t xml:space="preserve">Bối cảnh </w:t>
      </w:r>
      <w:r w:rsidRPr="00F3542D">
        <w:rPr>
          <w:b/>
          <w:sz w:val="28"/>
          <w:szCs w:val="28"/>
        </w:rPr>
        <w:t>quốc tế</w:t>
      </w:r>
      <w:r w:rsidR="00F3542D" w:rsidRPr="00F3542D">
        <w:rPr>
          <w:b/>
          <w:sz w:val="28"/>
          <w:szCs w:val="28"/>
        </w:rPr>
        <w:t xml:space="preserve"> và trong nước</w:t>
      </w:r>
      <w:r w:rsidRPr="00F3542D">
        <w:rPr>
          <w:b/>
          <w:sz w:val="28"/>
          <w:szCs w:val="28"/>
        </w:rPr>
        <w:t xml:space="preserve"> </w:t>
      </w:r>
    </w:p>
    <w:p w14:paraId="544D1171" w14:textId="77777777" w:rsidR="00636E55" w:rsidRDefault="0012241D" w:rsidP="00636E55">
      <w:pPr>
        <w:spacing w:before="120" w:after="120"/>
        <w:ind w:firstLine="720"/>
        <w:jc w:val="both"/>
        <w:rPr>
          <w:sz w:val="28"/>
          <w:szCs w:val="28"/>
          <w:shd w:val="clear" w:color="auto" w:fill="FFFFFF"/>
        </w:rPr>
      </w:pPr>
      <w:r w:rsidRPr="0012241D">
        <w:rPr>
          <w:sz w:val="28"/>
          <w:szCs w:val="28"/>
          <w:shd w:val="clear" w:color="auto" w:fill="FFFFFF"/>
        </w:rPr>
        <w:t xml:space="preserve">Hiện nay, tình hình thế giới tiếp tục có những diễn biến mới, phức tạp, khó lường; xung đột quân sự tại một số khu vực chưa chấm dứt; cạnh tranh chiến lược giữa các nước lớn ngày càng gay gắt và chủ nghĩa bảo hộ gia tăng. </w:t>
      </w:r>
      <w:r w:rsidR="00636E55">
        <w:rPr>
          <w:sz w:val="28"/>
          <w:szCs w:val="28"/>
          <w:shd w:val="clear" w:color="auto" w:fill="FFFFFF"/>
        </w:rPr>
        <w:t>Đặc biệt, việc</w:t>
      </w:r>
      <w:r w:rsidRPr="0012241D">
        <w:rPr>
          <w:sz w:val="28"/>
          <w:szCs w:val="28"/>
          <w:shd w:val="clear" w:color="auto" w:fill="FFFFFF"/>
        </w:rPr>
        <w:t xml:space="preserve"> Hoa Kỳ công bố chính sách mới về thuế quan (chính sách thuế đối ứng) </w:t>
      </w:r>
      <w:r w:rsidR="00636E55">
        <w:rPr>
          <w:sz w:val="28"/>
          <w:szCs w:val="28"/>
          <w:shd w:val="clear" w:color="auto" w:fill="FFFFFF"/>
        </w:rPr>
        <w:t xml:space="preserve">vào tháng 4/2025 vừa qua đã tạo bất ngờ với hầu hết các quốc gia và ngay lập tức ảnh hưởng tiêu cực đến tâm lý doanh nghiệp, nhà đầu tư toàn cầu, tăng trưởng kinh tế, thương mại thế giới. Trong dài hạn, chính sách của Hoa Kỳ và sự gia tăng cạnh tranh chiến lược nước lớn dự báo sẽ phá vỡ nền tảng trật tự kinh tế, chính sách toàn cầu. </w:t>
      </w:r>
    </w:p>
    <w:p w14:paraId="2BA311C4" w14:textId="77777777" w:rsidR="00315114" w:rsidRDefault="00F3542D" w:rsidP="0012241D">
      <w:pPr>
        <w:spacing w:before="120" w:after="120"/>
        <w:ind w:firstLine="720"/>
        <w:jc w:val="both"/>
        <w:rPr>
          <w:sz w:val="28"/>
          <w:szCs w:val="28"/>
          <w:shd w:val="clear" w:color="auto" w:fill="FFFFFF"/>
        </w:rPr>
      </w:pPr>
      <w:r>
        <w:rPr>
          <w:sz w:val="28"/>
          <w:szCs w:val="28"/>
          <w:shd w:val="clear" w:color="auto" w:fill="FFFFFF"/>
        </w:rPr>
        <w:t>Trong nước, k</w:t>
      </w:r>
      <w:r>
        <w:rPr>
          <w:sz w:val="28"/>
          <w:szCs w:val="28"/>
          <w:shd w:val="clear" w:color="auto" w:fill="FFFFFF"/>
          <w:lang w:val="pt-BR"/>
        </w:rPr>
        <w:t xml:space="preserve">inh tế vĩ mô cơ bản ổn định </w:t>
      </w:r>
      <w:r w:rsidR="0097179D">
        <w:rPr>
          <w:sz w:val="28"/>
          <w:szCs w:val="28"/>
          <w:shd w:val="clear" w:color="auto" w:fill="FFFFFF"/>
          <w:lang w:val="pt-BR"/>
        </w:rPr>
        <w:t>nhưng</w:t>
      </w:r>
      <w:r>
        <w:rPr>
          <w:sz w:val="28"/>
          <w:szCs w:val="28"/>
          <w:shd w:val="clear" w:color="auto" w:fill="FFFFFF"/>
          <w:lang w:val="pt-BR"/>
        </w:rPr>
        <w:t xml:space="preserve"> vẫn tiềm ẩn rủi ro, mục tiêu tăng trưởng năm 2025 và thời gian tới gặp thách thức lớn</w:t>
      </w:r>
      <w:r w:rsidRPr="005C3455">
        <w:rPr>
          <w:sz w:val="28"/>
          <w:szCs w:val="28"/>
          <w:shd w:val="clear" w:color="auto" w:fill="FFFFFF"/>
          <w:lang w:val="pt-BR"/>
        </w:rPr>
        <w:t>. Các động lực tăng trưởng chưa có sự bứt phá rõ nét theo yêu cầu tăng trưởng đặt ra như hoạt động sản xuất kinh doanh còn gặp khó khăn, chi phí sản xuất còn cao, sức mua trong nước đã được cải thiện nhưng còn chậm</w:t>
      </w:r>
      <w:r>
        <w:rPr>
          <w:sz w:val="28"/>
          <w:szCs w:val="28"/>
          <w:shd w:val="clear" w:color="auto" w:fill="FFFFFF"/>
          <w:lang w:val="pt-BR"/>
        </w:rPr>
        <w:t xml:space="preserve">, khả năng chống chịu, thích ứng của nền kinh tế còn hạn chế. </w:t>
      </w:r>
      <w:r>
        <w:rPr>
          <w:sz w:val="28"/>
          <w:szCs w:val="28"/>
          <w:shd w:val="clear" w:color="auto" w:fill="FFFFFF"/>
          <w:lang w:val="vi-VN"/>
        </w:rPr>
        <w:t xml:space="preserve">Đặc biệt, khu vực doanh nghiệp </w:t>
      </w:r>
      <w:r>
        <w:rPr>
          <w:sz w:val="28"/>
          <w:szCs w:val="28"/>
          <w:shd w:val="clear" w:color="auto" w:fill="FFFFFF"/>
        </w:rPr>
        <w:t>vẫn còn</w:t>
      </w:r>
      <w:r>
        <w:rPr>
          <w:sz w:val="28"/>
          <w:szCs w:val="28"/>
          <w:shd w:val="clear" w:color="auto" w:fill="FFFFFF"/>
          <w:lang w:val="vi-VN"/>
        </w:rPr>
        <w:t xml:space="preserve"> đối mặt với nhiều </w:t>
      </w:r>
      <w:r w:rsidR="0012241D">
        <w:rPr>
          <w:sz w:val="28"/>
          <w:szCs w:val="28"/>
          <w:shd w:val="clear" w:color="auto" w:fill="FFFFFF"/>
        </w:rPr>
        <w:t>thách thức</w:t>
      </w:r>
      <w:r>
        <w:rPr>
          <w:sz w:val="28"/>
          <w:szCs w:val="28"/>
          <w:shd w:val="clear" w:color="auto" w:fill="FFFFFF"/>
          <w:lang w:val="vi-VN"/>
        </w:rPr>
        <w:t xml:space="preserve">. </w:t>
      </w:r>
      <w:r>
        <w:rPr>
          <w:sz w:val="28"/>
          <w:szCs w:val="28"/>
          <w:shd w:val="clear" w:color="auto" w:fill="FFFFFF"/>
        </w:rPr>
        <w:t>H</w:t>
      </w:r>
      <w:r>
        <w:rPr>
          <w:sz w:val="28"/>
          <w:szCs w:val="28"/>
          <w:shd w:val="clear" w:color="auto" w:fill="FFFFFF"/>
          <w:lang w:val="vi-VN"/>
        </w:rPr>
        <w:t>oạt động sản xuất</w:t>
      </w:r>
      <w:r>
        <w:rPr>
          <w:sz w:val="28"/>
          <w:szCs w:val="28"/>
          <w:shd w:val="clear" w:color="auto" w:fill="FFFFFF"/>
        </w:rPr>
        <w:t xml:space="preserve"> kinh doanh</w:t>
      </w:r>
      <w:r>
        <w:rPr>
          <w:sz w:val="28"/>
          <w:szCs w:val="28"/>
          <w:shd w:val="clear" w:color="auto" w:fill="FFFFFF"/>
          <w:lang w:val="vi-VN"/>
        </w:rPr>
        <w:t xml:space="preserve"> gặp</w:t>
      </w:r>
      <w:r>
        <w:rPr>
          <w:sz w:val="28"/>
          <w:szCs w:val="28"/>
          <w:shd w:val="clear" w:color="auto" w:fill="FFFFFF"/>
        </w:rPr>
        <w:t xml:space="preserve"> nhiều</w:t>
      </w:r>
      <w:r>
        <w:rPr>
          <w:sz w:val="28"/>
          <w:szCs w:val="28"/>
          <w:shd w:val="clear" w:color="auto" w:fill="FFFFFF"/>
          <w:lang w:val="vi-VN"/>
        </w:rPr>
        <w:t xml:space="preserve"> khó khăn do </w:t>
      </w:r>
      <w:r>
        <w:rPr>
          <w:sz w:val="28"/>
          <w:szCs w:val="28"/>
          <w:shd w:val="clear" w:color="auto" w:fill="FFFFFF"/>
        </w:rPr>
        <w:t>tổng cầu suy yếu, tiêu thụ hàng hóa trong nước phục hồi chậm, trong khi xuất khẩu tiếp tục giảm do ảnh hưởng từ suy thoái kinh tế toàn cầu và chính sách thuế đối ứng của Hoa Kỳ</w:t>
      </w:r>
      <w:r>
        <w:rPr>
          <w:sz w:val="28"/>
          <w:szCs w:val="28"/>
          <w:shd w:val="clear" w:color="auto" w:fill="FFFFFF"/>
          <w:lang w:val="vi-VN"/>
        </w:rPr>
        <w:t>. Nhiều ngành xuất khẩu chủ lực như dệt may, da giày, điện tử, gỗ,… sụt giảm đơn hàng, buộc phải thu hẹp sản xuất, cắt giảm lao động.</w:t>
      </w:r>
    </w:p>
    <w:p w14:paraId="29ED4D64" w14:textId="77777777" w:rsidR="00B0632C" w:rsidRDefault="00315114" w:rsidP="00913609">
      <w:pPr>
        <w:spacing w:before="120" w:after="120"/>
        <w:ind w:firstLine="720"/>
        <w:jc w:val="both"/>
        <w:rPr>
          <w:sz w:val="28"/>
          <w:szCs w:val="28"/>
        </w:rPr>
      </w:pPr>
      <w:r>
        <w:rPr>
          <w:sz w:val="28"/>
          <w:szCs w:val="28"/>
          <w:shd w:val="clear" w:color="auto" w:fill="FFFFFF"/>
        </w:rPr>
        <w:t xml:space="preserve">Kể từ năm 2022 đến </w:t>
      </w:r>
      <w:r w:rsidR="002F007B">
        <w:rPr>
          <w:sz w:val="28"/>
          <w:szCs w:val="28"/>
          <w:shd w:val="clear" w:color="auto" w:fill="FFFFFF"/>
        </w:rPr>
        <w:t>nay</w:t>
      </w:r>
      <w:r>
        <w:rPr>
          <w:sz w:val="28"/>
          <w:szCs w:val="28"/>
          <w:shd w:val="clear" w:color="auto" w:fill="FFFFFF"/>
        </w:rPr>
        <w:t>, thực hiện chủ trương của Đảng, Nhà nước về triển khai các giải pháp để ổn định kinh tế vĩ mô, căn cứ Biểu khung</w:t>
      </w:r>
      <w:r w:rsidR="00F3542D">
        <w:rPr>
          <w:sz w:val="28"/>
          <w:szCs w:val="28"/>
          <w:shd w:val="clear" w:color="auto" w:fill="FFFFFF"/>
          <w:lang w:val="vi-VN"/>
        </w:rPr>
        <w:t xml:space="preserve"> </w:t>
      </w:r>
      <w:r>
        <w:rPr>
          <w:sz w:val="28"/>
          <w:szCs w:val="28"/>
          <w:shd w:val="clear" w:color="auto" w:fill="FFFFFF"/>
        </w:rPr>
        <w:t xml:space="preserve">thuế và nguyên tắc điều chỉnh mức thuế tại Luật Thuế BVMT, Bộ Tài chính đã trình </w:t>
      </w:r>
      <w:r>
        <w:rPr>
          <w:sz w:val="28"/>
          <w:szCs w:val="28"/>
          <w:shd w:val="clear" w:color="auto" w:fill="FFFFFF"/>
        </w:rPr>
        <w:lastRenderedPageBreak/>
        <w:t xml:space="preserve">Chính phủ, trình UBTVQH ban hành các Nghị quyết điều chỉnh mức thuế BVMT đối với </w:t>
      </w:r>
      <w:r w:rsidR="00276907">
        <w:rPr>
          <w:sz w:val="28"/>
          <w:szCs w:val="28"/>
          <w:shd w:val="clear" w:color="auto" w:fill="FFFFFF"/>
        </w:rPr>
        <w:t>xăng, dầu, mỡ nhờn để phù hợp với tình hình kinh tế - xã hội từng giai đoạn</w:t>
      </w:r>
      <w:r w:rsidR="008F07F8">
        <w:rPr>
          <w:rStyle w:val="FootnoteReference"/>
          <w:sz w:val="28"/>
          <w:szCs w:val="28"/>
          <w:shd w:val="clear" w:color="auto" w:fill="FFFFFF"/>
        </w:rPr>
        <w:footnoteReference w:id="1"/>
      </w:r>
      <w:r w:rsidR="00276907">
        <w:rPr>
          <w:sz w:val="28"/>
          <w:szCs w:val="28"/>
          <w:shd w:val="clear" w:color="auto" w:fill="FFFFFF"/>
        </w:rPr>
        <w:t xml:space="preserve">. </w:t>
      </w:r>
      <w:r w:rsidR="00B0632C" w:rsidRPr="007032DE">
        <w:rPr>
          <w:sz w:val="28"/>
          <w:szCs w:val="28"/>
          <w:shd w:val="clear" w:color="auto" w:fill="FFFFFF"/>
        </w:rPr>
        <w:t>Hiện hành, mức thuế BVMT đối với xăng, dầu, mỡ nhờn vẫn đang được hỗ trợ bởi Nghị quyết số 60/2024/UBTVQH15, theo đó tiếp tục áp dụng chính sách giảm mức thuế BVMT đối với xăng, dầu, mỡ nhờn cho cả năm 2025 như mức giảm thuế của năm 2024</w:t>
      </w:r>
      <w:r w:rsidR="00B0632C">
        <w:rPr>
          <w:sz w:val="28"/>
          <w:szCs w:val="28"/>
          <w:shd w:val="clear" w:color="auto" w:fill="FFFFFF"/>
        </w:rPr>
        <w:t xml:space="preserve">. </w:t>
      </w:r>
      <w:r w:rsidR="00B0632C" w:rsidRPr="007032DE">
        <w:rPr>
          <w:sz w:val="28"/>
          <w:szCs w:val="28"/>
          <w:shd w:val="clear" w:color="auto" w:fill="FFFFFF"/>
        </w:rPr>
        <w:t>Kể từ ngày 01/01/2026, mức thuế BVMT đối với xăng, dầu, mỡ nhờn sẽ thực hiện theo quy định tại Nghị quyết số 579/2018/UBTVQH14</w:t>
      </w:r>
      <w:r w:rsidR="00B0632C" w:rsidRPr="007032DE">
        <w:rPr>
          <w:rStyle w:val="FootnoteReference"/>
          <w:sz w:val="28"/>
          <w:szCs w:val="28"/>
          <w:shd w:val="clear" w:color="auto" w:fill="FFFFFF"/>
        </w:rPr>
        <w:footnoteReference w:id="2"/>
      </w:r>
      <w:r w:rsidR="00B0632C" w:rsidRPr="007032DE">
        <w:rPr>
          <w:sz w:val="28"/>
          <w:szCs w:val="28"/>
          <w:shd w:val="clear" w:color="auto" w:fill="FFFFFF"/>
        </w:rPr>
        <w:t xml:space="preserve"> ngày 26/9/2018 của UBTVQH với mức thuế tăng trở lại bằng mức trần trong Biểu khung thuế ban hành kèm theo Luật Thuế BVMT</w:t>
      </w:r>
      <w:r w:rsidR="00B0632C">
        <w:rPr>
          <w:sz w:val="28"/>
          <w:szCs w:val="28"/>
          <w:shd w:val="clear" w:color="auto" w:fill="FFFFFF"/>
        </w:rPr>
        <w:t xml:space="preserve">. </w:t>
      </w:r>
    </w:p>
    <w:p w14:paraId="0FBED038" w14:textId="77777777" w:rsidR="00F3542D" w:rsidRPr="00315114" w:rsidRDefault="00315114" w:rsidP="00315114">
      <w:pPr>
        <w:spacing w:before="120" w:after="120"/>
        <w:ind w:firstLine="720"/>
        <w:jc w:val="both"/>
        <w:rPr>
          <w:sz w:val="28"/>
          <w:szCs w:val="28"/>
          <w:lang w:val="da-DK"/>
        </w:rPr>
      </w:pPr>
      <w:r w:rsidRPr="007032DE">
        <w:rPr>
          <w:sz w:val="28"/>
          <w:szCs w:val="28"/>
          <w:lang w:val="da-DK"/>
        </w:rPr>
        <w:t>Xăng dầu là mặt hàng thiết yếu phục vụ sản xuất</w:t>
      </w:r>
      <w:r>
        <w:rPr>
          <w:sz w:val="28"/>
          <w:szCs w:val="28"/>
          <w:lang w:val="da-DK"/>
        </w:rPr>
        <w:t>,</w:t>
      </w:r>
      <w:r w:rsidRPr="007032DE">
        <w:rPr>
          <w:sz w:val="28"/>
          <w:szCs w:val="28"/>
          <w:lang w:val="da-DK"/>
        </w:rPr>
        <w:t xml:space="preserve"> kinh doanh và tiêu dùng của người dân, doanh nghiệp. Việc giá xăng dầu tăng sẽ kéo theo sự tăng giá của nhiều nhóm hàng hóa, dịch vụ khác, tác động trực tiếp làm tăng chỉ số CPI, từ đó ảnh hưởng đến việc kiểm soát lạm phát,</w:t>
      </w:r>
      <w:r w:rsidRPr="007032DE">
        <w:rPr>
          <w:sz w:val="28"/>
          <w:szCs w:val="28"/>
        </w:rPr>
        <w:t xml:space="preserve"> tăng trưởng kinh tế</w:t>
      </w:r>
      <w:r w:rsidRPr="007032DE">
        <w:rPr>
          <w:sz w:val="28"/>
          <w:szCs w:val="28"/>
          <w:lang w:val="da-DK"/>
        </w:rPr>
        <w:t xml:space="preserve"> và ổn định kinh tế vĩ mô</w:t>
      </w:r>
      <w:r>
        <w:rPr>
          <w:sz w:val="28"/>
          <w:szCs w:val="28"/>
          <w:lang w:val="da-DK"/>
        </w:rPr>
        <w:t xml:space="preserve">. </w:t>
      </w:r>
      <w:r w:rsidRPr="007032DE">
        <w:rPr>
          <w:sz w:val="28"/>
          <w:szCs w:val="28"/>
          <w:lang w:val="da-DK"/>
        </w:rPr>
        <w:t>Trong bối cảnh các doanh nghiệp vẫn phải đối mặt với nhiều thách thức</w:t>
      </w:r>
      <w:r>
        <w:rPr>
          <w:sz w:val="28"/>
          <w:szCs w:val="28"/>
          <w:lang w:val="da-DK"/>
        </w:rPr>
        <w:t>,</w:t>
      </w:r>
      <w:r w:rsidRPr="007032DE">
        <w:rPr>
          <w:sz w:val="28"/>
          <w:szCs w:val="28"/>
          <w:lang w:val="da-DK"/>
        </w:rPr>
        <w:t xml:space="preserve"> đặc biệt sau khi Chính phủ Hoa Kỳ ban hành chính sách thuế đối ứng</w:t>
      </w:r>
      <w:r>
        <w:rPr>
          <w:sz w:val="28"/>
          <w:szCs w:val="28"/>
          <w:lang w:val="da-DK"/>
        </w:rPr>
        <w:t xml:space="preserve">, </w:t>
      </w:r>
      <w:r w:rsidR="00E63D63" w:rsidRPr="007032DE">
        <w:rPr>
          <w:sz w:val="28"/>
          <w:szCs w:val="28"/>
          <w:lang w:val="da-DK"/>
        </w:rPr>
        <w:t xml:space="preserve">việc mức thuế BVMT đối với xăng, dầu, mỡ nhờn tăng từ ngày 01/01/2026 (quay trở lại mức thuế BVMT theo Nghị quyết số </w:t>
      </w:r>
      <w:r w:rsidR="00E63D63" w:rsidRPr="007032DE">
        <w:rPr>
          <w:sz w:val="28"/>
          <w:szCs w:val="28"/>
        </w:rPr>
        <w:t>579/2018/UBTVQH14</w:t>
      </w:r>
      <w:r w:rsidR="00E63D63" w:rsidRPr="007032DE">
        <w:rPr>
          <w:sz w:val="28"/>
          <w:szCs w:val="28"/>
          <w:lang w:val="da-DK"/>
        </w:rPr>
        <w:t>) sẽ làm gia tăng thêm áp lực lên hoạt động điều hành kinh tế vĩ mô và kiểm soát lạm phát</w:t>
      </w:r>
      <w:r>
        <w:rPr>
          <w:sz w:val="28"/>
          <w:szCs w:val="28"/>
          <w:lang w:val="da-DK"/>
        </w:rPr>
        <w:t>, gây ảnh hưởng đến mục tiêu tăng trưởng hai con số trong giai đoạn 2026 - 2030</w:t>
      </w:r>
      <w:r w:rsidR="00E63D63">
        <w:rPr>
          <w:sz w:val="28"/>
          <w:szCs w:val="28"/>
          <w:lang w:val="da-DK"/>
        </w:rPr>
        <w:t xml:space="preserve">. </w:t>
      </w:r>
      <w:r w:rsidR="000C5F01">
        <w:rPr>
          <w:sz w:val="28"/>
          <w:szCs w:val="28"/>
          <w:shd w:val="clear" w:color="auto" w:fill="FFFFFF"/>
        </w:rPr>
        <w:t>Do đó</w:t>
      </w:r>
      <w:r w:rsidR="00B2622E" w:rsidRPr="00B2622E">
        <w:rPr>
          <w:sz w:val="28"/>
          <w:szCs w:val="28"/>
          <w:shd w:val="clear" w:color="auto" w:fill="FFFFFF"/>
        </w:rPr>
        <w:t>, cần</w:t>
      </w:r>
      <w:r w:rsidR="000C5F01">
        <w:rPr>
          <w:sz w:val="28"/>
          <w:szCs w:val="28"/>
          <w:shd w:val="clear" w:color="auto" w:fill="FFFFFF"/>
        </w:rPr>
        <w:t xml:space="preserve"> thiết</w:t>
      </w:r>
      <w:r w:rsidR="00B2622E" w:rsidRPr="00B2622E">
        <w:rPr>
          <w:sz w:val="28"/>
          <w:szCs w:val="28"/>
          <w:shd w:val="clear" w:color="auto" w:fill="FFFFFF"/>
        </w:rPr>
        <w:t xml:space="preserve"> </w:t>
      </w:r>
      <w:r w:rsidR="00E63D63">
        <w:rPr>
          <w:sz w:val="28"/>
          <w:szCs w:val="28"/>
          <w:shd w:val="clear" w:color="auto" w:fill="FFFFFF"/>
        </w:rPr>
        <w:t>phải có</w:t>
      </w:r>
      <w:r w:rsidR="000C5F01">
        <w:rPr>
          <w:sz w:val="28"/>
          <w:szCs w:val="28"/>
          <w:shd w:val="clear" w:color="auto" w:fill="FFFFFF"/>
        </w:rPr>
        <w:t xml:space="preserve"> giải pháp</w:t>
      </w:r>
      <w:r w:rsidR="00B2622E" w:rsidRPr="00B2622E">
        <w:rPr>
          <w:sz w:val="28"/>
          <w:szCs w:val="28"/>
          <w:shd w:val="clear" w:color="auto" w:fill="FFFFFF"/>
        </w:rPr>
        <w:t xml:space="preserve"> điều chỉnh linh hoạt về</w:t>
      </w:r>
      <w:r w:rsidR="000C5F01">
        <w:rPr>
          <w:sz w:val="28"/>
          <w:szCs w:val="28"/>
          <w:shd w:val="clear" w:color="auto" w:fill="FFFFFF"/>
        </w:rPr>
        <w:t xml:space="preserve"> mức</w:t>
      </w:r>
      <w:r w:rsidR="00B2622E" w:rsidRPr="00B2622E">
        <w:rPr>
          <w:sz w:val="28"/>
          <w:szCs w:val="28"/>
          <w:shd w:val="clear" w:color="auto" w:fill="FFFFFF"/>
        </w:rPr>
        <w:t xml:space="preserve"> thuế BVMT đối với xăng, dầu cho phù hợp với bối cảnh kinh tế - xã hội</w:t>
      </w:r>
      <w:r w:rsidR="00E52048">
        <w:rPr>
          <w:sz w:val="28"/>
          <w:szCs w:val="28"/>
          <w:shd w:val="clear" w:color="auto" w:fill="FFFFFF"/>
        </w:rPr>
        <w:t xml:space="preserve"> của Việt Nam cho giai đoạn tới</w:t>
      </w:r>
      <w:r w:rsidR="00B2622E" w:rsidRPr="00B2622E">
        <w:rPr>
          <w:sz w:val="28"/>
          <w:szCs w:val="28"/>
          <w:shd w:val="clear" w:color="auto" w:fill="FFFFFF"/>
        </w:rPr>
        <w:t>.</w:t>
      </w:r>
      <w:r w:rsidR="00F3542D">
        <w:rPr>
          <w:sz w:val="28"/>
          <w:szCs w:val="28"/>
          <w:shd w:val="clear" w:color="auto" w:fill="FFFFFF"/>
          <w:lang w:val="vi-VN"/>
        </w:rPr>
        <w:t xml:space="preserve"> </w:t>
      </w:r>
    </w:p>
    <w:p w14:paraId="2646B47C" w14:textId="77777777" w:rsidR="00BB7FCD" w:rsidRPr="00F3542D" w:rsidRDefault="00BB7FCD" w:rsidP="0027069F">
      <w:pPr>
        <w:spacing w:before="120" w:after="120"/>
        <w:ind w:firstLine="720"/>
        <w:jc w:val="both"/>
        <w:rPr>
          <w:b/>
          <w:sz w:val="28"/>
          <w:szCs w:val="28"/>
        </w:rPr>
      </w:pPr>
      <w:r w:rsidRPr="00F3542D">
        <w:rPr>
          <w:b/>
          <w:sz w:val="28"/>
          <w:szCs w:val="28"/>
        </w:rPr>
        <w:t>2. Quá trình tổng kết thực hiện</w:t>
      </w:r>
      <w:r w:rsidR="00C47011" w:rsidRPr="00F3542D">
        <w:rPr>
          <w:b/>
          <w:sz w:val="28"/>
          <w:szCs w:val="28"/>
        </w:rPr>
        <w:t xml:space="preserve"> các Nghị quyết của UBTVQH về mức thu</w:t>
      </w:r>
      <w:r w:rsidR="0020291E" w:rsidRPr="00F3542D">
        <w:rPr>
          <w:b/>
          <w:sz w:val="28"/>
          <w:szCs w:val="28"/>
        </w:rPr>
        <w:t>ế</w:t>
      </w:r>
      <w:r w:rsidR="00C47011" w:rsidRPr="00F3542D">
        <w:rPr>
          <w:b/>
          <w:sz w:val="28"/>
          <w:szCs w:val="28"/>
        </w:rPr>
        <w:t xml:space="preserve"> BVMT đối với xăng, dầu, mỡ nhờn </w:t>
      </w:r>
      <w:r w:rsidR="00F3542D">
        <w:rPr>
          <w:b/>
          <w:sz w:val="28"/>
          <w:szCs w:val="28"/>
        </w:rPr>
        <w:t>thời gian qua</w:t>
      </w:r>
    </w:p>
    <w:p w14:paraId="0186BF1C" w14:textId="77777777" w:rsidR="008F07F8" w:rsidRDefault="008F07F8" w:rsidP="008F07F8">
      <w:pPr>
        <w:pStyle w:val="BodyText3"/>
        <w:spacing w:before="120"/>
        <w:ind w:firstLine="720"/>
        <w:mirrorIndents/>
        <w:jc w:val="both"/>
        <w:rPr>
          <w:sz w:val="28"/>
          <w:szCs w:val="28"/>
        </w:rPr>
      </w:pPr>
      <w:r w:rsidRPr="007032DE">
        <w:rPr>
          <w:sz w:val="28"/>
          <w:szCs w:val="28"/>
        </w:rPr>
        <w:t>Theo Nghị quyết số</w:t>
      </w:r>
      <w:r>
        <w:rPr>
          <w:sz w:val="28"/>
          <w:szCs w:val="28"/>
        </w:rPr>
        <w:t xml:space="preserve"> </w:t>
      </w:r>
      <w:r w:rsidRPr="007032DE">
        <w:rPr>
          <w:sz w:val="28"/>
          <w:szCs w:val="28"/>
        </w:rPr>
        <w:t>1326/NQ-UBTVQH15 ngày 23/12/2024 của UBTVQH về Chương trình công tác của UBTVQH năm 2025 thì dự án Nghị quyết</w:t>
      </w:r>
      <w:r>
        <w:rPr>
          <w:sz w:val="28"/>
          <w:szCs w:val="28"/>
        </w:rPr>
        <w:t xml:space="preserve"> về </w:t>
      </w:r>
      <w:r w:rsidRPr="007032DE">
        <w:rPr>
          <w:sz w:val="28"/>
          <w:szCs w:val="28"/>
          <w:lang w:val="nl-NL"/>
        </w:rPr>
        <w:t>mức thuế</w:t>
      </w:r>
      <w:r>
        <w:rPr>
          <w:sz w:val="28"/>
          <w:szCs w:val="28"/>
          <w:lang w:val="nl-NL"/>
        </w:rPr>
        <w:t xml:space="preserve"> </w:t>
      </w:r>
      <w:r w:rsidR="002F007B">
        <w:rPr>
          <w:sz w:val="28"/>
          <w:szCs w:val="28"/>
          <w:lang w:val="nl-NL"/>
        </w:rPr>
        <w:t>BVMT</w:t>
      </w:r>
      <w:r>
        <w:rPr>
          <w:sz w:val="28"/>
          <w:szCs w:val="28"/>
          <w:lang w:val="nl-NL"/>
        </w:rPr>
        <w:t xml:space="preserve"> </w:t>
      </w:r>
      <w:r w:rsidRPr="007032DE">
        <w:rPr>
          <w:sz w:val="28"/>
          <w:szCs w:val="28"/>
          <w:lang w:val="nl-NL"/>
        </w:rPr>
        <w:t>đối với xăng, dầu, mỡ nhờn</w:t>
      </w:r>
      <w:r w:rsidRPr="007032DE">
        <w:rPr>
          <w:sz w:val="28"/>
          <w:szCs w:val="28"/>
        </w:rPr>
        <w:t xml:space="preserve"> dự kiến được xem xét, thông qua </w:t>
      </w:r>
      <w:r>
        <w:rPr>
          <w:sz w:val="28"/>
          <w:szCs w:val="28"/>
        </w:rPr>
        <w:t>vào</w:t>
      </w:r>
      <w:r w:rsidRPr="007032DE">
        <w:rPr>
          <w:sz w:val="28"/>
          <w:szCs w:val="28"/>
        </w:rPr>
        <w:t xml:space="preserve"> </w:t>
      </w:r>
      <w:r>
        <w:rPr>
          <w:sz w:val="28"/>
          <w:szCs w:val="28"/>
        </w:rPr>
        <w:t>tháng 10/2025</w:t>
      </w:r>
      <w:r w:rsidRPr="007032DE">
        <w:rPr>
          <w:sz w:val="28"/>
          <w:szCs w:val="28"/>
        </w:rPr>
        <w:t>.</w:t>
      </w:r>
      <w:r>
        <w:rPr>
          <w:sz w:val="28"/>
          <w:szCs w:val="28"/>
        </w:rPr>
        <w:t xml:space="preserve"> </w:t>
      </w:r>
    </w:p>
    <w:p w14:paraId="295E4248" w14:textId="77777777" w:rsidR="00EE67BD" w:rsidRDefault="00EE67BD" w:rsidP="008F07F8">
      <w:pPr>
        <w:pStyle w:val="BodyText3"/>
        <w:spacing w:before="120"/>
        <w:ind w:firstLine="720"/>
        <w:mirrorIndents/>
        <w:jc w:val="both"/>
        <w:rPr>
          <w:sz w:val="28"/>
          <w:szCs w:val="28"/>
          <w:shd w:val="clear" w:color="auto" w:fill="FFFFFF"/>
          <w:lang w:val="nb-NO"/>
        </w:rPr>
      </w:pPr>
      <w:r>
        <w:rPr>
          <w:sz w:val="28"/>
          <w:szCs w:val="28"/>
          <w:lang w:val="nl-NL"/>
        </w:rPr>
        <w:t>Căn cứ Luật B</w:t>
      </w:r>
      <w:r w:rsidRPr="0080080A">
        <w:rPr>
          <w:sz w:val="28"/>
          <w:szCs w:val="28"/>
          <w:lang w:val="nl-NL"/>
        </w:rPr>
        <w:t xml:space="preserve">an hành văn bản quy phạm pháp luật </w:t>
      </w:r>
      <w:r>
        <w:rPr>
          <w:sz w:val="28"/>
          <w:szCs w:val="28"/>
          <w:lang w:val="nl-NL"/>
        </w:rPr>
        <w:t xml:space="preserve">và </w:t>
      </w:r>
      <w:r w:rsidRPr="0080080A">
        <w:rPr>
          <w:sz w:val="28"/>
          <w:szCs w:val="28"/>
          <w:lang w:val="nl-NL"/>
        </w:rPr>
        <w:t xml:space="preserve">Nghị định số </w:t>
      </w:r>
      <w:r>
        <w:rPr>
          <w:sz w:val="28"/>
          <w:szCs w:val="28"/>
          <w:lang w:val="nl-NL"/>
        </w:rPr>
        <w:t>78</w:t>
      </w:r>
      <w:r w:rsidRPr="0080080A">
        <w:rPr>
          <w:sz w:val="28"/>
          <w:szCs w:val="28"/>
          <w:lang w:val="nl-NL"/>
        </w:rPr>
        <w:t>/20</w:t>
      </w:r>
      <w:r>
        <w:rPr>
          <w:sz w:val="28"/>
          <w:szCs w:val="28"/>
          <w:lang w:val="nl-NL"/>
        </w:rPr>
        <w:t>25</w:t>
      </w:r>
      <w:r w:rsidRPr="0080080A">
        <w:rPr>
          <w:sz w:val="28"/>
          <w:szCs w:val="28"/>
          <w:lang w:val="nl-NL"/>
        </w:rPr>
        <w:t xml:space="preserve">/NĐ-CP ngày </w:t>
      </w:r>
      <w:r>
        <w:rPr>
          <w:sz w:val="28"/>
          <w:szCs w:val="28"/>
          <w:lang w:val="nl-NL"/>
        </w:rPr>
        <w:t>01/4/2025</w:t>
      </w:r>
      <w:r w:rsidRPr="0080080A">
        <w:rPr>
          <w:sz w:val="28"/>
          <w:szCs w:val="28"/>
          <w:lang w:val="nl-NL"/>
        </w:rPr>
        <w:t xml:space="preserve"> của Chính phủ quy định chi tiết một số điều và biện pháp </w:t>
      </w:r>
      <w:r>
        <w:rPr>
          <w:sz w:val="28"/>
          <w:szCs w:val="28"/>
          <w:lang w:val="nl-NL"/>
        </w:rPr>
        <w:t>để tổ chức, hướng dẫn thi hành Luật B</w:t>
      </w:r>
      <w:r w:rsidRPr="0080080A">
        <w:rPr>
          <w:sz w:val="28"/>
          <w:szCs w:val="28"/>
          <w:lang w:val="nl-NL"/>
        </w:rPr>
        <w:t>an hành văn bản quy phạm pháp luật</w:t>
      </w:r>
      <w:r>
        <w:rPr>
          <w:sz w:val="28"/>
          <w:szCs w:val="28"/>
          <w:lang w:val="nl-NL"/>
        </w:rPr>
        <w:t xml:space="preserve">, </w:t>
      </w:r>
      <w:r>
        <w:rPr>
          <w:rFonts w:eastAsia="Arial"/>
          <w:sz w:val="28"/>
          <w:szCs w:val="28"/>
          <w:lang w:val="nl-NL"/>
        </w:rPr>
        <w:t>Bộ Tài chính</w:t>
      </w:r>
      <w:r w:rsidRPr="0080080A">
        <w:rPr>
          <w:rFonts w:eastAsia="Arial"/>
          <w:sz w:val="28"/>
          <w:szCs w:val="28"/>
          <w:lang w:val="nl-NL"/>
        </w:rPr>
        <w:t xml:space="preserve"> </w:t>
      </w:r>
      <w:r>
        <w:rPr>
          <w:rFonts w:eastAsia="Arial"/>
          <w:sz w:val="28"/>
          <w:szCs w:val="28"/>
          <w:lang w:val="nl-NL"/>
        </w:rPr>
        <w:t xml:space="preserve">đã </w:t>
      </w:r>
      <w:r>
        <w:rPr>
          <w:rFonts w:eastAsia="Arial"/>
          <w:sz w:val="28"/>
          <w:szCs w:val="28"/>
          <w:lang w:val="vi-VN"/>
        </w:rPr>
        <w:t>xây dựng</w:t>
      </w:r>
      <w:r>
        <w:rPr>
          <w:rFonts w:eastAsia="Arial"/>
          <w:sz w:val="28"/>
          <w:szCs w:val="28"/>
          <w:lang w:val="nl-NL"/>
        </w:rPr>
        <w:t xml:space="preserve"> hồ sơ</w:t>
      </w:r>
      <w:r w:rsidRPr="0080080A">
        <w:rPr>
          <w:rFonts w:eastAsia="Arial"/>
          <w:sz w:val="28"/>
          <w:szCs w:val="28"/>
          <w:lang w:val="nl-NL"/>
        </w:rPr>
        <w:t xml:space="preserve"> dự án</w:t>
      </w:r>
      <w:r>
        <w:rPr>
          <w:rFonts w:eastAsia="Arial"/>
          <w:sz w:val="28"/>
          <w:szCs w:val="28"/>
          <w:lang w:val="nl-NL"/>
        </w:rPr>
        <w:t xml:space="preserve"> Nghị quyết về mức thuế BVMT đối với xăng, dầu, mỡ nhờn trong năm 2026. </w:t>
      </w:r>
      <w:r>
        <w:rPr>
          <w:sz w:val="28"/>
          <w:szCs w:val="28"/>
        </w:rPr>
        <w:t>Tại hồ sơ dự án Nghị quyết</w:t>
      </w:r>
      <w:r w:rsidR="008F07F8">
        <w:rPr>
          <w:sz w:val="28"/>
          <w:szCs w:val="28"/>
        </w:rPr>
        <w:t xml:space="preserve">, Bộ Tài chính đã thực hiện tổng kết, đánh giá tình thực hiện các Nghị quyết của UBTVQH về mức thuế BVMT đối với xăng, dầu, mỡ nhờn theo quy định tại </w:t>
      </w:r>
      <w:r w:rsidR="008F07F8" w:rsidRPr="007032DE">
        <w:rPr>
          <w:sz w:val="28"/>
          <w:szCs w:val="28"/>
          <w:shd w:val="clear" w:color="auto" w:fill="FFFFFF"/>
          <w:lang w:val="nb-NO"/>
        </w:rPr>
        <w:t>Luật Ban hành văn bản quy phạm pháp luật</w:t>
      </w:r>
      <w:r w:rsidR="008F07F8">
        <w:rPr>
          <w:sz w:val="28"/>
          <w:szCs w:val="28"/>
          <w:shd w:val="clear" w:color="auto" w:fill="FFFFFF"/>
          <w:lang w:val="nb-NO"/>
        </w:rPr>
        <w:t xml:space="preserve">. </w:t>
      </w:r>
    </w:p>
    <w:p w14:paraId="202184F9" w14:textId="77777777" w:rsidR="00EE67BD" w:rsidRDefault="00EE67BD" w:rsidP="008F07F8">
      <w:pPr>
        <w:pStyle w:val="BodyText3"/>
        <w:spacing w:before="120"/>
        <w:ind w:firstLine="720"/>
        <w:mirrorIndents/>
        <w:jc w:val="both"/>
        <w:rPr>
          <w:sz w:val="28"/>
          <w:szCs w:val="28"/>
          <w:shd w:val="clear" w:color="auto" w:fill="FFFFFF"/>
          <w:lang w:val="nb-NO"/>
        </w:rPr>
      </w:pPr>
    </w:p>
    <w:p w14:paraId="40F70801" w14:textId="77777777" w:rsidR="00B077A8" w:rsidRDefault="00B077A8" w:rsidP="00EE67BD">
      <w:pPr>
        <w:pStyle w:val="BodyText3"/>
        <w:spacing w:before="120"/>
        <w:ind w:firstLine="720"/>
        <w:mirrorIndents/>
        <w:jc w:val="both"/>
        <w:rPr>
          <w:b/>
          <w:bCs/>
          <w:sz w:val="26"/>
          <w:szCs w:val="26"/>
          <w:lang w:val="nl-NL"/>
        </w:rPr>
      </w:pPr>
      <w:r w:rsidRPr="00B077A8">
        <w:rPr>
          <w:b/>
          <w:bCs/>
          <w:sz w:val="26"/>
          <w:szCs w:val="26"/>
          <w:lang w:val="nl-NL"/>
        </w:rPr>
        <w:lastRenderedPageBreak/>
        <w:t>II. KẾT QUẢ THỰC HIỆN</w:t>
      </w:r>
    </w:p>
    <w:p w14:paraId="5FFAF1C1" w14:textId="77777777" w:rsidR="003942B0" w:rsidRDefault="003942B0" w:rsidP="0027069F">
      <w:pPr>
        <w:spacing w:before="120" w:after="120"/>
        <w:ind w:firstLine="720"/>
        <w:jc w:val="both"/>
        <w:rPr>
          <w:b/>
          <w:bCs/>
          <w:sz w:val="28"/>
          <w:szCs w:val="28"/>
        </w:rPr>
      </w:pPr>
      <w:r>
        <w:rPr>
          <w:b/>
          <w:bCs/>
          <w:sz w:val="28"/>
          <w:szCs w:val="28"/>
        </w:rPr>
        <w:t xml:space="preserve">1. Tổ chức thi hành </w:t>
      </w:r>
    </w:p>
    <w:p w14:paraId="3919641D" w14:textId="77777777" w:rsidR="008F07F8" w:rsidRPr="00C02FEF" w:rsidRDefault="008F07F8" w:rsidP="0020291E">
      <w:pPr>
        <w:widowControl w:val="0"/>
        <w:spacing w:before="120" w:after="120"/>
        <w:ind w:firstLine="720"/>
        <w:jc w:val="both"/>
        <w:rPr>
          <w:rFonts w:eastAsia="Calibri"/>
          <w:sz w:val="28"/>
          <w:szCs w:val="28"/>
          <w:shd w:val="clear" w:color="auto" w:fill="FFFFFF"/>
        </w:rPr>
      </w:pPr>
      <w:r w:rsidRPr="008F07F8">
        <w:rPr>
          <w:rFonts w:eastAsia="Calibri"/>
          <w:sz w:val="28"/>
          <w:szCs w:val="28"/>
          <w:shd w:val="clear" w:color="auto" w:fill="FFFFFF"/>
          <w:lang w:val="pt-BR"/>
        </w:rPr>
        <w:t xml:space="preserve">Ngày 15/11/2010, Quốc hội khóa XII tại kỳ họp thứ 8 đã thông qua Luật </w:t>
      </w:r>
      <w:r w:rsidR="002F007B">
        <w:rPr>
          <w:rFonts w:eastAsia="Calibri"/>
          <w:sz w:val="28"/>
          <w:szCs w:val="28"/>
          <w:shd w:val="clear" w:color="auto" w:fill="FFFFFF"/>
          <w:lang w:val="pt-BR"/>
        </w:rPr>
        <w:t>T</w:t>
      </w:r>
      <w:r w:rsidRPr="008F07F8">
        <w:rPr>
          <w:rFonts w:eastAsia="Calibri"/>
          <w:sz w:val="28"/>
          <w:szCs w:val="28"/>
          <w:shd w:val="clear" w:color="auto" w:fill="FFFFFF"/>
          <w:lang w:val="pt-BR"/>
        </w:rPr>
        <w:t xml:space="preserve">huế BVMT, có hiệu lực thi hành kể từ ngày 01/01/2012. Tại </w:t>
      </w:r>
      <w:r w:rsidRPr="008F07F8">
        <w:rPr>
          <w:rFonts w:eastAsia="Calibri"/>
          <w:sz w:val="28"/>
          <w:szCs w:val="28"/>
          <w:shd w:val="clear" w:color="auto" w:fill="FFFFFF"/>
          <w:lang w:val="nl-NL"/>
        </w:rPr>
        <w:t xml:space="preserve">Luật </w:t>
      </w:r>
      <w:r>
        <w:rPr>
          <w:rFonts w:eastAsia="Calibri"/>
          <w:sz w:val="28"/>
          <w:szCs w:val="28"/>
          <w:shd w:val="clear" w:color="auto" w:fill="FFFFFF"/>
          <w:lang w:val="nl-NL"/>
        </w:rPr>
        <w:t>T</w:t>
      </w:r>
      <w:r w:rsidRPr="008F07F8">
        <w:rPr>
          <w:rFonts w:eastAsia="Calibri"/>
          <w:sz w:val="28"/>
          <w:szCs w:val="28"/>
          <w:shd w:val="clear" w:color="auto" w:fill="FFFFFF"/>
          <w:lang w:val="nl-NL"/>
        </w:rPr>
        <w:t xml:space="preserve">huế BVMT quy định Biểu khung thuế đối với </w:t>
      </w:r>
      <w:r w:rsidRPr="008F07F8">
        <w:rPr>
          <w:rFonts w:eastAsia="Calibri"/>
          <w:sz w:val="28"/>
          <w:szCs w:val="28"/>
          <w:shd w:val="clear" w:color="auto" w:fill="FFFFFF"/>
          <w:lang w:val="pl-PL"/>
        </w:rPr>
        <w:t xml:space="preserve">8 nhóm sản phẩm, hàng hóa thuộc đối tượng chịu thuế, gồm: </w:t>
      </w:r>
      <w:r>
        <w:rPr>
          <w:rFonts w:eastAsia="Calibri"/>
          <w:sz w:val="28"/>
          <w:szCs w:val="28"/>
          <w:shd w:val="clear" w:color="auto" w:fill="FFFFFF"/>
          <w:lang w:val="pl-PL"/>
        </w:rPr>
        <w:t xml:space="preserve">(i) </w:t>
      </w:r>
      <w:r w:rsidRPr="008F07F8">
        <w:rPr>
          <w:rFonts w:eastAsia="Calibri"/>
          <w:sz w:val="28"/>
          <w:szCs w:val="28"/>
          <w:shd w:val="clear" w:color="auto" w:fill="FFFFFF"/>
          <w:lang w:val="pl-PL"/>
        </w:rPr>
        <w:t>Xăng, dầu, mỡ nhờn;</w:t>
      </w:r>
      <w:r>
        <w:rPr>
          <w:rFonts w:eastAsia="Calibri"/>
          <w:sz w:val="28"/>
          <w:szCs w:val="28"/>
          <w:shd w:val="clear" w:color="auto" w:fill="FFFFFF"/>
          <w:lang w:val="pl-PL"/>
        </w:rPr>
        <w:t xml:space="preserve"> (ii)</w:t>
      </w:r>
      <w:r w:rsidRPr="008F07F8">
        <w:rPr>
          <w:rFonts w:eastAsia="Calibri"/>
          <w:sz w:val="28"/>
          <w:szCs w:val="28"/>
          <w:shd w:val="clear" w:color="auto" w:fill="FFFFFF"/>
          <w:lang w:val="pl-PL"/>
        </w:rPr>
        <w:t xml:space="preserve"> </w:t>
      </w:r>
      <w:r w:rsidRPr="008F07F8">
        <w:rPr>
          <w:rFonts w:eastAsia="Calibri"/>
          <w:sz w:val="28"/>
          <w:szCs w:val="28"/>
          <w:shd w:val="clear" w:color="auto" w:fill="FFFFFF"/>
          <w:lang w:val="sv-SE"/>
        </w:rPr>
        <w:t>Than đá;</w:t>
      </w:r>
      <w:r>
        <w:rPr>
          <w:rFonts w:eastAsia="Calibri"/>
          <w:sz w:val="28"/>
          <w:szCs w:val="28"/>
          <w:shd w:val="clear" w:color="auto" w:fill="FFFFFF"/>
          <w:lang w:val="sv-SE"/>
        </w:rPr>
        <w:t xml:space="preserve"> (iii)</w:t>
      </w:r>
      <w:r w:rsidRPr="008F07F8">
        <w:rPr>
          <w:rFonts w:eastAsia="Calibri"/>
          <w:sz w:val="28"/>
          <w:szCs w:val="28"/>
          <w:shd w:val="clear" w:color="auto" w:fill="FFFFFF"/>
          <w:lang w:val="sv-SE"/>
        </w:rPr>
        <w:t xml:space="preserve"> Dung dịch hydro-chloro-fluoro-carbon; </w:t>
      </w:r>
      <w:r>
        <w:rPr>
          <w:rFonts w:eastAsia="Calibri"/>
          <w:sz w:val="28"/>
          <w:szCs w:val="28"/>
          <w:shd w:val="clear" w:color="auto" w:fill="FFFFFF"/>
          <w:lang w:val="sv-SE"/>
        </w:rPr>
        <w:t xml:space="preserve">(iv) </w:t>
      </w:r>
      <w:r w:rsidRPr="008F07F8">
        <w:rPr>
          <w:rFonts w:eastAsia="Calibri"/>
          <w:sz w:val="28"/>
          <w:szCs w:val="28"/>
          <w:shd w:val="clear" w:color="auto" w:fill="FFFFFF"/>
          <w:lang w:val="sv-SE"/>
        </w:rPr>
        <w:t>Túi nilông thuộc diện chịu thuế;</w:t>
      </w:r>
      <w:r>
        <w:rPr>
          <w:rFonts w:eastAsia="Calibri"/>
          <w:sz w:val="28"/>
          <w:szCs w:val="28"/>
          <w:shd w:val="clear" w:color="auto" w:fill="FFFFFF"/>
          <w:lang w:val="sv-SE"/>
        </w:rPr>
        <w:t xml:space="preserve"> (v) </w:t>
      </w:r>
      <w:r w:rsidRPr="008F07F8">
        <w:rPr>
          <w:rFonts w:eastAsia="Calibri"/>
          <w:sz w:val="28"/>
          <w:szCs w:val="28"/>
          <w:shd w:val="clear" w:color="auto" w:fill="FFFFFF"/>
          <w:lang w:val="sv-SE"/>
        </w:rPr>
        <w:t>Thuốc diệt cỏ thuộc loại hạn chế sử dụng;</w:t>
      </w:r>
      <w:r>
        <w:rPr>
          <w:rFonts w:eastAsia="Calibri"/>
          <w:sz w:val="28"/>
          <w:szCs w:val="28"/>
          <w:shd w:val="clear" w:color="auto" w:fill="FFFFFF"/>
          <w:lang w:val="sv-SE"/>
        </w:rPr>
        <w:t xml:space="preserve"> (vi)</w:t>
      </w:r>
      <w:r w:rsidRPr="008F07F8">
        <w:rPr>
          <w:rFonts w:eastAsia="Calibri"/>
          <w:sz w:val="28"/>
          <w:szCs w:val="28"/>
          <w:shd w:val="clear" w:color="auto" w:fill="FFFFFF"/>
          <w:lang w:val="sv-SE"/>
        </w:rPr>
        <w:t xml:space="preserve"> Thuốc trừ mối thuộc loại hạn chế sử dụng; </w:t>
      </w:r>
      <w:r>
        <w:rPr>
          <w:rFonts w:eastAsia="Calibri"/>
          <w:sz w:val="28"/>
          <w:szCs w:val="28"/>
          <w:shd w:val="clear" w:color="auto" w:fill="FFFFFF"/>
          <w:lang w:val="sv-SE"/>
        </w:rPr>
        <w:t xml:space="preserve">(vii) </w:t>
      </w:r>
      <w:r w:rsidRPr="008F07F8">
        <w:rPr>
          <w:rFonts w:eastAsia="Calibri"/>
          <w:sz w:val="28"/>
          <w:szCs w:val="28"/>
          <w:shd w:val="clear" w:color="auto" w:fill="FFFFFF"/>
          <w:lang w:val="sv-SE"/>
        </w:rPr>
        <w:t>Thuốc bảo quản lâm sản thuộc loại hạn chế sử dụng;</w:t>
      </w:r>
      <w:r>
        <w:rPr>
          <w:rFonts w:eastAsia="Calibri"/>
          <w:sz w:val="28"/>
          <w:szCs w:val="28"/>
          <w:shd w:val="clear" w:color="auto" w:fill="FFFFFF"/>
          <w:lang w:val="sv-SE"/>
        </w:rPr>
        <w:t xml:space="preserve"> (viii)</w:t>
      </w:r>
      <w:r w:rsidRPr="008F07F8">
        <w:rPr>
          <w:rFonts w:eastAsia="Calibri"/>
          <w:sz w:val="28"/>
          <w:szCs w:val="28"/>
          <w:shd w:val="clear" w:color="auto" w:fill="FFFFFF"/>
          <w:lang w:val="sv-SE"/>
        </w:rPr>
        <w:t xml:space="preserve"> Thuốc khử trùng kho thuộc loại hạn chế sử dụng; đồng thời tại Luật </w:t>
      </w:r>
      <w:r>
        <w:rPr>
          <w:rFonts w:eastAsia="Calibri"/>
          <w:sz w:val="28"/>
          <w:szCs w:val="28"/>
          <w:shd w:val="clear" w:color="auto" w:fill="FFFFFF"/>
          <w:lang w:val="sv-SE"/>
        </w:rPr>
        <w:t>T</w:t>
      </w:r>
      <w:r w:rsidRPr="008F07F8">
        <w:rPr>
          <w:rFonts w:eastAsia="Calibri"/>
          <w:sz w:val="28"/>
          <w:szCs w:val="28"/>
          <w:shd w:val="clear" w:color="auto" w:fill="FFFFFF"/>
          <w:lang w:val="sv-SE"/>
        </w:rPr>
        <w:t xml:space="preserve">huế BVMT cũng đã </w:t>
      </w:r>
      <w:r w:rsidRPr="008F07F8">
        <w:rPr>
          <w:rFonts w:eastAsia="Calibri"/>
          <w:sz w:val="28"/>
          <w:szCs w:val="28"/>
          <w:shd w:val="clear" w:color="auto" w:fill="FFFFFF"/>
          <w:lang w:val="nl-NL"/>
        </w:rPr>
        <w:t>giao cho UBTVQH căn cứ vào Biểu khung thuế quy định tại Luật để quy định mức thuế cụ thể đối với từng loại hàng hóa chịu thuế đảm bảo nguyên tắc: (i) Mức thuế đối với hàng hóa chịu thuế phù hợp với chính sách phát triển kinh tế - xã hội của Nhà nước trong từng thời kỳ, (ii) Mức thuế đối với hàng hóa chịu thuế được xác định theo mức độ gây tác động xấu đến môi trường của hàng hóa</w:t>
      </w:r>
      <w:r>
        <w:rPr>
          <w:rFonts w:eastAsia="Calibri"/>
          <w:sz w:val="28"/>
          <w:szCs w:val="28"/>
          <w:shd w:val="clear" w:color="auto" w:fill="FFFFFF"/>
          <w:lang w:val="nl-NL"/>
        </w:rPr>
        <w:t xml:space="preserve">. </w:t>
      </w:r>
    </w:p>
    <w:p w14:paraId="1E226EB3" w14:textId="77777777" w:rsidR="003E54A7" w:rsidRDefault="0020291E" w:rsidP="0020291E">
      <w:pPr>
        <w:widowControl w:val="0"/>
        <w:spacing w:before="120" w:after="120"/>
        <w:ind w:firstLine="720"/>
        <w:jc w:val="both"/>
        <w:rPr>
          <w:color w:val="000000" w:themeColor="text1"/>
          <w:sz w:val="28"/>
          <w:szCs w:val="28"/>
        </w:rPr>
      </w:pPr>
      <w:r w:rsidRPr="00C02FEF">
        <w:rPr>
          <w:rFonts w:eastAsia="Calibri"/>
          <w:sz w:val="28"/>
          <w:szCs w:val="28"/>
          <w:shd w:val="clear" w:color="auto" w:fill="FFFFFF"/>
        </w:rPr>
        <w:t xml:space="preserve"> </w:t>
      </w:r>
      <w:r w:rsidR="00940372">
        <w:rPr>
          <w:color w:val="000000" w:themeColor="text1"/>
          <w:sz w:val="28"/>
          <w:szCs w:val="28"/>
        </w:rPr>
        <w:t xml:space="preserve">Từ năm 2022 đến nay, thực hiện chủ trương của Đảng và Nhà nước, Bộ Tài chính đã trình Chính phủ, trình UBTVQH ban hành 05 Nghị quyết quy định về mức thuế BVMT đối với xăng dầu mỡ nhờn. </w:t>
      </w:r>
      <w:r w:rsidR="003E54A7" w:rsidRPr="007032DE">
        <w:rPr>
          <w:sz w:val="28"/>
          <w:szCs w:val="28"/>
          <w:shd w:val="clear" w:color="auto" w:fill="FFFFFF"/>
        </w:rPr>
        <w:t xml:space="preserve">Hiện hành, mức thuế BVMT đối với xăng, dầu, mỡ nhờn </w:t>
      </w:r>
      <w:r w:rsidR="003E54A7">
        <w:rPr>
          <w:sz w:val="28"/>
          <w:szCs w:val="28"/>
          <w:shd w:val="clear" w:color="auto" w:fill="FFFFFF"/>
        </w:rPr>
        <w:t>thực hiện theo</w:t>
      </w:r>
      <w:r w:rsidR="003E54A7" w:rsidRPr="007032DE">
        <w:rPr>
          <w:sz w:val="28"/>
          <w:szCs w:val="28"/>
          <w:shd w:val="clear" w:color="auto" w:fill="FFFFFF"/>
        </w:rPr>
        <w:t xml:space="preserve"> Nghị quyết số 60/2024/UBTVQH15</w:t>
      </w:r>
      <w:r w:rsidR="003E54A7">
        <w:rPr>
          <w:sz w:val="28"/>
          <w:szCs w:val="28"/>
          <w:shd w:val="clear" w:color="auto" w:fill="FFFFFF"/>
        </w:rPr>
        <w:t>. Mức thuế BVMT đối với xăng, dầu, mỡ nhờn từ ngày 01/01/2026 trở đi thực hiện theo quy định tại Nghị quyết số 579/2018</w:t>
      </w:r>
      <w:r w:rsidR="003E54A7" w:rsidRPr="007032DE">
        <w:rPr>
          <w:sz w:val="28"/>
          <w:szCs w:val="28"/>
          <w:shd w:val="clear" w:color="auto" w:fill="FFFFFF"/>
        </w:rPr>
        <w:t>/UBTVQH1</w:t>
      </w:r>
      <w:r w:rsidR="003E54A7">
        <w:rPr>
          <w:sz w:val="28"/>
          <w:szCs w:val="28"/>
          <w:shd w:val="clear" w:color="auto" w:fill="FFFFFF"/>
        </w:rPr>
        <w:t>4. Tại Nghị quyết giao Chính phủ chỉ đạo các Bộ, cơ quan ngang Bộ, cơ quan thuộc Chính phủ, các địa phương triển khai thực hiện Nghị quyết này</w:t>
      </w:r>
      <w:r w:rsidR="008F07F8">
        <w:rPr>
          <w:sz w:val="28"/>
          <w:szCs w:val="28"/>
          <w:shd w:val="clear" w:color="auto" w:fill="FFFFFF"/>
        </w:rPr>
        <w:t>.</w:t>
      </w:r>
    </w:p>
    <w:p w14:paraId="29FD8B6A" w14:textId="77777777" w:rsidR="003E54A7" w:rsidRDefault="007C533A" w:rsidP="0020291E">
      <w:pPr>
        <w:widowControl w:val="0"/>
        <w:spacing w:before="120" w:after="120"/>
        <w:ind w:firstLine="720"/>
        <w:jc w:val="both"/>
        <w:rPr>
          <w:color w:val="000000" w:themeColor="text1"/>
          <w:sz w:val="28"/>
          <w:szCs w:val="28"/>
        </w:rPr>
      </w:pPr>
      <w:r>
        <w:rPr>
          <w:color w:val="000000" w:themeColor="text1"/>
          <w:sz w:val="28"/>
          <w:szCs w:val="28"/>
        </w:rPr>
        <w:t xml:space="preserve">Để hướng dẫn triển khai thực hiện các Nghị quyết của UBTVQH về mức thuế BVMT đối xăng, dầu, mỡ nhờn, Bộ Tài chính đã có các công văn gửi </w:t>
      </w:r>
      <w:r w:rsidR="002F007B">
        <w:rPr>
          <w:color w:val="000000" w:themeColor="text1"/>
          <w:sz w:val="28"/>
          <w:szCs w:val="28"/>
        </w:rPr>
        <w:t>C</w:t>
      </w:r>
      <w:r>
        <w:rPr>
          <w:color w:val="000000" w:themeColor="text1"/>
          <w:sz w:val="28"/>
          <w:szCs w:val="28"/>
        </w:rPr>
        <w:t xml:space="preserve">ục Thuế, </w:t>
      </w:r>
      <w:r w:rsidR="002F007B">
        <w:rPr>
          <w:color w:val="000000" w:themeColor="text1"/>
          <w:sz w:val="28"/>
          <w:szCs w:val="28"/>
        </w:rPr>
        <w:t>Cục</w:t>
      </w:r>
      <w:r w:rsidR="00A61754">
        <w:rPr>
          <w:color w:val="000000" w:themeColor="text1"/>
          <w:sz w:val="28"/>
          <w:szCs w:val="28"/>
        </w:rPr>
        <w:t xml:space="preserve"> Hải quan, </w:t>
      </w:r>
      <w:r w:rsidR="002F007B">
        <w:rPr>
          <w:color w:val="000000" w:themeColor="text1"/>
          <w:sz w:val="28"/>
          <w:szCs w:val="28"/>
        </w:rPr>
        <w:t xml:space="preserve">Thuế và </w:t>
      </w:r>
      <w:r w:rsidR="00A61754">
        <w:rPr>
          <w:color w:val="000000" w:themeColor="text1"/>
          <w:sz w:val="28"/>
          <w:szCs w:val="28"/>
        </w:rPr>
        <w:t>Hải quan các tỉnh</w:t>
      </w:r>
      <w:r w:rsidR="002F007B">
        <w:rPr>
          <w:color w:val="000000" w:themeColor="text1"/>
          <w:sz w:val="28"/>
          <w:szCs w:val="28"/>
        </w:rPr>
        <w:t>,</w:t>
      </w:r>
      <w:r w:rsidR="00A61754">
        <w:rPr>
          <w:color w:val="000000" w:themeColor="text1"/>
          <w:sz w:val="28"/>
          <w:szCs w:val="28"/>
        </w:rPr>
        <w:t xml:space="preserve"> thành phố trực thuộc Trung ương. Đồng thời, Bộ Tài chính đã phối hợp với Bộ Công Thương </w:t>
      </w:r>
      <w:r w:rsidR="003E54A7">
        <w:rPr>
          <w:color w:val="000000" w:themeColor="text1"/>
          <w:sz w:val="28"/>
          <w:szCs w:val="28"/>
        </w:rPr>
        <w:t>chỉ đạo, giám sát việc triển khai thực hiện của các thương nhân đầu mối kinh doanh xăng, dầu để đảm bảo việc tính thuế BVMT trong cơ cấu giá xăng, dầu tương ứng với mức thuế BVMT quy định tại các Nghị quyết. Trong quá trình triển khai thực hiện</w:t>
      </w:r>
      <w:r w:rsidR="007C14BB">
        <w:rPr>
          <w:color w:val="000000" w:themeColor="text1"/>
          <w:sz w:val="28"/>
          <w:szCs w:val="28"/>
        </w:rPr>
        <w:t xml:space="preserve"> các Nghị quyết UBTVQH về mức thuế BVMT </w:t>
      </w:r>
      <w:r w:rsidR="008F07F8">
        <w:rPr>
          <w:color w:val="000000" w:themeColor="text1"/>
          <w:sz w:val="28"/>
          <w:szCs w:val="28"/>
        </w:rPr>
        <w:t>đối với</w:t>
      </w:r>
      <w:r w:rsidR="007C14BB">
        <w:rPr>
          <w:color w:val="000000" w:themeColor="text1"/>
          <w:sz w:val="28"/>
          <w:szCs w:val="28"/>
        </w:rPr>
        <w:t xml:space="preserve"> xăng, dầu, mỡ nhờn </w:t>
      </w:r>
      <w:r w:rsidR="003E54A7">
        <w:rPr>
          <w:color w:val="000000" w:themeColor="text1"/>
          <w:sz w:val="28"/>
          <w:szCs w:val="28"/>
        </w:rPr>
        <w:t xml:space="preserve">không phát sinh vướng mắc. </w:t>
      </w:r>
    </w:p>
    <w:p w14:paraId="7EDA38CC" w14:textId="77777777" w:rsidR="0063031D" w:rsidRDefault="003942B0" w:rsidP="001D0DC9">
      <w:pPr>
        <w:widowControl w:val="0"/>
        <w:spacing w:before="120" w:after="120"/>
        <w:ind w:firstLine="720"/>
        <w:jc w:val="both"/>
        <w:rPr>
          <w:b/>
          <w:bCs/>
          <w:sz w:val="28"/>
          <w:szCs w:val="28"/>
        </w:rPr>
      </w:pPr>
      <w:r>
        <w:rPr>
          <w:b/>
          <w:bCs/>
          <w:sz w:val="28"/>
          <w:szCs w:val="28"/>
        </w:rPr>
        <w:t>2</w:t>
      </w:r>
      <w:r w:rsidR="0063031D">
        <w:rPr>
          <w:b/>
          <w:bCs/>
          <w:sz w:val="28"/>
          <w:szCs w:val="28"/>
        </w:rPr>
        <w:t>. Kết quả thi hành các Nghị quyết của UBTVQH về mức thuế BVMT đối với xăng, dầu, mỡ nhờn</w:t>
      </w:r>
    </w:p>
    <w:p w14:paraId="14C1DB67" w14:textId="77777777" w:rsidR="00C75AE4" w:rsidRPr="00C75AE4" w:rsidRDefault="003942B0" w:rsidP="0027069F">
      <w:pPr>
        <w:spacing w:before="120" w:after="120"/>
        <w:ind w:firstLine="720"/>
        <w:jc w:val="both"/>
        <w:rPr>
          <w:b/>
          <w:bCs/>
          <w:sz w:val="28"/>
          <w:szCs w:val="28"/>
        </w:rPr>
      </w:pPr>
      <w:r>
        <w:rPr>
          <w:b/>
          <w:bCs/>
          <w:sz w:val="28"/>
          <w:szCs w:val="28"/>
        </w:rPr>
        <w:t>2.</w:t>
      </w:r>
      <w:r w:rsidR="00C75AE4" w:rsidRPr="00C75AE4">
        <w:rPr>
          <w:b/>
          <w:bCs/>
          <w:sz w:val="28"/>
          <w:szCs w:val="28"/>
        </w:rPr>
        <w:t>1. Tác động tích cực</w:t>
      </w:r>
    </w:p>
    <w:p w14:paraId="6C0ACA78" w14:textId="77777777" w:rsidR="004D3CBC" w:rsidRDefault="004D3CBC" w:rsidP="0027069F">
      <w:pPr>
        <w:spacing w:before="120" w:after="120"/>
        <w:ind w:firstLine="720"/>
        <w:jc w:val="both"/>
        <w:rPr>
          <w:sz w:val="28"/>
          <w:szCs w:val="28"/>
        </w:rPr>
      </w:pPr>
      <w:r w:rsidRPr="003C3EE1">
        <w:rPr>
          <w:sz w:val="28"/>
          <w:szCs w:val="28"/>
        </w:rPr>
        <w:t xml:space="preserve">Quá trình thực hiện chính sách giảm thuế BVMT đối với xăng, dầu, mỡ nhờn trong </w:t>
      </w:r>
      <w:r w:rsidR="00BB0BE8">
        <w:rPr>
          <w:sz w:val="28"/>
          <w:szCs w:val="28"/>
        </w:rPr>
        <w:t>thời gian qua</w:t>
      </w:r>
      <w:r w:rsidRPr="003C3EE1">
        <w:rPr>
          <w:sz w:val="28"/>
          <w:szCs w:val="28"/>
        </w:rPr>
        <w:t xml:space="preserve"> cho thấy những kết quả tích cực, cụ thể</w:t>
      </w:r>
      <w:r w:rsidR="00255D0C">
        <w:rPr>
          <w:sz w:val="28"/>
          <w:szCs w:val="28"/>
        </w:rPr>
        <w:t>:</w:t>
      </w:r>
    </w:p>
    <w:p w14:paraId="75064571" w14:textId="77777777" w:rsidR="00CD26ED" w:rsidRPr="008C660D" w:rsidRDefault="00CD26ED" w:rsidP="0027069F">
      <w:pPr>
        <w:spacing w:before="120" w:after="120"/>
        <w:ind w:firstLine="720"/>
        <w:jc w:val="both"/>
        <w:rPr>
          <w:i/>
          <w:sz w:val="28"/>
          <w:szCs w:val="28"/>
          <w:lang w:val="vi-VN"/>
        </w:rPr>
      </w:pPr>
      <w:r w:rsidRPr="008C660D">
        <w:rPr>
          <w:i/>
          <w:sz w:val="28"/>
          <w:szCs w:val="28"/>
          <w:lang w:val="sv-SE"/>
        </w:rPr>
        <w:t xml:space="preserve">- </w:t>
      </w:r>
      <w:r w:rsidRPr="008C660D">
        <w:rPr>
          <w:i/>
          <w:sz w:val="28"/>
          <w:szCs w:val="28"/>
          <w:lang w:val="vi-VN"/>
        </w:rPr>
        <w:t xml:space="preserve">Việc </w:t>
      </w:r>
      <w:r>
        <w:rPr>
          <w:i/>
          <w:sz w:val="28"/>
          <w:szCs w:val="28"/>
        </w:rPr>
        <w:t xml:space="preserve">điều chỉnh mức thuế BVMT đối với xăng, dầu, mỡ nhờn được đánh giá là giải pháp linh hoạt và hiệu quả để </w:t>
      </w:r>
      <w:r w:rsidRPr="008C660D">
        <w:rPr>
          <w:i/>
          <w:sz w:val="28"/>
          <w:szCs w:val="28"/>
        </w:rPr>
        <w:t>g</w:t>
      </w:r>
      <w:r w:rsidRPr="008C660D">
        <w:rPr>
          <w:i/>
          <w:sz w:val="28"/>
          <w:szCs w:val="28"/>
          <w:lang w:val="sv-SE"/>
        </w:rPr>
        <w:t>óp phần bình ổn giá bán xăng dầu trong nước</w:t>
      </w:r>
      <w:r w:rsidRPr="008C660D">
        <w:rPr>
          <w:i/>
          <w:sz w:val="28"/>
          <w:szCs w:val="28"/>
          <w:lang w:val="vi-VN"/>
        </w:rPr>
        <w:t>.</w:t>
      </w:r>
    </w:p>
    <w:p w14:paraId="0CA2F6F7" w14:textId="77777777" w:rsidR="00CD26ED" w:rsidRPr="008C660D" w:rsidRDefault="00CD26ED" w:rsidP="0027069F">
      <w:pPr>
        <w:spacing w:before="120" w:after="120"/>
        <w:ind w:firstLine="720"/>
        <w:jc w:val="both"/>
        <w:rPr>
          <w:sz w:val="28"/>
          <w:szCs w:val="28"/>
        </w:rPr>
      </w:pPr>
      <w:r>
        <w:rPr>
          <w:sz w:val="28"/>
          <w:szCs w:val="28"/>
          <w:lang w:val="pt-BR"/>
        </w:rPr>
        <w:lastRenderedPageBreak/>
        <w:t xml:space="preserve">Việc điều chỉnh giảm mức thuế BVMT đối với xăng, dầu, mỡ nhờn trong năm 2025 như năm 2024 đã góp phần giảm chi phí thuế trong cơ cấu bán lẻ xăng, dầu, từ đó có tác động tức thì trong việc giảm giá bán lẻ xăng dầu. </w:t>
      </w:r>
      <w:r w:rsidRPr="008C660D">
        <w:rPr>
          <w:sz w:val="28"/>
          <w:szCs w:val="28"/>
        </w:rPr>
        <w:t xml:space="preserve">Trong hơn </w:t>
      </w:r>
      <w:r>
        <w:rPr>
          <w:sz w:val="28"/>
          <w:szCs w:val="28"/>
        </w:rPr>
        <w:t>5</w:t>
      </w:r>
      <w:r w:rsidRPr="008C660D">
        <w:rPr>
          <w:sz w:val="28"/>
          <w:szCs w:val="28"/>
        </w:rPr>
        <w:t xml:space="preserve"> tháng đầu năm 202</w:t>
      </w:r>
      <w:r>
        <w:rPr>
          <w:sz w:val="28"/>
          <w:szCs w:val="28"/>
        </w:rPr>
        <w:t>5</w:t>
      </w:r>
      <w:r w:rsidRPr="008C660D">
        <w:rPr>
          <w:sz w:val="28"/>
          <w:szCs w:val="28"/>
        </w:rPr>
        <w:t>, giá bán lẻ của mặt hàng xăng dầu trong nước nhìn chung không biến động lớn, cụ thể:</w:t>
      </w:r>
    </w:p>
    <w:tbl>
      <w:tblPr>
        <w:tblStyle w:val="TableGrid"/>
        <w:tblW w:w="0" w:type="auto"/>
        <w:tblLook w:val="04A0" w:firstRow="1" w:lastRow="0" w:firstColumn="1" w:lastColumn="0" w:noHBand="0" w:noVBand="1"/>
      </w:tblPr>
      <w:tblGrid>
        <w:gridCol w:w="1507"/>
        <w:gridCol w:w="2185"/>
        <w:gridCol w:w="1197"/>
        <w:gridCol w:w="2158"/>
        <w:gridCol w:w="2015"/>
      </w:tblGrid>
      <w:tr w:rsidR="00CD26ED" w:rsidRPr="009A7D2C" w14:paraId="1485A937" w14:textId="77777777" w:rsidTr="00804A33">
        <w:trPr>
          <w:trHeight w:val="735"/>
          <w:tblHeader/>
        </w:trPr>
        <w:tc>
          <w:tcPr>
            <w:tcW w:w="0" w:type="auto"/>
            <w:vMerge w:val="restart"/>
            <w:vAlign w:val="center"/>
          </w:tcPr>
          <w:p w14:paraId="62E91F65" w14:textId="77777777" w:rsidR="00CD26ED" w:rsidRPr="009A7D2C" w:rsidRDefault="00CD26ED" w:rsidP="00804A33">
            <w:pPr>
              <w:widowControl w:val="0"/>
              <w:overflowPunct w:val="0"/>
              <w:autoSpaceDE w:val="0"/>
              <w:autoSpaceDN w:val="0"/>
              <w:adjustRightInd w:val="0"/>
              <w:jc w:val="center"/>
              <w:rPr>
                <w:b/>
                <w:lang w:val="pt-BR"/>
              </w:rPr>
            </w:pPr>
            <w:r w:rsidRPr="009A7D2C">
              <w:rPr>
                <w:b/>
                <w:lang w:val="pt-BR"/>
              </w:rPr>
              <w:t>Mặt hàng</w:t>
            </w:r>
          </w:p>
        </w:tc>
        <w:tc>
          <w:tcPr>
            <w:tcW w:w="0" w:type="auto"/>
            <w:vMerge w:val="restart"/>
            <w:vAlign w:val="center"/>
          </w:tcPr>
          <w:p w14:paraId="24665257" w14:textId="77777777" w:rsidR="00CD26ED" w:rsidRPr="009A7D2C" w:rsidRDefault="00CD26ED" w:rsidP="00804A33">
            <w:pPr>
              <w:widowControl w:val="0"/>
              <w:overflowPunct w:val="0"/>
              <w:autoSpaceDE w:val="0"/>
              <w:autoSpaceDN w:val="0"/>
              <w:adjustRightInd w:val="0"/>
              <w:spacing w:before="60" w:after="60"/>
              <w:jc w:val="center"/>
              <w:rPr>
                <w:lang w:val="pt-BR"/>
              </w:rPr>
            </w:pPr>
            <w:r w:rsidRPr="009A7D2C">
              <w:rPr>
                <w:b/>
                <w:lang w:val="pt-BR"/>
              </w:rPr>
              <w:t>Mức giá bình quân trong năm 202</w:t>
            </w:r>
            <w:r>
              <w:rPr>
                <w:b/>
                <w:lang w:val="pt-BR"/>
              </w:rPr>
              <w:t>4</w:t>
            </w:r>
            <w:r>
              <w:rPr>
                <w:b/>
                <w:lang w:val="pt-BR"/>
              </w:rPr>
              <w:br/>
            </w:r>
            <w:r w:rsidRPr="009A7D2C">
              <w:rPr>
                <w:lang w:val="pt-BR"/>
              </w:rPr>
              <w:t>(đồng/lít)</w:t>
            </w:r>
          </w:p>
        </w:tc>
        <w:tc>
          <w:tcPr>
            <w:tcW w:w="0" w:type="auto"/>
            <w:gridSpan w:val="3"/>
            <w:vAlign w:val="center"/>
          </w:tcPr>
          <w:p w14:paraId="0471959F" w14:textId="77777777" w:rsidR="00CD26ED" w:rsidRPr="009A7D2C" w:rsidRDefault="00CD26ED" w:rsidP="00804A33">
            <w:pPr>
              <w:widowControl w:val="0"/>
              <w:overflowPunct w:val="0"/>
              <w:autoSpaceDE w:val="0"/>
              <w:autoSpaceDN w:val="0"/>
              <w:adjustRightInd w:val="0"/>
              <w:spacing w:before="60" w:after="60"/>
              <w:jc w:val="center"/>
              <w:rPr>
                <w:lang w:val="pt-BR"/>
              </w:rPr>
            </w:pPr>
            <w:r w:rsidRPr="009A7D2C">
              <w:rPr>
                <w:b/>
                <w:lang w:val="pt-BR"/>
              </w:rPr>
              <w:t xml:space="preserve">Mức giá </w:t>
            </w:r>
            <w:r w:rsidRPr="00D06F2D">
              <w:rPr>
                <w:b/>
                <w:lang w:val="pt-BR"/>
              </w:rPr>
              <w:t>từ đầu</w:t>
            </w:r>
            <w:r w:rsidRPr="009A7D2C">
              <w:rPr>
                <w:b/>
                <w:lang w:val="pt-BR"/>
              </w:rPr>
              <w:t xml:space="preserve"> năm 202</w:t>
            </w:r>
            <w:r>
              <w:rPr>
                <w:b/>
                <w:lang w:val="pt-BR"/>
              </w:rPr>
              <w:t>5</w:t>
            </w:r>
            <w:r w:rsidRPr="009A7D2C">
              <w:rPr>
                <w:b/>
              </w:rPr>
              <w:t xml:space="preserve"> đến nay</w:t>
            </w:r>
            <w:r w:rsidRPr="009A7D2C">
              <w:rPr>
                <w:rStyle w:val="FootnoteReference"/>
                <w:b/>
                <w:lang w:val="pt-BR"/>
              </w:rPr>
              <w:footnoteReference w:id="3"/>
            </w:r>
            <w:r>
              <w:rPr>
                <w:b/>
                <w:lang w:val="en-US"/>
              </w:rPr>
              <w:t xml:space="preserve"> </w:t>
            </w:r>
            <w:r>
              <w:rPr>
                <w:b/>
                <w:lang w:val="en-US"/>
              </w:rPr>
              <w:br/>
            </w:r>
            <w:r w:rsidRPr="009A7D2C">
              <w:rPr>
                <w:lang w:val="pt-BR"/>
              </w:rPr>
              <w:t>(đồng/lít)</w:t>
            </w:r>
          </w:p>
        </w:tc>
      </w:tr>
      <w:tr w:rsidR="00CD26ED" w:rsidRPr="009A7D2C" w14:paraId="77973219" w14:textId="77777777" w:rsidTr="00804A33">
        <w:trPr>
          <w:trHeight w:val="872"/>
          <w:tblHeader/>
        </w:trPr>
        <w:tc>
          <w:tcPr>
            <w:tcW w:w="0" w:type="auto"/>
            <w:vMerge/>
            <w:vAlign w:val="center"/>
          </w:tcPr>
          <w:p w14:paraId="66B95C26" w14:textId="77777777" w:rsidR="00CD26ED" w:rsidRPr="009A7D2C" w:rsidRDefault="00CD26ED" w:rsidP="00804A33">
            <w:pPr>
              <w:widowControl w:val="0"/>
              <w:overflowPunct w:val="0"/>
              <w:autoSpaceDE w:val="0"/>
              <w:autoSpaceDN w:val="0"/>
              <w:adjustRightInd w:val="0"/>
              <w:jc w:val="center"/>
              <w:rPr>
                <w:b/>
                <w:lang w:val="pt-BR"/>
              </w:rPr>
            </w:pPr>
          </w:p>
        </w:tc>
        <w:tc>
          <w:tcPr>
            <w:tcW w:w="0" w:type="auto"/>
            <w:vMerge/>
            <w:vAlign w:val="center"/>
          </w:tcPr>
          <w:p w14:paraId="70110E58" w14:textId="77777777" w:rsidR="00CD26ED" w:rsidRPr="009A7D2C" w:rsidRDefault="00CD26ED" w:rsidP="00804A33">
            <w:pPr>
              <w:widowControl w:val="0"/>
              <w:overflowPunct w:val="0"/>
              <w:autoSpaceDE w:val="0"/>
              <w:autoSpaceDN w:val="0"/>
              <w:adjustRightInd w:val="0"/>
              <w:jc w:val="center"/>
              <w:rPr>
                <w:b/>
                <w:lang w:val="pt-BR"/>
              </w:rPr>
            </w:pPr>
          </w:p>
        </w:tc>
        <w:tc>
          <w:tcPr>
            <w:tcW w:w="0" w:type="auto"/>
            <w:vAlign w:val="center"/>
          </w:tcPr>
          <w:p w14:paraId="59603F6D" w14:textId="77777777" w:rsidR="00CD26ED" w:rsidRPr="00D06F2D" w:rsidRDefault="00CD26ED" w:rsidP="00804A33">
            <w:pPr>
              <w:widowControl w:val="0"/>
              <w:overflowPunct w:val="0"/>
              <w:autoSpaceDE w:val="0"/>
              <w:autoSpaceDN w:val="0"/>
              <w:adjustRightInd w:val="0"/>
              <w:spacing w:before="60" w:after="60"/>
              <w:jc w:val="center"/>
              <w:rPr>
                <w:b/>
                <w:lang w:val="pt-BR"/>
              </w:rPr>
            </w:pPr>
            <w:r w:rsidRPr="00D06F2D">
              <w:rPr>
                <w:b/>
                <w:lang w:val="pt-BR"/>
              </w:rPr>
              <w:t>Giá bình quân</w:t>
            </w:r>
          </w:p>
        </w:tc>
        <w:tc>
          <w:tcPr>
            <w:tcW w:w="0" w:type="auto"/>
            <w:vAlign w:val="center"/>
          </w:tcPr>
          <w:p w14:paraId="5C6E235E" w14:textId="77777777" w:rsidR="00CD26ED" w:rsidRPr="00D06F2D" w:rsidRDefault="00CD26ED" w:rsidP="00804A33">
            <w:pPr>
              <w:widowControl w:val="0"/>
              <w:overflowPunct w:val="0"/>
              <w:autoSpaceDE w:val="0"/>
              <w:autoSpaceDN w:val="0"/>
              <w:adjustRightInd w:val="0"/>
              <w:spacing w:before="60" w:after="60"/>
              <w:jc w:val="center"/>
              <w:rPr>
                <w:b/>
                <w:lang w:val="pt-BR"/>
              </w:rPr>
            </w:pPr>
            <w:r w:rsidRPr="007B6E24">
              <w:rPr>
                <w:b/>
                <w:lang w:val="pt-BR"/>
              </w:rPr>
              <w:t>Giá cao nhất</w:t>
            </w:r>
          </w:p>
        </w:tc>
        <w:tc>
          <w:tcPr>
            <w:tcW w:w="0" w:type="auto"/>
            <w:vAlign w:val="center"/>
          </w:tcPr>
          <w:p w14:paraId="084FC723" w14:textId="77777777" w:rsidR="00CD26ED" w:rsidRPr="00D06F2D" w:rsidRDefault="00CD26ED" w:rsidP="00804A33">
            <w:pPr>
              <w:widowControl w:val="0"/>
              <w:overflowPunct w:val="0"/>
              <w:autoSpaceDE w:val="0"/>
              <w:autoSpaceDN w:val="0"/>
              <w:adjustRightInd w:val="0"/>
              <w:spacing w:before="60" w:after="60"/>
              <w:jc w:val="center"/>
              <w:rPr>
                <w:b/>
                <w:lang w:val="pt-BR"/>
              </w:rPr>
            </w:pPr>
            <w:r w:rsidRPr="007B6E24">
              <w:rPr>
                <w:b/>
                <w:lang w:val="pt-BR"/>
              </w:rPr>
              <w:t>Giá thấp nhất</w:t>
            </w:r>
          </w:p>
        </w:tc>
      </w:tr>
      <w:tr w:rsidR="00CD26ED" w:rsidRPr="009A7D2C" w14:paraId="0BF3EB46" w14:textId="77777777" w:rsidTr="00804A33">
        <w:trPr>
          <w:trHeight w:val="1268"/>
        </w:trPr>
        <w:tc>
          <w:tcPr>
            <w:tcW w:w="0" w:type="auto"/>
            <w:vAlign w:val="center"/>
          </w:tcPr>
          <w:p w14:paraId="7E69E59C" w14:textId="77777777" w:rsidR="00CD26ED" w:rsidRPr="009A7D2C" w:rsidRDefault="00CD26ED" w:rsidP="00804A33">
            <w:pPr>
              <w:widowControl w:val="0"/>
              <w:overflowPunct w:val="0"/>
              <w:autoSpaceDE w:val="0"/>
              <w:autoSpaceDN w:val="0"/>
              <w:adjustRightInd w:val="0"/>
              <w:spacing w:before="60" w:after="60"/>
              <w:jc w:val="center"/>
              <w:rPr>
                <w:b/>
                <w:lang w:val="pt-BR"/>
              </w:rPr>
            </w:pPr>
            <w:r w:rsidRPr="009A7D2C">
              <w:rPr>
                <w:b/>
                <w:lang w:val="nl-NL"/>
              </w:rPr>
              <w:t>Xăng E5RON92</w:t>
            </w:r>
          </w:p>
        </w:tc>
        <w:tc>
          <w:tcPr>
            <w:tcW w:w="0" w:type="auto"/>
            <w:vAlign w:val="center"/>
          </w:tcPr>
          <w:p w14:paraId="3F9A8DAE" w14:textId="77777777" w:rsidR="00CD26ED" w:rsidRPr="009A7D2C" w:rsidRDefault="00CD26ED" w:rsidP="00804A33">
            <w:pPr>
              <w:widowControl w:val="0"/>
              <w:overflowPunct w:val="0"/>
              <w:autoSpaceDE w:val="0"/>
              <w:autoSpaceDN w:val="0"/>
              <w:adjustRightInd w:val="0"/>
              <w:spacing w:before="60" w:after="60"/>
              <w:jc w:val="center"/>
              <w:rPr>
                <w:lang w:val="en-US"/>
              </w:rPr>
            </w:pPr>
            <w:r w:rsidRPr="009A7D2C">
              <w:rPr>
                <w:lang w:val="en-US"/>
              </w:rPr>
              <w:t>21.</w:t>
            </w:r>
            <w:r>
              <w:rPr>
                <w:lang w:val="en-US"/>
              </w:rPr>
              <w:t>366</w:t>
            </w:r>
          </w:p>
        </w:tc>
        <w:tc>
          <w:tcPr>
            <w:tcW w:w="0" w:type="auto"/>
            <w:vAlign w:val="center"/>
          </w:tcPr>
          <w:p w14:paraId="273A175E" w14:textId="77777777" w:rsidR="00CD26ED" w:rsidRPr="00DE0529" w:rsidRDefault="00CD26ED" w:rsidP="0064302B">
            <w:pPr>
              <w:widowControl w:val="0"/>
              <w:overflowPunct w:val="0"/>
              <w:autoSpaceDE w:val="0"/>
              <w:autoSpaceDN w:val="0"/>
              <w:adjustRightInd w:val="0"/>
              <w:spacing w:before="60" w:after="60"/>
              <w:jc w:val="center"/>
              <w:rPr>
                <w:color w:val="000000" w:themeColor="text1"/>
                <w:lang w:val="nl-NL"/>
              </w:rPr>
            </w:pPr>
            <w:r>
              <w:rPr>
                <w:color w:val="000000" w:themeColor="text1"/>
                <w:lang w:val="nl-NL"/>
              </w:rPr>
              <w:t>19.</w:t>
            </w:r>
            <w:r w:rsidR="0064302B">
              <w:rPr>
                <w:color w:val="000000" w:themeColor="text1"/>
                <w:lang w:val="nl-NL"/>
              </w:rPr>
              <w:t>840</w:t>
            </w:r>
          </w:p>
        </w:tc>
        <w:tc>
          <w:tcPr>
            <w:tcW w:w="0" w:type="auto"/>
            <w:vAlign w:val="center"/>
          </w:tcPr>
          <w:p w14:paraId="7A9F2BBD" w14:textId="77777777" w:rsidR="00CD26ED" w:rsidRPr="009A7D2C" w:rsidRDefault="00CD26ED" w:rsidP="00804A33">
            <w:pPr>
              <w:widowControl w:val="0"/>
              <w:overflowPunct w:val="0"/>
              <w:autoSpaceDE w:val="0"/>
              <w:autoSpaceDN w:val="0"/>
              <w:adjustRightInd w:val="0"/>
              <w:spacing w:before="60" w:after="60"/>
              <w:jc w:val="center"/>
              <w:rPr>
                <w:color w:val="000000" w:themeColor="text1"/>
                <w:lang w:val="nl-NL"/>
              </w:rPr>
            </w:pPr>
            <w:r>
              <w:rPr>
                <w:color w:val="000000" w:themeColor="text1"/>
                <w:lang w:val="nl-NL"/>
              </w:rPr>
              <w:t>20</w:t>
            </w:r>
            <w:r w:rsidRPr="009A7D2C">
              <w:rPr>
                <w:color w:val="000000" w:themeColor="text1"/>
                <w:lang w:val="nl-NL"/>
              </w:rPr>
              <w:t>.</w:t>
            </w:r>
            <w:r>
              <w:rPr>
                <w:color w:val="000000" w:themeColor="text1"/>
                <w:lang w:val="nl-NL"/>
              </w:rPr>
              <w:t>855</w:t>
            </w:r>
          </w:p>
          <w:p w14:paraId="475DF383" w14:textId="77777777" w:rsidR="00CD26ED" w:rsidRPr="009A7D2C" w:rsidRDefault="00CD26ED" w:rsidP="00804A33">
            <w:pPr>
              <w:widowControl w:val="0"/>
              <w:overflowPunct w:val="0"/>
              <w:autoSpaceDE w:val="0"/>
              <w:autoSpaceDN w:val="0"/>
              <w:adjustRightInd w:val="0"/>
              <w:spacing w:before="60" w:after="60"/>
              <w:jc w:val="center"/>
              <w:rPr>
                <w:color w:val="000000" w:themeColor="text1"/>
                <w:lang w:val="pt-BR"/>
              </w:rPr>
            </w:pPr>
            <w:r w:rsidRPr="009A7D2C">
              <w:rPr>
                <w:color w:val="000000" w:themeColor="text1"/>
                <w:lang w:val="nl-NL"/>
              </w:rPr>
              <w:t xml:space="preserve">(kỳ điều hành ngày </w:t>
            </w:r>
            <w:r>
              <w:rPr>
                <w:color w:val="000000" w:themeColor="text1"/>
                <w:lang w:val="nl-NL"/>
              </w:rPr>
              <w:t>20</w:t>
            </w:r>
            <w:r w:rsidRPr="009A7D2C">
              <w:rPr>
                <w:color w:val="000000" w:themeColor="text1"/>
                <w:lang w:val="nl-NL"/>
              </w:rPr>
              <w:t>/</w:t>
            </w:r>
            <w:r>
              <w:rPr>
                <w:color w:val="000000" w:themeColor="text1"/>
                <w:lang w:val="nl-NL"/>
              </w:rPr>
              <w:t>02</w:t>
            </w:r>
            <w:r w:rsidRPr="009A7D2C">
              <w:rPr>
                <w:color w:val="000000" w:themeColor="text1"/>
                <w:lang w:val="nl-NL"/>
              </w:rPr>
              <w:t>/202</w:t>
            </w:r>
            <w:r>
              <w:rPr>
                <w:color w:val="000000" w:themeColor="text1"/>
                <w:lang w:val="nl-NL"/>
              </w:rPr>
              <w:t>5</w:t>
            </w:r>
            <w:r w:rsidRPr="009A7D2C">
              <w:rPr>
                <w:color w:val="000000" w:themeColor="text1"/>
                <w:lang w:val="nl-NL"/>
              </w:rPr>
              <w:t>)</w:t>
            </w:r>
          </w:p>
        </w:tc>
        <w:tc>
          <w:tcPr>
            <w:tcW w:w="0" w:type="auto"/>
            <w:vAlign w:val="center"/>
          </w:tcPr>
          <w:p w14:paraId="7A53BA2F" w14:textId="77777777" w:rsidR="00CD26ED" w:rsidRPr="009A7D2C" w:rsidRDefault="00CD26ED" w:rsidP="00804A33">
            <w:pPr>
              <w:widowControl w:val="0"/>
              <w:overflowPunct w:val="0"/>
              <w:autoSpaceDE w:val="0"/>
              <w:autoSpaceDN w:val="0"/>
              <w:adjustRightInd w:val="0"/>
              <w:spacing w:before="60" w:after="60"/>
              <w:jc w:val="center"/>
              <w:rPr>
                <w:color w:val="000000" w:themeColor="text1"/>
                <w:lang w:val="nl-NL"/>
              </w:rPr>
            </w:pPr>
            <w:r>
              <w:rPr>
                <w:color w:val="000000" w:themeColor="text1"/>
                <w:lang w:val="nl-NL"/>
              </w:rPr>
              <w:t>18</w:t>
            </w:r>
            <w:r w:rsidRPr="009A7D2C">
              <w:rPr>
                <w:color w:val="000000" w:themeColor="text1"/>
                <w:lang w:val="nl-NL"/>
              </w:rPr>
              <w:t>.</w:t>
            </w:r>
            <w:r>
              <w:rPr>
                <w:color w:val="000000" w:themeColor="text1"/>
                <w:lang w:val="nl-NL"/>
              </w:rPr>
              <w:t>498</w:t>
            </w:r>
          </w:p>
          <w:p w14:paraId="791A95DB" w14:textId="77777777" w:rsidR="00CD26ED" w:rsidRPr="009A7D2C" w:rsidRDefault="00CD26ED" w:rsidP="00804A33">
            <w:pPr>
              <w:widowControl w:val="0"/>
              <w:overflowPunct w:val="0"/>
              <w:autoSpaceDE w:val="0"/>
              <w:autoSpaceDN w:val="0"/>
              <w:adjustRightInd w:val="0"/>
              <w:spacing w:before="60" w:after="60"/>
              <w:jc w:val="center"/>
              <w:rPr>
                <w:color w:val="000000" w:themeColor="text1"/>
                <w:lang w:val="pt-BR"/>
              </w:rPr>
            </w:pPr>
            <w:r w:rsidRPr="009A7D2C">
              <w:rPr>
                <w:color w:val="000000" w:themeColor="text1"/>
                <w:lang w:val="nl-NL"/>
              </w:rPr>
              <w:t xml:space="preserve">(kỳ điều hành ngày </w:t>
            </w:r>
            <w:r>
              <w:rPr>
                <w:color w:val="000000" w:themeColor="text1"/>
                <w:lang w:val="nl-NL"/>
              </w:rPr>
              <w:t>17</w:t>
            </w:r>
            <w:r w:rsidRPr="009A7D2C">
              <w:rPr>
                <w:color w:val="000000" w:themeColor="text1"/>
                <w:lang w:val="nl-NL"/>
              </w:rPr>
              <w:t>/</w:t>
            </w:r>
            <w:r>
              <w:rPr>
                <w:color w:val="000000" w:themeColor="text1"/>
                <w:lang w:val="nl-NL"/>
              </w:rPr>
              <w:t>4</w:t>
            </w:r>
            <w:r w:rsidRPr="009A7D2C">
              <w:rPr>
                <w:color w:val="000000" w:themeColor="text1"/>
                <w:lang w:val="nl-NL"/>
              </w:rPr>
              <w:t>/202</w:t>
            </w:r>
            <w:r>
              <w:rPr>
                <w:color w:val="000000" w:themeColor="text1"/>
                <w:lang w:val="nl-NL"/>
              </w:rPr>
              <w:t>5</w:t>
            </w:r>
            <w:r w:rsidRPr="009A7D2C">
              <w:rPr>
                <w:color w:val="000000" w:themeColor="text1"/>
                <w:lang w:val="nl-NL"/>
              </w:rPr>
              <w:t>)</w:t>
            </w:r>
          </w:p>
        </w:tc>
      </w:tr>
      <w:tr w:rsidR="00CD26ED" w:rsidRPr="009A7D2C" w14:paraId="7F224C17" w14:textId="77777777" w:rsidTr="00804A33">
        <w:trPr>
          <w:trHeight w:val="1272"/>
        </w:trPr>
        <w:tc>
          <w:tcPr>
            <w:tcW w:w="0" w:type="auto"/>
            <w:vAlign w:val="center"/>
          </w:tcPr>
          <w:p w14:paraId="27958185" w14:textId="77777777" w:rsidR="00CD26ED" w:rsidRPr="009A7D2C" w:rsidRDefault="00CD26ED" w:rsidP="00804A33">
            <w:pPr>
              <w:widowControl w:val="0"/>
              <w:overflowPunct w:val="0"/>
              <w:autoSpaceDE w:val="0"/>
              <w:autoSpaceDN w:val="0"/>
              <w:adjustRightInd w:val="0"/>
              <w:spacing w:before="60" w:after="60"/>
              <w:jc w:val="center"/>
              <w:rPr>
                <w:b/>
                <w:lang w:val="pt-BR"/>
              </w:rPr>
            </w:pPr>
            <w:r w:rsidRPr="009A7D2C">
              <w:rPr>
                <w:b/>
                <w:lang w:val="nl-NL"/>
              </w:rPr>
              <w:t>Xăng RON95</w:t>
            </w:r>
          </w:p>
        </w:tc>
        <w:tc>
          <w:tcPr>
            <w:tcW w:w="0" w:type="auto"/>
            <w:vAlign w:val="center"/>
          </w:tcPr>
          <w:p w14:paraId="2D96A1C9" w14:textId="77777777" w:rsidR="00CD26ED" w:rsidRPr="009A7D2C" w:rsidRDefault="00CD26ED" w:rsidP="00804A33">
            <w:pPr>
              <w:widowControl w:val="0"/>
              <w:overflowPunct w:val="0"/>
              <w:autoSpaceDE w:val="0"/>
              <w:autoSpaceDN w:val="0"/>
              <w:adjustRightInd w:val="0"/>
              <w:spacing w:before="60" w:after="60"/>
              <w:jc w:val="center"/>
              <w:rPr>
                <w:lang w:val="en-US"/>
              </w:rPr>
            </w:pPr>
            <w:r w:rsidRPr="009A7D2C">
              <w:rPr>
                <w:lang w:val="en-US"/>
              </w:rPr>
              <w:t>2</w:t>
            </w:r>
            <w:r>
              <w:rPr>
                <w:lang w:val="en-US"/>
              </w:rPr>
              <w:t>2.358</w:t>
            </w:r>
          </w:p>
        </w:tc>
        <w:tc>
          <w:tcPr>
            <w:tcW w:w="0" w:type="auto"/>
            <w:vAlign w:val="center"/>
          </w:tcPr>
          <w:p w14:paraId="06C96707" w14:textId="77777777" w:rsidR="00CD26ED" w:rsidRPr="00DE0529" w:rsidRDefault="00CD26ED" w:rsidP="0064302B">
            <w:pPr>
              <w:widowControl w:val="0"/>
              <w:overflowPunct w:val="0"/>
              <w:autoSpaceDE w:val="0"/>
              <w:autoSpaceDN w:val="0"/>
              <w:adjustRightInd w:val="0"/>
              <w:spacing w:before="60" w:after="60"/>
              <w:jc w:val="center"/>
              <w:rPr>
                <w:color w:val="000000" w:themeColor="text1"/>
                <w:lang w:val="nl-NL"/>
              </w:rPr>
            </w:pPr>
            <w:r>
              <w:rPr>
                <w:color w:val="000000" w:themeColor="text1"/>
                <w:lang w:val="nl-NL"/>
              </w:rPr>
              <w:t>20.</w:t>
            </w:r>
            <w:r w:rsidR="0064302B">
              <w:rPr>
                <w:color w:val="000000" w:themeColor="text1"/>
                <w:lang w:val="nl-NL"/>
              </w:rPr>
              <w:t>308</w:t>
            </w:r>
          </w:p>
        </w:tc>
        <w:tc>
          <w:tcPr>
            <w:tcW w:w="0" w:type="auto"/>
            <w:vAlign w:val="center"/>
          </w:tcPr>
          <w:p w14:paraId="77822432" w14:textId="77777777" w:rsidR="00CD26ED" w:rsidRPr="009A7D2C" w:rsidRDefault="00CD26ED" w:rsidP="00804A33">
            <w:pPr>
              <w:widowControl w:val="0"/>
              <w:overflowPunct w:val="0"/>
              <w:autoSpaceDE w:val="0"/>
              <w:autoSpaceDN w:val="0"/>
              <w:adjustRightInd w:val="0"/>
              <w:spacing w:before="60" w:after="60"/>
              <w:jc w:val="center"/>
              <w:rPr>
                <w:color w:val="000000" w:themeColor="text1"/>
                <w:lang w:val="nl-NL"/>
              </w:rPr>
            </w:pPr>
            <w:r>
              <w:rPr>
                <w:color w:val="000000" w:themeColor="text1"/>
                <w:lang w:val="nl-NL"/>
              </w:rPr>
              <w:t>21</w:t>
            </w:r>
            <w:r w:rsidRPr="009A7D2C">
              <w:rPr>
                <w:color w:val="000000" w:themeColor="text1"/>
                <w:lang w:val="nl-NL"/>
              </w:rPr>
              <w:t>.</w:t>
            </w:r>
            <w:r>
              <w:rPr>
                <w:color w:val="000000" w:themeColor="text1"/>
                <w:lang w:val="nl-NL"/>
              </w:rPr>
              <w:t>331</w:t>
            </w:r>
          </w:p>
          <w:p w14:paraId="56B39C41" w14:textId="77777777" w:rsidR="00CD26ED" w:rsidRPr="009A7D2C" w:rsidRDefault="00CD26ED" w:rsidP="00804A33">
            <w:pPr>
              <w:widowControl w:val="0"/>
              <w:overflowPunct w:val="0"/>
              <w:autoSpaceDE w:val="0"/>
              <w:autoSpaceDN w:val="0"/>
              <w:adjustRightInd w:val="0"/>
              <w:spacing w:before="60" w:after="60"/>
              <w:jc w:val="center"/>
              <w:rPr>
                <w:color w:val="000000" w:themeColor="text1"/>
                <w:lang w:val="pt-BR"/>
              </w:rPr>
            </w:pPr>
            <w:r w:rsidRPr="009A7D2C">
              <w:rPr>
                <w:color w:val="000000" w:themeColor="text1"/>
                <w:lang w:val="nl-NL"/>
              </w:rPr>
              <w:t xml:space="preserve">(kỳ điều hành ngày  </w:t>
            </w:r>
            <w:r>
              <w:rPr>
                <w:color w:val="000000" w:themeColor="text1"/>
                <w:lang w:val="nl-NL"/>
              </w:rPr>
              <w:t>20</w:t>
            </w:r>
            <w:r w:rsidRPr="009A7D2C">
              <w:rPr>
                <w:color w:val="000000" w:themeColor="text1"/>
                <w:lang w:val="nl-NL"/>
              </w:rPr>
              <w:t>/</w:t>
            </w:r>
            <w:r>
              <w:rPr>
                <w:color w:val="000000" w:themeColor="text1"/>
                <w:lang w:val="nl-NL"/>
              </w:rPr>
              <w:t>02</w:t>
            </w:r>
            <w:r w:rsidRPr="009A7D2C">
              <w:rPr>
                <w:color w:val="000000" w:themeColor="text1"/>
                <w:lang w:val="nl-NL"/>
              </w:rPr>
              <w:t>/202</w:t>
            </w:r>
            <w:r>
              <w:rPr>
                <w:color w:val="000000" w:themeColor="text1"/>
                <w:lang w:val="nl-NL"/>
              </w:rPr>
              <w:t>5</w:t>
            </w:r>
            <w:r w:rsidRPr="009A7D2C">
              <w:rPr>
                <w:color w:val="000000" w:themeColor="text1"/>
                <w:lang w:val="nl-NL"/>
              </w:rPr>
              <w:t>)</w:t>
            </w:r>
          </w:p>
        </w:tc>
        <w:tc>
          <w:tcPr>
            <w:tcW w:w="0" w:type="auto"/>
            <w:vAlign w:val="center"/>
          </w:tcPr>
          <w:p w14:paraId="437E60D3" w14:textId="77777777" w:rsidR="00CD26ED" w:rsidRPr="009A7D2C" w:rsidRDefault="00CD26ED" w:rsidP="00804A33">
            <w:pPr>
              <w:widowControl w:val="0"/>
              <w:overflowPunct w:val="0"/>
              <w:autoSpaceDE w:val="0"/>
              <w:autoSpaceDN w:val="0"/>
              <w:adjustRightInd w:val="0"/>
              <w:spacing w:before="60" w:after="60"/>
              <w:jc w:val="center"/>
              <w:rPr>
                <w:color w:val="000000" w:themeColor="text1"/>
                <w:lang w:val="nl-NL"/>
              </w:rPr>
            </w:pPr>
            <w:r>
              <w:rPr>
                <w:color w:val="000000" w:themeColor="text1"/>
                <w:lang w:val="nl-NL"/>
              </w:rPr>
              <w:t>18.856</w:t>
            </w:r>
          </w:p>
          <w:p w14:paraId="6255581D" w14:textId="77777777" w:rsidR="00CD26ED" w:rsidRPr="009A7D2C" w:rsidRDefault="00CD26ED" w:rsidP="00804A33">
            <w:pPr>
              <w:widowControl w:val="0"/>
              <w:overflowPunct w:val="0"/>
              <w:autoSpaceDE w:val="0"/>
              <w:autoSpaceDN w:val="0"/>
              <w:adjustRightInd w:val="0"/>
              <w:spacing w:before="60" w:after="60"/>
              <w:jc w:val="center"/>
              <w:rPr>
                <w:color w:val="000000" w:themeColor="text1"/>
                <w:lang w:val="pt-BR"/>
              </w:rPr>
            </w:pPr>
            <w:r w:rsidRPr="009A7D2C">
              <w:rPr>
                <w:color w:val="000000" w:themeColor="text1"/>
                <w:lang w:val="nl-NL"/>
              </w:rPr>
              <w:t>(kỳ điều hành ngày 17/4/202</w:t>
            </w:r>
            <w:r>
              <w:rPr>
                <w:color w:val="000000" w:themeColor="text1"/>
                <w:lang w:val="nl-NL"/>
              </w:rPr>
              <w:t>5</w:t>
            </w:r>
            <w:r w:rsidRPr="009A7D2C">
              <w:rPr>
                <w:color w:val="000000" w:themeColor="text1"/>
                <w:lang w:val="nl-NL"/>
              </w:rPr>
              <w:t>)</w:t>
            </w:r>
          </w:p>
        </w:tc>
      </w:tr>
      <w:tr w:rsidR="00CD26ED" w:rsidRPr="009A7D2C" w14:paraId="64F45BD2" w14:textId="77777777" w:rsidTr="00804A33">
        <w:trPr>
          <w:trHeight w:val="1275"/>
        </w:trPr>
        <w:tc>
          <w:tcPr>
            <w:tcW w:w="0" w:type="auto"/>
            <w:vAlign w:val="center"/>
          </w:tcPr>
          <w:p w14:paraId="61CDFC59" w14:textId="77777777" w:rsidR="00CD26ED" w:rsidRPr="009A7D2C" w:rsidRDefault="00CD26ED" w:rsidP="00804A33">
            <w:pPr>
              <w:widowControl w:val="0"/>
              <w:overflowPunct w:val="0"/>
              <w:autoSpaceDE w:val="0"/>
              <w:autoSpaceDN w:val="0"/>
              <w:adjustRightInd w:val="0"/>
              <w:spacing w:before="60" w:after="60"/>
              <w:jc w:val="center"/>
              <w:rPr>
                <w:b/>
                <w:lang w:val="pt-BR"/>
              </w:rPr>
            </w:pPr>
            <w:r w:rsidRPr="009A7D2C">
              <w:rPr>
                <w:b/>
                <w:lang w:val="nl-NL"/>
              </w:rPr>
              <w:t>Dầu diesel</w:t>
            </w:r>
          </w:p>
        </w:tc>
        <w:tc>
          <w:tcPr>
            <w:tcW w:w="0" w:type="auto"/>
            <w:vAlign w:val="center"/>
          </w:tcPr>
          <w:p w14:paraId="3656D50C" w14:textId="77777777" w:rsidR="00CD26ED" w:rsidRPr="009A7D2C" w:rsidRDefault="00CD26ED" w:rsidP="00804A33">
            <w:pPr>
              <w:widowControl w:val="0"/>
              <w:overflowPunct w:val="0"/>
              <w:autoSpaceDE w:val="0"/>
              <w:autoSpaceDN w:val="0"/>
              <w:adjustRightInd w:val="0"/>
              <w:spacing w:before="60" w:after="60"/>
              <w:jc w:val="center"/>
              <w:rPr>
                <w:lang w:val="en-US"/>
              </w:rPr>
            </w:pPr>
            <w:r>
              <w:rPr>
                <w:lang w:val="en-US"/>
              </w:rPr>
              <w:t>19</w:t>
            </w:r>
            <w:r w:rsidRPr="009A7D2C">
              <w:rPr>
                <w:lang w:val="en-US"/>
              </w:rPr>
              <w:t>.</w:t>
            </w:r>
            <w:r>
              <w:rPr>
                <w:lang w:val="en-US"/>
              </w:rPr>
              <w:t>599</w:t>
            </w:r>
          </w:p>
        </w:tc>
        <w:tc>
          <w:tcPr>
            <w:tcW w:w="0" w:type="auto"/>
            <w:vAlign w:val="center"/>
          </w:tcPr>
          <w:p w14:paraId="3C380AB8" w14:textId="77777777" w:rsidR="00CD26ED" w:rsidRPr="00DE0529" w:rsidRDefault="00CD26ED" w:rsidP="0064302B">
            <w:pPr>
              <w:widowControl w:val="0"/>
              <w:overflowPunct w:val="0"/>
              <w:autoSpaceDE w:val="0"/>
              <w:autoSpaceDN w:val="0"/>
              <w:adjustRightInd w:val="0"/>
              <w:spacing w:before="60" w:after="60"/>
              <w:jc w:val="center"/>
              <w:rPr>
                <w:color w:val="000000" w:themeColor="text1"/>
                <w:lang w:val="nl-NL"/>
              </w:rPr>
            </w:pPr>
            <w:r>
              <w:rPr>
                <w:color w:val="000000" w:themeColor="text1"/>
                <w:lang w:val="nl-NL"/>
              </w:rPr>
              <w:t>18.</w:t>
            </w:r>
            <w:r w:rsidR="0064302B">
              <w:rPr>
                <w:color w:val="000000" w:themeColor="text1"/>
                <w:lang w:val="nl-NL"/>
              </w:rPr>
              <w:t>274</w:t>
            </w:r>
          </w:p>
        </w:tc>
        <w:tc>
          <w:tcPr>
            <w:tcW w:w="0" w:type="auto"/>
            <w:vAlign w:val="center"/>
          </w:tcPr>
          <w:p w14:paraId="4D001B1F" w14:textId="77777777" w:rsidR="00CD26ED" w:rsidRPr="009A7D2C" w:rsidRDefault="00CD26ED" w:rsidP="00804A33">
            <w:pPr>
              <w:widowControl w:val="0"/>
              <w:overflowPunct w:val="0"/>
              <w:autoSpaceDE w:val="0"/>
              <w:autoSpaceDN w:val="0"/>
              <w:adjustRightInd w:val="0"/>
              <w:spacing w:before="60" w:after="60"/>
              <w:jc w:val="center"/>
              <w:rPr>
                <w:color w:val="000000" w:themeColor="text1"/>
                <w:lang w:val="nl-NL"/>
              </w:rPr>
            </w:pPr>
            <w:r>
              <w:rPr>
                <w:color w:val="000000" w:themeColor="text1"/>
                <w:lang w:val="nl-NL"/>
              </w:rPr>
              <w:t>20</w:t>
            </w:r>
            <w:r w:rsidRPr="009A7D2C">
              <w:rPr>
                <w:color w:val="000000" w:themeColor="text1"/>
                <w:lang w:val="nl-NL"/>
              </w:rPr>
              <w:t>.</w:t>
            </w:r>
            <w:r>
              <w:rPr>
                <w:color w:val="000000" w:themeColor="text1"/>
                <w:lang w:val="nl-NL"/>
              </w:rPr>
              <w:t>194</w:t>
            </w:r>
          </w:p>
          <w:p w14:paraId="181D4BC8" w14:textId="77777777" w:rsidR="00CD26ED" w:rsidRPr="009A7D2C" w:rsidRDefault="00CD26ED" w:rsidP="00804A33">
            <w:pPr>
              <w:widowControl w:val="0"/>
              <w:overflowPunct w:val="0"/>
              <w:autoSpaceDE w:val="0"/>
              <w:autoSpaceDN w:val="0"/>
              <w:adjustRightInd w:val="0"/>
              <w:spacing w:before="60" w:after="60"/>
              <w:jc w:val="center"/>
              <w:rPr>
                <w:color w:val="000000" w:themeColor="text1"/>
                <w:lang w:val="pt-BR"/>
              </w:rPr>
            </w:pPr>
            <w:r w:rsidRPr="009A7D2C">
              <w:rPr>
                <w:color w:val="000000" w:themeColor="text1"/>
                <w:lang w:val="nl-NL"/>
              </w:rPr>
              <w:t xml:space="preserve">(kỳ điều hành ngày  </w:t>
            </w:r>
            <w:r>
              <w:rPr>
                <w:color w:val="000000" w:themeColor="text1"/>
                <w:lang w:val="nl-NL"/>
              </w:rPr>
              <w:t>23</w:t>
            </w:r>
            <w:r w:rsidRPr="009A7D2C">
              <w:rPr>
                <w:color w:val="000000" w:themeColor="text1"/>
                <w:lang w:val="nl-NL"/>
              </w:rPr>
              <w:t>/</w:t>
            </w:r>
            <w:r>
              <w:rPr>
                <w:color w:val="000000" w:themeColor="text1"/>
                <w:lang w:val="nl-NL"/>
              </w:rPr>
              <w:t>01</w:t>
            </w:r>
            <w:r w:rsidRPr="009A7D2C">
              <w:rPr>
                <w:color w:val="000000" w:themeColor="text1"/>
                <w:lang w:val="nl-NL"/>
              </w:rPr>
              <w:t>/202</w:t>
            </w:r>
            <w:r>
              <w:rPr>
                <w:color w:val="000000" w:themeColor="text1"/>
                <w:lang w:val="nl-NL"/>
              </w:rPr>
              <w:t>5</w:t>
            </w:r>
            <w:r w:rsidRPr="009A7D2C">
              <w:rPr>
                <w:color w:val="000000" w:themeColor="text1"/>
                <w:lang w:val="nl-NL"/>
              </w:rPr>
              <w:t>)</w:t>
            </w:r>
          </w:p>
        </w:tc>
        <w:tc>
          <w:tcPr>
            <w:tcW w:w="0" w:type="auto"/>
            <w:vAlign w:val="center"/>
          </w:tcPr>
          <w:p w14:paraId="36F0F121" w14:textId="77777777" w:rsidR="00CD26ED" w:rsidRPr="009A7D2C" w:rsidRDefault="00CD26ED" w:rsidP="00804A33">
            <w:pPr>
              <w:widowControl w:val="0"/>
              <w:overflowPunct w:val="0"/>
              <w:autoSpaceDE w:val="0"/>
              <w:autoSpaceDN w:val="0"/>
              <w:adjustRightInd w:val="0"/>
              <w:spacing w:before="60" w:after="60"/>
              <w:jc w:val="center"/>
              <w:rPr>
                <w:color w:val="000000" w:themeColor="text1"/>
                <w:lang w:val="nl-NL"/>
              </w:rPr>
            </w:pPr>
            <w:r>
              <w:rPr>
                <w:color w:val="000000" w:themeColor="text1"/>
                <w:lang w:val="nl-NL"/>
              </w:rPr>
              <w:t>16</w:t>
            </w:r>
            <w:r w:rsidRPr="009A7D2C">
              <w:rPr>
                <w:color w:val="000000" w:themeColor="text1"/>
                <w:lang w:val="nl-NL"/>
              </w:rPr>
              <w:t>.</w:t>
            </w:r>
            <w:r>
              <w:rPr>
                <w:color w:val="000000" w:themeColor="text1"/>
                <w:lang w:val="nl-NL"/>
              </w:rPr>
              <w:t>809</w:t>
            </w:r>
          </w:p>
          <w:p w14:paraId="545F3EAD" w14:textId="77777777" w:rsidR="00CD26ED" w:rsidRPr="009A7D2C" w:rsidRDefault="00CD26ED" w:rsidP="00804A33">
            <w:pPr>
              <w:widowControl w:val="0"/>
              <w:overflowPunct w:val="0"/>
              <w:autoSpaceDE w:val="0"/>
              <w:autoSpaceDN w:val="0"/>
              <w:adjustRightInd w:val="0"/>
              <w:spacing w:before="60" w:after="60"/>
              <w:jc w:val="center"/>
              <w:rPr>
                <w:color w:val="000000" w:themeColor="text1"/>
                <w:lang w:val="pt-BR"/>
              </w:rPr>
            </w:pPr>
            <w:r w:rsidRPr="009A7D2C">
              <w:rPr>
                <w:color w:val="000000" w:themeColor="text1"/>
                <w:lang w:val="nl-NL"/>
              </w:rPr>
              <w:t xml:space="preserve">(kỳ điều hành ngày </w:t>
            </w:r>
            <w:r>
              <w:rPr>
                <w:color w:val="000000" w:themeColor="text1"/>
                <w:lang w:val="nl-NL"/>
              </w:rPr>
              <w:t>08</w:t>
            </w:r>
            <w:r w:rsidRPr="009A7D2C">
              <w:rPr>
                <w:color w:val="000000" w:themeColor="text1"/>
                <w:lang w:val="nl-NL"/>
              </w:rPr>
              <w:t>/</w:t>
            </w:r>
            <w:r>
              <w:rPr>
                <w:color w:val="000000" w:themeColor="text1"/>
                <w:lang w:val="nl-NL"/>
              </w:rPr>
              <w:t>5</w:t>
            </w:r>
            <w:r w:rsidRPr="009A7D2C">
              <w:rPr>
                <w:color w:val="000000" w:themeColor="text1"/>
                <w:lang w:val="nl-NL"/>
              </w:rPr>
              <w:t>/202</w:t>
            </w:r>
            <w:r>
              <w:rPr>
                <w:color w:val="000000" w:themeColor="text1"/>
                <w:lang w:val="nl-NL"/>
              </w:rPr>
              <w:t>5</w:t>
            </w:r>
            <w:r w:rsidRPr="009A7D2C">
              <w:rPr>
                <w:color w:val="000000" w:themeColor="text1"/>
                <w:lang w:val="nl-NL"/>
              </w:rPr>
              <w:t>)</w:t>
            </w:r>
          </w:p>
        </w:tc>
      </w:tr>
      <w:tr w:rsidR="00CD26ED" w:rsidRPr="009A7D2C" w14:paraId="3EE0D246" w14:textId="77777777" w:rsidTr="00804A33">
        <w:trPr>
          <w:trHeight w:val="1110"/>
        </w:trPr>
        <w:tc>
          <w:tcPr>
            <w:tcW w:w="0" w:type="auto"/>
            <w:vAlign w:val="center"/>
          </w:tcPr>
          <w:p w14:paraId="0D73737D" w14:textId="77777777" w:rsidR="00CD26ED" w:rsidRPr="009A7D2C" w:rsidRDefault="00CD26ED" w:rsidP="00804A33">
            <w:pPr>
              <w:widowControl w:val="0"/>
              <w:overflowPunct w:val="0"/>
              <w:autoSpaceDE w:val="0"/>
              <w:autoSpaceDN w:val="0"/>
              <w:adjustRightInd w:val="0"/>
              <w:spacing w:before="60" w:after="60"/>
              <w:jc w:val="center"/>
              <w:rPr>
                <w:b/>
                <w:lang w:val="pt-BR"/>
              </w:rPr>
            </w:pPr>
            <w:r w:rsidRPr="009A7D2C">
              <w:rPr>
                <w:b/>
                <w:lang w:val="nl-NL"/>
              </w:rPr>
              <w:t>Dầu hỏa</w:t>
            </w:r>
          </w:p>
        </w:tc>
        <w:tc>
          <w:tcPr>
            <w:tcW w:w="0" w:type="auto"/>
            <w:vAlign w:val="center"/>
          </w:tcPr>
          <w:p w14:paraId="212240FA" w14:textId="77777777" w:rsidR="00CD26ED" w:rsidRPr="009A7D2C" w:rsidRDefault="00CD26ED" w:rsidP="00804A33">
            <w:pPr>
              <w:widowControl w:val="0"/>
              <w:overflowPunct w:val="0"/>
              <w:autoSpaceDE w:val="0"/>
              <w:autoSpaceDN w:val="0"/>
              <w:adjustRightInd w:val="0"/>
              <w:spacing w:before="60" w:after="60"/>
              <w:jc w:val="center"/>
              <w:rPr>
                <w:lang w:val="en-US"/>
              </w:rPr>
            </w:pPr>
            <w:r>
              <w:rPr>
                <w:lang w:val="en-US"/>
              </w:rPr>
              <w:t>19</w:t>
            </w:r>
            <w:r w:rsidRPr="009A7D2C">
              <w:rPr>
                <w:lang w:val="en-US"/>
              </w:rPr>
              <w:t>.</w:t>
            </w:r>
            <w:r>
              <w:rPr>
                <w:lang w:val="en-US"/>
              </w:rPr>
              <w:t>821</w:t>
            </w:r>
          </w:p>
        </w:tc>
        <w:tc>
          <w:tcPr>
            <w:tcW w:w="0" w:type="auto"/>
            <w:vAlign w:val="center"/>
          </w:tcPr>
          <w:p w14:paraId="3A2383FF" w14:textId="77777777" w:rsidR="00CD26ED" w:rsidRPr="00DE0529" w:rsidRDefault="00CD26ED" w:rsidP="0064302B">
            <w:pPr>
              <w:widowControl w:val="0"/>
              <w:overflowPunct w:val="0"/>
              <w:autoSpaceDE w:val="0"/>
              <w:autoSpaceDN w:val="0"/>
              <w:adjustRightInd w:val="0"/>
              <w:spacing w:before="60" w:after="60"/>
              <w:jc w:val="center"/>
              <w:rPr>
                <w:color w:val="000000" w:themeColor="text1"/>
                <w:lang w:val="nl-NL"/>
              </w:rPr>
            </w:pPr>
            <w:r>
              <w:rPr>
                <w:color w:val="000000" w:themeColor="text1"/>
                <w:lang w:val="nl-NL"/>
              </w:rPr>
              <w:t>18.</w:t>
            </w:r>
            <w:r w:rsidR="0064302B">
              <w:rPr>
                <w:color w:val="000000" w:themeColor="text1"/>
                <w:lang w:val="nl-NL"/>
              </w:rPr>
              <w:t>372</w:t>
            </w:r>
          </w:p>
        </w:tc>
        <w:tc>
          <w:tcPr>
            <w:tcW w:w="0" w:type="auto"/>
            <w:vAlign w:val="center"/>
          </w:tcPr>
          <w:p w14:paraId="7F8BAAEB" w14:textId="77777777" w:rsidR="00CD26ED" w:rsidRPr="009A7D2C" w:rsidRDefault="00CD26ED" w:rsidP="00804A33">
            <w:pPr>
              <w:widowControl w:val="0"/>
              <w:overflowPunct w:val="0"/>
              <w:autoSpaceDE w:val="0"/>
              <w:autoSpaceDN w:val="0"/>
              <w:adjustRightInd w:val="0"/>
              <w:spacing w:before="60" w:after="60"/>
              <w:jc w:val="center"/>
              <w:rPr>
                <w:color w:val="000000" w:themeColor="text1"/>
                <w:lang w:val="nl-NL"/>
              </w:rPr>
            </w:pPr>
            <w:r>
              <w:rPr>
                <w:color w:val="000000" w:themeColor="text1"/>
                <w:lang w:val="nl-NL"/>
              </w:rPr>
              <w:t>20</w:t>
            </w:r>
            <w:r w:rsidRPr="009A7D2C">
              <w:rPr>
                <w:color w:val="000000" w:themeColor="text1"/>
                <w:lang w:val="nl-NL"/>
              </w:rPr>
              <w:t>.</w:t>
            </w:r>
            <w:r>
              <w:rPr>
                <w:color w:val="000000" w:themeColor="text1"/>
                <w:lang w:val="nl-NL"/>
              </w:rPr>
              <w:t>010</w:t>
            </w:r>
          </w:p>
          <w:p w14:paraId="2C28FF0B" w14:textId="77777777" w:rsidR="00CD26ED" w:rsidRPr="009A7D2C" w:rsidRDefault="00CD26ED" w:rsidP="00804A33">
            <w:pPr>
              <w:widowControl w:val="0"/>
              <w:overflowPunct w:val="0"/>
              <w:autoSpaceDE w:val="0"/>
              <w:autoSpaceDN w:val="0"/>
              <w:adjustRightInd w:val="0"/>
              <w:spacing w:before="60" w:after="60"/>
              <w:jc w:val="center"/>
              <w:rPr>
                <w:color w:val="000000" w:themeColor="text1"/>
                <w:lang w:val="pt-BR"/>
              </w:rPr>
            </w:pPr>
            <w:r w:rsidRPr="009A7D2C">
              <w:rPr>
                <w:color w:val="000000" w:themeColor="text1"/>
                <w:lang w:val="nl-NL"/>
              </w:rPr>
              <w:t xml:space="preserve">(kỳ điều hành ngày  </w:t>
            </w:r>
            <w:r>
              <w:rPr>
                <w:color w:val="000000" w:themeColor="text1"/>
                <w:lang w:val="nl-NL"/>
              </w:rPr>
              <w:t>23</w:t>
            </w:r>
            <w:r w:rsidRPr="009A7D2C">
              <w:rPr>
                <w:color w:val="000000" w:themeColor="text1"/>
                <w:lang w:val="nl-NL"/>
              </w:rPr>
              <w:t>/</w:t>
            </w:r>
            <w:r>
              <w:rPr>
                <w:color w:val="000000" w:themeColor="text1"/>
                <w:lang w:val="nl-NL"/>
              </w:rPr>
              <w:t>01</w:t>
            </w:r>
            <w:r w:rsidRPr="009A7D2C">
              <w:rPr>
                <w:color w:val="000000" w:themeColor="text1"/>
                <w:lang w:val="nl-NL"/>
              </w:rPr>
              <w:t>/202</w:t>
            </w:r>
            <w:r>
              <w:rPr>
                <w:color w:val="000000" w:themeColor="text1"/>
                <w:lang w:val="nl-NL"/>
              </w:rPr>
              <w:t>5</w:t>
            </w:r>
            <w:r w:rsidRPr="009A7D2C">
              <w:rPr>
                <w:color w:val="000000" w:themeColor="text1"/>
                <w:lang w:val="nl-NL"/>
              </w:rPr>
              <w:t>)</w:t>
            </w:r>
          </w:p>
        </w:tc>
        <w:tc>
          <w:tcPr>
            <w:tcW w:w="0" w:type="auto"/>
            <w:vAlign w:val="center"/>
          </w:tcPr>
          <w:p w14:paraId="3BCD24A2" w14:textId="77777777" w:rsidR="00CD26ED" w:rsidRPr="009A7D2C" w:rsidRDefault="00CD26ED" w:rsidP="00804A33">
            <w:pPr>
              <w:widowControl w:val="0"/>
              <w:overflowPunct w:val="0"/>
              <w:autoSpaceDE w:val="0"/>
              <w:autoSpaceDN w:val="0"/>
              <w:adjustRightInd w:val="0"/>
              <w:spacing w:before="60" w:after="60"/>
              <w:jc w:val="center"/>
              <w:rPr>
                <w:color w:val="000000" w:themeColor="text1"/>
                <w:lang w:val="nl-NL"/>
              </w:rPr>
            </w:pPr>
            <w:r>
              <w:rPr>
                <w:color w:val="000000" w:themeColor="text1"/>
                <w:lang w:val="nl-NL"/>
              </w:rPr>
              <w:t>16</w:t>
            </w:r>
            <w:r w:rsidRPr="009A7D2C">
              <w:rPr>
                <w:color w:val="000000" w:themeColor="text1"/>
                <w:lang w:val="nl-NL"/>
              </w:rPr>
              <w:t>.</w:t>
            </w:r>
            <w:r>
              <w:rPr>
                <w:color w:val="000000" w:themeColor="text1"/>
                <w:lang w:val="nl-NL"/>
              </w:rPr>
              <w:t>941</w:t>
            </w:r>
          </w:p>
          <w:p w14:paraId="48033A4F" w14:textId="77777777" w:rsidR="00CD26ED" w:rsidRPr="009A7D2C" w:rsidRDefault="00CD26ED" w:rsidP="00804A33">
            <w:pPr>
              <w:widowControl w:val="0"/>
              <w:overflowPunct w:val="0"/>
              <w:autoSpaceDE w:val="0"/>
              <w:autoSpaceDN w:val="0"/>
              <w:adjustRightInd w:val="0"/>
              <w:spacing w:before="60" w:after="60"/>
              <w:jc w:val="center"/>
              <w:rPr>
                <w:color w:val="000000" w:themeColor="text1"/>
                <w:lang w:val="pt-BR"/>
              </w:rPr>
            </w:pPr>
            <w:r w:rsidRPr="009A7D2C">
              <w:rPr>
                <w:color w:val="000000" w:themeColor="text1"/>
                <w:lang w:val="nl-NL"/>
              </w:rPr>
              <w:t xml:space="preserve">(kỳ điều hành ngày </w:t>
            </w:r>
            <w:r>
              <w:rPr>
                <w:color w:val="000000" w:themeColor="text1"/>
                <w:lang w:val="nl-NL"/>
              </w:rPr>
              <w:t>08</w:t>
            </w:r>
            <w:r w:rsidRPr="009A7D2C">
              <w:rPr>
                <w:color w:val="000000" w:themeColor="text1"/>
                <w:lang w:val="nl-NL"/>
              </w:rPr>
              <w:t>/</w:t>
            </w:r>
            <w:r>
              <w:rPr>
                <w:color w:val="000000" w:themeColor="text1"/>
                <w:lang w:val="nl-NL"/>
              </w:rPr>
              <w:t>5</w:t>
            </w:r>
            <w:r w:rsidRPr="009A7D2C">
              <w:rPr>
                <w:color w:val="000000" w:themeColor="text1"/>
                <w:lang w:val="nl-NL"/>
              </w:rPr>
              <w:t>/202</w:t>
            </w:r>
            <w:r>
              <w:rPr>
                <w:color w:val="000000" w:themeColor="text1"/>
                <w:lang w:val="nl-NL"/>
              </w:rPr>
              <w:t>5</w:t>
            </w:r>
            <w:r w:rsidRPr="009A7D2C">
              <w:rPr>
                <w:color w:val="000000" w:themeColor="text1"/>
                <w:lang w:val="nl-NL"/>
              </w:rPr>
              <w:t>)</w:t>
            </w:r>
          </w:p>
        </w:tc>
      </w:tr>
      <w:tr w:rsidR="00CD26ED" w:rsidRPr="009A7D2C" w14:paraId="7EF9BD7E" w14:textId="77777777" w:rsidTr="00804A33">
        <w:trPr>
          <w:trHeight w:val="1126"/>
        </w:trPr>
        <w:tc>
          <w:tcPr>
            <w:tcW w:w="0" w:type="auto"/>
            <w:vAlign w:val="center"/>
          </w:tcPr>
          <w:p w14:paraId="51EF9EA5" w14:textId="77777777" w:rsidR="00CD26ED" w:rsidRPr="009A7D2C" w:rsidRDefault="00CD26ED" w:rsidP="00804A33">
            <w:pPr>
              <w:widowControl w:val="0"/>
              <w:overflowPunct w:val="0"/>
              <w:autoSpaceDE w:val="0"/>
              <w:autoSpaceDN w:val="0"/>
              <w:adjustRightInd w:val="0"/>
              <w:spacing w:before="60" w:after="60"/>
              <w:jc w:val="center"/>
              <w:rPr>
                <w:b/>
                <w:lang w:val="pt-BR"/>
              </w:rPr>
            </w:pPr>
            <w:r w:rsidRPr="009A7D2C">
              <w:rPr>
                <w:b/>
                <w:lang w:val="nl-NL"/>
              </w:rPr>
              <w:t>Dầu mazut</w:t>
            </w:r>
          </w:p>
        </w:tc>
        <w:tc>
          <w:tcPr>
            <w:tcW w:w="0" w:type="auto"/>
            <w:vAlign w:val="center"/>
          </w:tcPr>
          <w:p w14:paraId="70A60A43" w14:textId="77777777" w:rsidR="00CD26ED" w:rsidRPr="009A7D2C" w:rsidRDefault="00CD26ED" w:rsidP="00804A33">
            <w:pPr>
              <w:widowControl w:val="0"/>
              <w:overflowPunct w:val="0"/>
              <w:autoSpaceDE w:val="0"/>
              <w:autoSpaceDN w:val="0"/>
              <w:adjustRightInd w:val="0"/>
              <w:spacing w:before="60" w:after="60"/>
              <w:jc w:val="center"/>
              <w:rPr>
                <w:lang w:val="en-US"/>
              </w:rPr>
            </w:pPr>
            <w:r>
              <w:rPr>
                <w:lang w:val="en-US"/>
              </w:rPr>
              <w:t>16</w:t>
            </w:r>
            <w:r w:rsidRPr="009A7D2C">
              <w:rPr>
                <w:lang w:val="en-US"/>
              </w:rPr>
              <w:t>.</w:t>
            </w:r>
            <w:r>
              <w:rPr>
                <w:lang w:val="en-US"/>
              </w:rPr>
              <w:t>388</w:t>
            </w:r>
          </w:p>
        </w:tc>
        <w:tc>
          <w:tcPr>
            <w:tcW w:w="0" w:type="auto"/>
            <w:vAlign w:val="center"/>
          </w:tcPr>
          <w:p w14:paraId="2CE4A2E1" w14:textId="77777777" w:rsidR="00CD26ED" w:rsidRPr="00DE0529" w:rsidRDefault="00CD26ED" w:rsidP="00B52968">
            <w:pPr>
              <w:widowControl w:val="0"/>
              <w:overflowPunct w:val="0"/>
              <w:autoSpaceDE w:val="0"/>
              <w:autoSpaceDN w:val="0"/>
              <w:adjustRightInd w:val="0"/>
              <w:spacing w:before="60" w:after="60"/>
              <w:jc w:val="center"/>
              <w:rPr>
                <w:color w:val="000000" w:themeColor="text1"/>
                <w:lang w:val="nl-NL"/>
              </w:rPr>
            </w:pPr>
            <w:r>
              <w:rPr>
                <w:color w:val="000000" w:themeColor="text1"/>
                <w:lang w:val="nl-NL"/>
              </w:rPr>
              <w:t>1</w:t>
            </w:r>
            <w:r w:rsidR="000A72C2">
              <w:rPr>
                <w:color w:val="000000" w:themeColor="text1"/>
                <w:lang w:val="nl-NL"/>
              </w:rPr>
              <w:t>6.</w:t>
            </w:r>
            <w:r w:rsidR="00B52968">
              <w:rPr>
                <w:color w:val="000000" w:themeColor="text1"/>
                <w:lang w:val="nl-NL"/>
              </w:rPr>
              <w:t>7</w:t>
            </w:r>
            <w:r w:rsidR="0064302B">
              <w:rPr>
                <w:color w:val="000000" w:themeColor="text1"/>
                <w:lang w:val="nl-NL"/>
              </w:rPr>
              <w:t>74</w:t>
            </w:r>
          </w:p>
        </w:tc>
        <w:tc>
          <w:tcPr>
            <w:tcW w:w="0" w:type="auto"/>
            <w:vAlign w:val="center"/>
          </w:tcPr>
          <w:p w14:paraId="5A495300" w14:textId="77777777" w:rsidR="00CD26ED" w:rsidRPr="009A7D2C" w:rsidRDefault="00CD26ED" w:rsidP="00804A33">
            <w:pPr>
              <w:widowControl w:val="0"/>
              <w:overflowPunct w:val="0"/>
              <w:autoSpaceDE w:val="0"/>
              <w:autoSpaceDN w:val="0"/>
              <w:adjustRightInd w:val="0"/>
              <w:spacing w:before="60" w:after="60"/>
              <w:jc w:val="center"/>
              <w:rPr>
                <w:color w:val="000000" w:themeColor="text1"/>
                <w:lang w:val="nl-NL"/>
              </w:rPr>
            </w:pPr>
            <w:r w:rsidRPr="009A7D2C">
              <w:rPr>
                <w:color w:val="000000" w:themeColor="text1"/>
                <w:lang w:val="nl-NL"/>
              </w:rPr>
              <w:t>17.</w:t>
            </w:r>
            <w:r>
              <w:rPr>
                <w:color w:val="000000" w:themeColor="text1"/>
                <w:lang w:val="nl-NL"/>
              </w:rPr>
              <w:t>779</w:t>
            </w:r>
          </w:p>
          <w:p w14:paraId="4A0208DB" w14:textId="77777777" w:rsidR="00CD26ED" w:rsidRPr="009A7D2C" w:rsidRDefault="00CD26ED" w:rsidP="00804A33">
            <w:pPr>
              <w:widowControl w:val="0"/>
              <w:overflowPunct w:val="0"/>
              <w:autoSpaceDE w:val="0"/>
              <w:autoSpaceDN w:val="0"/>
              <w:adjustRightInd w:val="0"/>
              <w:spacing w:before="60" w:after="60"/>
              <w:jc w:val="center"/>
              <w:rPr>
                <w:color w:val="000000" w:themeColor="text1"/>
                <w:lang w:val="pt-BR"/>
              </w:rPr>
            </w:pPr>
            <w:r w:rsidRPr="009A7D2C">
              <w:rPr>
                <w:color w:val="000000" w:themeColor="text1"/>
                <w:lang w:val="nl-NL"/>
              </w:rPr>
              <w:t xml:space="preserve">(kỳ điều hành ngày  </w:t>
            </w:r>
            <w:r>
              <w:rPr>
                <w:color w:val="000000" w:themeColor="text1"/>
                <w:lang w:val="nl-NL"/>
              </w:rPr>
              <w:t>13</w:t>
            </w:r>
            <w:r w:rsidRPr="009A7D2C">
              <w:rPr>
                <w:color w:val="000000" w:themeColor="text1"/>
                <w:lang w:val="nl-NL"/>
              </w:rPr>
              <w:t>/</w:t>
            </w:r>
            <w:r>
              <w:rPr>
                <w:color w:val="000000" w:themeColor="text1"/>
                <w:lang w:val="nl-NL"/>
              </w:rPr>
              <w:t>02</w:t>
            </w:r>
            <w:r w:rsidRPr="009A7D2C">
              <w:rPr>
                <w:color w:val="000000" w:themeColor="text1"/>
                <w:lang w:val="nl-NL"/>
              </w:rPr>
              <w:t>/202</w:t>
            </w:r>
            <w:r>
              <w:rPr>
                <w:color w:val="000000" w:themeColor="text1"/>
                <w:lang w:val="nl-NL"/>
              </w:rPr>
              <w:t>5</w:t>
            </w:r>
            <w:r w:rsidRPr="009A7D2C">
              <w:rPr>
                <w:color w:val="000000" w:themeColor="text1"/>
                <w:lang w:val="nl-NL"/>
              </w:rPr>
              <w:t>)</w:t>
            </w:r>
          </w:p>
        </w:tc>
        <w:tc>
          <w:tcPr>
            <w:tcW w:w="0" w:type="auto"/>
            <w:vAlign w:val="center"/>
          </w:tcPr>
          <w:p w14:paraId="4B1A9BF0" w14:textId="77777777" w:rsidR="00CD26ED" w:rsidRPr="009A7D2C" w:rsidRDefault="00CD26ED" w:rsidP="00804A33">
            <w:pPr>
              <w:widowControl w:val="0"/>
              <w:overflowPunct w:val="0"/>
              <w:autoSpaceDE w:val="0"/>
              <w:autoSpaceDN w:val="0"/>
              <w:adjustRightInd w:val="0"/>
              <w:spacing w:before="60" w:after="60"/>
              <w:jc w:val="center"/>
              <w:rPr>
                <w:color w:val="000000" w:themeColor="text1"/>
                <w:lang w:val="nl-NL"/>
              </w:rPr>
            </w:pPr>
            <w:r>
              <w:rPr>
                <w:color w:val="000000" w:themeColor="text1"/>
                <w:lang w:val="nl-NL"/>
              </w:rPr>
              <w:t>15</w:t>
            </w:r>
            <w:r w:rsidRPr="009A7D2C">
              <w:rPr>
                <w:color w:val="000000" w:themeColor="text1"/>
                <w:lang w:val="nl-NL"/>
              </w:rPr>
              <w:t>.</w:t>
            </w:r>
            <w:r>
              <w:rPr>
                <w:color w:val="000000" w:themeColor="text1"/>
                <w:lang w:val="nl-NL"/>
              </w:rPr>
              <w:t>533</w:t>
            </w:r>
          </w:p>
          <w:p w14:paraId="56DD32FB" w14:textId="77777777" w:rsidR="00CD26ED" w:rsidRPr="009A7D2C" w:rsidRDefault="00CD26ED" w:rsidP="00804A33">
            <w:pPr>
              <w:widowControl w:val="0"/>
              <w:overflowPunct w:val="0"/>
              <w:autoSpaceDE w:val="0"/>
              <w:autoSpaceDN w:val="0"/>
              <w:adjustRightInd w:val="0"/>
              <w:spacing w:before="60" w:after="60"/>
              <w:jc w:val="center"/>
              <w:rPr>
                <w:color w:val="000000" w:themeColor="text1"/>
                <w:lang w:val="pt-BR"/>
              </w:rPr>
            </w:pPr>
            <w:r w:rsidRPr="009A7D2C">
              <w:rPr>
                <w:color w:val="000000" w:themeColor="text1"/>
                <w:lang w:val="nl-NL"/>
              </w:rPr>
              <w:t xml:space="preserve">(kỳ điều hành ngày </w:t>
            </w:r>
            <w:r>
              <w:rPr>
                <w:color w:val="000000" w:themeColor="text1"/>
                <w:lang w:val="nl-NL"/>
              </w:rPr>
              <w:t>08</w:t>
            </w:r>
            <w:r w:rsidRPr="009A7D2C">
              <w:rPr>
                <w:color w:val="000000" w:themeColor="text1"/>
                <w:lang w:val="nl-NL"/>
              </w:rPr>
              <w:t>/</w:t>
            </w:r>
            <w:r>
              <w:rPr>
                <w:color w:val="000000" w:themeColor="text1"/>
                <w:lang w:val="nl-NL"/>
              </w:rPr>
              <w:t>5</w:t>
            </w:r>
            <w:r w:rsidRPr="009A7D2C">
              <w:rPr>
                <w:color w:val="000000" w:themeColor="text1"/>
                <w:lang w:val="nl-NL"/>
              </w:rPr>
              <w:t>/202</w:t>
            </w:r>
            <w:r>
              <w:rPr>
                <w:color w:val="000000" w:themeColor="text1"/>
                <w:lang w:val="nl-NL"/>
              </w:rPr>
              <w:t>5</w:t>
            </w:r>
            <w:r w:rsidRPr="009A7D2C">
              <w:rPr>
                <w:color w:val="000000" w:themeColor="text1"/>
                <w:lang w:val="nl-NL"/>
              </w:rPr>
              <w:t>)</w:t>
            </w:r>
          </w:p>
        </w:tc>
      </w:tr>
    </w:tbl>
    <w:p w14:paraId="4DE783B5" w14:textId="77777777" w:rsidR="00CD26ED" w:rsidRPr="006211EE" w:rsidRDefault="00CD26ED" w:rsidP="0027069F">
      <w:pPr>
        <w:spacing w:before="120" w:after="120"/>
        <w:ind w:firstLine="720"/>
        <w:jc w:val="both"/>
        <w:rPr>
          <w:i/>
          <w:sz w:val="28"/>
          <w:szCs w:val="28"/>
          <w:lang w:val="sv-SE"/>
        </w:rPr>
      </w:pPr>
      <w:r w:rsidRPr="006211EE">
        <w:rPr>
          <w:i/>
          <w:sz w:val="28"/>
          <w:szCs w:val="28"/>
          <w:lang w:val="sv-SE"/>
        </w:rPr>
        <w:t xml:space="preserve">- Góp phần thực hiện mục tiêu kiểm soát lạm phát, ổn định kinh tế vĩ mô </w:t>
      </w:r>
    </w:p>
    <w:p w14:paraId="45B49730" w14:textId="77777777" w:rsidR="00CD26ED" w:rsidRPr="000D2994" w:rsidRDefault="00CD26ED" w:rsidP="0027069F">
      <w:pPr>
        <w:spacing w:before="120" w:after="120"/>
        <w:ind w:firstLine="720"/>
        <w:jc w:val="both"/>
        <w:rPr>
          <w:sz w:val="28"/>
          <w:szCs w:val="28"/>
        </w:rPr>
      </w:pPr>
      <w:r>
        <w:rPr>
          <w:sz w:val="28"/>
          <w:szCs w:val="28"/>
          <w:lang w:val="nl-NL"/>
        </w:rPr>
        <w:t xml:space="preserve">Xăng dầu là mặt hàng nguyên liệu chiến lược, có vai trò quan trọng đối với nhiều ngành sản xuất cũng như đời sống người dân. </w:t>
      </w:r>
      <w:r w:rsidRPr="006211EE">
        <w:rPr>
          <w:sz w:val="28"/>
          <w:szCs w:val="28"/>
          <w:lang w:val="nl-NL"/>
        </w:rPr>
        <w:t xml:space="preserve">Do đó, giá xăng dầu nói chung tăng hoặc giảm sẽ tác động trực tiếp đến sản xuất, tiêu dùng trong nước và ổn định kinh tế vĩ mô. Sự </w:t>
      </w:r>
      <w:r w:rsidRPr="000D2994">
        <w:rPr>
          <w:sz w:val="28"/>
          <w:szCs w:val="28"/>
          <w:lang w:val="nl-NL"/>
        </w:rPr>
        <w:t xml:space="preserve">thay đổi về giá của mặt hàng này sẽ kéo theo sự biến động nhất định về giá của các hàng </w:t>
      </w:r>
      <w:r>
        <w:rPr>
          <w:sz w:val="28"/>
          <w:szCs w:val="28"/>
          <w:lang w:val="vi-VN"/>
        </w:rPr>
        <w:t xml:space="preserve">hóa </w:t>
      </w:r>
      <w:r w:rsidRPr="000D2994">
        <w:rPr>
          <w:sz w:val="28"/>
          <w:szCs w:val="28"/>
          <w:lang w:val="nl-NL"/>
        </w:rPr>
        <w:t xml:space="preserve">khác, thể hiện qua sự thay đổi của chỉ số giá tiêu dùng (CPI). </w:t>
      </w:r>
      <w:r>
        <w:rPr>
          <w:sz w:val="28"/>
          <w:szCs w:val="28"/>
          <w:lang w:val="nl-NL"/>
        </w:rPr>
        <w:t xml:space="preserve">Thực tế cho thấy mức thuế BVMT được điều chỉnh linh hoạt và đúng thời điểm đã kiềm chế sự tăng giá bán lẻ xăng dầu trong nước, từ đó, góp phần làm giảm chỉ số CPI, phù hợp với mục tiêu kiểm soát lạm phát, </w:t>
      </w:r>
      <w:r w:rsidR="00B91EEC">
        <w:rPr>
          <w:sz w:val="28"/>
          <w:szCs w:val="28"/>
          <w:lang w:val="nl-NL"/>
        </w:rPr>
        <w:t>ổn</w:t>
      </w:r>
      <w:r>
        <w:rPr>
          <w:sz w:val="28"/>
          <w:szCs w:val="28"/>
          <w:lang w:val="nl-NL"/>
        </w:rPr>
        <w:t xml:space="preserve"> định kinh tế vĩ mô của Đảng, Nhà nước đề ra</w:t>
      </w:r>
      <w:r w:rsidR="00B91EEC">
        <w:rPr>
          <w:sz w:val="28"/>
          <w:szCs w:val="28"/>
          <w:lang w:val="nl-NL"/>
        </w:rPr>
        <w:t>.</w:t>
      </w:r>
    </w:p>
    <w:p w14:paraId="3C18DD83" w14:textId="77777777" w:rsidR="00CD26ED" w:rsidRDefault="00CD26ED" w:rsidP="0027069F">
      <w:pPr>
        <w:spacing w:before="120" w:after="120"/>
        <w:ind w:firstLine="720"/>
        <w:jc w:val="both"/>
        <w:rPr>
          <w:sz w:val="28"/>
          <w:szCs w:val="28"/>
        </w:rPr>
      </w:pPr>
      <w:r w:rsidRPr="00F629B9">
        <w:rPr>
          <w:i/>
          <w:sz w:val="28"/>
          <w:szCs w:val="28"/>
          <w:shd w:val="clear" w:color="auto" w:fill="FFFFFF"/>
        </w:rPr>
        <w:t>- Việc thực hiện chính sách giảm mức thuế BVMT đối với xăng, dầu, mỡ nhờn là giải pháp để hỗ trợ nền kinh tế trong những thời điểm đất nước gặp khó khăn do ảnh hưởng của dịch bệnh hay tăng trưởng chậm</w:t>
      </w:r>
    </w:p>
    <w:p w14:paraId="20F6B299" w14:textId="77777777" w:rsidR="00CD26ED" w:rsidRDefault="00CD26ED" w:rsidP="0027069F">
      <w:pPr>
        <w:spacing w:before="120" w:after="120"/>
        <w:ind w:firstLine="720"/>
        <w:jc w:val="both"/>
        <w:rPr>
          <w:sz w:val="28"/>
          <w:szCs w:val="28"/>
          <w:lang w:val="pt-BR"/>
        </w:rPr>
      </w:pPr>
      <w:r w:rsidRPr="007079E1">
        <w:rPr>
          <w:sz w:val="28"/>
          <w:szCs w:val="28"/>
          <w:lang w:val="nl-NL"/>
        </w:rPr>
        <w:lastRenderedPageBreak/>
        <w:t>Xăng dầu là mặt hàng thiết yếu trong đời sống người dân và là đầu vào của nhiều ngành sản xuất, sự biến động của giá xăng dầu có tác động đến rất nhiều đối tượng trong nền kinh tế. T</w:t>
      </w:r>
      <w:r w:rsidRPr="007079E1">
        <w:rPr>
          <w:sz w:val="28"/>
          <w:szCs w:val="28"/>
          <w:lang w:val="pt-BR"/>
        </w:rPr>
        <w:t xml:space="preserve">huế BVMT là loại thuế gián thu, thu vào sản phẩm, hàng hóa khi sử dụng gây tác động xấu đến môi trường, nên chi phí thuế BVMT được chuyển trực tiếp vào giá bán sản phẩm, hàng hóa thuộc đối tượng chịu thuế và người tiêu dùng là người cuối cùng chịu thuế BVMT. </w:t>
      </w:r>
    </w:p>
    <w:p w14:paraId="332E606A" w14:textId="77777777" w:rsidR="00CD26ED" w:rsidRDefault="00CD26ED" w:rsidP="0027069F">
      <w:pPr>
        <w:spacing w:before="120" w:after="120"/>
        <w:ind w:firstLine="720"/>
        <w:jc w:val="both"/>
        <w:rPr>
          <w:color w:val="000000"/>
          <w:sz w:val="28"/>
          <w:szCs w:val="28"/>
          <w:shd w:val="clear" w:color="auto" w:fill="FFFFFF"/>
          <w:lang w:val="nl-NL"/>
        </w:rPr>
      </w:pPr>
      <w:r>
        <w:rPr>
          <w:sz w:val="28"/>
          <w:szCs w:val="28"/>
        </w:rPr>
        <w:t xml:space="preserve">Do đó, việc giảm thuế BVMT đối với xăng, dầu, mỡ nhờn góp phần </w:t>
      </w:r>
      <w:r w:rsidRPr="009C17FF">
        <w:rPr>
          <w:sz w:val="28"/>
          <w:szCs w:val="28"/>
          <w:lang w:val="nl-NL"/>
        </w:rPr>
        <w:t xml:space="preserve">giảm sự tăng giá bán lẻ xăng dầu trong nước, từ đó góp phần giảm trực tiếp chi phí của người dân trong việc tiêu thụ xăng dầu và giảm các chi phí gián tiếp từ việc tiêu dùng các sản phẩm khác, khi đó </w:t>
      </w:r>
      <w:r w:rsidRPr="009C17FF">
        <w:rPr>
          <w:sz w:val="28"/>
          <w:szCs w:val="28"/>
          <w:shd w:val="clear" w:color="auto" w:fill="FFFFFF"/>
          <w:lang w:val="nl-NL"/>
        </w:rPr>
        <w:t>hộ gia đình</w:t>
      </w:r>
      <w:r>
        <w:rPr>
          <w:sz w:val="28"/>
          <w:szCs w:val="28"/>
          <w:shd w:val="clear" w:color="auto" w:fill="FFFFFF"/>
          <w:lang w:val="nl-NL"/>
        </w:rPr>
        <w:t>, cá nhân</w:t>
      </w:r>
      <w:r w:rsidRPr="009C17FF">
        <w:rPr>
          <w:sz w:val="28"/>
          <w:szCs w:val="28"/>
          <w:shd w:val="clear" w:color="auto" w:fill="FFFFFF"/>
          <w:lang w:val="nl-NL"/>
        </w:rPr>
        <w:t xml:space="preserve"> sẽ có thêm một phần chi tiêu, qua đó sẽ góp phần nâng cao đời sống của người dân; đồng thời sẽ góp phần </w:t>
      </w:r>
      <w:r w:rsidRPr="009C17FF">
        <w:rPr>
          <w:sz w:val="28"/>
          <w:szCs w:val="28"/>
          <w:lang w:val="nl-NL"/>
        </w:rPr>
        <w:t xml:space="preserve">giảm chi phí sản xuất, hạ giá thành sản phẩm, giúp doanh nghiệp tăng khả năng phục hồi và mở rộng sản xuất, kinh doanh, nhất là các doanh nghiệp được hưởng lợi nhiều từ việc giảm thuế BVMT đối với xăng, dầu, mỡ nhờn như </w:t>
      </w:r>
      <w:r w:rsidRPr="009C17FF">
        <w:rPr>
          <w:color w:val="000000"/>
          <w:sz w:val="28"/>
          <w:szCs w:val="28"/>
          <w:shd w:val="clear" w:color="auto" w:fill="FFFFFF"/>
          <w:lang w:val="nl-NL"/>
        </w:rPr>
        <w:t>giao thông vận tải, vận chuyển, đánh bắt thủy sản, dịch vụ khí đốt...</w:t>
      </w:r>
    </w:p>
    <w:p w14:paraId="15358B44" w14:textId="77777777" w:rsidR="00CD26ED" w:rsidRDefault="00CD26ED" w:rsidP="0027069F">
      <w:pPr>
        <w:spacing w:before="120" w:after="120"/>
        <w:ind w:firstLine="720"/>
        <w:jc w:val="both"/>
        <w:rPr>
          <w:sz w:val="28"/>
          <w:szCs w:val="28"/>
          <w:lang w:val="nl-NL"/>
        </w:rPr>
      </w:pPr>
      <w:r>
        <w:rPr>
          <w:sz w:val="28"/>
          <w:szCs w:val="28"/>
          <w:shd w:val="clear" w:color="auto" w:fill="FFFFFF"/>
        </w:rPr>
        <w:t xml:space="preserve">Thực tế, trong giai đoạn vừa qua cũng cho thấy, việc thực hiện chính sách giảm mức thuế BVMT đối với xăng, dầu, mỡ nhờn là giải pháp hiệu quả để hỗ trợ nền kinh tế trong những thời điểm đất nước gặp khó khăn do ảnh hưởng của dịch bệnh hay tăng trưởng chậm. </w:t>
      </w:r>
      <w:r w:rsidRPr="007079E1">
        <w:rPr>
          <w:sz w:val="28"/>
          <w:szCs w:val="28"/>
          <w:lang w:val="nl-NL"/>
        </w:rPr>
        <w:t>Do đó, việc ban hành chính sách điều chỉnh mức thuế BVMT đối với xăng, dầu, mỡ nhờn thời gian qua luôn được nhân dân và cộng đồng doanh nghiệp ủng hộ</w:t>
      </w:r>
      <w:r>
        <w:rPr>
          <w:sz w:val="28"/>
          <w:szCs w:val="28"/>
          <w:lang w:val="nl-NL"/>
        </w:rPr>
        <w:t xml:space="preserve"> và</w:t>
      </w:r>
      <w:r w:rsidRPr="007079E1">
        <w:rPr>
          <w:sz w:val="28"/>
          <w:szCs w:val="28"/>
          <w:lang w:val="nl-NL"/>
        </w:rPr>
        <w:t xml:space="preserve"> đánh giá cao.</w:t>
      </w:r>
    </w:p>
    <w:p w14:paraId="422C717E" w14:textId="77777777" w:rsidR="00CD26ED" w:rsidRDefault="00CD26ED" w:rsidP="0027069F">
      <w:pPr>
        <w:spacing w:before="120" w:after="120"/>
        <w:ind w:firstLine="720"/>
        <w:jc w:val="both"/>
        <w:rPr>
          <w:iCs/>
          <w:sz w:val="28"/>
          <w:szCs w:val="28"/>
          <w:lang w:val="nl-NL"/>
        </w:rPr>
      </w:pPr>
      <w:r>
        <w:rPr>
          <w:sz w:val="28"/>
          <w:szCs w:val="28"/>
          <w:lang w:val="sv-SE"/>
        </w:rPr>
        <w:t>Như vậy, có thể thấy rõ, q</w:t>
      </w:r>
      <w:r w:rsidRPr="006C6373">
        <w:rPr>
          <w:sz w:val="28"/>
          <w:szCs w:val="28"/>
          <w:lang w:val="sv-SE"/>
        </w:rPr>
        <w:t>uá trình thực hiện chính sách điều chỉnh mức thuế BVMT đối với xăng, dầu, mỡ nhờn trong thời gian qua</w:t>
      </w:r>
      <w:r>
        <w:rPr>
          <w:sz w:val="28"/>
          <w:szCs w:val="28"/>
          <w:lang w:val="sv-SE"/>
        </w:rPr>
        <w:t>,</w:t>
      </w:r>
      <w:r w:rsidRPr="006C6373">
        <w:rPr>
          <w:sz w:val="28"/>
          <w:szCs w:val="28"/>
          <w:lang w:val="sv-SE"/>
        </w:rPr>
        <w:t xml:space="preserve"> chính sách đã thực sự phát huy hiệu quả trong việc kiềm chế sự biến động tăng giá xăng dầu trong bối cảnh giá xăng dầu biến động khó lường, từ đó góp phần thực hiện mục tiêu kiềm chế lạm phát, ổn định kinh tế vĩ mô và</w:t>
      </w:r>
      <w:r w:rsidRPr="006C6373">
        <w:rPr>
          <w:iCs/>
          <w:sz w:val="28"/>
          <w:szCs w:val="28"/>
          <w:lang w:val="nl-NL"/>
        </w:rPr>
        <w:t xml:space="preserve"> đã góp phần hỗ trợ trực tiếp người dân và doanh nghiệp để phục hồi và phát triển sản xuất, kinh doanh.</w:t>
      </w:r>
    </w:p>
    <w:p w14:paraId="3E0AB4AF" w14:textId="77777777" w:rsidR="00C75AE4" w:rsidRDefault="00C75AE4" w:rsidP="0027069F">
      <w:pPr>
        <w:spacing w:before="120" w:after="120"/>
        <w:ind w:firstLine="720"/>
        <w:jc w:val="both"/>
        <w:rPr>
          <w:b/>
          <w:bCs/>
          <w:iCs/>
          <w:sz w:val="28"/>
          <w:szCs w:val="28"/>
          <w:lang w:val="nl-NL"/>
        </w:rPr>
      </w:pPr>
      <w:r w:rsidRPr="00C75AE4">
        <w:rPr>
          <w:b/>
          <w:bCs/>
          <w:iCs/>
          <w:sz w:val="28"/>
          <w:szCs w:val="28"/>
          <w:lang w:val="nl-NL"/>
        </w:rPr>
        <w:t>2.</w:t>
      </w:r>
      <w:r w:rsidR="003942B0">
        <w:rPr>
          <w:b/>
          <w:bCs/>
          <w:iCs/>
          <w:sz w:val="28"/>
          <w:szCs w:val="28"/>
          <w:lang w:val="nl-NL"/>
        </w:rPr>
        <w:t>2.</w:t>
      </w:r>
      <w:r w:rsidRPr="00C75AE4">
        <w:rPr>
          <w:b/>
          <w:bCs/>
          <w:iCs/>
          <w:sz w:val="28"/>
          <w:szCs w:val="28"/>
          <w:lang w:val="nl-NL"/>
        </w:rPr>
        <w:t xml:space="preserve"> Tác động tiêu cực</w:t>
      </w:r>
    </w:p>
    <w:p w14:paraId="3BC2631C" w14:textId="77777777" w:rsidR="0072157D" w:rsidRPr="007079E1" w:rsidRDefault="0072157D" w:rsidP="0027069F">
      <w:pPr>
        <w:spacing w:before="120" w:after="120"/>
        <w:ind w:firstLine="720"/>
        <w:jc w:val="both"/>
        <w:rPr>
          <w:sz w:val="28"/>
          <w:szCs w:val="28"/>
          <w:lang w:val="nl-NL"/>
        </w:rPr>
      </w:pPr>
      <w:r>
        <w:rPr>
          <w:sz w:val="28"/>
          <w:szCs w:val="28"/>
          <w:lang w:val="nl-NL"/>
        </w:rPr>
        <w:t>B</w:t>
      </w:r>
      <w:r w:rsidRPr="007079E1">
        <w:rPr>
          <w:sz w:val="28"/>
          <w:szCs w:val="28"/>
          <w:lang w:val="nl-NL"/>
        </w:rPr>
        <w:t xml:space="preserve">ên cạnh những </w:t>
      </w:r>
      <w:r>
        <w:rPr>
          <w:sz w:val="28"/>
          <w:szCs w:val="28"/>
          <w:lang w:val="nl-NL"/>
        </w:rPr>
        <w:t>tác động</w:t>
      </w:r>
      <w:r w:rsidRPr="007079E1">
        <w:rPr>
          <w:sz w:val="28"/>
          <w:szCs w:val="28"/>
          <w:lang w:val="nl-NL"/>
        </w:rPr>
        <w:t xml:space="preserve"> tích cực </w:t>
      </w:r>
      <w:r>
        <w:rPr>
          <w:sz w:val="28"/>
          <w:szCs w:val="28"/>
          <w:lang w:val="nl-NL"/>
        </w:rPr>
        <w:t xml:space="preserve">hỗ trợ nền kinh tế </w:t>
      </w:r>
      <w:r w:rsidRPr="007079E1">
        <w:rPr>
          <w:sz w:val="28"/>
          <w:szCs w:val="28"/>
          <w:lang w:val="nl-NL"/>
        </w:rPr>
        <w:t>nêu trên thì việc thực hiện chính sách điều chỉnh mức thuế BVMT đối với xăng, dầu, mỡ nhờn cũng cho thấy một số vấn đề:</w:t>
      </w:r>
    </w:p>
    <w:p w14:paraId="2B60F23B" w14:textId="77777777" w:rsidR="0072157D" w:rsidRDefault="0072157D" w:rsidP="0027069F">
      <w:pPr>
        <w:spacing w:before="120" w:after="120"/>
        <w:ind w:firstLine="720"/>
        <w:jc w:val="both"/>
        <w:rPr>
          <w:sz w:val="28"/>
          <w:szCs w:val="28"/>
          <w:lang w:val="nl-NL"/>
        </w:rPr>
      </w:pPr>
      <w:r w:rsidRPr="007079E1">
        <w:rPr>
          <w:sz w:val="28"/>
          <w:szCs w:val="28"/>
          <w:lang w:val="nl-NL"/>
        </w:rPr>
        <w:t xml:space="preserve">- Việc </w:t>
      </w:r>
      <w:r>
        <w:rPr>
          <w:sz w:val="28"/>
          <w:szCs w:val="28"/>
          <w:lang w:val="nl-NL"/>
        </w:rPr>
        <w:t>giảm</w:t>
      </w:r>
      <w:r w:rsidRPr="007079E1">
        <w:rPr>
          <w:sz w:val="28"/>
          <w:szCs w:val="28"/>
          <w:lang w:val="nl-NL"/>
        </w:rPr>
        <w:t xml:space="preserve"> mức thuế BVMT đối với xăng, dầu, mỡ nhờn có tác động trực tiếp đến tổng số thu thuế BVMT, cụ thể:</w:t>
      </w:r>
      <w:r w:rsidRPr="007079E1">
        <w:rPr>
          <w:bCs/>
          <w:sz w:val="28"/>
          <w:szCs w:val="28"/>
          <w:lang w:val="nl-NL"/>
        </w:rPr>
        <w:t xml:space="preserve"> Số thu thuế BVMT </w:t>
      </w:r>
      <w:r>
        <w:rPr>
          <w:bCs/>
          <w:sz w:val="28"/>
          <w:szCs w:val="28"/>
          <w:lang w:val="nl-NL"/>
        </w:rPr>
        <w:t>năm 202</w:t>
      </w:r>
      <w:r w:rsidR="009E0171">
        <w:rPr>
          <w:bCs/>
          <w:sz w:val="28"/>
          <w:szCs w:val="28"/>
          <w:lang w:val="nl-NL"/>
        </w:rPr>
        <w:t>4</w:t>
      </w:r>
      <w:r>
        <w:rPr>
          <w:bCs/>
          <w:sz w:val="28"/>
          <w:szCs w:val="28"/>
          <w:lang w:val="nl-NL"/>
        </w:rPr>
        <w:t xml:space="preserve"> là </w:t>
      </w:r>
      <w:r w:rsidR="00A3193E">
        <w:rPr>
          <w:bCs/>
          <w:sz w:val="28"/>
          <w:szCs w:val="28"/>
        </w:rPr>
        <w:t>41</w:t>
      </w:r>
      <w:r w:rsidR="00453371">
        <w:rPr>
          <w:bCs/>
          <w:sz w:val="28"/>
          <w:szCs w:val="28"/>
        </w:rPr>
        <w:t>.</w:t>
      </w:r>
      <w:r w:rsidR="00A3193E">
        <w:rPr>
          <w:bCs/>
          <w:sz w:val="28"/>
          <w:szCs w:val="28"/>
        </w:rPr>
        <w:t>604</w:t>
      </w:r>
      <w:r w:rsidRPr="00B206F2">
        <w:rPr>
          <w:bCs/>
          <w:sz w:val="28"/>
          <w:szCs w:val="28"/>
        </w:rPr>
        <w:t xml:space="preserve"> </w:t>
      </w:r>
      <w:r w:rsidRPr="00B206F2">
        <w:rPr>
          <w:bCs/>
          <w:sz w:val="28"/>
          <w:szCs w:val="28"/>
          <w:lang w:val="nl-NL"/>
        </w:rPr>
        <w:t>tỷ đồng</w:t>
      </w:r>
      <w:r>
        <w:rPr>
          <w:bCs/>
          <w:sz w:val="28"/>
          <w:szCs w:val="28"/>
          <w:lang w:val="nl-NL"/>
        </w:rPr>
        <w:t xml:space="preserve">; trong </w:t>
      </w:r>
      <w:r w:rsidR="00A05653">
        <w:rPr>
          <w:bCs/>
          <w:sz w:val="28"/>
          <w:szCs w:val="28"/>
          <w:lang w:val="nl-NL"/>
        </w:rPr>
        <w:t>4</w:t>
      </w:r>
      <w:r>
        <w:rPr>
          <w:bCs/>
          <w:sz w:val="28"/>
          <w:szCs w:val="28"/>
          <w:lang w:val="nl-NL"/>
        </w:rPr>
        <w:t xml:space="preserve"> tháng đầu </w:t>
      </w:r>
      <w:r w:rsidRPr="007079E1">
        <w:rPr>
          <w:bCs/>
          <w:sz w:val="28"/>
          <w:szCs w:val="28"/>
          <w:lang w:val="nl-NL"/>
        </w:rPr>
        <w:t>năm 202</w:t>
      </w:r>
      <w:r w:rsidR="009E0171">
        <w:rPr>
          <w:bCs/>
          <w:sz w:val="28"/>
          <w:szCs w:val="28"/>
          <w:lang w:val="nl-NL"/>
        </w:rPr>
        <w:t>5</w:t>
      </w:r>
      <w:r w:rsidRPr="007079E1">
        <w:rPr>
          <w:bCs/>
          <w:sz w:val="28"/>
          <w:szCs w:val="28"/>
          <w:lang w:val="nl-NL"/>
        </w:rPr>
        <w:t xml:space="preserve"> </w:t>
      </w:r>
      <w:r>
        <w:rPr>
          <w:bCs/>
          <w:iCs/>
          <w:sz w:val="28"/>
          <w:szCs w:val="28"/>
          <w:lang w:val="nb-NO"/>
        </w:rPr>
        <w:t xml:space="preserve">là ước </w:t>
      </w:r>
      <w:r w:rsidR="00AE7725">
        <w:rPr>
          <w:bCs/>
          <w:iCs/>
          <w:sz w:val="28"/>
          <w:szCs w:val="28"/>
        </w:rPr>
        <w:t>14</w:t>
      </w:r>
      <w:r w:rsidR="00453371">
        <w:rPr>
          <w:bCs/>
          <w:iCs/>
          <w:sz w:val="28"/>
          <w:szCs w:val="28"/>
        </w:rPr>
        <w:t>.</w:t>
      </w:r>
      <w:r w:rsidR="00AE7725">
        <w:rPr>
          <w:bCs/>
          <w:iCs/>
          <w:sz w:val="28"/>
          <w:szCs w:val="28"/>
        </w:rPr>
        <w:t>082</w:t>
      </w:r>
      <w:r w:rsidRPr="00B206F2">
        <w:rPr>
          <w:bCs/>
          <w:iCs/>
          <w:sz w:val="28"/>
          <w:szCs w:val="28"/>
          <w:lang w:val="nb-NO"/>
        </w:rPr>
        <w:t xml:space="preserve"> tỷ đồng</w:t>
      </w:r>
      <w:r>
        <w:rPr>
          <w:bCs/>
          <w:iCs/>
          <w:sz w:val="28"/>
          <w:szCs w:val="28"/>
          <w:lang w:val="nb-NO"/>
        </w:rPr>
        <w:t xml:space="preserve"> và số </w:t>
      </w:r>
      <w:r w:rsidRPr="007079E1">
        <w:rPr>
          <w:bCs/>
          <w:iCs/>
          <w:sz w:val="28"/>
          <w:szCs w:val="28"/>
          <w:lang w:val="nb-NO"/>
        </w:rPr>
        <w:t xml:space="preserve">giảm </w:t>
      </w:r>
      <w:r>
        <w:rPr>
          <w:bCs/>
          <w:iCs/>
          <w:sz w:val="28"/>
          <w:szCs w:val="28"/>
          <w:lang w:val="nb-NO"/>
        </w:rPr>
        <w:t>thu ngân sách do thực hiện giảm mức thuế BVMT đối với xăng, dầu, mỡ nhờn năm 202</w:t>
      </w:r>
      <w:r w:rsidR="009E0171">
        <w:rPr>
          <w:bCs/>
          <w:iCs/>
          <w:sz w:val="28"/>
          <w:szCs w:val="28"/>
          <w:lang w:val="nb-NO"/>
        </w:rPr>
        <w:t>4</w:t>
      </w:r>
      <w:r>
        <w:rPr>
          <w:bCs/>
          <w:iCs/>
          <w:sz w:val="28"/>
          <w:szCs w:val="28"/>
          <w:lang w:val="nb-NO"/>
        </w:rPr>
        <w:t xml:space="preserve"> </w:t>
      </w:r>
      <w:r>
        <w:rPr>
          <w:bCs/>
          <w:sz w:val="28"/>
          <w:szCs w:val="28"/>
          <w:lang w:val="nl-NL"/>
        </w:rPr>
        <w:t xml:space="preserve">là </w:t>
      </w:r>
      <w:r>
        <w:rPr>
          <w:bCs/>
          <w:sz w:val="28"/>
          <w:szCs w:val="28"/>
        </w:rPr>
        <w:t xml:space="preserve">ước khoảng hơn </w:t>
      </w:r>
      <w:r w:rsidR="00453371">
        <w:rPr>
          <w:bCs/>
          <w:sz w:val="28"/>
          <w:szCs w:val="28"/>
        </w:rPr>
        <w:t>40.835</w:t>
      </w:r>
      <w:r w:rsidRPr="00B206F2">
        <w:rPr>
          <w:bCs/>
          <w:sz w:val="28"/>
          <w:szCs w:val="28"/>
          <w:lang w:val="nl-NL"/>
        </w:rPr>
        <w:t xml:space="preserve"> tỷ đồng</w:t>
      </w:r>
      <w:r>
        <w:rPr>
          <w:bCs/>
          <w:sz w:val="28"/>
          <w:szCs w:val="28"/>
          <w:lang w:val="nl-NL"/>
        </w:rPr>
        <w:t xml:space="preserve">, </w:t>
      </w:r>
      <w:r>
        <w:rPr>
          <w:bCs/>
          <w:iCs/>
          <w:sz w:val="28"/>
          <w:szCs w:val="28"/>
          <w:lang w:val="nb-NO"/>
        </w:rPr>
        <w:t xml:space="preserve">trong </w:t>
      </w:r>
      <w:r w:rsidR="00A05653">
        <w:rPr>
          <w:bCs/>
          <w:iCs/>
          <w:sz w:val="28"/>
          <w:szCs w:val="28"/>
          <w:lang w:val="nb-NO"/>
        </w:rPr>
        <w:t>4</w:t>
      </w:r>
      <w:r>
        <w:rPr>
          <w:bCs/>
          <w:iCs/>
          <w:sz w:val="28"/>
          <w:szCs w:val="28"/>
          <w:lang w:val="nb-NO"/>
        </w:rPr>
        <w:t xml:space="preserve"> tháng đầu năm </w:t>
      </w:r>
      <w:r w:rsidR="009E0171">
        <w:rPr>
          <w:bCs/>
          <w:iCs/>
          <w:sz w:val="28"/>
          <w:szCs w:val="28"/>
          <w:lang w:val="nb-NO"/>
        </w:rPr>
        <w:t>2025</w:t>
      </w:r>
      <w:r>
        <w:rPr>
          <w:bCs/>
          <w:iCs/>
          <w:sz w:val="28"/>
          <w:szCs w:val="28"/>
          <w:lang w:val="nb-NO"/>
        </w:rPr>
        <w:t xml:space="preserve"> ước </w:t>
      </w:r>
      <w:r w:rsidRPr="007079E1">
        <w:rPr>
          <w:bCs/>
          <w:iCs/>
          <w:sz w:val="28"/>
          <w:szCs w:val="28"/>
          <w:lang w:val="nb-NO"/>
        </w:rPr>
        <w:t xml:space="preserve">khoảng </w:t>
      </w:r>
      <w:r w:rsidR="00453371">
        <w:rPr>
          <w:bCs/>
          <w:color w:val="000000"/>
          <w:sz w:val="28"/>
          <w:szCs w:val="28"/>
        </w:rPr>
        <w:t>14.394</w:t>
      </w:r>
      <w:r w:rsidRPr="007079E1">
        <w:rPr>
          <w:sz w:val="28"/>
          <w:szCs w:val="28"/>
          <w:lang w:val="nl-NL"/>
        </w:rPr>
        <w:t xml:space="preserve"> tỷ đồng</w:t>
      </w:r>
      <w:r>
        <w:rPr>
          <w:sz w:val="28"/>
          <w:szCs w:val="28"/>
        </w:rPr>
        <w:t xml:space="preserve"> (chưa bao gồm giảm thu thuế giá trị gia tăng)</w:t>
      </w:r>
      <w:r w:rsidRPr="007079E1">
        <w:rPr>
          <w:sz w:val="28"/>
          <w:szCs w:val="28"/>
          <w:lang w:val="nl-NL"/>
        </w:rPr>
        <w:t>.</w:t>
      </w:r>
      <w:r w:rsidRPr="007079E1">
        <w:rPr>
          <w:bCs/>
          <w:sz w:val="28"/>
          <w:szCs w:val="28"/>
          <w:lang w:val="nl-NL"/>
        </w:rPr>
        <w:t xml:space="preserve"> Mặc dù</w:t>
      </w:r>
      <w:r>
        <w:rPr>
          <w:bCs/>
          <w:sz w:val="28"/>
          <w:szCs w:val="28"/>
          <w:lang w:val="nl-NL"/>
        </w:rPr>
        <w:t>,</w:t>
      </w:r>
      <w:r w:rsidRPr="007079E1">
        <w:rPr>
          <w:bCs/>
          <w:sz w:val="28"/>
          <w:szCs w:val="28"/>
          <w:lang w:val="nl-NL"/>
        </w:rPr>
        <w:t xml:space="preserve"> đây là khoản giảm thu đối với </w:t>
      </w:r>
      <w:r w:rsidRPr="007079E1">
        <w:rPr>
          <w:sz w:val="28"/>
          <w:szCs w:val="28"/>
          <w:lang w:val="nl-NL"/>
        </w:rPr>
        <w:t>ngân sách nhà nước nhưng</w:t>
      </w:r>
      <w:r w:rsidRPr="007079E1">
        <w:rPr>
          <w:bCs/>
          <w:sz w:val="28"/>
          <w:szCs w:val="28"/>
          <w:lang w:val="nl-NL"/>
        </w:rPr>
        <w:t xml:space="preserve"> cũng chính là khoản hỗ trợ trực tiếp của Nhà nước đối với người dân, doanh nghiệp để góp phần </w:t>
      </w:r>
      <w:r w:rsidRPr="007079E1">
        <w:rPr>
          <w:rFonts w:eastAsia="Calibri"/>
          <w:sz w:val="28"/>
          <w:szCs w:val="28"/>
          <w:lang w:val="nl-NL"/>
        </w:rPr>
        <w:t xml:space="preserve">hỗ trợ phục hồi, phát triển sản xuất, kinh doanh, phát triển </w:t>
      </w:r>
      <w:r w:rsidR="00FD046D" w:rsidRPr="003C3EE1">
        <w:rPr>
          <w:sz w:val="28"/>
          <w:szCs w:val="28"/>
          <w:lang w:val="vi-VN"/>
        </w:rPr>
        <w:t>kinh tế</w:t>
      </w:r>
      <w:r w:rsidR="00FD046D">
        <w:rPr>
          <w:sz w:val="28"/>
          <w:szCs w:val="28"/>
        </w:rPr>
        <w:t xml:space="preserve"> </w:t>
      </w:r>
      <w:r w:rsidR="00FD046D" w:rsidRPr="003C3EE1">
        <w:rPr>
          <w:sz w:val="28"/>
          <w:szCs w:val="28"/>
          <w:lang w:val="vi-VN"/>
        </w:rPr>
        <w:t>-</w:t>
      </w:r>
      <w:r w:rsidR="00FD046D">
        <w:rPr>
          <w:sz w:val="28"/>
          <w:szCs w:val="28"/>
        </w:rPr>
        <w:t xml:space="preserve"> </w:t>
      </w:r>
      <w:r w:rsidR="00FD046D" w:rsidRPr="003C3EE1">
        <w:rPr>
          <w:sz w:val="28"/>
          <w:szCs w:val="28"/>
          <w:lang w:val="vi-VN"/>
        </w:rPr>
        <w:t>xã hội</w:t>
      </w:r>
      <w:r w:rsidR="00FD046D">
        <w:rPr>
          <w:sz w:val="28"/>
          <w:szCs w:val="28"/>
        </w:rPr>
        <w:t xml:space="preserve"> </w:t>
      </w:r>
      <w:r w:rsidR="0027069F">
        <w:rPr>
          <w:sz w:val="28"/>
          <w:szCs w:val="28"/>
          <w:lang w:val="nl-NL"/>
        </w:rPr>
        <w:t>(</w:t>
      </w:r>
      <w:r w:rsidR="0027069F" w:rsidRPr="0027069F">
        <w:rPr>
          <w:i/>
          <w:iCs/>
          <w:sz w:val="28"/>
          <w:szCs w:val="28"/>
          <w:lang w:val="nl-NL"/>
        </w:rPr>
        <w:t>Số thu thuế BVMT đối với xăn</w:t>
      </w:r>
      <w:r w:rsidR="00FA0EC1">
        <w:rPr>
          <w:i/>
          <w:iCs/>
          <w:sz w:val="28"/>
          <w:szCs w:val="28"/>
          <w:lang w:val="nl-NL"/>
        </w:rPr>
        <w:t>g, dầu, mỡ nhờn giai đoạn 2024 -</w:t>
      </w:r>
      <w:r w:rsidR="0027069F" w:rsidRPr="0027069F">
        <w:rPr>
          <w:i/>
          <w:iCs/>
          <w:sz w:val="28"/>
          <w:szCs w:val="28"/>
          <w:lang w:val="nl-NL"/>
        </w:rPr>
        <w:t xml:space="preserve"> 2025 tại Phụ lục kèm theo</w:t>
      </w:r>
      <w:r w:rsidR="0027069F">
        <w:rPr>
          <w:sz w:val="28"/>
          <w:szCs w:val="28"/>
          <w:lang w:val="nl-NL"/>
        </w:rPr>
        <w:t>).</w:t>
      </w:r>
    </w:p>
    <w:p w14:paraId="413978BB" w14:textId="77777777" w:rsidR="0072157D" w:rsidRPr="00C75AE4" w:rsidRDefault="0072157D" w:rsidP="0027069F">
      <w:pPr>
        <w:spacing w:before="120" w:after="120"/>
        <w:ind w:firstLine="720"/>
        <w:jc w:val="both"/>
        <w:rPr>
          <w:b/>
          <w:bCs/>
          <w:iCs/>
          <w:sz w:val="28"/>
          <w:szCs w:val="28"/>
          <w:lang w:val="nl-NL"/>
        </w:rPr>
      </w:pPr>
      <w:r w:rsidRPr="007079E1">
        <w:rPr>
          <w:sz w:val="28"/>
          <w:szCs w:val="28"/>
          <w:lang w:val="nl-NL"/>
        </w:rPr>
        <w:lastRenderedPageBreak/>
        <w:t xml:space="preserve">- Việc </w:t>
      </w:r>
      <w:r w:rsidRPr="007079E1">
        <w:rPr>
          <w:sz w:val="28"/>
          <w:szCs w:val="28"/>
          <w:lang w:val="nl-NL" w:eastAsia="vi-VN"/>
        </w:rPr>
        <w:t>kéo dài thời gian thực hiện chính sách giảm mức thuế BVMT đối với xăng, dầu, mỡ nhờn</w:t>
      </w:r>
      <w:r w:rsidRPr="007079E1">
        <w:rPr>
          <w:sz w:val="28"/>
          <w:szCs w:val="28"/>
          <w:lang w:val="nl-NL"/>
        </w:rPr>
        <w:t xml:space="preserve"> được đánh giá là chưa phù hợp với bản chất, mục tiêu của thuế BVMT (là khoản thu đối với hàng hóa khi sử dụng gây ô nhiễm môi trường nhằm mục tiêu hạn chế việc sản xuất, nhập khẩu những hàng hóa này để góp phần BVMT) và ảnh hưởng đến việc thực hiện cam kết của Chính phủ Việt Nam tại Hội nghị COP26 về đạt mức phát thải ròng bằng “0” vào năm 2050. Tuy nhiên, việc thực hiện điều chỉnh mức thuế BVMT đối với xăng, dầu, mỡ nhờn trong thời gian qua vẫn đảm bảo trong phạm vi khung thuế đã được quy định tại Luậ</w:t>
      </w:r>
      <w:r>
        <w:rPr>
          <w:sz w:val="28"/>
          <w:szCs w:val="28"/>
          <w:lang w:val="nl-NL"/>
        </w:rPr>
        <w:t xml:space="preserve">t </w:t>
      </w:r>
      <w:r>
        <w:rPr>
          <w:sz w:val="28"/>
          <w:szCs w:val="28"/>
        </w:rPr>
        <w:t>T</w:t>
      </w:r>
      <w:r w:rsidRPr="007079E1">
        <w:rPr>
          <w:sz w:val="28"/>
          <w:szCs w:val="28"/>
          <w:lang w:val="nl-NL"/>
        </w:rPr>
        <w:t xml:space="preserve">huế BVMT và </w:t>
      </w:r>
      <w:r w:rsidRPr="007079E1">
        <w:rPr>
          <w:sz w:val="28"/>
          <w:szCs w:val="28"/>
        </w:rPr>
        <w:t>đảm bảo</w:t>
      </w:r>
      <w:r w:rsidRPr="007079E1">
        <w:rPr>
          <w:sz w:val="28"/>
          <w:szCs w:val="28"/>
          <w:lang w:val="nl-NL"/>
        </w:rPr>
        <w:t xml:space="preserve"> với nguyên tắc</w:t>
      </w:r>
      <w:r w:rsidRPr="007079E1">
        <w:rPr>
          <w:sz w:val="28"/>
          <w:szCs w:val="28"/>
          <w:lang w:val="pl-PL"/>
        </w:rPr>
        <w:t xml:space="preserve"> phù hợp với chính sách phát triển </w:t>
      </w:r>
      <w:r w:rsidR="00FD046D" w:rsidRPr="003C3EE1">
        <w:rPr>
          <w:sz w:val="28"/>
          <w:szCs w:val="28"/>
          <w:lang w:val="vi-VN"/>
        </w:rPr>
        <w:t>kinh tế</w:t>
      </w:r>
      <w:r w:rsidR="00FD046D">
        <w:rPr>
          <w:sz w:val="28"/>
          <w:szCs w:val="28"/>
        </w:rPr>
        <w:t xml:space="preserve"> </w:t>
      </w:r>
      <w:r w:rsidR="00FD046D" w:rsidRPr="003C3EE1">
        <w:rPr>
          <w:sz w:val="28"/>
          <w:szCs w:val="28"/>
          <w:lang w:val="vi-VN"/>
        </w:rPr>
        <w:t>-</w:t>
      </w:r>
      <w:r w:rsidR="00FD046D">
        <w:rPr>
          <w:sz w:val="28"/>
          <w:szCs w:val="28"/>
        </w:rPr>
        <w:t xml:space="preserve"> </w:t>
      </w:r>
      <w:r w:rsidR="00FD046D" w:rsidRPr="003C3EE1">
        <w:rPr>
          <w:sz w:val="28"/>
          <w:szCs w:val="28"/>
          <w:lang w:val="vi-VN"/>
        </w:rPr>
        <w:t>xã hội</w:t>
      </w:r>
      <w:r w:rsidR="00FD046D">
        <w:rPr>
          <w:sz w:val="28"/>
          <w:szCs w:val="28"/>
        </w:rPr>
        <w:t xml:space="preserve"> </w:t>
      </w:r>
      <w:r w:rsidRPr="007079E1">
        <w:rPr>
          <w:sz w:val="28"/>
          <w:szCs w:val="28"/>
          <w:lang w:val="pl-PL"/>
        </w:rPr>
        <w:t xml:space="preserve">của Nhà nước trong từng thời kỳ </w:t>
      </w:r>
      <w:r w:rsidRPr="007079E1">
        <w:rPr>
          <w:sz w:val="28"/>
          <w:szCs w:val="28"/>
          <w:lang w:val="nl-NL"/>
        </w:rPr>
        <w:t>nhằm mục tiêu ổn định kinh tế vĩ mô, từ đó góp phần hướng đến thực hiện mục tiêu phát triển bền vững đất nước</w:t>
      </w:r>
      <w:r>
        <w:rPr>
          <w:sz w:val="28"/>
          <w:szCs w:val="28"/>
          <w:lang w:val="nl-NL"/>
        </w:rPr>
        <w:t>.</w:t>
      </w:r>
    </w:p>
    <w:p w14:paraId="54D979B8" w14:textId="77777777" w:rsidR="00B077A8" w:rsidRPr="00B077A8" w:rsidRDefault="00B077A8" w:rsidP="0027069F">
      <w:pPr>
        <w:spacing w:before="120" w:after="120"/>
        <w:ind w:firstLine="720"/>
        <w:jc w:val="both"/>
        <w:rPr>
          <w:b/>
          <w:bCs/>
          <w:sz w:val="26"/>
          <w:szCs w:val="26"/>
          <w:lang w:val="nl-NL"/>
        </w:rPr>
      </w:pPr>
      <w:r w:rsidRPr="00B077A8">
        <w:rPr>
          <w:b/>
          <w:bCs/>
          <w:sz w:val="26"/>
          <w:szCs w:val="26"/>
          <w:lang w:val="nl-NL"/>
        </w:rPr>
        <w:t xml:space="preserve">III. ĐỀ XUẤT, KIẾN NGHỊ </w:t>
      </w:r>
    </w:p>
    <w:p w14:paraId="361F753D" w14:textId="77777777" w:rsidR="00B05445" w:rsidRDefault="004A595D" w:rsidP="0027069F">
      <w:pPr>
        <w:pStyle w:val="PlainText"/>
        <w:spacing w:before="120" w:after="120"/>
        <w:ind w:firstLine="720"/>
        <w:jc w:val="both"/>
        <w:rPr>
          <w:rFonts w:ascii="Times New Roman" w:hAnsi="Times New Roman" w:cs="Times New Roman"/>
          <w:spacing w:val="-2"/>
          <w:sz w:val="28"/>
          <w:szCs w:val="28"/>
          <w:lang w:val="nl-NL"/>
        </w:rPr>
      </w:pPr>
      <w:r w:rsidRPr="004A595D">
        <w:rPr>
          <w:rFonts w:ascii="Times New Roman" w:hAnsi="Times New Roman" w:cs="Times New Roman"/>
          <w:spacing w:val="-2"/>
          <w:sz w:val="28"/>
          <w:szCs w:val="28"/>
          <w:lang w:val="nl-NL"/>
        </w:rPr>
        <w:t xml:space="preserve">Theo quy định tại khoản 2 Điều 1 Nghị quyết số 60/2024/UBTVQH15 </w:t>
      </w:r>
      <w:r w:rsidR="0072157D" w:rsidRPr="004A595D">
        <w:rPr>
          <w:rFonts w:ascii="Times New Roman" w:hAnsi="Times New Roman" w:cs="Times New Roman"/>
          <w:sz w:val="28"/>
          <w:szCs w:val="28"/>
        </w:rPr>
        <w:t>thì k</w:t>
      </w:r>
      <w:r w:rsidR="0072157D" w:rsidRPr="004A595D">
        <w:rPr>
          <w:rFonts w:ascii="Times New Roman" w:hAnsi="Times New Roman" w:cs="Times New Roman"/>
          <w:sz w:val="28"/>
          <w:szCs w:val="28"/>
          <w:lang w:val="nl-NL"/>
        </w:rPr>
        <w:t>ể từ ngày 01/01/202</w:t>
      </w:r>
      <w:r w:rsidRPr="004A595D">
        <w:rPr>
          <w:rFonts w:ascii="Times New Roman" w:hAnsi="Times New Roman" w:cs="Times New Roman"/>
          <w:sz w:val="28"/>
          <w:szCs w:val="28"/>
          <w:lang w:val="nl-NL"/>
        </w:rPr>
        <w:t>6</w:t>
      </w:r>
      <w:r w:rsidR="0072157D" w:rsidRPr="004A595D">
        <w:rPr>
          <w:rFonts w:ascii="Times New Roman" w:hAnsi="Times New Roman" w:cs="Times New Roman"/>
          <w:sz w:val="28"/>
          <w:szCs w:val="28"/>
          <w:lang w:val="nl-NL"/>
        </w:rPr>
        <w:t xml:space="preserve">, </w:t>
      </w:r>
      <w:r w:rsidR="0072157D" w:rsidRPr="004A595D">
        <w:rPr>
          <w:rFonts w:ascii="Times New Roman" w:hAnsi="Times New Roman" w:cs="Times New Roman"/>
          <w:sz w:val="28"/>
          <w:szCs w:val="28"/>
        </w:rPr>
        <w:t>mức thuế BVMT đối với xăng, dầu, mỡ nhờn sẽ tăng lên mức trần trong Biểu khung thuế, trừ dầu hỏa.</w:t>
      </w:r>
      <w:r w:rsidR="00B05445">
        <w:rPr>
          <w:rFonts w:ascii="Times New Roman" w:hAnsi="Times New Roman" w:cs="Times New Roman"/>
          <w:sz w:val="28"/>
          <w:szCs w:val="28"/>
        </w:rPr>
        <w:t xml:space="preserve"> Trong bối cảnh nền kinh tế vẫn phải đối mặt với nhiều thách thức từ tình hình trong nước và thế giới, việc mức thuế BVMT đối với xăng, dầu, mỡ nhờn trở về bằng mức trần trong </w:t>
      </w:r>
      <w:r w:rsidR="00592F6D" w:rsidRPr="00592F6D">
        <w:rPr>
          <w:rFonts w:ascii="Times New Roman" w:hAnsi="Times New Roman" w:cs="Times New Roman"/>
          <w:sz w:val="28"/>
          <w:szCs w:val="28"/>
        </w:rPr>
        <w:t>Biểu khung thuế</w:t>
      </w:r>
      <w:r w:rsidR="00592F6D">
        <w:rPr>
          <w:rFonts w:ascii="Times New Roman" w:hAnsi="Times New Roman" w:cs="Times New Roman"/>
          <w:sz w:val="28"/>
          <w:szCs w:val="28"/>
        </w:rPr>
        <w:t xml:space="preserve"> (trừ dầu hỏa) sẽ có tác động tiêu </w:t>
      </w:r>
      <w:r w:rsidR="00592F6D" w:rsidRPr="004A595D">
        <w:rPr>
          <w:rFonts w:ascii="Times New Roman" w:hAnsi="Times New Roman" w:cs="Times New Roman"/>
          <w:spacing w:val="-2"/>
          <w:sz w:val="28"/>
          <w:szCs w:val="28"/>
          <w:lang w:val="nl-NL"/>
        </w:rPr>
        <w:t xml:space="preserve">cực đến </w:t>
      </w:r>
      <w:r w:rsidR="00592F6D" w:rsidRPr="004A595D">
        <w:rPr>
          <w:rFonts w:ascii="Times New Roman" w:hAnsi="Times New Roman" w:cs="Times New Roman"/>
          <w:sz w:val="28"/>
          <w:szCs w:val="28"/>
          <w:lang w:val="nl-NL"/>
        </w:rPr>
        <w:t xml:space="preserve">đời sống người dân cũng như hoạt động sản xuất của doanh nghiệp, từ đó </w:t>
      </w:r>
      <w:r w:rsidR="00592F6D" w:rsidRPr="004A595D">
        <w:rPr>
          <w:rFonts w:ascii="Times New Roman" w:hAnsi="Times New Roman" w:cs="Times New Roman"/>
          <w:spacing w:val="-2"/>
          <w:sz w:val="28"/>
          <w:szCs w:val="28"/>
          <w:lang w:val="nl-NL"/>
        </w:rPr>
        <w:t>ảnh hưởng đến lạm phát</w:t>
      </w:r>
      <w:r w:rsidR="00592F6D">
        <w:rPr>
          <w:rFonts w:ascii="Times New Roman" w:hAnsi="Times New Roman" w:cs="Times New Roman"/>
          <w:spacing w:val="-2"/>
          <w:sz w:val="28"/>
          <w:szCs w:val="28"/>
          <w:lang w:val="nl-NL"/>
        </w:rPr>
        <w:t xml:space="preserve">, </w:t>
      </w:r>
      <w:r w:rsidR="00592F6D" w:rsidRPr="004A595D">
        <w:rPr>
          <w:rFonts w:ascii="Times New Roman" w:hAnsi="Times New Roman" w:cs="Times New Roman"/>
          <w:spacing w:val="-2"/>
          <w:sz w:val="28"/>
          <w:szCs w:val="28"/>
          <w:lang w:val="nl-NL"/>
        </w:rPr>
        <w:t>tác động trực tiếp đến ổn định kinh tế vĩ mô</w:t>
      </w:r>
      <w:r w:rsidR="00592F6D">
        <w:rPr>
          <w:rFonts w:ascii="Times New Roman" w:hAnsi="Times New Roman" w:cs="Times New Roman"/>
          <w:spacing w:val="-2"/>
          <w:sz w:val="28"/>
          <w:szCs w:val="28"/>
          <w:lang w:val="nl-NL"/>
        </w:rPr>
        <w:t xml:space="preserve"> và mục tiêu tăng trưởng hai con số trong giai đoạn 2026</w:t>
      </w:r>
      <w:r w:rsidR="00A05653">
        <w:rPr>
          <w:rFonts w:ascii="Times New Roman" w:hAnsi="Times New Roman" w:cs="Times New Roman"/>
          <w:spacing w:val="-2"/>
          <w:sz w:val="28"/>
          <w:szCs w:val="28"/>
          <w:lang w:val="nl-NL"/>
        </w:rPr>
        <w:t xml:space="preserve"> </w:t>
      </w:r>
      <w:r w:rsidR="00592F6D">
        <w:rPr>
          <w:rFonts w:ascii="Times New Roman" w:hAnsi="Times New Roman" w:cs="Times New Roman"/>
          <w:spacing w:val="-2"/>
          <w:sz w:val="28"/>
          <w:szCs w:val="28"/>
          <w:lang w:val="nl-NL"/>
        </w:rPr>
        <w:t>-</w:t>
      </w:r>
      <w:r w:rsidR="00A05653">
        <w:rPr>
          <w:rFonts w:ascii="Times New Roman" w:hAnsi="Times New Roman" w:cs="Times New Roman"/>
          <w:spacing w:val="-2"/>
          <w:sz w:val="28"/>
          <w:szCs w:val="28"/>
          <w:lang w:val="nl-NL"/>
        </w:rPr>
        <w:t xml:space="preserve"> </w:t>
      </w:r>
      <w:r w:rsidR="00592F6D">
        <w:rPr>
          <w:rFonts w:ascii="Times New Roman" w:hAnsi="Times New Roman" w:cs="Times New Roman"/>
          <w:spacing w:val="-2"/>
          <w:sz w:val="28"/>
          <w:szCs w:val="28"/>
          <w:lang w:val="nl-NL"/>
        </w:rPr>
        <w:t xml:space="preserve">2030. </w:t>
      </w:r>
    </w:p>
    <w:p w14:paraId="6FE1867D" w14:textId="77777777" w:rsidR="00493FF7" w:rsidRDefault="00B82702" w:rsidP="0027069F">
      <w:pPr>
        <w:pStyle w:val="PlainText"/>
        <w:spacing w:before="120" w:after="120"/>
        <w:ind w:firstLine="720"/>
        <w:jc w:val="both"/>
        <w:rPr>
          <w:rFonts w:ascii="Times New Roman" w:hAnsi="Times New Roman" w:cs="Times New Roman"/>
          <w:spacing w:val="-2"/>
          <w:sz w:val="28"/>
          <w:szCs w:val="28"/>
          <w:lang w:val="nl-NL"/>
        </w:rPr>
      </w:pPr>
      <w:r>
        <w:rPr>
          <w:rFonts w:ascii="Times New Roman" w:hAnsi="Times New Roman" w:cs="Times New Roman"/>
          <w:spacing w:val="-2"/>
          <w:sz w:val="28"/>
          <w:szCs w:val="28"/>
          <w:lang w:val="nl-NL"/>
        </w:rPr>
        <w:t>Để tiếp tục thực hiện</w:t>
      </w:r>
      <w:r w:rsidR="004A595D">
        <w:rPr>
          <w:rFonts w:ascii="Times New Roman" w:hAnsi="Times New Roman" w:cs="Times New Roman"/>
          <w:spacing w:val="-2"/>
          <w:sz w:val="28"/>
          <w:szCs w:val="28"/>
          <w:lang w:val="nl-NL"/>
        </w:rPr>
        <w:t xml:space="preserve"> các</w:t>
      </w:r>
      <w:r>
        <w:rPr>
          <w:rFonts w:ascii="Times New Roman" w:hAnsi="Times New Roman" w:cs="Times New Roman"/>
          <w:spacing w:val="-2"/>
          <w:sz w:val="28"/>
          <w:szCs w:val="28"/>
          <w:lang w:val="nl-NL"/>
        </w:rPr>
        <w:t xml:space="preserve"> kết quả đạt được của việc giảm mức thuế BVMT đối với xăng, dầu, mỡ nhờn</w:t>
      </w:r>
      <w:r w:rsidR="00BC180C">
        <w:rPr>
          <w:rFonts w:ascii="Times New Roman" w:hAnsi="Times New Roman" w:cs="Times New Roman"/>
          <w:spacing w:val="-2"/>
          <w:sz w:val="28"/>
          <w:szCs w:val="28"/>
          <w:lang w:val="nl-NL"/>
        </w:rPr>
        <w:t>;</w:t>
      </w:r>
      <w:r w:rsidR="00F74D69">
        <w:rPr>
          <w:rFonts w:ascii="Times New Roman" w:hAnsi="Times New Roman" w:cs="Times New Roman"/>
          <w:spacing w:val="-2"/>
          <w:sz w:val="28"/>
          <w:szCs w:val="28"/>
          <w:lang w:val="nl-NL"/>
        </w:rPr>
        <w:t xml:space="preserve"> phù hợp với chủ trương và định hướng của Đảng</w:t>
      </w:r>
      <w:r w:rsidR="00BC180C">
        <w:rPr>
          <w:rFonts w:ascii="Times New Roman" w:hAnsi="Times New Roman" w:cs="Times New Roman"/>
          <w:spacing w:val="-2"/>
          <w:sz w:val="28"/>
          <w:szCs w:val="28"/>
          <w:lang w:val="nl-NL"/>
        </w:rPr>
        <w:t xml:space="preserve"> về thực hiện nhiệm vụ kiềm chế lạm phát, ổn định kinh tế vĩ mô, tháo gỡ khó khăn, hỗ trợ cho người dân, doanh nghiệp để thúc đẩy sản xuất, kinh doanh;</w:t>
      </w:r>
      <w:r w:rsidR="00F40C6B">
        <w:rPr>
          <w:rFonts w:ascii="Times New Roman" w:hAnsi="Times New Roman" w:cs="Times New Roman"/>
          <w:spacing w:val="-2"/>
          <w:sz w:val="28"/>
          <w:szCs w:val="28"/>
          <w:lang w:val="nl-NL"/>
        </w:rPr>
        <w:t xml:space="preserve"> </w:t>
      </w:r>
      <w:r w:rsidR="00BC180C" w:rsidRPr="00BC180C">
        <w:rPr>
          <w:rFonts w:ascii="Times New Roman" w:hAnsi="Times New Roman" w:cs="Times New Roman"/>
          <w:spacing w:val="-2"/>
          <w:sz w:val="28"/>
          <w:szCs w:val="28"/>
          <w:lang w:val="nl-NL"/>
        </w:rPr>
        <w:t>góp phần tạo nền tảng vững chắc để đạt tốc độ tăng trưởng hai con số trong giai đoạn 2026</w:t>
      </w:r>
      <w:r w:rsidR="00A05653">
        <w:rPr>
          <w:rFonts w:ascii="Times New Roman" w:hAnsi="Times New Roman" w:cs="Times New Roman"/>
          <w:spacing w:val="-2"/>
          <w:sz w:val="28"/>
          <w:szCs w:val="28"/>
          <w:lang w:val="nl-NL"/>
        </w:rPr>
        <w:t xml:space="preserve"> </w:t>
      </w:r>
      <w:r w:rsidR="00BC180C" w:rsidRPr="00BC180C">
        <w:rPr>
          <w:rFonts w:ascii="Times New Roman" w:hAnsi="Times New Roman" w:cs="Times New Roman"/>
          <w:spacing w:val="-2"/>
          <w:sz w:val="28"/>
          <w:szCs w:val="28"/>
          <w:lang w:val="nl-NL"/>
        </w:rPr>
        <w:t>-</w:t>
      </w:r>
      <w:r w:rsidR="00A05653">
        <w:rPr>
          <w:rFonts w:ascii="Times New Roman" w:hAnsi="Times New Roman" w:cs="Times New Roman"/>
          <w:spacing w:val="-2"/>
          <w:sz w:val="28"/>
          <w:szCs w:val="28"/>
          <w:lang w:val="nl-NL"/>
        </w:rPr>
        <w:t xml:space="preserve"> </w:t>
      </w:r>
      <w:r w:rsidR="00BC180C" w:rsidRPr="00BC180C">
        <w:rPr>
          <w:rFonts w:ascii="Times New Roman" w:hAnsi="Times New Roman" w:cs="Times New Roman"/>
          <w:spacing w:val="-2"/>
          <w:sz w:val="28"/>
          <w:szCs w:val="28"/>
          <w:lang w:val="nl-NL"/>
        </w:rPr>
        <w:t>2030</w:t>
      </w:r>
      <w:r w:rsidR="00F40C6B">
        <w:rPr>
          <w:rFonts w:ascii="Times New Roman" w:hAnsi="Times New Roman" w:cs="Times New Roman"/>
          <w:spacing w:val="-2"/>
          <w:sz w:val="28"/>
          <w:szCs w:val="28"/>
          <w:lang w:val="nl-NL"/>
        </w:rPr>
        <w:t>;</w:t>
      </w:r>
      <w:r w:rsidR="004A595D">
        <w:rPr>
          <w:rFonts w:ascii="Times New Roman" w:hAnsi="Times New Roman" w:cs="Times New Roman"/>
          <w:spacing w:val="-2"/>
          <w:sz w:val="28"/>
          <w:szCs w:val="28"/>
          <w:lang w:val="nl-NL"/>
        </w:rPr>
        <w:t xml:space="preserve"> hạn chế những yếu </w:t>
      </w:r>
      <w:r w:rsidR="00E15500">
        <w:rPr>
          <w:rFonts w:ascii="Times New Roman" w:hAnsi="Times New Roman" w:cs="Times New Roman"/>
          <w:spacing w:val="-2"/>
          <w:sz w:val="28"/>
          <w:szCs w:val="28"/>
          <w:lang w:val="nl-NL"/>
        </w:rPr>
        <w:t>tố</w:t>
      </w:r>
      <w:r w:rsidR="004A595D">
        <w:rPr>
          <w:rFonts w:ascii="Times New Roman" w:hAnsi="Times New Roman" w:cs="Times New Roman"/>
          <w:spacing w:val="-2"/>
          <w:sz w:val="28"/>
          <w:szCs w:val="28"/>
          <w:lang w:val="nl-NL"/>
        </w:rPr>
        <w:t xml:space="preserve"> bất lợi ảnh hưởng đến </w:t>
      </w:r>
      <w:r w:rsidR="001C4C72">
        <w:rPr>
          <w:rFonts w:ascii="Times New Roman" w:hAnsi="Times New Roman" w:cs="Times New Roman"/>
          <w:spacing w:val="-2"/>
          <w:sz w:val="28"/>
          <w:szCs w:val="28"/>
          <w:lang w:val="nl-NL"/>
        </w:rPr>
        <w:t>lạm</w:t>
      </w:r>
      <w:r w:rsidR="004A595D">
        <w:rPr>
          <w:rFonts w:ascii="Times New Roman" w:hAnsi="Times New Roman" w:cs="Times New Roman"/>
          <w:spacing w:val="-2"/>
          <w:sz w:val="28"/>
          <w:szCs w:val="28"/>
          <w:lang w:val="nl-NL"/>
        </w:rPr>
        <w:t xml:space="preserve"> phát, tăng trưởng kinh tế khi mức thuế BVMT đối với xăng, dầu, mỡ nhờn tăng về mức trần từ ngày 01/01/2026 thì </w:t>
      </w:r>
      <w:r w:rsidR="00E15500">
        <w:rPr>
          <w:rFonts w:ascii="Times New Roman" w:hAnsi="Times New Roman" w:cs="Times New Roman"/>
          <w:spacing w:val="-2"/>
          <w:sz w:val="28"/>
          <w:szCs w:val="28"/>
          <w:lang w:val="nl-NL"/>
        </w:rPr>
        <w:t>việc ban hành Nghị quyết điều chỉnh mức thuế BVMT đối với xăng, dầu, mỡ nhờn trong năm 2026 là cần thiết</w:t>
      </w:r>
      <w:r w:rsidR="001C4C72">
        <w:rPr>
          <w:rFonts w:ascii="Times New Roman" w:hAnsi="Times New Roman" w:cs="Times New Roman"/>
          <w:spacing w:val="-2"/>
          <w:sz w:val="28"/>
          <w:szCs w:val="28"/>
          <w:lang w:val="nl-NL"/>
        </w:rPr>
        <w:t>.</w:t>
      </w:r>
    </w:p>
    <w:p w14:paraId="39F167BD" w14:textId="77777777" w:rsidR="00FD0B1B" w:rsidRPr="00FD0B1B" w:rsidRDefault="00B976D6" w:rsidP="0027069F">
      <w:pPr>
        <w:spacing w:before="120" w:after="240"/>
        <w:ind w:firstLine="720"/>
        <w:jc w:val="both"/>
        <w:rPr>
          <w:b/>
          <w:sz w:val="28"/>
          <w:szCs w:val="28"/>
          <w:lang w:val="nl-NL"/>
        </w:rPr>
      </w:pPr>
      <w:r>
        <w:rPr>
          <w:sz w:val="28"/>
          <w:szCs w:val="28"/>
          <w:lang w:val="nl-NL"/>
        </w:rPr>
        <w:t>Trên đây là Báo cáo</w:t>
      </w:r>
      <w:r w:rsidR="00384369">
        <w:rPr>
          <w:sz w:val="28"/>
          <w:szCs w:val="28"/>
          <w:lang w:val="nl-NL"/>
        </w:rPr>
        <w:t xml:space="preserve"> tổng kết việc thi hành</w:t>
      </w:r>
      <w:r w:rsidR="007E58CD">
        <w:rPr>
          <w:sz w:val="28"/>
          <w:szCs w:val="28"/>
          <w:lang w:val="nl-NL"/>
        </w:rPr>
        <w:t xml:space="preserve"> </w:t>
      </w:r>
      <w:r w:rsidR="00F40C6B">
        <w:rPr>
          <w:sz w:val="28"/>
          <w:szCs w:val="28"/>
        </w:rPr>
        <w:t>tổng kết việc thi hành các Nghị quyết của UBTVQ</w:t>
      </w:r>
      <w:r w:rsidR="00FE1C05">
        <w:rPr>
          <w:sz w:val="28"/>
          <w:szCs w:val="28"/>
        </w:rPr>
        <w:t>H</w:t>
      </w:r>
      <w:r w:rsidR="00F40C6B">
        <w:rPr>
          <w:sz w:val="28"/>
          <w:szCs w:val="28"/>
        </w:rPr>
        <w:t xml:space="preserve"> về mức thuế BVMT đối với xăng, dầu, mỡ nhờn</w:t>
      </w:r>
      <w:r w:rsidR="00FD0B1B" w:rsidRPr="00FD0B1B">
        <w:rPr>
          <w:sz w:val="28"/>
          <w:szCs w:val="28"/>
          <w:lang w:val="nl-NL"/>
        </w:rPr>
        <w:t>./.</w:t>
      </w:r>
    </w:p>
    <w:tbl>
      <w:tblPr>
        <w:tblW w:w="9464" w:type="dxa"/>
        <w:tblLook w:val="01E0" w:firstRow="1" w:lastRow="1" w:firstColumn="1" w:lastColumn="1" w:noHBand="0" w:noVBand="0"/>
      </w:tblPr>
      <w:tblGrid>
        <w:gridCol w:w="5148"/>
        <w:gridCol w:w="4316"/>
      </w:tblGrid>
      <w:tr w:rsidR="00E97D56" w:rsidRPr="00757172" w14:paraId="22D4F89F" w14:textId="77777777" w:rsidTr="00DF0EB3">
        <w:trPr>
          <w:trHeight w:val="2411"/>
        </w:trPr>
        <w:tc>
          <w:tcPr>
            <w:tcW w:w="5148" w:type="dxa"/>
          </w:tcPr>
          <w:p w14:paraId="7D25A116" w14:textId="77777777" w:rsidR="00E97D56" w:rsidRPr="00757172" w:rsidRDefault="00E97D56" w:rsidP="006A0761">
            <w:pPr>
              <w:rPr>
                <w:lang w:val="zu-ZA"/>
              </w:rPr>
            </w:pPr>
            <w:r w:rsidRPr="00757172">
              <w:rPr>
                <w:b/>
                <w:i/>
                <w:lang w:val="zu-ZA"/>
              </w:rPr>
              <w:t>Nơi nhận:</w:t>
            </w:r>
          </w:p>
          <w:p w14:paraId="27A1CA9F" w14:textId="77777777" w:rsidR="00E97D56" w:rsidRPr="00757172" w:rsidRDefault="00E97D56" w:rsidP="006A0761">
            <w:pPr>
              <w:jc w:val="both"/>
              <w:rPr>
                <w:bCs/>
                <w:lang w:val="nl-NL"/>
              </w:rPr>
            </w:pPr>
            <w:r w:rsidRPr="00757172">
              <w:rPr>
                <w:bCs/>
                <w:sz w:val="22"/>
                <w:szCs w:val="22"/>
                <w:lang w:val="nl-NL"/>
              </w:rPr>
              <w:t>- Như trên;</w:t>
            </w:r>
          </w:p>
          <w:p w14:paraId="04E6F288" w14:textId="77777777" w:rsidR="00E97D56" w:rsidRPr="00757172" w:rsidRDefault="00E97D56" w:rsidP="006A0761">
            <w:pPr>
              <w:jc w:val="both"/>
              <w:rPr>
                <w:bCs/>
                <w:lang w:val="nl-NL"/>
              </w:rPr>
            </w:pPr>
            <w:r w:rsidRPr="00757172">
              <w:rPr>
                <w:bCs/>
                <w:sz w:val="22"/>
                <w:szCs w:val="22"/>
                <w:lang w:val="nl-NL"/>
              </w:rPr>
              <w:t xml:space="preserve">- </w:t>
            </w:r>
            <w:r w:rsidR="003E65B7">
              <w:rPr>
                <w:bCs/>
                <w:sz w:val="22"/>
                <w:szCs w:val="22"/>
                <w:lang w:val="nl-NL"/>
              </w:rPr>
              <w:t>Bộ trưởng</w:t>
            </w:r>
            <w:r w:rsidRPr="00757172">
              <w:rPr>
                <w:bCs/>
                <w:sz w:val="22"/>
                <w:szCs w:val="22"/>
                <w:lang w:val="nl-NL"/>
              </w:rPr>
              <w:t xml:space="preserve"> (để báo cáo); </w:t>
            </w:r>
          </w:p>
          <w:p w14:paraId="2AF30ACC" w14:textId="77777777" w:rsidR="00E97D56" w:rsidRPr="00757172" w:rsidRDefault="00E97D56" w:rsidP="006A0761">
            <w:pPr>
              <w:jc w:val="both"/>
              <w:rPr>
                <w:sz w:val="28"/>
                <w:szCs w:val="28"/>
                <w:lang w:val="zu-ZA"/>
              </w:rPr>
            </w:pPr>
            <w:r w:rsidRPr="00684D15">
              <w:rPr>
                <w:sz w:val="22"/>
                <w:szCs w:val="22"/>
                <w:lang w:val="sv-SE"/>
              </w:rPr>
              <w:t>- Lưu: VT, CST (     b).</w:t>
            </w:r>
          </w:p>
        </w:tc>
        <w:tc>
          <w:tcPr>
            <w:tcW w:w="4316" w:type="dxa"/>
          </w:tcPr>
          <w:p w14:paraId="48F20136" w14:textId="77777777" w:rsidR="00E97D56" w:rsidRPr="00684D15" w:rsidRDefault="00E97D56" w:rsidP="00243169">
            <w:pPr>
              <w:jc w:val="center"/>
              <w:rPr>
                <w:b/>
                <w:bCs/>
                <w:sz w:val="26"/>
                <w:szCs w:val="26"/>
                <w:lang w:val="sv-SE"/>
              </w:rPr>
            </w:pPr>
            <w:r w:rsidRPr="00684D15">
              <w:rPr>
                <w:b/>
                <w:bCs/>
                <w:sz w:val="26"/>
                <w:szCs w:val="26"/>
                <w:lang w:val="sv-SE"/>
              </w:rPr>
              <w:t xml:space="preserve">KT. </w:t>
            </w:r>
            <w:r w:rsidRPr="00684D15">
              <w:rPr>
                <w:b/>
                <w:bCs/>
                <w:sz w:val="26"/>
                <w:szCs w:val="26"/>
                <w:lang w:val="am-ET"/>
              </w:rPr>
              <w:t>BỘ TRƯỞNG</w:t>
            </w:r>
          </w:p>
          <w:p w14:paraId="07254AF0" w14:textId="77777777" w:rsidR="00E97D56" w:rsidRPr="00684D15" w:rsidRDefault="00E97D56" w:rsidP="00243169">
            <w:pPr>
              <w:jc w:val="center"/>
              <w:rPr>
                <w:b/>
                <w:bCs/>
                <w:sz w:val="26"/>
                <w:szCs w:val="26"/>
                <w:lang w:val="sv-SE"/>
              </w:rPr>
            </w:pPr>
            <w:r w:rsidRPr="00684D15">
              <w:rPr>
                <w:b/>
                <w:bCs/>
                <w:sz w:val="26"/>
                <w:szCs w:val="26"/>
                <w:lang w:val="sv-SE"/>
              </w:rPr>
              <w:t>THỨ TRƯỞNG</w:t>
            </w:r>
          </w:p>
          <w:p w14:paraId="3CB89641" w14:textId="77777777" w:rsidR="00E97D56" w:rsidRPr="00757172" w:rsidRDefault="00E97D56" w:rsidP="00243169">
            <w:pPr>
              <w:ind w:left="720"/>
              <w:jc w:val="center"/>
              <w:rPr>
                <w:b/>
                <w:sz w:val="28"/>
                <w:szCs w:val="28"/>
                <w:lang w:val="zu-ZA"/>
              </w:rPr>
            </w:pPr>
          </w:p>
          <w:p w14:paraId="106916E1" w14:textId="77777777" w:rsidR="00E97D56" w:rsidRPr="00757172" w:rsidRDefault="00E97D56" w:rsidP="00243169">
            <w:pPr>
              <w:ind w:left="720"/>
              <w:jc w:val="center"/>
              <w:rPr>
                <w:b/>
                <w:sz w:val="28"/>
                <w:szCs w:val="28"/>
                <w:lang w:val="zu-ZA"/>
              </w:rPr>
            </w:pPr>
          </w:p>
          <w:p w14:paraId="2A9F725B" w14:textId="77777777" w:rsidR="00E97D56" w:rsidRDefault="00E97D56" w:rsidP="00243169">
            <w:pPr>
              <w:jc w:val="center"/>
              <w:rPr>
                <w:b/>
                <w:sz w:val="28"/>
                <w:szCs w:val="28"/>
                <w:lang w:val="zu-ZA"/>
              </w:rPr>
            </w:pPr>
          </w:p>
          <w:p w14:paraId="41F2E4E0" w14:textId="77777777" w:rsidR="00DF0EB3" w:rsidRPr="00757172" w:rsidRDefault="00DF0EB3" w:rsidP="00243169">
            <w:pPr>
              <w:jc w:val="center"/>
              <w:rPr>
                <w:b/>
                <w:sz w:val="28"/>
                <w:szCs w:val="28"/>
                <w:lang w:val="zu-ZA"/>
              </w:rPr>
            </w:pPr>
          </w:p>
          <w:p w14:paraId="1E433AB9" w14:textId="77777777" w:rsidR="00243169" w:rsidRDefault="00243169" w:rsidP="00243169">
            <w:pPr>
              <w:rPr>
                <w:b/>
                <w:sz w:val="28"/>
                <w:szCs w:val="28"/>
                <w:lang w:val="vi-VN"/>
              </w:rPr>
            </w:pPr>
          </w:p>
          <w:p w14:paraId="14307A6A" w14:textId="77777777" w:rsidR="00E97D56" w:rsidRPr="00757172" w:rsidRDefault="00243169" w:rsidP="00DF0EB3">
            <w:pPr>
              <w:jc w:val="center"/>
              <w:rPr>
                <w:sz w:val="28"/>
                <w:szCs w:val="28"/>
              </w:rPr>
            </w:pPr>
            <w:r>
              <w:rPr>
                <w:b/>
                <w:sz w:val="28"/>
                <w:szCs w:val="28"/>
                <w:lang w:val="vi-VN"/>
              </w:rPr>
              <w:t>Cao Anh Tuấn</w:t>
            </w:r>
          </w:p>
        </w:tc>
      </w:tr>
    </w:tbl>
    <w:p w14:paraId="5F52A382" w14:textId="77777777" w:rsidR="0027069F" w:rsidRDefault="0027069F" w:rsidP="00950CB6">
      <w:pPr>
        <w:widowControl w:val="0"/>
        <w:spacing w:before="120" w:after="120" w:line="252" w:lineRule="auto"/>
        <w:jc w:val="both"/>
        <w:rPr>
          <w:sz w:val="28"/>
          <w:szCs w:val="28"/>
          <w:lang w:val="nl-NL"/>
        </w:rPr>
      </w:pPr>
    </w:p>
    <w:sectPr w:rsidR="0027069F" w:rsidSect="00742EC2">
      <w:headerReference w:type="default" r:id="rId8"/>
      <w:footerReference w:type="default" r:id="rId9"/>
      <w:pgSz w:w="11909" w:h="16834" w:code="9"/>
      <w:pgMar w:top="1138" w:right="1138" w:bottom="1138" w:left="1699"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2131D" w14:textId="77777777" w:rsidR="00852BCE" w:rsidRDefault="00852BCE" w:rsidP="0098269A">
      <w:r>
        <w:separator/>
      </w:r>
    </w:p>
  </w:endnote>
  <w:endnote w:type="continuationSeparator" w:id="0">
    <w:p w14:paraId="13E470DD" w14:textId="77777777" w:rsidR="00852BCE" w:rsidRDefault="00852BCE" w:rsidP="0098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0268" w14:textId="77777777" w:rsidR="00DF0EB3" w:rsidRDefault="00DF0EB3">
    <w:pPr>
      <w:pStyle w:val="Footer"/>
      <w:jc w:val="right"/>
    </w:pPr>
  </w:p>
  <w:p w14:paraId="634A0F78" w14:textId="77777777" w:rsidR="00DF0EB3" w:rsidRDefault="00DF0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9DCEA" w14:textId="77777777" w:rsidR="00852BCE" w:rsidRDefault="00852BCE" w:rsidP="0098269A">
      <w:r>
        <w:separator/>
      </w:r>
    </w:p>
  </w:footnote>
  <w:footnote w:type="continuationSeparator" w:id="0">
    <w:p w14:paraId="0F655904" w14:textId="77777777" w:rsidR="00852BCE" w:rsidRDefault="00852BCE" w:rsidP="0098269A">
      <w:r>
        <w:continuationSeparator/>
      </w:r>
    </w:p>
  </w:footnote>
  <w:footnote w:id="1">
    <w:p w14:paraId="7A27ECF0" w14:textId="77777777" w:rsidR="008F07F8" w:rsidRDefault="008F07F8" w:rsidP="008F07F8">
      <w:pPr>
        <w:pStyle w:val="FootnoteText"/>
        <w:jc w:val="both"/>
      </w:pPr>
      <w:r>
        <w:rPr>
          <w:rStyle w:val="FootnoteReference"/>
        </w:rPr>
        <w:footnoteRef/>
      </w:r>
      <w:r>
        <w:t xml:space="preserve"> </w:t>
      </w:r>
      <w:r w:rsidRPr="00EF136E">
        <w:rPr>
          <w:bCs/>
          <w:iCs/>
          <w:lang w:val="nb-NO"/>
        </w:rPr>
        <w:t xml:space="preserve">Nghị quyết số 18/2022/UBTVQH15 ngày 23/3/2022, </w:t>
      </w:r>
      <w:r w:rsidRPr="00EF136E">
        <w:rPr>
          <w:lang w:val="nl-NL"/>
        </w:rPr>
        <w:t xml:space="preserve">Nghị quyết số 20/2022/UBTVQH15 ngày 06/7/2022; Nghị quyết số 30/2022/UBTVQH15 ngày 30/12/2022 và </w:t>
      </w:r>
      <w:r w:rsidRPr="00EF136E">
        <w:t>Nghị quyết số 42/2023/UBTVQH15 ngày 18/12/2023.</w:t>
      </w:r>
    </w:p>
  </w:footnote>
  <w:footnote w:id="2">
    <w:p w14:paraId="68B9A6BA" w14:textId="77777777" w:rsidR="00B0632C" w:rsidRPr="00EF136E" w:rsidRDefault="00B0632C" w:rsidP="00B0632C">
      <w:pPr>
        <w:pStyle w:val="FootnoteText"/>
        <w:jc w:val="both"/>
      </w:pPr>
      <w:r w:rsidRPr="00EF136E">
        <w:rPr>
          <w:rStyle w:val="FootnoteReference"/>
        </w:rPr>
        <w:footnoteRef/>
      </w:r>
      <w:r w:rsidRPr="00EF136E">
        <w:t xml:space="preserve"> Tại Nghị quyết số 579/2018/UBTVQH14 ngày 26/9/2018 của UBTVQH</w:t>
      </w:r>
      <w:r w:rsidRPr="00EF136E">
        <w:rPr>
          <w:shd w:val="clear" w:color="auto" w:fill="FFFFFF"/>
        </w:rPr>
        <w:t xml:space="preserve"> với mức thuế</w:t>
      </w:r>
      <w:r w:rsidRPr="00EF136E">
        <w:rPr>
          <w:lang w:val="nl-NL"/>
        </w:rPr>
        <w:t xml:space="preserve"> bằng mức trần </w:t>
      </w:r>
      <w:r w:rsidRPr="00EF136E">
        <w:t>trong Biểu khung thuế ban hành kèm theo Luật Thuế BVMT</w:t>
      </w:r>
      <w:r w:rsidRPr="00EF136E">
        <w:rPr>
          <w:lang w:val="nl-NL"/>
        </w:rPr>
        <w:t xml:space="preserve"> (trừ dầu hỏa)</w:t>
      </w:r>
      <w:r w:rsidRPr="00EF136E">
        <w:t>, cụ thể: Xăng tăng từ 2.000 đồng/lít lên 4.000 đồng/lít; nhiên liệu bay tăng từ 1.000 đồng/lít lên 3.000 đồng/lít; dầu diesel, dầu mazut, dầu nhờn tăng từ 1.000 đồng/lít lên 2.000 đồng/lít; dầu hỏa tăng từ 600 đồng/lít lên 1.000 đồng/lít (mức trần là 2.000 đồng/lít); mỡ nhờn tăng từ 1.000 đồng/kg lên 2.000 đồng/kg.</w:t>
      </w:r>
    </w:p>
  </w:footnote>
  <w:footnote w:id="3">
    <w:p w14:paraId="353E0B02" w14:textId="77777777" w:rsidR="00CD26ED" w:rsidRDefault="00CD26ED" w:rsidP="00BB0BE8">
      <w:pPr>
        <w:pStyle w:val="FootnoteText"/>
        <w:jc w:val="both"/>
      </w:pPr>
      <w:r>
        <w:rPr>
          <w:rStyle w:val="FootnoteReference"/>
        </w:rPr>
        <w:footnoteRef/>
      </w:r>
      <w:r>
        <w:t xml:space="preserve"> Tính đến </w:t>
      </w:r>
      <w:r w:rsidR="00B35D2D">
        <w:t xml:space="preserve">kỳ điều hành giá xăng dầu ngày </w:t>
      </w:r>
      <w:r w:rsidR="0064302B">
        <w:t>26</w:t>
      </w:r>
      <w:r w:rsidR="00B35D2D">
        <w:t>/6</w:t>
      </w:r>
      <w:r>
        <w:t xml:space="preserve">/2025.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357159"/>
      <w:docPartObj>
        <w:docPartGallery w:val="Page Numbers (Top of Page)"/>
        <w:docPartUnique/>
      </w:docPartObj>
    </w:sdtPr>
    <w:sdtEndPr/>
    <w:sdtContent>
      <w:p w14:paraId="209B3C94" w14:textId="77777777" w:rsidR="00DF0EB3" w:rsidRDefault="003A68A2">
        <w:pPr>
          <w:pStyle w:val="Header"/>
          <w:jc w:val="center"/>
        </w:pPr>
        <w:r>
          <w:fldChar w:fldCharType="begin"/>
        </w:r>
        <w:r w:rsidR="00BB03F2">
          <w:instrText xml:space="preserve"> PAGE   \* MERGEFORMAT </w:instrText>
        </w:r>
        <w:r>
          <w:fldChar w:fldCharType="separate"/>
        </w:r>
        <w:r w:rsidR="00A3193E">
          <w:rPr>
            <w:noProof/>
          </w:rPr>
          <w:t>6</w:t>
        </w:r>
        <w:r>
          <w:rPr>
            <w:noProof/>
          </w:rPr>
          <w:fldChar w:fldCharType="end"/>
        </w:r>
      </w:p>
    </w:sdtContent>
  </w:sdt>
  <w:p w14:paraId="7E6FB9AD" w14:textId="77777777" w:rsidR="00DF0EB3" w:rsidRDefault="00DF0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C02"/>
    <w:multiLevelType w:val="hybridMultilevel"/>
    <w:tmpl w:val="9140B370"/>
    <w:lvl w:ilvl="0" w:tplc="414C86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311AA7"/>
    <w:multiLevelType w:val="hybridMultilevel"/>
    <w:tmpl w:val="3E7A1B24"/>
    <w:lvl w:ilvl="0" w:tplc="4F68BDD6">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2" w15:restartNumberingAfterBreak="0">
    <w:nsid w:val="3089329B"/>
    <w:multiLevelType w:val="hybridMultilevel"/>
    <w:tmpl w:val="BCBE4526"/>
    <w:lvl w:ilvl="0" w:tplc="AD1ECE38">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4C231D44"/>
    <w:multiLevelType w:val="hybridMultilevel"/>
    <w:tmpl w:val="1BAAC962"/>
    <w:lvl w:ilvl="0" w:tplc="8084ABD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60FE2F33"/>
    <w:multiLevelType w:val="hybridMultilevel"/>
    <w:tmpl w:val="FA1CBD8C"/>
    <w:lvl w:ilvl="0" w:tplc="EE7E01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867F63"/>
    <w:multiLevelType w:val="hybridMultilevel"/>
    <w:tmpl w:val="0CFED798"/>
    <w:lvl w:ilvl="0" w:tplc="6C7EB19A">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D1F5BE7"/>
    <w:multiLevelType w:val="hybridMultilevel"/>
    <w:tmpl w:val="20108228"/>
    <w:lvl w:ilvl="0" w:tplc="650CE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9197235">
    <w:abstractNumId w:val="6"/>
  </w:num>
  <w:num w:numId="2" w16cid:durableId="1450975169">
    <w:abstractNumId w:val="1"/>
  </w:num>
  <w:num w:numId="3" w16cid:durableId="1314681893">
    <w:abstractNumId w:val="2"/>
  </w:num>
  <w:num w:numId="4" w16cid:durableId="229002442">
    <w:abstractNumId w:val="4"/>
  </w:num>
  <w:num w:numId="5" w16cid:durableId="1992632134">
    <w:abstractNumId w:val="0"/>
  </w:num>
  <w:num w:numId="6" w16cid:durableId="1046369788">
    <w:abstractNumId w:val="3"/>
  </w:num>
  <w:num w:numId="7" w16cid:durableId="1125780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9A"/>
    <w:rsid w:val="0000097A"/>
    <w:rsid w:val="00004DE9"/>
    <w:rsid w:val="0000668E"/>
    <w:rsid w:val="0000741D"/>
    <w:rsid w:val="000100F9"/>
    <w:rsid w:val="00010148"/>
    <w:rsid w:val="00010DEB"/>
    <w:rsid w:val="00014B79"/>
    <w:rsid w:val="00017D10"/>
    <w:rsid w:val="00020CB1"/>
    <w:rsid w:val="0002189B"/>
    <w:rsid w:val="000230F4"/>
    <w:rsid w:val="00024BAA"/>
    <w:rsid w:val="00025491"/>
    <w:rsid w:val="00026407"/>
    <w:rsid w:val="00027D51"/>
    <w:rsid w:val="000302D2"/>
    <w:rsid w:val="00031C4B"/>
    <w:rsid w:val="0003258A"/>
    <w:rsid w:val="00034343"/>
    <w:rsid w:val="00035221"/>
    <w:rsid w:val="000356C5"/>
    <w:rsid w:val="00036260"/>
    <w:rsid w:val="00037106"/>
    <w:rsid w:val="0004601F"/>
    <w:rsid w:val="000511A1"/>
    <w:rsid w:val="00054199"/>
    <w:rsid w:val="0005600B"/>
    <w:rsid w:val="00064321"/>
    <w:rsid w:val="00064B51"/>
    <w:rsid w:val="0006789F"/>
    <w:rsid w:val="00072FD0"/>
    <w:rsid w:val="000756D7"/>
    <w:rsid w:val="0008016C"/>
    <w:rsid w:val="000803C5"/>
    <w:rsid w:val="0008311B"/>
    <w:rsid w:val="00093F4B"/>
    <w:rsid w:val="00094AFF"/>
    <w:rsid w:val="00094CD5"/>
    <w:rsid w:val="0009525D"/>
    <w:rsid w:val="000969C6"/>
    <w:rsid w:val="00097AA8"/>
    <w:rsid w:val="000A2EBA"/>
    <w:rsid w:val="000A5613"/>
    <w:rsid w:val="000A6A10"/>
    <w:rsid w:val="000A72C2"/>
    <w:rsid w:val="000B39CC"/>
    <w:rsid w:val="000B3FDF"/>
    <w:rsid w:val="000B626A"/>
    <w:rsid w:val="000C0BE3"/>
    <w:rsid w:val="000C5F01"/>
    <w:rsid w:val="000C6566"/>
    <w:rsid w:val="000C715D"/>
    <w:rsid w:val="000C7A87"/>
    <w:rsid w:val="000D2994"/>
    <w:rsid w:val="000D2A87"/>
    <w:rsid w:val="000D6238"/>
    <w:rsid w:val="000D6613"/>
    <w:rsid w:val="000D79EA"/>
    <w:rsid w:val="000E0ADD"/>
    <w:rsid w:val="000E7276"/>
    <w:rsid w:val="000E7DA9"/>
    <w:rsid w:val="000F42B5"/>
    <w:rsid w:val="000F5533"/>
    <w:rsid w:val="000F59C8"/>
    <w:rsid w:val="001003C1"/>
    <w:rsid w:val="00102A1E"/>
    <w:rsid w:val="00106F95"/>
    <w:rsid w:val="00110C07"/>
    <w:rsid w:val="001138BF"/>
    <w:rsid w:val="00114B64"/>
    <w:rsid w:val="00115042"/>
    <w:rsid w:val="001173CE"/>
    <w:rsid w:val="001207C6"/>
    <w:rsid w:val="00121A67"/>
    <w:rsid w:val="00121C67"/>
    <w:rsid w:val="0012241D"/>
    <w:rsid w:val="00126D96"/>
    <w:rsid w:val="00130BF9"/>
    <w:rsid w:val="00137C09"/>
    <w:rsid w:val="00137ED5"/>
    <w:rsid w:val="001426BD"/>
    <w:rsid w:val="00143A24"/>
    <w:rsid w:val="0014619A"/>
    <w:rsid w:val="0015033E"/>
    <w:rsid w:val="00153ED9"/>
    <w:rsid w:val="00155503"/>
    <w:rsid w:val="00156145"/>
    <w:rsid w:val="00160615"/>
    <w:rsid w:val="0016274C"/>
    <w:rsid w:val="00164CDE"/>
    <w:rsid w:val="001670F7"/>
    <w:rsid w:val="00172416"/>
    <w:rsid w:val="00173B22"/>
    <w:rsid w:val="001741C0"/>
    <w:rsid w:val="001805C0"/>
    <w:rsid w:val="00181039"/>
    <w:rsid w:val="00184FBE"/>
    <w:rsid w:val="00185B26"/>
    <w:rsid w:val="00191FC4"/>
    <w:rsid w:val="00195441"/>
    <w:rsid w:val="001A0802"/>
    <w:rsid w:val="001A1358"/>
    <w:rsid w:val="001A3794"/>
    <w:rsid w:val="001A54A6"/>
    <w:rsid w:val="001B3A5E"/>
    <w:rsid w:val="001B4F3D"/>
    <w:rsid w:val="001B65FA"/>
    <w:rsid w:val="001B7D47"/>
    <w:rsid w:val="001C011B"/>
    <w:rsid w:val="001C05A4"/>
    <w:rsid w:val="001C1403"/>
    <w:rsid w:val="001C2BA3"/>
    <w:rsid w:val="001C4C72"/>
    <w:rsid w:val="001C5535"/>
    <w:rsid w:val="001D0DC9"/>
    <w:rsid w:val="001D47AF"/>
    <w:rsid w:val="001D4B05"/>
    <w:rsid w:val="001D630C"/>
    <w:rsid w:val="001E3826"/>
    <w:rsid w:val="001E487A"/>
    <w:rsid w:val="001E736D"/>
    <w:rsid w:val="001F1282"/>
    <w:rsid w:val="001F1888"/>
    <w:rsid w:val="001F555F"/>
    <w:rsid w:val="001F6093"/>
    <w:rsid w:val="0020002D"/>
    <w:rsid w:val="002002CA"/>
    <w:rsid w:val="00201EB3"/>
    <w:rsid w:val="0020227A"/>
    <w:rsid w:val="0020291E"/>
    <w:rsid w:val="00203AA3"/>
    <w:rsid w:val="002076A3"/>
    <w:rsid w:val="00207C1A"/>
    <w:rsid w:val="00211CF6"/>
    <w:rsid w:val="00212A41"/>
    <w:rsid w:val="00213453"/>
    <w:rsid w:val="00214030"/>
    <w:rsid w:val="002147F5"/>
    <w:rsid w:val="00217286"/>
    <w:rsid w:val="00217D50"/>
    <w:rsid w:val="0022208F"/>
    <w:rsid w:val="00223514"/>
    <w:rsid w:val="0022751B"/>
    <w:rsid w:val="002278F9"/>
    <w:rsid w:val="00227E88"/>
    <w:rsid w:val="00231282"/>
    <w:rsid w:val="00232EA9"/>
    <w:rsid w:val="00235BCB"/>
    <w:rsid w:val="00237C07"/>
    <w:rsid w:val="00237FA9"/>
    <w:rsid w:val="00242A92"/>
    <w:rsid w:val="00243169"/>
    <w:rsid w:val="002436E2"/>
    <w:rsid w:val="00244D93"/>
    <w:rsid w:val="00245D28"/>
    <w:rsid w:val="00246B1A"/>
    <w:rsid w:val="00247911"/>
    <w:rsid w:val="002508A9"/>
    <w:rsid w:val="00253605"/>
    <w:rsid w:val="00255D0C"/>
    <w:rsid w:val="002634DC"/>
    <w:rsid w:val="0027069F"/>
    <w:rsid w:val="0027509E"/>
    <w:rsid w:val="00276907"/>
    <w:rsid w:val="002818A7"/>
    <w:rsid w:val="002819E2"/>
    <w:rsid w:val="002841AF"/>
    <w:rsid w:val="00284BBA"/>
    <w:rsid w:val="00285838"/>
    <w:rsid w:val="002906F7"/>
    <w:rsid w:val="002911CF"/>
    <w:rsid w:val="00293395"/>
    <w:rsid w:val="00295E98"/>
    <w:rsid w:val="002A13F3"/>
    <w:rsid w:val="002A156E"/>
    <w:rsid w:val="002A3CEC"/>
    <w:rsid w:val="002A6309"/>
    <w:rsid w:val="002A77E9"/>
    <w:rsid w:val="002B12B9"/>
    <w:rsid w:val="002B4A14"/>
    <w:rsid w:val="002C196D"/>
    <w:rsid w:val="002C1EDD"/>
    <w:rsid w:val="002C37F3"/>
    <w:rsid w:val="002C45EE"/>
    <w:rsid w:val="002C5326"/>
    <w:rsid w:val="002D02A7"/>
    <w:rsid w:val="002D3716"/>
    <w:rsid w:val="002D6A77"/>
    <w:rsid w:val="002E604C"/>
    <w:rsid w:val="002F007B"/>
    <w:rsid w:val="002F5211"/>
    <w:rsid w:val="002F59BC"/>
    <w:rsid w:val="002F63B7"/>
    <w:rsid w:val="002F7653"/>
    <w:rsid w:val="003000A5"/>
    <w:rsid w:val="00305A52"/>
    <w:rsid w:val="00305B0E"/>
    <w:rsid w:val="00307831"/>
    <w:rsid w:val="00311C8B"/>
    <w:rsid w:val="0031307A"/>
    <w:rsid w:val="00315114"/>
    <w:rsid w:val="00316E65"/>
    <w:rsid w:val="00320CF8"/>
    <w:rsid w:val="00323EA3"/>
    <w:rsid w:val="00326DF1"/>
    <w:rsid w:val="003326DA"/>
    <w:rsid w:val="00334658"/>
    <w:rsid w:val="003351CC"/>
    <w:rsid w:val="00336C1B"/>
    <w:rsid w:val="00342F5E"/>
    <w:rsid w:val="0034327B"/>
    <w:rsid w:val="0035094B"/>
    <w:rsid w:val="00350C35"/>
    <w:rsid w:val="00352826"/>
    <w:rsid w:val="00356448"/>
    <w:rsid w:val="003623CB"/>
    <w:rsid w:val="00363681"/>
    <w:rsid w:val="00364938"/>
    <w:rsid w:val="00364990"/>
    <w:rsid w:val="00375416"/>
    <w:rsid w:val="00375684"/>
    <w:rsid w:val="00377AFC"/>
    <w:rsid w:val="003810EC"/>
    <w:rsid w:val="00383E8F"/>
    <w:rsid w:val="00384369"/>
    <w:rsid w:val="003911D6"/>
    <w:rsid w:val="00391221"/>
    <w:rsid w:val="003942B0"/>
    <w:rsid w:val="00395DE7"/>
    <w:rsid w:val="00396456"/>
    <w:rsid w:val="003A3E02"/>
    <w:rsid w:val="003A68A2"/>
    <w:rsid w:val="003A7676"/>
    <w:rsid w:val="003A7AEA"/>
    <w:rsid w:val="003B0CFE"/>
    <w:rsid w:val="003B2BBD"/>
    <w:rsid w:val="003C0AD5"/>
    <w:rsid w:val="003C18DE"/>
    <w:rsid w:val="003C2641"/>
    <w:rsid w:val="003C2BF5"/>
    <w:rsid w:val="003C3EE1"/>
    <w:rsid w:val="003C4289"/>
    <w:rsid w:val="003C4CD4"/>
    <w:rsid w:val="003C4F09"/>
    <w:rsid w:val="003D1293"/>
    <w:rsid w:val="003D5399"/>
    <w:rsid w:val="003D7831"/>
    <w:rsid w:val="003E13B0"/>
    <w:rsid w:val="003E54A7"/>
    <w:rsid w:val="003E65B7"/>
    <w:rsid w:val="003F5FCC"/>
    <w:rsid w:val="00400D5B"/>
    <w:rsid w:val="00400EE0"/>
    <w:rsid w:val="00401368"/>
    <w:rsid w:val="0040452D"/>
    <w:rsid w:val="00416734"/>
    <w:rsid w:val="00422DB0"/>
    <w:rsid w:val="00425A16"/>
    <w:rsid w:val="00426B6E"/>
    <w:rsid w:val="004273A2"/>
    <w:rsid w:val="00433AFA"/>
    <w:rsid w:val="0044200A"/>
    <w:rsid w:val="00442EE8"/>
    <w:rsid w:val="00452686"/>
    <w:rsid w:val="00453371"/>
    <w:rsid w:val="0045422C"/>
    <w:rsid w:val="00454E01"/>
    <w:rsid w:val="00455394"/>
    <w:rsid w:val="0045544E"/>
    <w:rsid w:val="0046253F"/>
    <w:rsid w:val="0046361D"/>
    <w:rsid w:val="00464B13"/>
    <w:rsid w:val="00464D3A"/>
    <w:rsid w:val="00465AEB"/>
    <w:rsid w:val="00466CBC"/>
    <w:rsid w:val="00467F41"/>
    <w:rsid w:val="00471D57"/>
    <w:rsid w:val="004800F7"/>
    <w:rsid w:val="0048172D"/>
    <w:rsid w:val="00486055"/>
    <w:rsid w:val="00486826"/>
    <w:rsid w:val="00487636"/>
    <w:rsid w:val="00487B56"/>
    <w:rsid w:val="00491910"/>
    <w:rsid w:val="0049223D"/>
    <w:rsid w:val="00493FF7"/>
    <w:rsid w:val="0049449B"/>
    <w:rsid w:val="004946C6"/>
    <w:rsid w:val="004961BA"/>
    <w:rsid w:val="004A254A"/>
    <w:rsid w:val="004A595D"/>
    <w:rsid w:val="004A6C9D"/>
    <w:rsid w:val="004B1980"/>
    <w:rsid w:val="004C304A"/>
    <w:rsid w:val="004C451E"/>
    <w:rsid w:val="004C5543"/>
    <w:rsid w:val="004C6F60"/>
    <w:rsid w:val="004C768B"/>
    <w:rsid w:val="004C7822"/>
    <w:rsid w:val="004D22A0"/>
    <w:rsid w:val="004D3CBC"/>
    <w:rsid w:val="004D7553"/>
    <w:rsid w:val="004D7C40"/>
    <w:rsid w:val="004E0433"/>
    <w:rsid w:val="004E1138"/>
    <w:rsid w:val="004E12A2"/>
    <w:rsid w:val="004E40D5"/>
    <w:rsid w:val="004E6BD1"/>
    <w:rsid w:val="004F79B2"/>
    <w:rsid w:val="00503B5F"/>
    <w:rsid w:val="00504C66"/>
    <w:rsid w:val="00506398"/>
    <w:rsid w:val="00506818"/>
    <w:rsid w:val="00507E4C"/>
    <w:rsid w:val="00510388"/>
    <w:rsid w:val="0051337A"/>
    <w:rsid w:val="00521D4F"/>
    <w:rsid w:val="005225DF"/>
    <w:rsid w:val="005262DB"/>
    <w:rsid w:val="00527F62"/>
    <w:rsid w:val="005368DB"/>
    <w:rsid w:val="00543221"/>
    <w:rsid w:val="00550E1F"/>
    <w:rsid w:val="00552496"/>
    <w:rsid w:val="00560D08"/>
    <w:rsid w:val="0056127D"/>
    <w:rsid w:val="00561FF1"/>
    <w:rsid w:val="005644E3"/>
    <w:rsid w:val="0056689A"/>
    <w:rsid w:val="0056782A"/>
    <w:rsid w:val="00567B41"/>
    <w:rsid w:val="0057074B"/>
    <w:rsid w:val="00572CA5"/>
    <w:rsid w:val="00572CE9"/>
    <w:rsid w:val="005743F4"/>
    <w:rsid w:val="005769CA"/>
    <w:rsid w:val="00580890"/>
    <w:rsid w:val="00581B10"/>
    <w:rsid w:val="00582369"/>
    <w:rsid w:val="005828E7"/>
    <w:rsid w:val="00582C53"/>
    <w:rsid w:val="00592F6D"/>
    <w:rsid w:val="00593201"/>
    <w:rsid w:val="005946D7"/>
    <w:rsid w:val="005954AB"/>
    <w:rsid w:val="005956FC"/>
    <w:rsid w:val="005A0B80"/>
    <w:rsid w:val="005A1B63"/>
    <w:rsid w:val="005A2F26"/>
    <w:rsid w:val="005A429A"/>
    <w:rsid w:val="005B0C02"/>
    <w:rsid w:val="005C3455"/>
    <w:rsid w:val="005C4485"/>
    <w:rsid w:val="005C4E10"/>
    <w:rsid w:val="005C5180"/>
    <w:rsid w:val="005C5EAC"/>
    <w:rsid w:val="005C7740"/>
    <w:rsid w:val="005C776B"/>
    <w:rsid w:val="005D5345"/>
    <w:rsid w:val="005E074D"/>
    <w:rsid w:val="005E1D88"/>
    <w:rsid w:val="005E2A40"/>
    <w:rsid w:val="005E3EE2"/>
    <w:rsid w:val="005E4611"/>
    <w:rsid w:val="005E4F17"/>
    <w:rsid w:val="005E5217"/>
    <w:rsid w:val="005F2544"/>
    <w:rsid w:val="005F2931"/>
    <w:rsid w:val="0061103E"/>
    <w:rsid w:val="00614759"/>
    <w:rsid w:val="006157AD"/>
    <w:rsid w:val="00616646"/>
    <w:rsid w:val="0062374E"/>
    <w:rsid w:val="0062475E"/>
    <w:rsid w:val="00624CEA"/>
    <w:rsid w:val="00627A4A"/>
    <w:rsid w:val="0063031D"/>
    <w:rsid w:val="00632D2C"/>
    <w:rsid w:val="006333A1"/>
    <w:rsid w:val="0063416D"/>
    <w:rsid w:val="0063438A"/>
    <w:rsid w:val="00636E19"/>
    <w:rsid w:val="00636E55"/>
    <w:rsid w:val="006407FC"/>
    <w:rsid w:val="0064302B"/>
    <w:rsid w:val="006456C0"/>
    <w:rsid w:val="00646CC0"/>
    <w:rsid w:val="00656FDA"/>
    <w:rsid w:val="00661317"/>
    <w:rsid w:val="006659F4"/>
    <w:rsid w:val="00665F62"/>
    <w:rsid w:val="00675348"/>
    <w:rsid w:val="00677BB1"/>
    <w:rsid w:val="00680E77"/>
    <w:rsid w:val="006822F2"/>
    <w:rsid w:val="0068717B"/>
    <w:rsid w:val="00692919"/>
    <w:rsid w:val="00694F46"/>
    <w:rsid w:val="00697343"/>
    <w:rsid w:val="00697471"/>
    <w:rsid w:val="006A0761"/>
    <w:rsid w:val="006A2313"/>
    <w:rsid w:val="006A27D6"/>
    <w:rsid w:val="006A5650"/>
    <w:rsid w:val="006A6BB7"/>
    <w:rsid w:val="006A7925"/>
    <w:rsid w:val="006B360A"/>
    <w:rsid w:val="006B6720"/>
    <w:rsid w:val="006C2FEE"/>
    <w:rsid w:val="006C33C1"/>
    <w:rsid w:val="006C7568"/>
    <w:rsid w:val="006D008B"/>
    <w:rsid w:val="006D0B87"/>
    <w:rsid w:val="006D6921"/>
    <w:rsid w:val="006D72C1"/>
    <w:rsid w:val="006E00DC"/>
    <w:rsid w:val="006E1999"/>
    <w:rsid w:val="006E49AE"/>
    <w:rsid w:val="006E607E"/>
    <w:rsid w:val="006F6DAE"/>
    <w:rsid w:val="006F6E4E"/>
    <w:rsid w:val="00706EBA"/>
    <w:rsid w:val="00706FE9"/>
    <w:rsid w:val="007100F6"/>
    <w:rsid w:val="007105E5"/>
    <w:rsid w:val="00713B48"/>
    <w:rsid w:val="00714680"/>
    <w:rsid w:val="00715063"/>
    <w:rsid w:val="00716EAC"/>
    <w:rsid w:val="0071761F"/>
    <w:rsid w:val="00717A38"/>
    <w:rsid w:val="00717A60"/>
    <w:rsid w:val="0072157D"/>
    <w:rsid w:val="007311A1"/>
    <w:rsid w:val="00731D2D"/>
    <w:rsid w:val="00734747"/>
    <w:rsid w:val="00735060"/>
    <w:rsid w:val="00736ACE"/>
    <w:rsid w:val="00740DB4"/>
    <w:rsid w:val="00742EC2"/>
    <w:rsid w:val="00744127"/>
    <w:rsid w:val="007511C1"/>
    <w:rsid w:val="00751C96"/>
    <w:rsid w:val="00755190"/>
    <w:rsid w:val="00756232"/>
    <w:rsid w:val="00757172"/>
    <w:rsid w:val="00757F1F"/>
    <w:rsid w:val="00762011"/>
    <w:rsid w:val="007650CF"/>
    <w:rsid w:val="007718F1"/>
    <w:rsid w:val="007905D0"/>
    <w:rsid w:val="00792355"/>
    <w:rsid w:val="00794A93"/>
    <w:rsid w:val="007A09F9"/>
    <w:rsid w:val="007A0FBA"/>
    <w:rsid w:val="007A10E3"/>
    <w:rsid w:val="007A44FD"/>
    <w:rsid w:val="007A54D2"/>
    <w:rsid w:val="007A62F3"/>
    <w:rsid w:val="007A7DBF"/>
    <w:rsid w:val="007B093D"/>
    <w:rsid w:val="007B25BD"/>
    <w:rsid w:val="007B33F6"/>
    <w:rsid w:val="007B426E"/>
    <w:rsid w:val="007B522C"/>
    <w:rsid w:val="007B621A"/>
    <w:rsid w:val="007B6EB5"/>
    <w:rsid w:val="007C0358"/>
    <w:rsid w:val="007C0F80"/>
    <w:rsid w:val="007C0F86"/>
    <w:rsid w:val="007C14BB"/>
    <w:rsid w:val="007C1786"/>
    <w:rsid w:val="007C411D"/>
    <w:rsid w:val="007C4D1D"/>
    <w:rsid w:val="007C533A"/>
    <w:rsid w:val="007C5470"/>
    <w:rsid w:val="007C5B38"/>
    <w:rsid w:val="007D0291"/>
    <w:rsid w:val="007D4751"/>
    <w:rsid w:val="007D52A8"/>
    <w:rsid w:val="007D75E5"/>
    <w:rsid w:val="007E0226"/>
    <w:rsid w:val="007E037D"/>
    <w:rsid w:val="007E1EE5"/>
    <w:rsid w:val="007E2384"/>
    <w:rsid w:val="007E58CD"/>
    <w:rsid w:val="007E6735"/>
    <w:rsid w:val="007F03D7"/>
    <w:rsid w:val="007F0E99"/>
    <w:rsid w:val="007F5CC1"/>
    <w:rsid w:val="007F75A6"/>
    <w:rsid w:val="00800546"/>
    <w:rsid w:val="00803EE5"/>
    <w:rsid w:val="00805927"/>
    <w:rsid w:val="008060CC"/>
    <w:rsid w:val="0080612D"/>
    <w:rsid w:val="00806F91"/>
    <w:rsid w:val="00807055"/>
    <w:rsid w:val="008072CA"/>
    <w:rsid w:val="00811E51"/>
    <w:rsid w:val="008120BF"/>
    <w:rsid w:val="008127C1"/>
    <w:rsid w:val="00812D2A"/>
    <w:rsid w:val="00814739"/>
    <w:rsid w:val="00816850"/>
    <w:rsid w:val="00822D6C"/>
    <w:rsid w:val="00825182"/>
    <w:rsid w:val="00825EB3"/>
    <w:rsid w:val="00833712"/>
    <w:rsid w:val="00834B95"/>
    <w:rsid w:val="008429FC"/>
    <w:rsid w:val="008431ED"/>
    <w:rsid w:val="00843E7A"/>
    <w:rsid w:val="00852BCE"/>
    <w:rsid w:val="00853DC2"/>
    <w:rsid w:val="00856C36"/>
    <w:rsid w:val="0085782A"/>
    <w:rsid w:val="00861CC0"/>
    <w:rsid w:val="008624D0"/>
    <w:rsid w:val="0086292D"/>
    <w:rsid w:val="00865A93"/>
    <w:rsid w:val="0086734D"/>
    <w:rsid w:val="0086735F"/>
    <w:rsid w:val="0087006B"/>
    <w:rsid w:val="008718A8"/>
    <w:rsid w:val="00873935"/>
    <w:rsid w:val="00874FB5"/>
    <w:rsid w:val="00877DDF"/>
    <w:rsid w:val="00881007"/>
    <w:rsid w:val="00883B52"/>
    <w:rsid w:val="0088487C"/>
    <w:rsid w:val="00885FE4"/>
    <w:rsid w:val="00886312"/>
    <w:rsid w:val="0088759F"/>
    <w:rsid w:val="008977BA"/>
    <w:rsid w:val="008A20B5"/>
    <w:rsid w:val="008A26FB"/>
    <w:rsid w:val="008A4307"/>
    <w:rsid w:val="008A5917"/>
    <w:rsid w:val="008A5B40"/>
    <w:rsid w:val="008B03D7"/>
    <w:rsid w:val="008B1124"/>
    <w:rsid w:val="008B1393"/>
    <w:rsid w:val="008B2326"/>
    <w:rsid w:val="008B4F6E"/>
    <w:rsid w:val="008C1BDE"/>
    <w:rsid w:val="008C2562"/>
    <w:rsid w:val="008C2688"/>
    <w:rsid w:val="008C2E8E"/>
    <w:rsid w:val="008C30B1"/>
    <w:rsid w:val="008C568B"/>
    <w:rsid w:val="008D308E"/>
    <w:rsid w:val="008D370E"/>
    <w:rsid w:val="008D424C"/>
    <w:rsid w:val="008D5509"/>
    <w:rsid w:val="008E03D8"/>
    <w:rsid w:val="008E1784"/>
    <w:rsid w:val="008E20CC"/>
    <w:rsid w:val="008F07F8"/>
    <w:rsid w:val="008F1097"/>
    <w:rsid w:val="008F1FAD"/>
    <w:rsid w:val="008F5DD1"/>
    <w:rsid w:val="008F73CA"/>
    <w:rsid w:val="00905967"/>
    <w:rsid w:val="00911E0A"/>
    <w:rsid w:val="0091216F"/>
    <w:rsid w:val="00913609"/>
    <w:rsid w:val="00915928"/>
    <w:rsid w:val="00916619"/>
    <w:rsid w:val="00916EFE"/>
    <w:rsid w:val="00917548"/>
    <w:rsid w:val="00920A31"/>
    <w:rsid w:val="00920E29"/>
    <w:rsid w:val="00931856"/>
    <w:rsid w:val="00935942"/>
    <w:rsid w:val="00940151"/>
    <w:rsid w:val="00940372"/>
    <w:rsid w:val="00941194"/>
    <w:rsid w:val="00943780"/>
    <w:rsid w:val="00950557"/>
    <w:rsid w:val="00950CB6"/>
    <w:rsid w:val="00953E70"/>
    <w:rsid w:val="009560F0"/>
    <w:rsid w:val="009567F5"/>
    <w:rsid w:val="009600A4"/>
    <w:rsid w:val="00961340"/>
    <w:rsid w:val="009631C3"/>
    <w:rsid w:val="00966C3C"/>
    <w:rsid w:val="00967A27"/>
    <w:rsid w:val="00967B51"/>
    <w:rsid w:val="0097027A"/>
    <w:rsid w:val="0097179D"/>
    <w:rsid w:val="009743FF"/>
    <w:rsid w:val="0097665E"/>
    <w:rsid w:val="00977D6E"/>
    <w:rsid w:val="00981EAD"/>
    <w:rsid w:val="0098269A"/>
    <w:rsid w:val="0099233C"/>
    <w:rsid w:val="009A0F36"/>
    <w:rsid w:val="009A146E"/>
    <w:rsid w:val="009A3B22"/>
    <w:rsid w:val="009A5403"/>
    <w:rsid w:val="009B264D"/>
    <w:rsid w:val="009B3446"/>
    <w:rsid w:val="009B4765"/>
    <w:rsid w:val="009B4DF3"/>
    <w:rsid w:val="009B7743"/>
    <w:rsid w:val="009C0D89"/>
    <w:rsid w:val="009C10B6"/>
    <w:rsid w:val="009C17FF"/>
    <w:rsid w:val="009C1D6A"/>
    <w:rsid w:val="009C3684"/>
    <w:rsid w:val="009C3CDE"/>
    <w:rsid w:val="009C6D64"/>
    <w:rsid w:val="009D059F"/>
    <w:rsid w:val="009D2BEC"/>
    <w:rsid w:val="009D450F"/>
    <w:rsid w:val="009D568E"/>
    <w:rsid w:val="009D6F28"/>
    <w:rsid w:val="009D797A"/>
    <w:rsid w:val="009E0171"/>
    <w:rsid w:val="009E1860"/>
    <w:rsid w:val="009E34E5"/>
    <w:rsid w:val="009E3870"/>
    <w:rsid w:val="009E5325"/>
    <w:rsid w:val="009E6148"/>
    <w:rsid w:val="009E6852"/>
    <w:rsid w:val="009F08E8"/>
    <w:rsid w:val="009F2F72"/>
    <w:rsid w:val="009F4439"/>
    <w:rsid w:val="009F45D7"/>
    <w:rsid w:val="00A001C7"/>
    <w:rsid w:val="00A01A89"/>
    <w:rsid w:val="00A04916"/>
    <w:rsid w:val="00A05653"/>
    <w:rsid w:val="00A128AA"/>
    <w:rsid w:val="00A15201"/>
    <w:rsid w:val="00A16AEA"/>
    <w:rsid w:val="00A20B15"/>
    <w:rsid w:val="00A2362B"/>
    <w:rsid w:val="00A23CE5"/>
    <w:rsid w:val="00A244D1"/>
    <w:rsid w:val="00A27D67"/>
    <w:rsid w:val="00A31519"/>
    <w:rsid w:val="00A3193E"/>
    <w:rsid w:val="00A36890"/>
    <w:rsid w:val="00A36DCE"/>
    <w:rsid w:val="00A37379"/>
    <w:rsid w:val="00A400ED"/>
    <w:rsid w:val="00A4082D"/>
    <w:rsid w:val="00A40A5C"/>
    <w:rsid w:val="00A40E73"/>
    <w:rsid w:val="00A41ECD"/>
    <w:rsid w:val="00A42E53"/>
    <w:rsid w:val="00A532C4"/>
    <w:rsid w:val="00A53AD1"/>
    <w:rsid w:val="00A56342"/>
    <w:rsid w:val="00A61754"/>
    <w:rsid w:val="00A620C5"/>
    <w:rsid w:val="00A63DE9"/>
    <w:rsid w:val="00A640D1"/>
    <w:rsid w:val="00A72DF5"/>
    <w:rsid w:val="00A73123"/>
    <w:rsid w:val="00A74DC3"/>
    <w:rsid w:val="00A76C47"/>
    <w:rsid w:val="00A84127"/>
    <w:rsid w:val="00A8428A"/>
    <w:rsid w:val="00A84F85"/>
    <w:rsid w:val="00A875A9"/>
    <w:rsid w:val="00A91350"/>
    <w:rsid w:val="00A92E8A"/>
    <w:rsid w:val="00A950E3"/>
    <w:rsid w:val="00A95E28"/>
    <w:rsid w:val="00A97885"/>
    <w:rsid w:val="00AA0B69"/>
    <w:rsid w:val="00AA2178"/>
    <w:rsid w:val="00AA5B8C"/>
    <w:rsid w:val="00AA5FC1"/>
    <w:rsid w:val="00AA6E18"/>
    <w:rsid w:val="00AB2417"/>
    <w:rsid w:val="00AC0672"/>
    <w:rsid w:val="00AC1EAC"/>
    <w:rsid w:val="00AC28DB"/>
    <w:rsid w:val="00AC3475"/>
    <w:rsid w:val="00AC43ED"/>
    <w:rsid w:val="00AD048A"/>
    <w:rsid w:val="00AD16C4"/>
    <w:rsid w:val="00AD26A1"/>
    <w:rsid w:val="00AD2D07"/>
    <w:rsid w:val="00AD5753"/>
    <w:rsid w:val="00AE39FD"/>
    <w:rsid w:val="00AE3F6E"/>
    <w:rsid w:val="00AE7725"/>
    <w:rsid w:val="00AF0620"/>
    <w:rsid w:val="00AF1B67"/>
    <w:rsid w:val="00AF6C42"/>
    <w:rsid w:val="00B05445"/>
    <w:rsid w:val="00B0632C"/>
    <w:rsid w:val="00B077A8"/>
    <w:rsid w:val="00B07EB9"/>
    <w:rsid w:val="00B11286"/>
    <w:rsid w:val="00B125EF"/>
    <w:rsid w:val="00B179CB"/>
    <w:rsid w:val="00B20BD5"/>
    <w:rsid w:val="00B21E33"/>
    <w:rsid w:val="00B2622E"/>
    <w:rsid w:val="00B265A2"/>
    <w:rsid w:val="00B276CB"/>
    <w:rsid w:val="00B3065E"/>
    <w:rsid w:val="00B33521"/>
    <w:rsid w:val="00B33767"/>
    <w:rsid w:val="00B35D2D"/>
    <w:rsid w:val="00B3729B"/>
    <w:rsid w:val="00B37A8E"/>
    <w:rsid w:val="00B46B32"/>
    <w:rsid w:val="00B473FC"/>
    <w:rsid w:val="00B503F7"/>
    <w:rsid w:val="00B51DD6"/>
    <w:rsid w:val="00B52968"/>
    <w:rsid w:val="00B537A0"/>
    <w:rsid w:val="00B5446D"/>
    <w:rsid w:val="00B54D60"/>
    <w:rsid w:val="00B54E3F"/>
    <w:rsid w:val="00B602F0"/>
    <w:rsid w:val="00B6208E"/>
    <w:rsid w:val="00B65163"/>
    <w:rsid w:val="00B65BC1"/>
    <w:rsid w:val="00B709EB"/>
    <w:rsid w:val="00B717EC"/>
    <w:rsid w:val="00B74DE4"/>
    <w:rsid w:val="00B76FC4"/>
    <w:rsid w:val="00B81DD2"/>
    <w:rsid w:val="00B82702"/>
    <w:rsid w:val="00B85652"/>
    <w:rsid w:val="00B91EEC"/>
    <w:rsid w:val="00B93117"/>
    <w:rsid w:val="00B94D55"/>
    <w:rsid w:val="00B976D6"/>
    <w:rsid w:val="00BA0AE5"/>
    <w:rsid w:val="00BA7D0B"/>
    <w:rsid w:val="00BA7EC3"/>
    <w:rsid w:val="00BB03F2"/>
    <w:rsid w:val="00BB0BE8"/>
    <w:rsid w:val="00BB2679"/>
    <w:rsid w:val="00BB32C1"/>
    <w:rsid w:val="00BB6B80"/>
    <w:rsid w:val="00BB7FCD"/>
    <w:rsid w:val="00BC180C"/>
    <w:rsid w:val="00BC1BC4"/>
    <w:rsid w:val="00BC255C"/>
    <w:rsid w:val="00BC5DBC"/>
    <w:rsid w:val="00BC65BF"/>
    <w:rsid w:val="00BC729A"/>
    <w:rsid w:val="00BD00C3"/>
    <w:rsid w:val="00BD576F"/>
    <w:rsid w:val="00BD6071"/>
    <w:rsid w:val="00BD612E"/>
    <w:rsid w:val="00BD6FFA"/>
    <w:rsid w:val="00BD7695"/>
    <w:rsid w:val="00BE3EA5"/>
    <w:rsid w:val="00BF1D02"/>
    <w:rsid w:val="00BF564A"/>
    <w:rsid w:val="00BF5FAF"/>
    <w:rsid w:val="00BF6A22"/>
    <w:rsid w:val="00BF6B06"/>
    <w:rsid w:val="00BF789D"/>
    <w:rsid w:val="00C0213D"/>
    <w:rsid w:val="00C04F40"/>
    <w:rsid w:val="00C074C6"/>
    <w:rsid w:val="00C117A5"/>
    <w:rsid w:val="00C11860"/>
    <w:rsid w:val="00C20394"/>
    <w:rsid w:val="00C20A79"/>
    <w:rsid w:val="00C23C6E"/>
    <w:rsid w:val="00C23F5B"/>
    <w:rsid w:val="00C25683"/>
    <w:rsid w:val="00C436FC"/>
    <w:rsid w:val="00C44839"/>
    <w:rsid w:val="00C47011"/>
    <w:rsid w:val="00C477FB"/>
    <w:rsid w:val="00C5008A"/>
    <w:rsid w:val="00C52CC8"/>
    <w:rsid w:val="00C54FFB"/>
    <w:rsid w:val="00C552F6"/>
    <w:rsid w:val="00C55381"/>
    <w:rsid w:val="00C55B1C"/>
    <w:rsid w:val="00C57387"/>
    <w:rsid w:val="00C5775E"/>
    <w:rsid w:val="00C61D9D"/>
    <w:rsid w:val="00C62232"/>
    <w:rsid w:val="00C674F7"/>
    <w:rsid w:val="00C71483"/>
    <w:rsid w:val="00C73A29"/>
    <w:rsid w:val="00C75AE4"/>
    <w:rsid w:val="00C777E8"/>
    <w:rsid w:val="00C80632"/>
    <w:rsid w:val="00C81CF7"/>
    <w:rsid w:val="00C83B30"/>
    <w:rsid w:val="00C91198"/>
    <w:rsid w:val="00C913B2"/>
    <w:rsid w:val="00C922F4"/>
    <w:rsid w:val="00C93858"/>
    <w:rsid w:val="00C9463F"/>
    <w:rsid w:val="00C94E72"/>
    <w:rsid w:val="00C964C8"/>
    <w:rsid w:val="00CA0ADF"/>
    <w:rsid w:val="00CA14D0"/>
    <w:rsid w:val="00CA36E7"/>
    <w:rsid w:val="00CA553A"/>
    <w:rsid w:val="00CB066A"/>
    <w:rsid w:val="00CB483C"/>
    <w:rsid w:val="00CB4F9A"/>
    <w:rsid w:val="00CB5C8A"/>
    <w:rsid w:val="00CC15F0"/>
    <w:rsid w:val="00CC64C5"/>
    <w:rsid w:val="00CD072A"/>
    <w:rsid w:val="00CD26ED"/>
    <w:rsid w:val="00CD4EE4"/>
    <w:rsid w:val="00CE17FF"/>
    <w:rsid w:val="00CE3522"/>
    <w:rsid w:val="00CE35D8"/>
    <w:rsid w:val="00CE3F0C"/>
    <w:rsid w:val="00CF3181"/>
    <w:rsid w:val="00CF44F7"/>
    <w:rsid w:val="00CF62AD"/>
    <w:rsid w:val="00CF62EF"/>
    <w:rsid w:val="00D03364"/>
    <w:rsid w:val="00D036F8"/>
    <w:rsid w:val="00D04767"/>
    <w:rsid w:val="00D17117"/>
    <w:rsid w:val="00D20C7B"/>
    <w:rsid w:val="00D274BE"/>
    <w:rsid w:val="00D3178E"/>
    <w:rsid w:val="00D332B9"/>
    <w:rsid w:val="00D35F22"/>
    <w:rsid w:val="00D41654"/>
    <w:rsid w:val="00D44B9C"/>
    <w:rsid w:val="00D44D62"/>
    <w:rsid w:val="00D5305E"/>
    <w:rsid w:val="00D565D4"/>
    <w:rsid w:val="00D64474"/>
    <w:rsid w:val="00D646FA"/>
    <w:rsid w:val="00D650E1"/>
    <w:rsid w:val="00D657F2"/>
    <w:rsid w:val="00D65C0C"/>
    <w:rsid w:val="00D72A20"/>
    <w:rsid w:val="00D767EF"/>
    <w:rsid w:val="00D8199B"/>
    <w:rsid w:val="00D84173"/>
    <w:rsid w:val="00D853FA"/>
    <w:rsid w:val="00D90BE5"/>
    <w:rsid w:val="00D915D3"/>
    <w:rsid w:val="00D91FA5"/>
    <w:rsid w:val="00D9543A"/>
    <w:rsid w:val="00D95A70"/>
    <w:rsid w:val="00D96380"/>
    <w:rsid w:val="00D96B63"/>
    <w:rsid w:val="00DA0960"/>
    <w:rsid w:val="00DA2954"/>
    <w:rsid w:val="00DA3834"/>
    <w:rsid w:val="00DA43A0"/>
    <w:rsid w:val="00DA5403"/>
    <w:rsid w:val="00DA6340"/>
    <w:rsid w:val="00DA6440"/>
    <w:rsid w:val="00DB07DD"/>
    <w:rsid w:val="00DB0EE3"/>
    <w:rsid w:val="00DB16FC"/>
    <w:rsid w:val="00DB332F"/>
    <w:rsid w:val="00DB558C"/>
    <w:rsid w:val="00DC59F7"/>
    <w:rsid w:val="00DC79FD"/>
    <w:rsid w:val="00DD1D1B"/>
    <w:rsid w:val="00DD3C6F"/>
    <w:rsid w:val="00DE1338"/>
    <w:rsid w:val="00DE1599"/>
    <w:rsid w:val="00DE2C9C"/>
    <w:rsid w:val="00DE66E7"/>
    <w:rsid w:val="00DE6A71"/>
    <w:rsid w:val="00DE789A"/>
    <w:rsid w:val="00DF03E0"/>
    <w:rsid w:val="00DF0EB3"/>
    <w:rsid w:val="00DF105C"/>
    <w:rsid w:val="00DF2054"/>
    <w:rsid w:val="00DF2FD7"/>
    <w:rsid w:val="00DF3F31"/>
    <w:rsid w:val="00DF40F0"/>
    <w:rsid w:val="00DF501C"/>
    <w:rsid w:val="00DF5A88"/>
    <w:rsid w:val="00DF69E5"/>
    <w:rsid w:val="00DF6FB4"/>
    <w:rsid w:val="00E07524"/>
    <w:rsid w:val="00E07B0F"/>
    <w:rsid w:val="00E15500"/>
    <w:rsid w:val="00E15707"/>
    <w:rsid w:val="00E16241"/>
    <w:rsid w:val="00E16EE8"/>
    <w:rsid w:val="00E219CA"/>
    <w:rsid w:val="00E21F58"/>
    <w:rsid w:val="00E24D9C"/>
    <w:rsid w:val="00E24E9A"/>
    <w:rsid w:val="00E2505E"/>
    <w:rsid w:val="00E278BE"/>
    <w:rsid w:val="00E27FD0"/>
    <w:rsid w:val="00E32FA9"/>
    <w:rsid w:val="00E335DC"/>
    <w:rsid w:val="00E41035"/>
    <w:rsid w:val="00E45576"/>
    <w:rsid w:val="00E46244"/>
    <w:rsid w:val="00E46636"/>
    <w:rsid w:val="00E5060E"/>
    <w:rsid w:val="00E52048"/>
    <w:rsid w:val="00E52634"/>
    <w:rsid w:val="00E5293C"/>
    <w:rsid w:val="00E53862"/>
    <w:rsid w:val="00E6240A"/>
    <w:rsid w:val="00E6260F"/>
    <w:rsid w:val="00E63C17"/>
    <w:rsid w:val="00E63D63"/>
    <w:rsid w:val="00E64496"/>
    <w:rsid w:val="00E661DE"/>
    <w:rsid w:val="00E67A3E"/>
    <w:rsid w:val="00E67DAD"/>
    <w:rsid w:val="00E730A2"/>
    <w:rsid w:val="00E812CA"/>
    <w:rsid w:val="00E83491"/>
    <w:rsid w:val="00E8386A"/>
    <w:rsid w:val="00E83DDE"/>
    <w:rsid w:val="00E86233"/>
    <w:rsid w:val="00E864AC"/>
    <w:rsid w:val="00E873C2"/>
    <w:rsid w:val="00E9541B"/>
    <w:rsid w:val="00E97032"/>
    <w:rsid w:val="00E9719F"/>
    <w:rsid w:val="00E97BF3"/>
    <w:rsid w:val="00E97D56"/>
    <w:rsid w:val="00EA0238"/>
    <w:rsid w:val="00EA4B88"/>
    <w:rsid w:val="00EA4CED"/>
    <w:rsid w:val="00EB0985"/>
    <w:rsid w:val="00EB2BB9"/>
    <w:rsid w:val="00EB68C2"/>
    <w:rsid w:val="00EB7A63"/>
    <w:rsid w:val="00EC3842"/>
    <w:rsid w:val="00ED3B9D"/>
    <w:rsid w:val="00ED4AC6"/>
    <w:rsid w:val="00ED701E"/>
    <w:rsid w:val="00EE4910"/>
    <w:rsid w:val="00EE5880"/>
    <w:rsid w:val="00EE5B2E"/>
    <w:rsid w:val="00EE67BD"/>
    <w:rsid w:val="00EF1492"/>
    <w:rsid w:val="00EF1CEC"/>
    <w:rsid w:val="00EF7112"/>
    <w:rsid w:val="00F01729"/>
    <w:rsid w:val="00F035FE"/>
    <w:rsid w:val="00F07754"/>
    <w:rsid w:val="00F1192D"/>
    <w:rsid w:val="00F125FB"/>
    <w:rsid w:val="00F20625"/>
    <w:rsid w:val="00F20DEB"/>
    <w:rsid w:val="00F24E8D"/>
    <w:rsid w:val="00F27AF3"/>
    <w:rsid w:val="00F31BC9"/>
    <w:rsid w:val="00F32A6D"/>
    <w:rsid w:val="00F32FB8"/>
    <w:rsid w:val="00F3542D"/>
    <w:rsid w:val="00F36F8A"/>
    <w:rsid w:val="00F406B8"/>
    <w:rsid w:val="00F40C6B"/>
    <w:rsid w:val="00F4238B"/>
    <w:rsid w:val="00F43328"/>
    <w:rsid w:val="00F455DD"/>
    <w:rsid w:val="00F47AD9"/>
    <w:rsid w:val="00F50413"/>
    <w:rsid w:val="00F50695"/>
    <w:rsid w:val="00F51729"/>
    <w:rsid w:val="00F5767E"/>
    <w:rsid w:val="00F57ADB"/>
    <w:rsid w:val="00F6234F"/>
    <w:rsid w:val="00F625D4"/>
    <w:rsid w:val="00F65CCF"/>
    <w:rsid w:val="00F65CF0"/>
    <w:rsid w:val="00F70036"/>
    <w:rsid w:val="00F7039A"/>
    <w:rsid w:val="00F717E1"/>
    <w:rsid w:val="00F7341D"/>
    <w:rsid w:val="00F73666"/>
    <w:rsid w:val="00F73CFF"/>
    <w:rsid w:val="00F74D69"/>
    <w:rsid w:val="00F76950"/>
    <w:rsid w:val="00F77416"/>
    <w:rsid w:val="00F826E3"/>
    <w:rsid w:val="00F84764"/>
    <w:rsid w:val="00F851BF"/>
    <w:rsid w:val="00F86641"/>
    <w:rsid w:val="00F9074E"/>
    <w:rsid w:val="00F925AA"/>
    <w:rsid w:val="00F92B63"/>
    <w:rsid w:val="00F937FC"/>
    <w:rsid w:val="00F94A5A"/>
    <w:rsid w:val="00F95A48"/>
    <w:rsid w:val="00FA0EC1"/>
    <w:rsid w:val="00FC2DAC"/>
    <w:rsid w:val="00FC5A14"/>
    <w:rsid w:val="00FC79EF"/>
    <w:rsid w:val="00FD046D"/>
    <w:rsid w:val="00FD0B1B"/>
    <w:rsid w:val="00FD18AF"/>
    <w:rsid w:val="00FD495C"/>
    <w:rsid w:val="00FD710D"/>
    <w:rsid w:val="00FE02FD"/>
    <w:rsid w:val="00FE1C05"/>
    <w:rsid w:val="00FE1FE5"/>
    <w:rsid w:val="00FE3E46"/>
    <w:rsid w:val="00FE4293"/>
    <w:rsid w:val="00FE493A"/>
    <w:rsid w:val="00FE5CEE"/>
    <w:rsid w:val="00FE68B6"/>
    <w:rsid w:val="00FF1D97"/>
    <w:rsid w:val="00FF6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2" type="connector" idref="#_x0000_s1040"/>
      </o:rules>
    </o:shapelayout>
  </w:shapeDefaults>
  <w:decimalSymbol w:val=","/>
  <w:listSeparator w:val=","/>
  <w14:docId w14:val="7C077261"/>
  <w15:docId w15:val="{8308846C-2538-4E6D-A706-8DE64121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89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D3178E"/>
    <w:pPr>
      <w:spacing w:before="100" w:beforeAutospacing="1" w:after="100" w:afterAutospacing="1"/>
      <w:outlineLvl w:val="1"/>
    </w:pPr>
    <w:rPr>
      <w:b/>
      <w:bCs/>
      <w:sz w:val="36"/>
      <w:szCs w:val="36"/>
    </w:rPr>
  </w:style>
  <w:style w:type="paragraph" w:styleId="Heading7">
    <w:name w:val="heading 7"/>
    <w:basedOn w:val="Normal"/>
    <w:next w:val="Normal"/>
    <w:link w:val="Heading7Char"/>
    <w:uiPriority w:val="9"/>
    <w:semiHidden/>
    <w:unhideWhenUsed/>
    <w:qFormat/>
    <w:rsid w:val="000D299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8269A"/>
    <w:pPr>
      <w:widowControl w:val="0"/>
      <w:jc w:val="both"/>
    </w:pPr>
    <w:rPr>
      <w:rFonts w:ascii=".VnTime" w:hAnsi=".VnTime"/>
      <w:i/>
      <w:sz w:val="26"/>
      <w:szCs w:val="20"/>
    </w:rPr>
  </w:style>
  <w:style w:type="character" w:customStyle="1" w:styleId="BodyTextChar">
    <w:name w:val="Body Text Char"/>
    <w:basedOn w:val="DefaultParagraphFont"/>
    <w:link w:val="BodyText"/>
    <w:rsid w:val="0098269A"/>
    <w:rPr>
      <w:rFonts w:ascii=".VnTime" w:eastAsia="Times New Roman" w:hAnsi=".VnTime" w:cs="Times New Roman"/>
      <w:i/>
      <w:sz w:val="26"/>
      <w:szCs w:val="20"/>
    </w:rPr>
  </w:style>
  <w:style w:type="paragraph" w:styleId="Footer">
    <w:name w:val="footer"/>
    <w:basedOn w:val="Normal"/>
    <w:link w:val="FooterChar"/>
    <w:uiPriority w:val="99"/>
    <w:unhideWhenUsed/>
    <w:rsid w:val="0098269A"/>
    <w:pPr>
      <w:tabs>
        <w:tab w:val="center" w:pos="4513"/>
        <w:tab w:val="right" w:pos="9026"/>
      </w:tabs>
    </w:pPr>
  </w:style>
  <w:style w:type="character" w:customStyle="1" w:styleId="FooterChar">
    <w:name w:val="Footer Char"/>
    <w:basedOn w:val="DefaultParagraphFont"/>
    <w:link w:val="Footer"/>
    <w:uiPriority w:val="99"/>
    <w:rsid w:val="0098269A"/>
    <w:rPr>
      <w:rFonts w:ascii="Times New Roman" w:eastAsia="Times New Roman" w:hAnsi="Times New Roman" w:cs="Times New Roman"/>
      <w:sz w:val="24"/>
      <w:szCs w:val="24"/>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Normal (Web) Char Char, Char Char25,Char Char25,Char Char"/>
    <w:basedOn w:val="Normal"/>
    <w:link w:val="NormalWebChar"/>
    <w:uiPriority w:val="99"/>
    <w:unhideWhenUsed/>
    <w:qFormat/>
    <w:rsid w:val="0098269A"/>
    <w:pPr>
      <w:spacing w:before="100" w:beforeAutospacing="1" w:after="100" w:afterAutospacing="1"/>
    </w:pPr>
    <w:rPr>
      <w:lang w:val="vi-VN" w:eastAsia="vi-VN"/>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uiPriority w:val="99"/>
    <w:unhideWhenUsed/>
    <w:qFormat/>
    <w:rsid w:val="0098269A"/>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uiPriority w:val="99"/>
    <w:qFormat/>
    <w:rsid w:val="0098269A"/>
    <w:rPr>
      <w:rFonts w:ascii="Times New Roman" w:eastAsia="Times New Roman" w:hAnsi="Times New Roman" w:cs="Times New Roman"/>
      <w:sz w:val="20"/>
      <w:szCs w:val="20"/>
    </w:rPr>
  </w:style>
  <w:style w:type="character" w:styleId="FootnoteReference">
    <w:name w:val="footnote reference"/>
    <w:aliases w:val="Footnote,Footnote dich,Footnote text,ftref,Footnote text + 13 pt,Ref,de nota al pie,BearingPoint,BVI fnr,16 Point,Superscript 6 Point,fr,Footnote Text1,Footnote + Arial,10 pt,Footnote Text11,(NECG) Footnote Reference, BVI fnr,Black,R"/>
    <w:basedOn w:val="DefaultParagraphFont"/>
    <w:link w:val="CarattereCarattereCharCharCharCharCharCharZchn"/>
    <w:uiPriority w:val="99"/>
    <w:unhideWhenUsed/>
    <w:qFormat/>
    <w:rsid w:val="0098269A"/>
    <w:rPr>
      <w:vertAlign w:val="superscript"/>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Char Char25 Char"/>
    <w:link w:val="NormalWeb"/>
    <w:uiPriority w:val="99"/>
    <w:locked/>
    <w:rsid w:val="0098269A"/>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98269A"/>
    <w:rPr>
      <w:i/>
      <w:iCs/>
    </w:rPr>
  </w:style>
  <w:style w:type="character" w:styleId="Strong">
    <w:name w:val="Strong"/>
    <w:basedOn w:val="DefaultParagraphFont"/>
    <w:uiPriority w:val="22"/>
    <w:qFormat/>
    <w:rsid w:val="0098269A"/>
    <w:rPr>
      <w:b/>
      <w:bCs/>
    </w:rPr>
  </w:style>
  <w:style w:type="paragraph" w:styleId="EndnoteText">
    <w:name w:val="endnote text"/>
    <w:basedOn w:val="Normal"/>
    <w:link w:val="EndnoteTextChar"/>
    <w:uiPriority w:val="99"/>
    <w:rsid w:val="0098269A"/>
    <w:pPr>
      <w:suppressAutoHyphens/>
    </w:pPr>
    <w:rPr>
      <w:sz w:val="20"/>
      <w:szCs w:val="20"/>
      <w:lang w:eastAsia="ar-SA"/>
    </w:rPr>
  </w:style>
  <w:style w:type="character" w:customStyle="1" w:styleId="EndnoteTextChar">
    <w:name w:val="Endnote Text Char"/>
    <w:basedOn w:val="DefaultParagraphFont"/>
    <w:link w:val="EndnoteText"/>
    <w:uiPriority w:val="99"/>
    <w:rsid w:val="0098269A"/>
    <w:rPr>
      <w:rFonts w:ascii="Times New Roman" w:eastAsia="Times New Roman" w:hAnsi="Times New Roman" w:cs="Times New Roman"/>
      <w:sz w:val="20"/>
      <w:szCs w:val="20"/>
      <w:lang w:eastAsia="ar-SA"/>
    </w:rPr>
  </w:style>
  <w:style w:type="paragraph" w:styleId="ListParagraph">
    <w:name w:val="List Paragraph"/>
    <w:basedOn w:val="Normal"/>
    <w:uiPriority w:val="34"/>
    <w:qFormat/>
    <w:rsid w:val="004C7822"/>
    <w:pPr>
      <w:ind w:left="720"/>
      <w:contextualSpacing/>
    </w:p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autoRedefine/>
    <w:uiPriority w:val="99"/>
    <w:qFormat/>
    <w:rsid w:val="005E074D"/>
    <w:pPr>
      <w:spacing w:after="160" w:line="240" w:lineRule="exact"/>
    </w:pPr>
    <w:rPr>
      <w:rFonts w:asciiTheme="minorHAnsi" w:eastAsiaTheme="minorHAnsi" w:hAnsiTheme="minorHAnsi" w:cstheme="minorBidi"/>
      <w:sz w:val="22"/>
      <w:szCs w:val="22"/>
      <w:vertAlign w:val="superscript"/>
    </w:rPr>
  </w:style>
  <w:style w:type="table" w:styleId="TableGrid">
    <w:name w:val="Table Grid"/>
    <w:basedOn w:val="TableNormal"/>
    <w:rsid w:val="0035094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35094B"/>
    <w:pPr>
      <w:spacing w:before="100" w:line="240" w:lineRule="exact"/>
    </w:pPr>
    <w:rPr>
      <w:rFonts w:asciiTheme="minorHAnsi" w:eastAsiaTheme="minorHAnsi" w:hAnsiTheme="minorHAnsi" w:cstheme="minorBidi"/>
      <w:sz w:val="22"/>
      <w:szCs w:val="22"/>
      <w:vertAlign w:val="superscript"/>
      <w:lang w:val="vi-VN"/>
    </w:rPr>
  </w:style>
  <w:style w:type="character" w:styleId="Hyperlink">
    <w:name w:val="Hyperlink"/>
    <w:basedOn w:val="DefaultParagraphFont"/>
    <w:uiPriority w:val="99"/>
    <w:unhideWhenUsed/>
    <w:rsid w:val="0004601F"/>
    <w:rPr>
      <w:color w:val="0000FF"/>
      <w:u w:val="single"/>
    </w:rPr>
  </w:style>
  <w:style w:type="character" w:customStyle="1" w:styleId="Heading2Char">
    <w:name w:val="Heading 2 Char"/>
    <w:basedOn w:val="DefaultParagraphFont"/>
    <w:link w:val="Heading2"/>
    <w:uiPriority w:val="9"/>
    <w:rsid w:val="00D3178E"/>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C2BF5"/>
    <w:pPr>
      <w:tabs>
        <w:tab w:val="center" w:pos="4680"/>
        <w:tab w:val="right" w:pos="9360"/>
      </w:tabs>
    </w:pPr>
  </w:style>
  <w:style w:type="character" w:customStyle="1" w:styleId="HeaderChar">
    <w:name w:val="Header Char"/>
    <w:basedOn w:val="DefaultParagraphFont"/>
    <w:link w:val="Header"/>
    <w:uiPriority w:val="99"/>
    <w:rsid w:val="003C2BF5"/>
    <w:rPr>
      <w:rFonts w:ascii="Times New Roman" w:eastAsia="Times New Roman" w:hAnsi="Times New Roman" w:cs="Times New Roman"/>
      <w:sz w:val="24"/>
      <w:szCs w:val="24"/>
    </w:rPr>
  </w:style>
  <w:style w:type="paragraph" w:styleId="BodyText3">
    <w:name w:val="Body Text 3"/>
    <w:basedOn w:val="Normal"/>
    <w:link w:val="BodyText3Char"/>
    <w:rsid w:val="005828E7"/>
    <w:pPr>
      <w:spacing w:after="120"/>
    </w:pPr>
    <w:rPr>
      <w:sz w:val="16"/>
      <w:szCs w:val="16"/>
    </w:rPr>
  </w:style>
  <w:style w:type="character" w:customStyle="1" w:styleId="BodyText3Char">
    <w:name w:val="Body Text 3 Char"/>
    <w:basedOn w:val="DefaultParagraphFont"/>
    <w:link w:val="BodyText3"/>
    <w:rsid w:val="005828E7"/>
    <w:rPr>
      <w:rFonts w:ascii="Times New Roman" w:eastAsia="Times New Roman" w:hAnsi="Times New Roman" w:cs="Times New Roman"/>
      <w:sz w:val="16"/>
      <w:szCs w:val="16"/>
    </w:rPr>
  </w:style>
  <w:style w:type="character" w:customStyle="1" w:styleId="bumpedfont15">
    <w:name w:val="bumpedfont15"/>
    <w:basedOn w:val="DefaultParagraphFont"/>
    <w:rsid w:val="00C436FC"/>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9A5403"/>
    <w:pPr>
      <w:spacing w:after="160" w:line="240" w:lineRule="exact"/>
    </w:pPr>
    <w:rPr>
      <w:rFonts w:asciiTheme="minorHAnsi" w:hAnsiTheme="minorHAnsi" w:cstheme="minorBidi"/>
      <w:sz w:val="22"/>
      <w:szCs w:val="22"/>
      <w:vertAlign w:val="superscript"/>
    </w:rPr>
  </w:style>
  <w:style w:type="paragraph" w:styleId="BodyTextIndent">
    <w:name w:val="Body Text Indent"/>
    <w:basedOn w:val="Normal"/>
    <w:link w:val="BodyTextIndentChar"/>
    <w:uiPriority w:val="99"/>
    <w:semiHidden/>
    <w:unhideWhenUsed/>
    <w:rsid w:val="00A875A9"/>
    <w:pPr>
      <w:spacing w:after="120"/>
      <w:ind w:left="283"/>
    </w:pPr>
  </w:style>
  <w:style w:type="character" w:customStyle="1" w:styleId="BodyTextIndentChar">
    <w:name w:val="Body Text Indent Char"/>
    <w:basedOn w:val="DefaultParagraphFont"/>
    <w:link w:val="BodyTextIndent"/>
    <w:uiPriority w:val="99"/>
    <w:semiHidden/>
    <w:rsid w:val="00A875A9"/>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FC5A14"/>
    <w:pPr>
      <w:spacing w:after="120" w:line="480" w:lineRule="auto"/>
    </w:pPr>
  </w:style>
  <w:style w:type="character" w:customStyle="1" w:styleId="BodyText2Char">
    <w:name w:val="Body Text 2 Char"/>
    <w:basedOn w:val="DefaultParagraphFont"/>
    <w:link w:val="BodyText2"/>
    <w:uiPriority w:val="99"/>
    <w:semiHidden/>
    <w:rsid w:val="00FC5A14"/>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0D2994"/>
    <w:rPr>
      <w:rFonts w:asciiTheme="majorHAnsi" w:eastAsiaTheme="majorEastAsia" w:hAnsiTheme="majorHAnsi" w:cstheme="majorBidi"/>
      <w:i/>
      <w:iCs/>
      <w:color w:val="404040" w:themeColor="text1" w:themeTint="BF"/>
      <w:sz w:val="24"/>
      <w:szCs w:val="24"/>
    </w:rPr>
  </w:style>
  <w:style w:type="character" w:styleId="CommentReference">
    <w:name w:val="annotation reference"/>
    <w:basedOn w:val="DefaultParagraphFont"/>
    <w:uiPriority w:val="99"/>
    <w:semiHidden/>
    <w:unhideWhenUsed/>
    <w:rsid w:val="009D450F"/>
    <w:rPr>
      <w:sz w:val="16"/>
      <w:szCs w:val="16"/>
    </w:rPr>
  </w:style>
  <w:style w:type="paragraph" w:styleId="CommentText">
    <w:name w:val="annotation text"/>
    <w:basedOn w:val="Normal"/>
    <w:link w:val="CommentTextChar"/>
    <w:uiPriority w:val="99"/>
    <w:unhideWhenUsed/>
    <w:rsid w:val="009D450F"/>
    <w:rPr>
      <w:sz w:val="20"/>
      <w:szCs w:val="20"/>
    </w:rPr>
  </w:style>
  <w:style w:type="character" w:customStyle="1" w:styleId="CommentTextChar">
    <w:name w:val="Comment Text Char"/>
    <w:basedOn w:val="DefaultParagraphFont"/>
    <w:link w:val="CommentText"/>
    <w:uiPriority w:val="99"/>
    <w:rsid w:val="009D45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450F"/>
    <w:rPr>
      <w:b/>
      <w:bCs/>
    </w:rPr>
  </w:style>
  <w:style w:type="character" w:customStyle="1" w:styleId="CommentSubjectChar">
    <w:name w:val="Comment Subject Char"/>
    <w:basedOn w:val="CommentTextChar"/>
    <w:link w:val="CommentSubject"/>
    <w:uiPriority w:val="99"/>
    <w:semiHidden/>
    <w:rsid w:val="009D450F"/>
    <w:rPr>
      <w:rFonts w:ascii="Times New Roman" w:eastAsia="Times New Roman" w:hAnsi="Times New Roman" w:cs="Times New Roman"/>
      <w:b/>
      <w:bCs/>
      <w:sz w:val="20"/>
      <w:szCs w:val="20"/>
    </w:rPr>
  </w:style>
  <w:style w:type="paragraph" w:styleId="PlainText">
    <w:name w:val="Plain Text"/>
    <w:basedOn w:val="Normal"/>
    <w:link w:val="PlainTextChar"/>
    <w:uiPriority w:val="99"/>
    <w:unhideWhenUsed/>
    <w:rsid w:val="0072157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2157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2124">
      <w:bodyDiv w:val="1"/>
      <w:marLeft w:val="0"/>
      <w:marRight w:val="0"/>
      <w:marTop w:val="0"/>
      <w:marBottom w:val="0"/>
      <w:divBdr>
        <w:top w:val="none" w:sz="0" w:space="0" w:color="auto"/>
        <w:left w:val="none" w:sz="0" w:space="0" w:color="auto"/>
        <w:bottom w:val="none" w:sz="0" w:space="0" w:color="auto"/>
        <w:right w:val="none" w:sz="0" w:space="0" w:color="auto"/>
      </w:divBdr>
    </w:div>
    <w:div w:id="60713255">
      <w:bodyDiv w:val="1"/>
      <w:marLeft w:val="0"/>
      <w:marRight w:val="0"/>
      <w:marTop w:val="0"/>
      <w:marBottom w:val="0"/>
      <w:divBdr>
        <w:top w:val="none" w:sz="0" w:space="0" w:color="auto"/>
        <w:left w:val="none" w:sz="0" w:space="0" w:color="auto"/>
        <w:bottom w:val="none" w:sz="0" w:space="0" w:color="auto"/>
        <w:right w:val="none" w:sz="0" w:space="0" w:color="auto"/>
      </w:divBdr>
    </w:div>
    <w:div w:id="74137363">
      <w:bodyDiv w:val="1"/>
      <w:marLeft w:val="0"/>
      <w:marRight w:val="0"/>
      <w:marTop w:val="0"/>
      <w:marBottom w:val="0"/>
      <w:divBdr>
        <w:top w:val="none" w:sz="0" w:space="0" w:color="auto"/>
        <w:left w:val="none" w:sz="0" w:space="0" w:color="auto"/>
        <w:bottom w:val="none" w:sz="0" w:space="0" w:color="auto"/>
        <w:right w:val="none" w:sz="0" w:space="0" w:color="auto"/>
      </w:divBdr>
    </w:div>
    <w:div w:id="197663681">
      <w:bodyDiv w:val="1"/>
      <w:marLeft w:val="0"/>
      <w:marRight w:val="0"/>
      <w:marTop w:val="0"/>
      <w:marBottom w:val="0"/>
      <w:divBdr>
        <w:top w:val="none" w:sz="0" w:space="0" w:color="auto"/>
        <w:left w:val="none" w:sz="0" w:space="0" w:color="auto"/>
        <w:bottom w:val="none" w:sz="0" w:space="0" w:color="auto"/>
        <w:right w:val="none" w:sz="0" w:space="0" w:color="auto"/>
      </w:divBdr>
    </w:div>
    <w:div w:id="330912096">
      <w:bodyDiv w:val="1"/>
      <w:marLeft w:val="0"/>
      <w:marRight w:val="0"/>
      <w:marTop w:val="0"/>
      <w:marBottom w:val="0"/>
      <w:divBdr>
        <w:top w:val="none" w:sz="0" w:space="0" w:color="auto"/>
        <w:left w:val="none" w:sz="0" w:space="0" w:color="auto"/>
        <w:bottom w:val="none" w:sz="0" w:space="0" w:color="auto"/>
        <w:right w:val="none" w:sz="0" w:space="0" w:color="auto"/>
      </w:divBdr>
    </w:div>
    <w:div w:id="435911066">
      <w:bodyDiv w:val="1"/>
      <w:marLeft w:val="0"/>
      <w:marRight w:val="0"/>
      <w:marTop w:val="0"/>
      <w:marBottom w:val="0"/>
      <w:divBdr>
        <w:top w:val="none" w:sz="0" w:space="0" w:color="auto"/>
        <w:left w:val="none" w:sz="0" w:space="0" w:color="auto"/>
        <w:bottom w:val="none" w:sz="0" w:space="0" w:color="auto"/>
        <w:right w:val="none" w:sz="0" w:space="0" w:color="auto"/>
      </w:divBdr>
    </w:div>
    <w:div w:id="456992492">
      <w:bodyDiv w:val="1"/>
      <w:marLeft w:val="0"/>
      <w:marRight w:val="0"/>
      <w:marTop w:val="0"/>
      <w:marBottom w:val="0"/>
      <w:divBdr>
        <w:top w:val="none" w:sz="0" w:space="0" w:color="auto"/>
        <w:left w:val="none" w:sz="0" w:space="0" w:color="auto"/>
        <w:bottom w:val="none" w:sz="0" w:space="0" w:color="auto"/>
        <w:right w:val="none" w:sz="0" w:space="0" w:color="auto"/>
      </w:divBdr>
    </w:div>
    <w:div w:id="474225536">
      <w:bodyDiv w:val="1"/>
      <w:marLeft w:val="0"/>
      <w:marRight w:val="0"/>
      <w:marTop w:val="0"/>
      <w:marBottom w:val="0"/>
      <w:divBdr>
        <w:top w:val="none" w:sz="0" w:space="0" w:color="auto"/>
        <w:left w:val="none" w:sz="0" w:space="0" w:color="auto"/>
        <w:bottom w:val="none" w:sz="0" w:space="0" w:color="auto"/>
        <w:right w:val="none" w:sz="0" w:space="0" w:color="auto"/>
      </w:divBdr>
    </w:div>
    <w:div w:id="761949555">
      <w:bodyDiv w:val="1"/>
      <w:marLeft w:val="0"/>
      <w:marRight w:val="0"/>
      <w:marTop w:val="0"/>
      <w:marBottom w:val="0"/>
      <w:divBdr>
        <w:top w:val="none" w:sz="0" w:space="0" w:color="auto"/>
        <w:left w:val="none" w:sz="0" w:space="0" w:color="auto"/>
        <w:bottom w:val="none" w:sz="0" w:space="0" w:color="auto"/>
        <w:right w:val="none" w:sz="0" w:space="0" w:color="auto"/>
      </w:divBdr>
    </w:div>
    <w:div w:id="935940880">
      <w:bodyDiv w:val="1"/>
      <w:marLeft w:val="0"/>
      <w:marRight w:val="0"/>
      <w:marTop w:val="0"/>
      <w:marBottom w:val="0"/>
      <w:divBdr>
        <w:top w:val="none" w:sz="0" w:space="0" w:color="auto"/>
        <w:left w:val="none" w:sz="0" w:space="0" w:color="auto"/>
        <w:bottom w:val="none" w:sz="0" w:space="0" w:color="auto"/>
        <w:right w:val="none" w:sz="0" w:space="0" w:color="auto"/>
      </w:divBdr>
    </w:div>
    <w:div w:id="994187241">
      <w:bodyDiv w:val="1"/>
      <w:marLeft w:val="0"/>
      <w:marRight w:val="0"/>
      <w:marTop w:val="0"/>
      <w:marBottom w:val="0"/>
      <w:divBdr>
        <w:top w:val="none" w:sz="0" w:space="0" w:color="auto"/>
        <w:left w:val="none" w:sz="0" w:space="0" w:color="auto"/>
        <w:bottom w:val="none" w:sz="0" w:space="0" w:color="auto"/>
        <w:right w:val="none" w:sz="0" w:space="0" w:color="auto"/>
      </w:divBdr>
    </w:div>
    <w:div w:id="996762711">
      <w:bodyDiv w:val="1"/>
      <w:marLeft w:val="0"/>
      <w:marRight w:val="0"/>
      <w:marTop w:val="0"/>
      <w:marBottom w:val="0"/>
      <w:divBdr>
        <w:top w:val="none" w:sz="0" w:space="0" w:color="auto"/>
        <w:left w:val="none" w:sz="0" w:space="0" w:color="auto"/>
        <w:bottom w:val="none" w:sz="0" w:space="0" w:color="auto"/>
        <w:right w:val="none" w:sz="0" w:space="0" w:color="auto"/>
      </w:divBdr>
    </w:div>
    <w:div w:id="1034963921">
      <w:bodyDiv w:val="1"/>
      <w:marLeft w:val="0"/>
      <w:marRight w:val="0"/>
      <w:marTop w:val="0"/>
      <w:marBottom w:val="0"/>
      <w:divBdr>
        <w:top w:val="none" w:sz="0" w:space="0" w:color="auto"/>
        <w:left w:val="none" w:sz="0" w:space="0" w:color="auto"/>
        <w:bottom w:val="none" w:sz="0" w:space="0" w:color="auto"/>
        <w:right w:val="none" w:sz="0" w:space="0" w:color="auto"/>
      </w:divBdr>
    </w:div>
    <w:div w:id="1061369147">
      <w:bodyDiv w:val="1"/>
      <w:marLeft w:val="0"/>
      <w:marRight w:val="0"/>
      <w:marTop w:val="0"/>
      <w:marBottom w:val="0"/>
      <w:divBdr>
        <w:top w:val="none" w:sz="0" w:space="0" w:color="auto"/>
        <w:left w:val="none" w:sz="0" w:space="0" w:color="auto"/>
        <w:bottom w:val="none" w:sz="0" w:space="0" w:color="auto"/>
        <w:right w:val="none" w:sz="0" w:space="0" w:color="auto"/>
      </w:divBdr>
    </w:div>
    <w:div w:id="1086220538">
      <w:bodyDiv w:val="1"/>
      <w:marLeft w:val="0"/>
      <w:marRight w:val="0"/>
      <w:marTop w:val="0"/>
      <w:marBottom w:val="0"/>
      <w:divBdr>
        <w:top w:val="none" w:sz="0" w:space="0" w:color="auto"/>
        <w:left w:val="none" w:sz="0" w:space="0" w:color="auto"/>
        <w:bottom w:val="none" w:sz="0" w:space="0" w:color="auto"/>
        <w:right w:val="none" w:sz="0" w:space="0" w:color="auto"/>
      </w:divBdr>
    </w:div>
    <w:div w:id="1087574022">
      <w:bodyDiv w:val="1"/>
      <w:marLeft w:val="0"/>
      <w:marRight w:val="0"/>
      <w:marTop w:val="0"/>
      <w:marBottom w:val="0"/>
      <w:divBdr>
        <w:top w:val="none" w:sz="0" w:space="0" w:color="auto"/>
        <w:left w:val="none" w:sz="0" w:space="0" w:color="auto"/>
        <w:bottom w:val="none" w:sz="0" w:space="0" w:color="auto"/>
        <w:right w:val="none" w:sz="0" w:space="0" w:color="auto"/>
      </w:divBdr>
    </w:div>
    <w:div w:id="1177229156">
      <w:bodyDiv w:val="1"/>
      <w:marLeft w:val="0"/>
      <w:marRight w:val="0"/>
      <w:marTop w:val="0"/>
      <w:marBottom w:val="0"/>
      <w:divBdr>
        <w:top w:val="none" w:sz="0" w:space="0" w:color="auto"/>
        <w:left w:val="none" w:sz="0" w:space="0" w:color="auto"/>
        <w:bottom w:val="none" w:sz="0" w:space="0" w:color="auto"/>
        <w:right w:val="none" w:sz="0" w:space="0" w:color="auto"/>
      </w:divBdr>
    </w:div>
    <w:div w:id="1385372581">
      <w:bodyDiv w:val="1"/>
      <w:marLeft w:val="0"/>
      <w:marRight w:val="0"/>
      <w:marTop w:val="0"/>
      <w:marBottom w:val="0"/>
      <w:divBdr>
        <w:top w:val="none" w:sz="0" w:space="0" w:color="auto"/>
        <w:left w:val="none" w:sz="0" w:space="0" w:color="auto"/>
        <w:bottom w:val="none" w:sz="0" w:space="0" w:color="auto"/>
        <w:right w:val="none" w:sz="0" w:space="0" w:color="auto"/>
      </w:divBdr>
    </w:div>
    <w:div w:id="1411854013">
      <w:bodyDiv w:val="1"/>
      <w:marLeft w:val="0"/>
      <w:marRight w:val="0"/>
      <w:marTop w:val="0"/>
      <w:marBottom w:val="0"/>
      <w:divBdr>
        <w:top w:val="none" w:sz="0" w:space="0" w:color="auto"/>
        <w:left w:val="none" w:sz="0" w:space="0" w:color="auto"/>
        <w:bottom w:val="none" w:sz="0" w:space="0" w:color="auto"/>
        <w:right w:val="none" w:sz="0" w:space="0" w:color="auto"/>
      </w:divBdr>
    </w:div>
    <w:div w:id="1412118819">
      <w:bodyDiv w:val="1"/>
      <w:marLeft w:val="0"/>
      <w:marRight w:val="0"/>
      <w:marTop w:val="0"/>
      <w:marBottom w:val="0"/>
      <w:divBdr>
        <w:top w:val="none" w:sz="0" w:space="0" w:color="auto"/>
        <w:left w:val="none" w:sz="0" w:space="0" w:color="auto"/>
        <w:bottom w:val="none" w:sz="0" w:space="0" w:color="auto"/>
        <w:right w:val="none" w:sz="0" w:space="0" w:color="auto"/>
      </w:divBdr>
    </w:div>
    <w:div w:id="1419331605">
      <w:bodyDiv w:val="1"/>
      <w:marLeft w:val="0"/>
      <w:marRight w:val="0"/>
      <w:marTop w:val="0"/>
      <w:marBottom w:val="0"/>
      <w:divBdr>
        <w:top w:val="none" w:sz="0" w:space="0" w:color="auto"/>
        <w:left w:val="none" w:sz="0" w:space="0" w:color="auto"/>
        <w:bottom w:val="none" w:sz="0" w:space="0" w:color="auto"/>
        <w:right w:val="none" w:sz="0" w:space="0" w:color="auto"/>
      </w:divBdr>
    </w:div>
    <w:div w:id="1603149965">
      <w:bodyDiv w:val="1"/>
      <w:marLeft w:val="0"/>
      <w:marRight w:val="0"/>
      <w:marTop w:val="0"/>
      <w:marBottom w:val="0"/>
      <w:divBdr>
        <w:top w:val="none" w:sz="0" w:space="0" w:color="auto"/>
        <w:left w:val="none" w:sz="0" w:space="0" w:color="auto"/>
        <w:bottom w:val="none" w:sz="0" w:space="0" w:color="auto"/>
        <w:right w:val="none" w:sz="0" w:space="0" w:color="auto"/>
      </w:divBdr>
    </w:div>
    <w:div w:id="1765764963">
      <w:bodyDiv w:val="1"/>
      <w:marLeft w:val="0"/>
      <w:marRight w:val="0"/>
      <w:marTop w:val="0"/>
      <w:marBottom w:val="0"/>
      <w:divBdr>
        <w:top w:val="none" w:sz="0" w:space="0" w:color="auto"/>
        <w:left w:val="none" w:sz="0" w:space="0" w:color="auto"/>
        <w:bottom w:val="none" w:sz="0" w:space="0" w:color="auto"/>
        <w:right w:val="none" w:sz="0" w:space="0" w:color="auto"/>
      </w:divBdr>
    </w:div>
    <w:div w:id="203137222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9D530-C210-4F82-A15F-739934F2E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2184</Words>
  <Characters>12451</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Thi Thanh Huong</dc:creator>
  <cp:lastModifiedBy>Trang Thu</cp:lastModifiedBy>
  <cp:revision>2</cp:revision>
  <cp:lastPrinted>2025-07-01T03:37:00Z</cp:lastPrinted>
  <dcterms:created xsi:type="dcterms:W3CDTF">2025-07-15T09:40:00Z</dcterms:created>
  <dcterms:modified xsi:type="dcterms:W3CDTF">2025-07-15T09:40:00Z</dcterms:modified>
</cp:coreProperties>
</file>