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77C4" w:rsidRPr="007477C4" w:rsidRDefault="007477C4" w:rsidP="007477C4">
      <w:p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7477C4">
        <w:rPr>
          <w:rFonts w:ascii="Aptos" w:eastAsia="Times New Roman" w:hAnsi="Aptos" w:cs="Times New Roman"/>
          <w:color w:val="000000"/>
          <w:kern w:val="0"/>
          <w:sz w:val="22"/>
          <w:szCs w:val="22"/>
          <w:lang w:eastAsia="en-GB"/>
          <w14:ligatures w14:val="none"/>
        </w:rPr>
        <w:t>Ngày 1/7/2025, Chính phủ ban hành Nghị định 181/2025/NĐ-CP có hiệu lực kể từ 1/7/2025. Tuy nhiên, các ngân hàng, doanh nghiệp gặp các vướng mắc, khó khăn trong quá trình áp dụng, cụ thể như sau:</w:t>
      </w:r>
    </w:p>
    <w:p w:rsidR="007477C4" w:rsidRPr="007477C4" w:rsidRDefault="007477C4" w:rsidP="007477C4">
      <w:pPr>
        <w:numPr>
          <w:ilvl w:val="0"/>
          <w:numId w:val="1"/>
        </w:numPr>
        <w:shd w:val="clear" w:color="auto" w:fill="FFFFFF"/>
        <w:spacing w:line="235" w:lineRule="atLeast"/>
        <w:jc w:val="both"/>
        <w:rPr>
          <w:rFonts w:ascii="Aptos" w:eastAsia="Times New Roman" w:hAnsi="Aptos" w:cs="Arial"/>
          <w:color w:val="000000"/>
          <w:kern w:val="0"/>
          <w:sz w:val="22"/>
          <w:szCs w:val="22"/>
          <w:lang w:eastAsia="en-GB"/>
          <w14:ligatures w14:val="none"/>
        </w:rPr>
      </w:pPr>
      <w:r w:rsidRPr="007477C4">
        <w:rPr>
          <w:rFonts w:ascii="Aptos" w:eastAsia="Times New Roman" w:hAnsi="Aptos" w:cs="Arial"/>
          <w:b/>
          <w:bCs/>
          <w:color w:val="000000"/>
          <w:kern w:val="0"/>
          <w:sz w:val="22"/>
          <w:szCs w:val="22"/>
          <w:lang w:eastAsia="en-GB"/>
          <w14:ligatures w14:val="none"/>
        </w:rPr>
        <w:t>Điều chỉnh khoản 4 Điều 4 Nghị định hướng dẫn thi hành Luật Thuế giá trị gia tăng</w:t>
      </w:r>
      <w:r w:rsidRPr="007477C4">
        <w:rPr>
          <w:rFonts w:ascii="Aptos" w:eastAsia="Times New Roman" w:hAnsi="Aptos" w:cs="Arial"/>
          <w:color w:val="000000"/>
          <w:kern w:val="0"/>
          <w:sz w:val="22"/>
          <w:szCs w:val="22"/>
          <w:lang w:eastAsia="en-GB"/>
          <w14:ligatures w14:val="none"/>
        </w:rPr>
        <w:t>.</w:t>
      </w:r>
    </w:p>
    <w:p w:rsidR="007477C4" w:rsidRPr="007477C4" w:rsidRDefault="007477C4" w:rsidP="007477C4">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7477C4">
        <w:rPr>
          <w:rFonts w:ascii="Aptos" w:eastAsia="Times New Roman" w:hAnsi="Aptos" w:cs="Times New Roman"/>
          <w:color w:val="000000"/>
          <w:kern w:val="0"/>
          <w:sz w:val="22"/>
          <w:szCs w:val="22"/>
          <w:lang w:eastAsia="en-GB"/>
          <w14:ligatures w14:val="none"/>
        </w:rPr>
        <w:t>            Căn cứ theo quy định tại điểm đ khoản 4 Điều 4 Nghị định hướng dẫn thi hành Luật Thuế giá trị gia tăng, theo đó quy về đối tượng không chịu thuế, cụ thể:</w:t>
      </w:r>
    </w:p>
    <w:p w:rsidR="007477C4" w:rsidRPr="007477C4" w:rsidRDefault="007477C4" w:rsidP="007477C4">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7477C4">
        <w:rPr>
          <w:rFonts w:ascii="Aptos" w:eastAsia="Times New Roman" w:hAnsi="Aptos" w:cs="Times New Roman"/>
          <w:color w:val="000000"/>
          <w:kern w:val="0"/>
          <w:sz w:val="22"/>
          <w:szCs w:val="22"/>
          <w:lang w:eastAsia="en-GB"/>
          <w14:ligatures w14:val="none"/>
        </w:rPr>
        <w:t>“</w:t>
      </w:r>
      <w:r w:rsidRPr="007477C4">
        <w:rPr>
          <w:rFonts w:ascii="Aptos" w:eastAsia="Times New Roman" w:hAnsi="Aptos" w:cs="Times New Roman"/>
          <w:i/>
          <w:iCs/>
          <w:color w:val="000000"/>
          <w:kern w:val="0"/>
          <w:sz w:val="22"/>
          <w:szCs w:val="22"/>
          <w:lang w:eastAsia="en-GB"/>
          <w14:ligatures w14:val="none"/>
        </w:rPr>
        <w:t>Bán nợ bao gồm bán khoản phải trả và khoản phải thu, bán chứng chỉ tiền gửi giữa người nộp thuế không phải là tổ chức tín dụng</w:t>
      </w:r>
      <w:r w:rsidRPr="007477C4">
        <w:rPr>
          <w:rFonts w:ascii="Aptos" w:eastAsia="Times New Roman" w:hAnsi="Aptos" w:cs="Times New Roman"/>
          <w:color w:val="000000"/>
          <w:kern w:val="0"/>
          <w:sz w:val="22"/>
          <w:szCs w:val="22"/>
          <w:lang w:eastAsia="en-GB"/>
          <w14:ligatures w14:val="none"/>
        </w:rPr>
        <w:t>”</w:t>
      </w:r>
    </w:p>
    <w:p w:rsidR="007477C4" w:rsidRPr="007477C4" w:rsidRDefault="007477C4" w:rsidP="007477C4">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7477C4">
        <w:rPr>
          <w:rFonts w:ascii="Aptos" w:eastAsia="Times New Roman" w:hAnsi="Aptos" w:cs="Times New Roman"/>
          <w:color w:val="000000"/>
          <w:kern w:val="0"/>
          <w:sz w:val="22"/>
          <w:szCs w:val="22"/>
          <w:lang w:eastAsia="en-GB"/>
          <w14:ligatures w14:val="none"/>
        </w:rPr>
        <w:t>Cách diễn đạt trong Nghị định có thể dẫn đến cách hiểu việc bán chứng chỉ tiền gửi là một hình thức bán nợ, trong khi:</w:t>
      </w:r>
    </w:p>
    <w:p w:rsidR="007477C4" w:rsidRPr="007477C4" w:rsidRDefault="007477C4" w:rsidP="007477C4">
      <w:pPr>
        <w:numPr>
          <w:ilvl w:val="0"/>
          <w:numId w:val="2"/>
        </w:numPr>
        <w:shd w:val="clear" w:color="auto" w:fill="FFFFFF"/>
        <w:spacing w:line="235" w:lineRule="atLeast"/>
        <w:jc w:val="both"/>
        <w:rPr>
          <w:rFonts w:ascii="Aptos" w:eastAsia="Times New Roman" w:hAnsi="Aptos" w:cs="Arial"/>
          <w:color w:val="000000"/>
          <w:kern w:val="0"/>
          <w:sz w:val="22"/>
          <w:szCs w:val="22"/>
          <w:lang w:eastAsia="en-GB"/>
          <w14:ligatures w14:val="none"/>
        </w:rPr>
      </w:pPr>
      <w:r w:rsidRPr="007477C4">
        <w:rPr>
          <w:rFonts w:ascii="Aptos" w:eastAsia="Times New Roman" w:hAnsi="Aptos" w:cs="Arial"/>
          <w:color w:val="000000"/>
          <w:kern w:val="0"/>
          <w:sz w:val="22"/>
          <w:szCs w:val="22"/>
          <w:lang w:eastAsia="en-GB"/>
          <w14:ligatures w14:val="none"/>
        </w:rPr>
        <w:t>Chứng chỉ tiền gửi là công cụ huy động vốn có thời hạn do TCTD phát hành, mang bản chất là giấy tờ có giá, được quy định rõ trong Luật Các TCTD. Theo khoản 27 Điều Điều 4 Luật các TCTD: “</w:t>
      </w:r>
      <w:r w:rsidRPr="007477C4">
        <w:rPr>
          <w:rFonts w:ascii="Aptos" w:eastAsia="Times New Roman" w:hAnsi="Aptos" w:cs="Arial"/>
          <w:i/>
          <w:iCs/>
          <w:color w:val="000000"/>
          <w:kern w:val="0"/>
          <w:sz w:val="22"/>
          <w:szCs w:val="22"/>
          <w:lang w:eastAsia="en-GB"/>
          <w14:ligatures w14:val="none"/>
        </w:rPr>
        <w:t>Nhận tiền gửi là </w:t>
      </w:r>
      <w:r w:rsidRPr="007477C4">
        <w:rPr>
          <w:rFonts w:ascii="Aptos" w:eastAsia="Times New Roman" w:hAnsi="Aptos" w:cs="Arial"/>
          <w:i/>
          <w:iCs/>
          <w:color w:val="000000"/>
          <w:kern w:val="0"/>
          <w:sz w:val="22"/>
          <w:szCs w:val="22"/>
          <w:u w:val="single"/>
          <w:lang w:eastAsia="en-GB"/>
          <w14:ligatures w14:val="none"/>
        </w:rPr>
        <w:t>hoạt động nhận tiền của tổ chức, cá nhân dưới hình thức tiền gửi không kỳ hạn, tiền gửi có kỳ hạn, tiền gửi tiết kiệm, phát hành chứng chỉ tiền gửi và hình thức nhận tiền gửi khác</w:t>
      </w:r>
      <w:r w:rsidRPr="007477C4">
        <w:rPr>
          <w:rFonts w:ascii="Aptos" w:eastAsia="Times New Roman" w:hAnsi="Aptos" w:cs="Arial"/>
          <w:i/>
          <w:iCs/>
          <w:color w:val="000000"/>
          <w:kern w:val="0"/>
          <w:sz w:val="22"/>
          <w:szCs w:val="22"/>
          <w:lang w:eastAsia="en-GB"/>
          <w14:ligatures w14:val="none"/>
        </w:rPr>
        <w:t>…</w:t>
      </w:r>
      <w:r w:rsidRPr="007477C4">
        <w:rPr>
          <w:rFonts w:ascii="Aptos" w:eastAsia="Times New Roman" w:hAnsi="Aptos" w:cs="Arial"/>
          <w:color w:val="000000"/>
          <w:kern w:val="0"/>
          <w:sz w:val="22"/>
          <w:szCs w:val="22"/>
          <w:lang w:eastAsia="en-GB"/>
          <w14:ligatures w14:val="none"/>
        </w:rPr>
        <w:t>” và theo Điều 4 của Thông tư 02/2025/TT-NHNN: “</w:t>
      </w:r>
      <w:r w:rsidRPr="007477C4">
        <w:rPr>
          <w:rFonts w:ascii="Aptos" w:eastAsia="Times New Roman" w:hAnsi="Aptos" w:cs="Arial"/>
          <w:i/>
          <w:iCs/>
          <w:color w:val="000000"/>
          <w:kern w:val="0"/>
          <w:sz w:val="22"/>
          <w:szCs w:val="22"/>
          <w:lang w:eastAsia="en-GB"/>
          <w14:ligatures w14:val="none"/>
        </w:rPr>
        <w:t>Chứng chỉ tiền gửi là </w:t>
      </w:r>
      <w:r w:rsidRPr="007477C4">
        <w:rPr>
          <w:rFonts w:ascii="Aptos" w:eastAsia="Times New Roman" w:hAnsi="Aptos" w:cs="Arial"/>
          <w:i/>
          <w:iCs/>
          <w:color w:val="000000"/>
          <w:kern w:val="0"/>
          <w:sz w:val="22"/>
          <w:szCs w:val="22"/>
          <w:u w:val="single"/>
          <w:lang w:eastAsia="en-GB"/>
          <w14:ligatures w14:val="none"/>
        </w:rPr>
        <w:t>một hình thức tiền gửi dưới dạng giấy tờ có giá</w:t>
      </w:r>
      <w:r w:rsidRPr="007477C4">
        <w:rPr>
          <w:rFonts w:ascii="Aptos" w:eastAsia="Times New Roman" w:hAnsi="Aptos" w:cs="Arial"/>
          <w:i/>
          <w:iCs/>
          <w:color w:val="000000"/>
          <w:kern w:val="0"/>
          <w:sz w:val="22"/>
          <w:szCs w:val="22"/>
          <w:lang w:eastAsia="en-GB"/>
          <w14:ligatures w14:val="none"/>
        </w:rPr>
        <w:t>….</w:t>
      </w:r>
      <w:r w:rsidRPr="007477C4">
        <w:rPr>
          <w:rFonts w:ascii="Aptos" w:eastAsia="Times New Roman" w:hAnsi="Aptos" w:cs="Arial"/>
          <w:color w:val="000000"/>
          <w:kern w:val="0"/>
          <w:sz w:val="22"/>
          <w:szCs w:val="22"/>
          <w:lang w:eastAsia="en-GB"/>
          <w14:ligatures w14:val="none"/>
        </w:rPr>
        <w:t>”.</w:t>
      </w:r>
    </w:p>
    <w:p w:rsidR="007477C4" w:rsidRPr="007477C4" w:rsidRDefault="007477C4" w:rsidP="007477C4">
      <w:pPr>
        <w:numPr>
          <w:ilvl w:val="0"/>
          <w:numId w:val="2"/>
        </w:numPr>
        <w:shd w:val="clear" w:color="auto" w:fill="FFFFFF"/>
        <w:spacing w:line="235" w:lineRule="atLeast"/>
        <w:jc w:val="both"/>
        <w:rPr>
          <w:rFonts w:ascii="Aptos" w:eastAsia="Times New Roman" w:hAnsi="Aptos" w:cs="Arial"/>
          <w:color w:val="000000"/>
          <w:kern w:val="0"/>
          <w:sz w:val="22"/>
          <w:szCs w:val="22"/>
          <w:lang w:eastAsia="en-GB"/>
          <w14:ligatures w14:val="none"/>
        </w:rPr>
      </w:pPr>
      <w:r w:rsidRPr="007477C4">
        <w:rPr>
          <w:rFonts w:ascii="Aptos" w:eastAsia="Times New Roman" w:hAnsi="Aptos" w:cs="Arial"/>
          <w:color w:val="000000"/>
          <w:kern w:val="0"/>
          <w:sz w:val="22"/>
          <w:szCs w:val="22"/>
          <w:lang w:eastAsia="en-GB"/>
          <w14:ligatures w14:val="none"/>
        </w:rPr>
        <w:t>Mua, bán nợ được định nghĩa tại Thông tư riêng của Ngân hàng Nhà nước, cụ thể tại Thông tư 09/2015/TT-NHNN và Thông tư 18/2022/TT-NHNN về hoạt động mua, bán nợ của TCTD, trong đó định nghĩa rõ bản chất của hoạt động mua, bán nợ: “</w:t>
      </w:r>
      <w:r w:rsidRPr="007477C4">
        <w:rPr>
          <w:rFonts w:ascii="Aptos" w:eastAsia="Times New Roman" w:hAnsi="Aptos" w:cs="Arial"/>
          <w:i/>
          <w:iCs/>
          <w:color w:val="000000"/>
          <w:kern w:val="0"/>
          <w:sz w:val="22"/>
          <w:szCs w:val="22"/>
          <w:lang w:eastAsia="en-GB"/>
          <w14:ligatures w14:val="none"/>
        </w:rPr>
        <w:t>là thỏa thuận bằng văn bản về việc </w:t>
      </w:r>
      <w:r w:rsidRPr="007477C4">
        <w:rPr>
          <w:rFonts w:ascii="Aptos" w:eastAsia="Times New Roman" w:hAnsi="Aptos" w:cs="Arial"/>
          <w:i/>
          <w:iCs/>
          <w:color w:val="000000"/>
          <w:kern w:val="0"/>
          <w:sz w:val="22"/>
          <w:szCs w:val="22"/>
          <w:u w:val="single"/>
          <w:lang w:eastAsia="en-GB"/>
          <w14:ligatures w14:val="none"/>
        </w:rPr>
        <w:t>chuyển giao quyền đòi nợ đối với khoản nợ phát sinh từ nghiệp vụ cho vay, khoản trả thay trong nghiệp vụ bảo lãnh, theo đó bên bán nợ chuyển giao quyền sở hữu khoản nợ cho bên mua nợ và nhận tiền thanh toán từ bên mua nợ</w:t>
      </w:r>
      <w:r w:rsidRPr="007477C4">
        <w:rPr>
          <w:rFonts w:ascii="Aptos" w:eastAsia="Times New Roman" w:hAnsi="Aptos" w:cs="Arial"/>
          <w:color w:val="000000"/>
          <w:kern w:val="0"/>
          <w:sz w:val="22"/>
          <w:szCs w:val="22"/>
          <w:lang w:eastAsia="en-GB"/>
          <w14:ligatures w14:val="none"/>
        </w:rPr>
        <w:t>.”</w:t>
      </w:r>
    </w:p>
    <w:p w:rsidR="007477C4" w:rsidRPr="007477C4" w:rsidRDefault="007477C4" w:rsidP="007477C4">
      <w:pPr>
        <w:numPr>
          <w:ilvl w:val="0"/>
          <w:numId w:val="2"/>
        </w:numPr>
        <w:shd w:val="clear" w:color="auto" w:fill="FFFFFF"/>
        <w:spacing w:line="235" w:lineRule="atLeast"/>
        <w:jc w:val="both"/>
        <w:rPr>
          <w:rFonts w:ascii="Aptos" w:eastAsia="Times New Roman" w:hAnsi="Aptos" w:cs="Arial"/>
          <w:color w:val="000000"/>
          <w:kern w:val="0"/>
          <w:sz w:val="22"/>
          <w:szCs w:val="22"/>
          <w:lang w:eastAsia="en-GB"/>
          <w14:ligatures w14:val="none"/>
        </w:rPr>
      </w:pPr>
      <w:r w:rsidRPr="007477C4">
        <w:rPr>
          <w:rFonts w:ascii="Aptos" w:eastAsia="Times New Roman" w:hAnsi="Aptos" w:cs="Arial"/>
          <w:color w:val="000000"/>
          <w:kern w:val="0"/>
          <w:sz w:val="22"/>
          <w:szCs w:val="22"/>
          <w:lang w:eastAsia="en-GB"/>
          <w14:ligatures w14:val="none"/>
        </w:rPr>
        <w:t>Việc chuyển nhượng CCTG không đồng nghĩa với hoạt động mua, bán nợ, và không nên gộp chung hai hình thức này trong cùng một cấu trúc ngữ nghĩa, vì điều này không phản ánh đúng bản chất pháp lý và nghiệp vụ của CCTG, cũng như mua, bán nợ.</w:t>
      </w:r>
    </w:p>
    <w:p w:rsidR="007477C4" w:rsidRPr="007477C4" w:rsidRDefault="007477C4" w:rsidP="007477C4">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7477C4">
        <w:rPr>
          <w:rFonts w:ascii="Aptos" w:eastAsia="Times New Roman" w:hAnsi="Aptos" w:cs="Times New Roman"/>
          <w:color w:val="000000"/>
          <w:kern w:val="0"/>
          <w:sz w:val="22"/>
          <w:szCs w:val="22"/>
          <w:lang w:eastAsia="en-GB"/>
          <w14:ligatures w14:val="none"/>
        </w:rPr>
        <w:t>Cách diễn đạt như hiện nay chưa phù hợp về kỹ thuật lập pháp và có thể gây rủi ro hiểu sai, áp dụng sai, cả đối với cơ quan thuế, doanh nghiệp, và ngân hàng.</w:t>
      </w:r>
    </w:p>
    <w:p w:rsidR="007477C4" w:rsidRPr="007477C4" w:rsidRDefault="007477C4" w:rsidP="007477C4">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7477C4">
        <w:rPr>
          <w:rFonts w:ascii="Aptos" w:eastAsia="Times New Roman" w:hAnsi="Aptos" w:cs="Times New Roman"/>
          <w:color w:val="000000"/>
          <w:kern w:val="0"/>
          <w:sz w:val="22"/>
          <w:szCs w:val="22"/>
          <w:lang w:eastAsia="en-GB"/>
          <w14:ligatures w14:val="none"/>
        </w:rPr>
        <w:t>Do vậy, nên tách hoạt động “</w:t>
      </w:r>
      <w:r w:rsidRPr="007477C4">
        <w:rPr>
          <w:rFonts w:ascii="Aptos" w:eastAsia="Times New Roman" w:hAnsi="Aptos" w:cs="Times New Roman"/>
          <w:i/>
          <w:iCs/>
          <w:color w:val="000000"/>
          <w:kern w:val="0"/>
          <w:sz w:val="22"/>
          <w:szCs w:val="22"/>
          <w:lang w:eastAsia="en-GB"/>
          <w14:ligatures w14:val="none"/>
        </w:rPr>
        <w:t>bán chứng chỉ tiền gửi giữa người nộp thuế không phải là tổ chức tín dụng” </w:t>
      </w:r>
      <w:r w:rsidRPr="007477C4">
        <w:rPr>
          <w:rFonts w:ascii="Aptos" w:eastAsia="Times New Roman" w:hAnsi="Aptos" w:cs="Times New Roman"/>
          <w:color w:val="000000"/>
          <w:kern w:val="0"/>
          <w:sz w:val="22"/>
          <w:szCs w:val="22"/>
          <w:lang w:eastAsia="en-GB"/>
          <w14:ligatures w14:val="none"/>
        </w:rPr>
        <w:t>thành một mục riêng tại khoản 4 Điều 4 Nghị định.</w:t>
      </w:r>
    </w:p>
    <w:p w:rsidR="007477C4" w:rsidRPr="007477C4" w:rsidRDefault="007477C4" w:rsidP="007477C4">
      <w:pPr>
        <w:numPr>
          <w:ilvl w:val="0"/>
          <w:numId w:val="3"/>
        </w:numPr>
        <w:shd w:val="clear" w:color="auto" w:fill="FFFFFF"/>
        <w:spacing w:line="235" w:lineRule="atLeast"/>
        <w:jc w:val="both"/>
        <w:rPr>
          <w:rFonts w:ascii="Aptos" w:eastAsia="Times New Roman" w:hAnsi="Aptos" w:cs="Arial"/>
          <w:color w:val="000000"/>
          <w:kern w:val="0"/>
          <w:sz w:val="22"/>
          <w:szCs w:val="22"/>
          <w:lang w:eastAsia="en-GB"/>
          <w14:ligatures w14:val="none"/>
        </w:rPr>
      </w:pPr>
      <w:r w:rsidRPr="007477C4">
        <w:rPr>
          <w:rFonts w:ascii="Aptos" w:eastAsia="Times New Roman" w:hAnsi="Aptos" w:cs="Arial"/>
          <w:b/>
          <w:bCs/>
          <w:color w:val="000000"/>
          <w:kern w:val="0"/>
          <w:sz w:val="22"/>
          <w:szCs w:val="22"/>
          <w:lang w:eastAsia="en-GB"/>
          <w14:ligatures w14:val="none"/>
        </w:rPr>
        <w:t>Điều chỉnh điểm a khoản 2 Điều 23 Nghị định quy định về khấu trừ thuế GTGT</w:t>
      </w:r>
    </w:p>
    <w:p w:rsidR="007477C4" w:rsidRPr="007477C4" w:rsidRDefault="007477C4" w:rsidP="007477C4">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7477C4">
        <w:rPr>
          <w:rFonts w:ascii="Aptos" w:eastAsia="Times New Roman" w:hAnsi="Aptos" w:cs="Times New Roman"/>
          <w:color w:val="000000"/>
          <w:kern w:val="0"/>
          <w:sz w:val="22"/>
          <w:szCs w:val="22"/>
          <w:lang w:eastAsia="en-GB"/>
          <w14:ligatures w14:val="none"/>
        </w:rPr>
        <w:t>Căn cứ điểm a khoản 2 Điều 23 Nghị định quy định về khấu trừ thuế GTGT như sau:</w:t>
      </w:r>
    </w:p>
    <w:p w:rsidR="007477C4" w:rsidRPr="007477C4" w:rsidRDefault="007477C4" w:rsidP="007477C4">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7477C4">
        <w:rPr>
          <w:rFonts w:ascii="Aptos" w:eastAsia="Times New Roman" w:hAnsi="Aptos" w:cs="Times New Roman"/>
          <w:color w:val="000000"/>
          <w:kern w:val="0"/>
          <w:sz w:val="22"/>
          <w:szCs w:val="22"/>
          <w:lang w:eastAsia="en-GB"/>
          <w14:ligatures w14:val="none"/>
        </w:rPr>
        <w:t>Theo Điểm a khoản 2 Điều 23 (về khấu trừ thuế GTGT) Nghị định: Đối với hoạt động kinh doanh ngoại tệ, mua bán (chuyển nhượng) chứng khoán thì doanh thu (làm cơ sở để tính số thuế GTGT đầu vào được khấu trừ) là chênh lệch giữa giá bán và giá mua (trừ chênh lệch âm). Tuy nhiên, tại Nghị định, quy định này chưa áp dụng đối với hoạt động Bán chứng chỉ tiền gửi (CCTG) giữa người nộp thuế không phải là TCTD.</w:t>
      </w:r>
    </w:p>
    <w:p w:rsidR="007477C4" w:rsidRPr="007477C4" w:rsidRDefault="007477C4" w:rsidP="007477C4">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7477C4">
        <w:rPr>
          <w:rFonts w:ascii="Aptos" w:eastAsia="Times New Roman" w:hAnsi="Aptos" w:cs="Times New Roman"/>
          <w:color w:val="000000"/>
          <w:kern w:val="0"/>
          <w:sz w:val="22"/>
          <w:szCs w:val="22"/>
          <w:lang w:eastAsia="en-GB"/>
          <w14:ligatures w14:val="none"/>
        </w:rPr>
        <w:t>Trong khi đó:</w:t>
      </w:r>
    </w:p>
    <w:p w:rsidR="007477C4" w:rsidRPr="007477C4" w:rsidRDefault="007477C4" w:rsidP="007477C4">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7477C4">
        <w:rPr>
          <w:rFonts w:ascii="Aptos" w:eastAsia="Times New Roman" w:hAnsi="Aptos" w:cs="Times New Roman"/>
          <w:color w:val="000000"/>
          <w:kern w:val="0"/>
          <w:sz w:val="22"/>
          <w:szCs w:val="22"/>
          <w:lang w:eastAsia="en-GB"/>
          <w14:ligatures w14:val="none"/>
        </w:rPr>
        <w:t>- Theo Khoản 4 Điều 4 Nghị định thì Chuyển nhượng chứng khoán; Bán chứng chỉ tiền gửi (CCTG) giữa người nộp thuế không phải là TCTD; Kinh doanh ngoại tệ đều thuộc đối tượng không chịu thuế GTGT</w:t>
      </w:r>
      <w:hyperlink r:id="rId5" w:anchor="m_-7260619901327760848_m_-2540348797256082845__ftn1" w:history="1">
        <w:r w:rsidRPr="007477C4">
          <w:rPr>
            <w:rFonts w:ascii="Aptos" w:eastAsia="Times New Roman" w:hAnsi="Aptos" w:cs="Times New Roman"/>
            <w:color w:val="1155CC"/>
            <w:kern w:val="0"/>
            <w:sz w:val="22"/>
            <w:szCs w:val="22"/>
            <w:u w:val="single"/>
            <w:lang w:eastAsia="en-GB"/>
            <w14:ligatures w14:val="none"/>
          </w:rPr>
          <w:t>[1]</w:t>
        </w:r>
      </w:hyperlink>
      <w:r w:rsidRPr="007477C4">
        <w:rPr>
          <w:rFonts w:ascii="Aptos" w:eastAsia="Times New Roman" w:hAnsi="Aptos" w:cs="Times New Roman"/>
          <w:color w:val="000000"/>
          <w:kern w:val="0"/>
          <w:sz w:val="22"/>
          <w:szCs w:val="22"/>
          <w:lang w:eastAsia="en-GB"/>
          <w14:ligatures w14:val="none"/>
        </w:rPr>
        <w:t>.</w:t>
      </w:r>
    </w:p>
    <w:p w:rsidR="007477C4" w:rsidRPr="007477C4" w:rsidRDefault="007477C4" w:rsidP="007477C4">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7477C4">
        <w:rPr>
          <w:rFonts w:ascii="Aptos" w:eastAsia="Times New Roman" w:hAnsi="Aptos" w:cs="Times New Roman"/>
          <w:color w:val="000000"/>
          <w:kern w:val="0"/>
          <w:sz w:val="22"/>
          <w:szCs w:val="22"/>
          <w:lang w:eastAsia="en-GB"/>
          <w14:ligatures w14:val="none"/>
        </w:rPr>
        <w:t xml:space="preserve">- Theo Điều 80 Thông tư số 200/2014/TT-BTC của Bộ Tài chính hướng dẫn chế độ kế toán doanh nghiệp thì khi doanh nghiệp hạch toán kế toán nghiệp vụ mua bán CCTG, kinh doanh ngoại tệ, </w:t>
      </w:r>
      <w:r w:rsidRPr="007477C4">
        <w:rPr>
          <w:rFonts w:ascii="Aptos" w:eastAsia="Times New Roman" w:hAnsi="Aptos" w:cs="Times New Roman"/>
          <w:color w:val="000000"/>
          <w:kern w:val="0"/>
          <w:sz w:val="22"/>
          <w:szCs w:val="22"/>
          <w:lang w:eastAsia="en-GB"/>
          <w14:ligatures w14:val="none"/>
        </w:rPr>
        <w:lastRenderedPageBreak/>
        <w:t>mua bán chứng khoán, doanh thu tài chính được xác định khoản chênh lệch giữa giá bán và giá mua CCTG, ngoại tệ, chứng khoán.</w:t>
      </w:r>
    </w:p>
    <w:p w:rsidR="007477C4" w:rsidRPr="007477C4" w:rsidRDefault="007477C4" w:rsidP="007477C4">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7477C4">
        <w:rPr>
          <w:rFonts w:ascii="Aptos" w:eastAsia="Times New Roman" w:hAnsi="Aptos" w:cs="Times New Roman"/>
          <w:color w:val="000000"/>
          <w:kern w:val="0"/>
          <w:sz w:val="22"/>
          <w:szCs w:val="22"/>
          <w:lang w:eastAsia="en-GB"/>
          <w14:ligatures w14:val="none"/>
        </w:rPr>
        <w:t>Vì vậy, cần thiết đối xử tương đồng về thuế khi ghi nhận doanh thu đầu tư tài chính của hoạt động mua bán CCTG như hoạt động kinh doanh ngoại tệ, mua bán chứng khoán.</w:t>
      </w:r>
    </w:p>
    <w:p w:rsidR="007477C4" w:rsidRPr="007477C4" w:rsidRDefault="007477C4" w:rsidP="007477C4">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7477C4">
        <w:rPr>
          <w:rFonts w:ascii="Aptos" w:eastAsia="Times New Roman" w:hAnsi="Aptos" w:cs="Times New Roman"/>
          <w:color w:val="000000"/>
          <w:kern w:val="0"/>
          <w:sz w:val="22"/>
          <w:szCs w:val="22"/>
          <w:lang w:eastAsia="en-GB"/>
          <w14:ligatures w14:val="none"/>
        </w:rPr>
        <w:t>Theo đó, đề nghị bổ sung tại điểm a khoản 2 Điều 23 Nghị định về quy định cách xác định doanh thu (làm cơ sở để tính số thuế GTGT đầu vào được khấu trừ) đối với mua bán CCTG như quy định đối với kinh doanh ngoại tệ, mua bán chứng khoán; cụ thể như sau: “a)</w:t>
      </w:r>
      <w:r w:rsidRPr="007477C4">
        <w:rPr>
          <w:rFonts w:ascii="Aptos" w:eastAsia="Times New Roman" w:hAnsi="Aptos" w:cs="Times New Roman"/>
          <w:i/>
          <w:iCs/>
          <w:color w:val="000000"/>
          <w:kern w:val="0"/>
          <w:sz w:val="22"/>
          <w:szCs w:val="22"/>
          <w:lang w:eastAsia="en-GB"/>
          <w14:ligatures w14:val="none"/>
        </w:rPr>
        <w:t> Tổng doanh thu của hàng hóa, dịch vụ bán ra bao gồm doanh thu của hàng hóa, dịch vụ chịu thuế giá trị gia tăng; doanh thu của hàng hóa, dịch vụ không chịu thuế giá trị gia tăng; giá trị gia tăng của hoạt động mua, bán, chế tác vàng, bạc, đá quý (trừ trường hợp giá trị gia tăng âm (-)) và doanh thu của hàng hóa, dịch vụ quy định tại khoản 2 Điều 40 Nghị định này (nếu có). Riêng hoạt động kinh doanh ngoại tệ, mua bán chứng khoán, </w:t>
      </w:r>
      <w:r w:rsidRPr="007477C4">
        <w:rPr>
          <w:rFonts w:ascii="Aptos" w:eastAsia="Times New Roman" w:hAnsi="Aptos" w:cs="Times New Roman"/>
          <w:i/>
          <w:iCs/>
          <w:color w:val="000000"/>
          <w:kern w:val="0"/>
          <w:sz w:val="22"/>
          <w:szCs w:val="22"/>
          <w:u w:val="single"/>
          <w:lang w:eastAsia="en-GB"/>
          <w14:ligatures w14:val="none"/>
        </w:rPr>
        <w:t>mua bán chứng chỉ tiền gửi</w:t>
      </w:r>
      <w:r w:rsidRPr="007477C4">
        <w:rPr>
          <w:rFonts w:ascii="Aptos" w:eastAsia="Times New Roman" w:hAnsi="Aptos" w:cs="Times New Roman"/>
          <w:i/>
          <w:iCs/>
          <w:color w:val="000000"/>
          <w:kern w:val="0"/>
          <w:sz w:val="22"/>
          <w:szCs w:val="22"/>
          <w:lang w:eastAsia="en-GB"/>
          <w14:ligatures w14:val="none"/>
        </w:rPr>
        <w:t> thì doanh thu là chênh lệch giữa giá bán và giá mua (trừ trường hợp chênh lệch âm (-))”</w:t>
      </w:r>
      <w:r w:rsidRPr="007477C4">
        <w:rPr>
          <w:rFonts w:ascii="Aptos" w:eastAsia="Times New Roman" w:hAnsi="Aptos" w:cs="Times New Roman"/>
          <w:color w:val="000000"/>
          <w:kern w:val="0"/>
          <w:sz w:val="22"/>
          <w:szCs w:val="22"/>
          <w:lang w:eastAsia="en-GB"/>
          <w14:ligatures w14:val="none"/>
        </w:rPr>
        <w:t>./.</w:t>
      </w:r>
    </w:p>
    <w:p w:rsidR="007477C4" w:rsidRPr="007477C4" w:rsidRDefault="007477C4" w:rsidP="007477C4">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7477C4">
        <w:rPr>
          <w:rFonts w:ascii="Aptos" w:eastAsia="Times New Roman" w:hAnsi="Aptos" w:cs="Times New Roman"/>
          <w:color w:val="000000"/>
          <w:kern w:val="0"/>
          <w:sz w:val="22"/>
          <w:szCs w:val="22"/>
          <w:lang w:eastAsia="en-GB"/>
          <w14:ligatures w14:val="none"/>
        </w:rPr>
        <w:t>Chị gửi để em tham khảo rà soát dưới góc độ doanh nghiệp, ảnh hưởng đến thành viên của VCCI hay không, để đề xuất, kiến nghị gửi Thủ tướng và Bộ Tài Chính để xem xét xử lý các kiến nghị nêu trên, nhằm:</w:t>
      </w:r>
    </w:p>
    <w:p w:rsidR="007477C4" w:rsidRPr="007477C4" w:rsidRDefault="007477C4" w:rsidP="007477C4">
      <w:pPr>
        <w:numPr>
          <w:ilvl w:val="0"/>
          <w:numId w:val="4"/>
        </w:numPr>
        <w:shd w:val="clear" w:color="auto" w:fill="FFFFFF"/>
        <w:spacing w:line="235" w:lineRule="atLeast"/>
        <w:jc w:val="both"/>
        <w:rPr>
          <w:rFonts w:ascii="Aptos" w:eastAsia="Times New Roman" w:hAnsi="Aptos" w:cs="Arial"/>
          <w:color w:val="000000"/>
          <w:kern w:val="0"/>
          <w:sz w:val="22"/>
          <w:szCs w:val="22"/>
          <w:lang w:eastAsia="en-GB"/>
          <w14:ligatures w14:val="none"/>
        </w:rPr>
      </w:pPr>
      <w:r w:rsidRPr="007477C4">
        <w:rPr>
          <w:rFonts w:ascii="Aptos" w:eastAsia="Times New Roman" w:hAnsi="Aptos" w:cs="Arial"/>
          <w:color w:val="000000"/>
          <w:kern w:val="0"/>
          <w:sz w:val="22"/>
          <w:szCs w:val="22"/>
          <w:lang w:eastAsia="en-GB"/>
          <w14:ligatures w14:val="none"/>
        </w:rPr>
        <w:t>Đảm bảo sự công bằng trong tiếp cận chính sách thuế giữa các công cụ tài chính của Doanh nghiệp;</w:t>
      </w:r>
    </w:p>
    <w:p w:rsidR="007477C4" w:rsidRPr="007477C4" w:rsidRDefault="007477C4" w:rsidP="007477C4">
      <w:pPr>
        <w:numPr>
          <w:ilvl w:val="0"/>
          <w:numId w:val="4"/>
        </w:numPr>
        <w:shd w:val="clear" w:color="auto" w:fill="FFFFFF"/>
        <w:spacing w:line="235" w:lineRule="atLeast"/>
        <w:jc w:val="both"/>
        <w:rPr>
          <w:rFonts w:ascii="Aptos" w:eastAsia="Times New Roman" w:hAnsi="Aptos" w:cs="Arial"/>
          <w:color w:val="000000"/>
          <w:kern w:val="0"/>
          <w:sz w:val="22"/>
          <w:szCs w:val="22"/>
          <w:lang w:eastAsia="en-GB"/>
          <w14:ligatures w14:val="none"/>
        </w:rPr>
      </w:pPr>
      <w:r w:rsidRPr="007477C4">
        <w:rPr>
          <w:rFonts w:ascii="Aptos" w:eastAsia="Times New Roman" w:hAnsi="Aptos" w:cs="Arial"/>
          <w:color w:val="000000"/>
          <w:kern w:val="0"/>
          <w:sz w:val="22"/>
          <w:szCs w:val="22"/>
          <w:lang w:eastAsia="en-GB"/>
          <w14:ligatures w14:val="none"/>
        </w:rPr>
        <w:t>Hạn chế rủi ro pháp lý cho doanh nghiệp;</w:t>
      </w:r>
    </w:p>
    <w:p w:rsidR="007477C4" w:rsidRPr="007477C4" w:rsidRDefault="007477C4" w:rsidP="007477C4">
      <w:pPr>
        <w:numPr>
          <w:ilvl w:val="0"/>
          <w:numId w:val="4"/>
        </w:numPr>
        <w:shd w:val="clear" w:color="auto" w:fill="FFFFFF"/>
        <w:spacing w:line="235" w:lineRule="atLeast"/>
        <w:jc w:val="both"/>
        <w:rPr>
          <w:rFonts w:ascii="Aptos" w:eastAsia="Times New Roman" w:hAnsi="Aptos" w:cs="Arial"/>
          <w:color w:val="000000"/>
          <w:kern w:val="0"/>
          <w:sz w:val="22"/>
          <w:szCs w:val="22"/>
          <w:lang w:eastAsia="en-GB"/>
          <w14:ligatures w14:val="none"/>
        </w:rPr>
      </w:pPr>
      <w:r w:rsidRPr="007477C4">
        <w:rPr>
          <w:rFonts w:ascii="Aptos" w:eastAsia="Times New Roman" w:hAnsi="Aptos" w:cs="Arial"/>
          <w:color w:val="000000"/>
          <w:kern w:val="0"/>
          <w:sz w:val="22"/>
          <w:szCs w:val="22"/>
          <w:lang w:eastAsia="en-GB"/>
          <w14:ligatures w14:val="none"/>
        </w:rPr>
        <w:t>Khuyến khích doanh nghiệp giao dịch chứng chỉ tiền gửi, tối ưu hóa nguồn vốn nhàn rỗi của Doanh nghiệp;</w:t>
      </w:r>
    </w:p>
    <w:p w:rsidR="007477C4" w:rsidRPr="007477C4" w:rsidRDefault="007477C4" w:rsidP="007477C4">
      <w:pPr>
        <w:numPr>
          <w:ilvl w:val="0"/>
          <w:numId w:val="4"/>
        </w:numPr>
        <w:shd w:val="clear" w:color="auto" w:fill="FFFFFF"/>
        <w:spacing w:line="235" w:lineRule="atLeast"/>
        <w:jc w:val="both"/>
        <w:rPr>
          <w:rFonts w:ascii="Aptos" w:eastAsia="Times New Roman" w:hAnsi="Aptos" w:cs="Arial"/>
          <w:color w:val="000000"/>
          <w:kern w:val="0"/>
          <w:sz w:val="22"/>
          <w:szCs w:val="22"/>
          <w:lang w:eastAsia="en-GB"/>
          <w14:ligatures w14:val="none"/>
        </w:rPr>
      </w:pPr>
      <w:r w:rsidRPr="007477C4">
        <w:rPr>
          <w:rFonts w:ascii="Aptos" w:eastAsia="Times New Roman" w:hAnsi="Aptos" w:cs="Arial"/>
          <w:color w:val="000000"/>
          <w:kern w:val="0"/>
          <w:sz w:val="22"/>
          <w:szCs w:val="22"/>
          <w:lang w:eastAsia="en-GB"/>
          <w14:ligatures w14:val="none"/>
        </w:rPr>
        <w:t>Khuyến khích thị trường chứng chỉ tiền gửi phát triển minh bạch và hiệu quả, qua đó hỗ trợ hệ thống ngân hàng huy động vốn trung – dài hạn.</w:t>
      </w:r>
    </w:p>
    <w:p w:rsidR="007477C4" w:rsidRPr="007477C4" w:rsidRDefault="007477C4" w:rsidP="007477C4">
      <w:pPr>
        <w:shd w:val="clear" w:color="auto" w:fill="FFFFFF"/>
        <w:spacing w:after="0" w:line="240" w:lineRule="auto"/>
        <w:rPr>
          <w:rFonts w:ascii="Aptos" w:eastAsia="Times New Roman" w:hAnsi="Aptos" w:cs="Times New Roman"/>
          <w:color w:val="000000"/>
          <w:kern w:val="0"/>
          <w:sz w:val="22"/>
          <w:szCs w:val="22"/>
          <w:lang w:eastAsia="en-GB"/>
          <w14:ligatures w14:val="none"/>
        </w:rPr>
      </w:pPr>
    </w:p>
    <w:p w:rsidR="007477C4" w:rsidRPr="007477C4" w:rsidRDefault="005775D5" w:rsidP="007477C4">
      <w:pPr>
        <w:spacing w:after="0" w:line="240" w:lineRule="auto"/>
        <w:rPr>
          <w:rFonts w:ascii="Arial" w:eastAsia="Times New Roman" w:hAnsi="Arial" w:cs="Arial"/>
          <w:kern w:val="0"/>
          <w:lang w:eastAsia="en-GB"/>
          <w14:ligatures w14:val="none"/>
        </w:rPr>
      </w:pPr>
      <w:r w:rsidRPr="005775D5">
        <w:rPr>
          <w:rFonts w:ascii="Times New Roman" w:eastAsia="Times New Roman" w:hAnsi="Times New Roman" w:cs="Times New Roman"/>
          <w:noProof/>
          <w:kern w:val="0"/>
          <w:lang w:eastAsia="en-GB"/>
        </w:rPr>
        <w:pict>
          <v:rect id="_x0000_i1025" alt="" style="width:271.25pt;height:1.5pt;mso-width-percent:0;mso-height-percent:0;mso-width-percent:0;mso-height-percent:0" o:hrpct="0" o:hrstd="t" o:hrnoshade="t" o:hr="t" fillcolor="#222" stroked="f"/>
        </w:pict>
      </w:r>
    </w:p>
    <w:bookmarkStart w:id="0" w:name="m_-7260619901327760848_m_-25403487972560"/>
    <w:p w:rsidR="007477C4" w:rsidRPr="007477C4" w:rsidRDefault="007477C4" w:rsidP="007477C4">
      <w:pPr>
        <w:shd w:val="clear" w:color="auto" w:fill="FFFFFF"/>
        <w:spacing w:after="0" w:line="240" w:lineRule="auto"/>
        <w:rPr>
          <w:rFonts w:ascii="Aptos" w:eastAsia="Times New Roman" w:hAnsi="Aptos" w:cs="Arial"/>
          <w:color w:val="000000"/>
          <w:kern w:val="0"/>
          <w:sz w:val="22"/>
          <w:szCs w:val="22"/>
          <w:lang w:eastAsia="en-GB"/>
          <w14:ligatures w14:val="none"/>
        </w:rPr>
      </w:pPr>
      <w:r w:rsidRPr="007477C4">
        <w:rPr>
          <w:rFonts w:ascii="Aptos" w:eastAsia="Times New Roman" w:hAnsi="Aptos" w:cs="Arial"/>
          <w:color w:val="000000"/>
          <w:kern w:val="0"/>
          <w:sz w:val="22"/>
          <w:szCs w:val="22"/>
          <w:lang w:eastAsia="en-GB"/>
          <w14:ligatures w14:val="none"/>
        </w:rPr>
        <w:fldChar w:fldCharType="begin"/>
      </w:r>
      <w:r w:rsidRPr="007477C4">
        <w:rPr>
          <w:rFonts w:ascii="Aptos" w:eastAsia="Times New Roman" w:hAnsi="Aptos" w:cs="Arial"/>
          <w:color w:val="000000"/>
          <w:kern w:val="0"/>
          <w:sz w:val="22"/>
          <w:szCs w:val="22"/>
          <w:lang w:eastAsia="en-GB"/>
          <w14:ligatures w14:val="none"/>
        </w:rPr>
        <w:instrText>HYPERLINK "https://mail.google.com/mail/u/0/" \l "m_-7260619901327760848_m_-2540348797256082845__ftnref1"</w:instrText>
      </w:r>
      <w:r w:rsidRPr="007477C4">
        <w:rPr>
          <w:rFonts w:ascii="Aptos" w:eastAsia="Times New Roman" w:hAnsi="Aptos" w:cs="Arial"/>
          <w:color w:val="000000"/>
          <w:kern w:val="0"/>
          <w:sz w:val="22"/>
          <w:szCs w:val="22"/>
          <w:lang w:eastAsia="en-GB"/>
          <w14:ligatures w14:val="none"/>
        </w:rPr>
      </w:r>
      <w:r w:rsidRPr="007477C4">
        <w:rPr>
          <w:rFonts w:ascii="Aptos" w:eastAsia="Times New Roman" w:hAnsi="Aptos" w:cs="Arial"/>
          <w:color w:val="000000"/>
          <w:kern w:val="0"/>
          <w:sz w:val="22"/>
          <w:szCs w:val="22"/>
          <w:lang w:eastAsia="en-GB"/>
          <w14:ligatures w14:val="none"/>
        </w:rPr>
        <w:fldChar w:fldCharType="separate"/>
      </w:r>
      <w:r w:rsidRPr="007477C4">
        <w:rPr>
          <w:rFonts w:ascii="Aptos" w:eastAsia="Times New Roman" w:hAnsi="Aptos" w:cs="Arial"/>
          <w:color w:val="1155CC"/>
          <w:kern w:val="0"/>
          <w:sz w:val="22"/>
          <w:szCs w:val="22"/>
          <w:u w:val="single"/>
          <w:lang w:eastAsia="en-GB"/>
          <w14:ligatures w14:val="none"/>
        </w:rPr>
        <w:t>[1]</w:t>
      </w:r>
      <w:r w:rsidRPr="007477C4">
        <w:rPr>
          <w:rFonts w:ascii="Aptos" w:eastAsia="Times New Roman" w:hAnsi="Aptos" w:cs="Arial"/>
          <w:color w:val="000000"/>
          <w:kern w:val="0"/>
          <w:sz w:val="22"/>
          <w:szCs w:val="22"/>
          <w:lang w:eastAsia="en-GB"/>
          <w14:ligatures w14:val="none"/>
        </w:rPr>
        <w:fldChar w:fldCharType="end"/>
      </w:r>
      <w:bookmarkEnd w:id="0"/>
      <w:r w:rsidRPr="007477C4">
        <w:rPr>
          <w:rFonts w:ascii="Aptos" w:eastAsia="Times New Roman" w:hAnsi="Aptos" w:cs="Arial"/>
          <w:color w:val="000000"/>
          <w:kern w:val="0"/>
          <w:sz w:val="22"/>
          <w:szCs w:val="22"/>
          <w:lang w:eastAsia="en-GB"/>
          <w14:ligatures w14:val="none"/>
        </w:rPr>
        <w:t> Quy định tại điểm d, đ, e Khoản 4 Điều 4 Nghị định.</w:t>
      </w:r>
    </w:p>
    <w:p w:rsidR="007477C4" w:rsidRPr="007477C4" w:rsidRDefault="007477C4" w:rsidP="007477C4">
      <w:pPr>
        <w:spacing w:after="0" w:line="240" w:lineRule="auto"/>
        <w:rPr>
          <w:rFonts w:ascii="Times New Roman" w:eastAsia="Times New Roman" w:hAnsi="Times New Roman" w:cs="Times New Roman"/>
          <w:kern w:val="0"/>
          <w:lang w:eastAsia="en-GB"/>
          <w14:ligatures w14:val="none"/>
        </w:rPr>
      </w:pPr>
    </w:p>
    <w:p w:rsidR="003F1867" w:rsidRDefault="003F1867">
      <w:pPr>
        <w:rPr>
          <w:lang w:val="vi-VN"/>
        </w:rPr>
      </w:pPr>
    </w:p>
    <w:p w:rsidR="002A019B" w:rsidRPr="002A019B" w:rsidRDefault="002A019B" w:rsidP="002A019B">
      <w:pPr>
        <w:shd w:val="clear" w:color="auto" w:fill="FFFFFF"/>
        <w:spacing w:after="0" w:line="240" w:lineRule="auto"/>
        <w:rPr>
          <w:rFonts w:ascii="Aptos" w:eastAsia="Times New Roman" w:hAnsi="Aptos" w:cs="Times New Roman"/>
          <w:color w:val="000000"/>
          <w:kern w:val="0"/>
          <w:sz w:val="22"/>
          <w:szCs w:val="22"/>
          <w:lang w:eastAsia="en-GB"/>
          <w14:ligatures w14:val="none"/>
        </w:rPr>
      </w:pPr>
      <w:r w:rsidRPr="002A019B">
        <w:rPr>
          <w:rFonts w:ascii="Aptos" w:eastAsia="Times New Roman" w:hAnsi="Aptos" w:cs="Times New Roman"/>
          <w:b/>
          <w:bCs/>
          <w:color w:val="000000"/>
          <w:kern w:val="0"/>
          <w:sz w:val="22"/>
          <w:szCs w:val="22"/>
          <w:lang w:eastAsia="en-GB"/>
          <w14:ligatures w14:val="none"/>
        </w:rPr>
        <w:t>Nghị định 181/2025/NĐ-CP vừa được ban hành và có hiệu lực kể từ 1/7/2025, tuy nhiên, có một số các vướng mắc, khó khăn trong quá trình áp dụng, cụ thể:</w:t>
      </w:r>
      <w:r w:rsidRPr="002A019B">
        <w:rPr>
          <w:rFonts w:ascii="Aptos" w:eastAsia="Times New Roman" w:hAnsi="Aptos" w:cs="Times New Roman"/>
          <w:color w:val="000000"/>
          <w:kern w:val="0"/>
          <w:sz w:val="22"/>
          <w:szCs w:val="22"/>
          <w:lang w:eastAsia="en-GB"/>
          <w14:ligatures w14:val="none"/>
        </w:rPr>
        <w:t> </w:t>
      </w:r>
    </w:p>
    <w:p w:rsidR="002A019B" w:rsidRPr="002A019B" w:rsidRDefault="002A019B" w:rsidP="002A019B">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2A019B">
        <w:rPr>
          <w:rFonts w:ascii="Aptos" w:eastAsia="Times New Roman" w:hAnsi="Aptos" w:cs="Times New Roman"/>
          <w:color w:val="000000"/>
          <w:kern w:val="0"/>
          <w:sz w:val="22"/>
          <w:szCs w:val="22"/>
          <w:lang w:eastAsia="en-GB"/>
          <w14:ligatures w14:val="none"/>
        </w:rPr>
        <w:t xml:space="preserve">Căn cứ theo quy định tại </w:t>
      </w:r>
      <w:r w:rsidRPr="002A019B">
        <w:rPr>
          <w:rFonts w:ascii="Aptos" w:eastAsia="Times New Roman" w:hAnsi="Aptos" w:cs="Times New Roman"/>
          <w:b/>
          <w:bCs/>
          <w:color w:val="000000"/>
          <w:kern w:val="0"/>
          <w:sz w:val="22"/>
          <w:szCs w:val="22"/>
          <w:lang w:eastAsia="en-GB"/>
          <w14:ligatures w14:val="none"/>
        </w:rPr>
        <w:t>điểm đ khoản 4 Điều 4 Nghị định hướng dẫn thi hành Luật Thuế giá trị gia tăng</w:t>
      </w:r>
      <w:r w:rsidRPr="002A019B">
        <w:rPr>
          <w:rFonts w:ascii="Aptos" w:eastAsia="Times New Roman" w:hAnsi="Aptos" w:cs="Times New Roman"/>
          <w:color w:val="000000"/>
          <w:kern w:val="0"/>
          <w:sz w:val="22"/>
          <w:szCs w:val="22"/>
          <w:lang w:eastAsia="en-GB"/>
          <w14:ligatures w14:val="none"/>
        </w:rPr>
        <w:t>, trong đó quy định: </w:t>
      </w:r>
    </w:p>
    <w:p w:rsidR="002A019B" w:rsidRPr="002A019B" w:rsidRDefault="002A019B" w:rsidP="002A019B">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2A019B">
        <w:rPr>
          <w:rFonts w:ascii="Aptos" w:eastAsia="Times New Roman" w:hAnsi="Aptos" w:cs="Times New Roman"/>
          <w:color w:val="000000"/>
          <w:kern w:val="0"/>
          <w:sz w:val="22"/>
          <w:szCs w:val="22"/>
          <w:lang w:eastAsia="en-GB"/>
          <w14:ligatures w14:val="none"/>
        </w:rPr>
        <w:t>“</w:t>
      </w:r>
      <w:r w:rsidRPr="002A019B">
        <w:rPr>
          <w:rFonts w:ascii="Aptos" w:eastAsia="Times New Roman" w:hAnsi="Aptos" w:cs="Times New Roman"/>
          <w:i/>
          <w:iCs/>
          <w:color w:val="000000"/>
          <w:kern w:val="0"/>
          <w:sz w:val="22"/>
          <w:szCs w:val="22"/>
          <w:u w:val="single"/>
          <w:lang w:eastAsia="en-GB"/>
          <w14:ligatures w14:val="none"/>
        </w:rPr>
        <w:t xml:space="preserve">Bán nợ </w:t>
      </w:r>
      <w:r w:rsidRPr="002A019B">
        <w:rPr>
          <w:rFonts w:ascii="Aptos" w:eastAsia="Times New Roman" w:hAnsi="Aptos" w:cs="Times New Roman"/>
          <w:b/>
          <w:bCs/>
          <w:i/>
          <w:iCs/>
          <w:color w:val="000000"/>
          <w:kern w:val="0"/>
          <w:sz w:val="22"/>
          <w:szCs w:val="22"/>
          <w:u w:val="single"/>
          <w:lang w:eastAsia="en-GB"/>
          <w14:ligatures w14:val="none"/>
        </w:rPr>
        <w:t>bao gồm</w:t>
      </w:r>
      <w:r w:rsidRPr="002A019B">
        <w:rPr>
          <w:rFonts w:ascii="Aptos" w:eastAsia="Times New Roman" w:hAnsi="Aptos" w:cs="Times New Roman"/>
          <w:i/>
          <w:iCs/>
          <w:color w:val="000000"/>
          <w:kern w:val="0"/>
          <w:sz w:val="22"/>
          <w:szCs w:val="22"/>
          <w:u w:val="single"/>
          <w:lang w:eastAsia="en-GB"/>
          <w14:ligatures w14:val="none"/>
        </w:rPr>
        <w:t xml:space="preserve"> bán khoản phải trả và khoản phải thu, bán chứng chỉ tiền gửi giữa người nộp thuế không phải là tổ chức tín dụng</w:t>
      </w:r>
      <w:r w:rsidRPr="002A019B">
        <w:rPr>
          <w:rFonts w:ascii="Aptos" w:eastAsia="Times New Roman" w:hAnsi="Aptos" w:cs="Times New Roman"/>
          <w:color w:val="000000"/>
          <w:kern w:val="0"/>
          <w:sz w:val="22"/>
          <w:szCs w:val="22"/>
          <w:lang w:eastAsia="en-GB"/>
          <w14:ligatures w14:val="none"/>
        </w:rPr>
        <w:t xml:space="preserve">” là </w:t>
      </w:r>
      <w:r w:rsidRPr="002A019B">
        <w:rPr>
          <w:rFonts w:ascii="Aptos" w:eastAsia="Times New Roman" w:hAnsi="Aptos" w:cs="Times New Roman"/>
          <w:b/>
          <w:bCs/>
          <w:color w:val="000000"/>
          <w:kern w:val="0"/>
          <w:sz w:val="22"/>
          <w:szCs w:val="22"/>
          <w:lang w:eastAsia="en-GB"/>
          <w14:ligatures w14:val="none"/>
        </w:rPr>
        <w:t>đối tượng không chịu thuế GTGT</w:t>
      </w:r>
      <w:r w:rsidRPr="002A019B">
        <w:rPr>
          <w:rFonts w:ascii="Aptos" w:eastAsia="Times New Roman" w:hAnsi="Aptos" w:cs="Times New Roman"/>
          <w:color w:val="000000"/>
          <w:kern w:val="0"/>
          <w:sz w:val="22"/>
          <w:szCs w:val="22"/>
          <w:lang w:eastAsia="en-GB"/>
          <w14:ligatures w14:val="none"/>
        </w:rPr>
        <w:t>. </w:t>
      </w:r>
    </w:p>
    <w:p w:rsidR="002A019B" w:rsidRPr="002A019B" w:rsidRDefault="002A019B" w:rsidP="002A019B">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2A019B">
        <w:rPr>
          <w:rFonts w:ascii="Aptos" w:eastAsia="Times New Roman" w:hAnsi="Aptos" w:cs="Times New Roman"/>
          <w:b/>
          <w:bCs/>
          <w:color w:val="000000"/>
          <w:kern w:val="0"/>
          <w:sz w:val="22"/>
          <w:szCs w:val="22"/>
          <w:lang w:eastAsia="en-GB"/>
          <w14:ligatures w14:val="none"/>
        </w:rPr>
        <w:t>Vướng mắc, cản trở doanh nghiệp tham gia đầu tư và gây khó khăn cho hoạt động huy động vốn trung – dài hạn của ngân hàng:</w:t>
      </w:r>
      <w:r w:rsidRPr="002A019B">
        <w:rPr>
          <w:rFonts w:ascii="Aptos" w:eastAsia="Times New Roman" w:hAnsi="Aptos" w:cs="Times New Roman"/>
          <w:color w:val="000000"/>
          <w:kern w:val="0"/>
          <w:sz w:val="22"/>
          <w:szCs w:val="22"/>
          <w:lang w:eastAsia="en-GB"/>
          <w14:ligatures w14:val="none"/>
        </w:rPr>
        <w:t> </w:t>
      </w:r>
    </w:p>
    <w:p w:rsidR="002A019B" w:rsidRPr="002A019B" w:rsidRDefault="002A019B" w:rsidP="002A019B">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2A019B">
        <w:rPr>
          <w:rFonts w:ascii="Aptos" w:eastAsia="Times New Roman" w:hAnsi="Aptos" w:cs="Times New Roman"/>
          <w:color w:val="000000"/>
          <w:kern w:val="0"/>
          <w:sz w:val="22"/>
          <w:szCs w:val="22"/>
          <w:lang w:eastAsia="en-GB"/>
          <w14:ligatures w14:val="none"/>
        </w:rPr>
        <w:t xml:space="preserve">Việc quy định </w:t>
      </w:r>
      <w:r w:rsidRPr="002A019B">
        <w:rPr>
          <w:rFonts w:ascii="Aptos" w:eastAsia="Times New Roman" w:hAnsi="Aptos" w:cs="Times New Roman"/>
          <w:b/>
          <w:bCs/>
          <w:color w:val="000000"/>
          <w:kern w:val="0"/>
          <w:sz w:val="22"/>
          <w:szCs w:val="22"/>
          <w:lang w:eastAsia="en-GB"/>
          <w14:ligatures w14:val="none"/>
        </w:rPr>
        <w:t>giao dịch mua bán chứng chỉ tiền gửi (CCTG) giữa người nộp thuế không phải là tổ chức tín dụng (TCTD)</w:t>
      </w:r>
      <w:r w:rsidRPr="002A019B">
        <w:rPr>
          <w:rFonts w:ascii="Aptos" w:eastAsia="Times New Roman" w:hAnsi="Aptos" w:cs="Times New Roman"/>
          <w:color w:val="000000"/>
          <w:kern w:val="0"/>
          <w:sz w:val="22"/>
          <w:szCs w:val="22"/>
          <w:lang w:eastAsia="en-GB"/>
          <w14:ligatures w14:val="none"/>
        </w:rPr>
        <w:t xml:space="preserve"> là </w:t>
      </w:r>
      <w:r w:rsidRPr="002A019B">
        <w:rPr>
          <w:rFonts w:ascii="Aptos" w:eastAsia="Times New Roman" w:hAnsi="Aptos" w:cs="Times New Roman"/>
          <w:b/>
          <w:bCs/>
          <w:color w:val="000000"/>
          <w:kern w:val="0"/>
          <w:sz w:val="22"/>
          <w:szCs w:val="22"/>
          <w:lang w:eastAsia="en-GB"/>
          <w14:ligatures w14:val="none"/>
        </w:rPr>
        <w:t>đối tượng không chịu thuế GTGT</w:t>
      </w:r>
      <w:r w:rsidRPr="002A019B">
        <w:rPr>
          <w:rFonts w:ascii="Aptos" w:eastAsia="Times New Roman" w:hAnsi="Aptos" w:cs="Times New Roman"/>
          <w:color w:val="000000"/>
          <w:kern w:val="0"/>
          <w:sz w:val="22"/>
          <w:szCs w:val="22"/>
          <w:lang w:eastAsia="en-GB"/>
          <w14:ligatures w14:val="none"/>
        </w:rPr>
        <w:t xml:space="preserve"> đã và đang gây ra các hệ quả không mong muốn đối với doanh nghiệp và ngành ngân hàng, cụ thể: </w:t>
      </w:r>
    </w:p>
    <w:p w:rsidR="002A019B" w:rsidRPr="002A019B" w:rsidRDefault="002A019B" w:rsidP="002A019B">
      <w:pPr>
        <w:numPr>
          <w:ilvl w:val="0"/>
          <w:numId w:val="5"/>
        </w:numPr>
        <w:shd w:val="clear" w:color="auto" w:fill="FFFFFF"/>
        <w:spacing w:after="0" w:line="240" w:lineRule="auto"/>
        <w:ind w:left="945" w:firstLine="0"/>
        <w:jc w:val="both"/>
        <w:rPr>
          <w:rFonts w:ascii="Aptos" w:eastAsia="Times New Roman" w:hAnsi="Aptos" w:cs="Arial"/>
          <w:color w:val="000000"/>
          <w:kern w:val="0"/>
          <w:sz w:val="22"/>
          <w:szCs w:val="22"/>
          <w:lang w:eastAsia="en-GB"/>
          <w14:ligatures w14:val="none"/>
        </w:rPr>
      </w:pPr>
      <w:r w:rsidRPr="002A019B">
        <w:rPr>
          <w:rFonts w:ascii="Aptos" w:eastAsia="Times New Roman" w:hAnsi="Aptos" w:cs="Arial"/>
          <w:b/>
          <w:bCs/>
          <w:color w:val="000000"/>
          <w:kern w:val="0"/>
          <w:sz w:val="22"/>
          <w:szCs w:val="22"/>
          <w:lang w:eastAsia="en-GB"/>
          <w14:ligatures w14:val="none"/>
        </w:rPr>
        <w:t>Doanh nghiệp gặp bất lợi về thuế</w:t>
      </w:r>
      <w:r w:rsidRPr="002A019B">
        <w:rPr>
          <w:rFonts w:ascii="Aptos" w:eastAsia="Times New Roman" w:hAnsi="Aptos" w:cs="Arial"/>
          <w:color w:val="000000"/>
          <w:kern w:val="0"/>
          <w:sz w:val="22"/>
          <w:szCs w:val="22"/>
          <w:lang w:eastAsia="en-GB"/>
          <w14:ligatures w14:val="none"/>
        </w:rPr>
        <w:t xml:space="preserve">: Khi giao dịch thuộc đối tượng không chịu thuế GTGT, doanh nghiệp không được khấu trừ thuế GTGT đầu vào của các chi phí liên quan như phí tư vấn, môi giới, dịch vụ tài chính… Điều này </w:t>
      </w:r>
      <w:r w:rsidRPr="002A019B">
        <w:rPr>
          <w:rFonts w:ascii="Aptos" w:eastAsia="Times New Roman" w:hAnsi="Aptos" w:cs="Arial"/>
          <w:b/>
          <w:bCs/>
          <w:color w:val="000000"/>
          <w:kern w:val="0"/>
          <w:sz w:val="22"/>
          <w:szCs w:val="22"/>
          <w:lang w:eastAsia="en-GB"/>
          <w14:ligatures w14:val="none"/>
        </w:rPr>
        <w:t>làm tăng chi phí thực tế</w:t>
      </w:r>
      <w:r w:rsidRPr="002A019B">
        <w:rPr>
          <w:rFonts w:ascii="Aptos" w:eastAsia="Times New Roman" w:hAnsi="Aptos" w:cs="Arial"/>
          <w:color w:val="000000"/>
          <w:kern w:val="0"/>
          <w:sz w:val="22"/>
          <w:szCs w:val="22"/>
          <w:lang w:eastAsia="en-GB"/>
          <w14:ligatures w14:val="none"/>
        </w:rPr>
        <w:t xml:space="preserve">, giảm hiệu quả đầu tư và </w:t>
      </w:r>
      <w:r w:rsidRPr="002A019B">
        <w:rPr>
          <w:rFonts w:ascii="Aptos" w:eastAsia="Times New Roman" w:hAnsi="Aptos" w:cs="Arial"/>
          <w:b/>
          <w:bCs/>
          <w:color w:val="000000"/>
          <w:kern w:val="0"/>
          <w:sz w:val="22"/>
          <w:szCs w:val="22"/>
          <w:lang w:eastAsia="en-GB"/>
          <w14:ligatures w14:val="none"/>
        </w:rPr>
        <w:t>gây tâm lý e ngại khi tham gia thị trường CCTG</w:t>
      </w:r>
      <w:r w:rsidRPr="002A019B">
        <w:rPr>
          <w:rFonts w:ascii="Aptos" w:eastAsia="Times New Roman" w:hAnsi="Aptos" w:cs="Arial"/>
          <w:color w:val="000000"/>
          <w:kern w:val="0"/>
          <w:sz w:val="22"/>
          <w:szCs w:val="22"/>
          <w:lang w:eastAsia="en-GB"/>
          <w14:ligatures w14:val="none"/>
        </w:rPr>
        <w:t>.  </w:t>
      </w:r>
    </w:p>
    <w:p w:rsidR="002A019B" w:rsidRPr="002A019B" w:rsidRDefault="002A019B" w:rsidP="002A019B">
      <w:pPr>
        <w:numPr>
          <w:ilvl w:val="0"/>
          <w:numId w:val="5"/>
        </w:numPr>
        <w:shd w:val="clear" w:color="auto" w:fill="FFFFFF"/>
        <w:spacing w:after="0" w:line="240" w:lineRule="auto"/>
        <w:ind w:left="945" w:firstLine="0"/>
        <w:jc w:val="both"/>
        <w:rPr>
          <w:rFonts w:ascii="Aptos" w:eastAsia="Times New Roman" w:hAnsi="Aptos" w:cs="Arial"/>
          <w:color w:val="000000"/>
          <w:kern w:val="0"/>
          <w:sz w:val="22"/>
          <w:szCs w:val="22"/>
          <w:lang w:eastAsia="en-GB"/>
          <w14:ligatures w14:val="none"/>
        </w:rPr>
      </w:pPr>
      <w:r w:rsidRPr="002A019B">
        <w:rPr>
          <w:rFonts w:ascii="Aptos" w:eastAsia="Times New Roman" w:hAnsi="Aptos" w:cs="Arial"/>
          <w:b/>
          <w:bCs/>
          <w:color w:val="000000"/>
          <w:kern w:val="0"/>
          <w:sz w:val="22"/>
          <w:szCs w:val="22"/>
          <w:lang w:eastAsia="en-GB"/>
          <w14:ligatures w14:val="none"/>
        </w:rPr>
        <w:lastRenderedPageBreak/>
        <w:t>Không có hóa đơn GTGT – khó chứng minh chi phí hợp lý</w:t>
      </w:r>
      <w:r w:rsidRPr="002A019B">
        <w:rPr>
          <w:rFonts w:ascii="Aptos" w:eastAsia="Times New Roman" w:hAnsi="Aptos" w:cs="Arial"/>
          <w:color w:val="000000"/>
          <w:kern w:val="0"/>
          <w:sz w:val="22"/>
          <w:szCs w:val="22"/>
          <w:lang w:eastAsia="en-GB"/>
          <w14:ligatures w14:val="none"/>
        </w:rPr>
        <w:t xml:space="preserve">: Việc thiếu hóa đơn GTGT hợp lệ cho các giao dịch này khiến doanh nghiệp </w:t>
      </w:r>
      <w:r w:rsidRPr="002A019B">
        <w:rPr>
          <w:rFonts w:ascii="Aptos" w:eastAsia="Times New Roman" w:hAnsi="Aptos" w:cs="Arial"/>
          <w:b/>
          <w:bCs/>
          <w:color w:val="000000"/>
          <w:kern w:val="0"/>
          <w:sz w:val="22"/>
          <w:szCs w:val="22"/>
          <w:lang w:eastAsia="en-GB"/>
          <w14:ligatures w14:val="none"/>
        </w:rPr>
        <w:t>gặp rủi ro khi quyết toán thuế TNDN</w:t>
      </w:r>
      <w:r w:rsidRPr="002A019B">
        <w:rPr>
          <w:rFonts w:ascii="Aptos" w:eastAsia="Times New Roman" w:hAnsi="Aptos" w:cs="Arial"/>
          <w:color w:val="000000"/>
          <w:kern w:val="0"/>
          <w:sz w:val="22"/>
          <w:szCs w:val="22"/>
          <w:lang w:eastAsia="en-GB"/>
          <w14:ligatures w14:val="none"/>
        </w:rPr>
        <w:t>, thậm chí có thể không được ghi nhận là chi phí được trừ.  </w:t>
      </w:r>
    </w:p>
    <w:p w:rsidR="002A019B" w:rsidRPr="002A019B" w:rsidRDefault="002A019B" w:rsidP="002A019B">
      <w:pPr>
        <w:numPr>
          <w:ilvl w:val="0"/>
          <w:numId w:val="5"/>
        </w:numPr>
        <w:shd w:val="clear" w:color="auto" w:fill="FFFFFF"/>
        <w:spacing w:after="0" w:line="240" w:lineRule="auto"/>
        <w:ind w:left="945" w:firstLine="0"/>
        <w:jc w:val="both"/>
        <w:rPr>
          <w:rFonts w:ascii="Aptos" w:eastAsia="Times New Roman" w:hAnsi="Aptos" w:cs="Arial"/>
          <w:color w:val="000000"/>
          <w:kern w:val="0"/>
          <w:sz w:val="22"/>
          <w:szCs w:val="22"/>
          <w:lang w:eastAsia="en-GB"/>
          <w14:ligatures w14:val="none"/>
        </w:rPr>
      </w:pPr>
      <w:r w:rsidRPr="002A019B">
        <w:rPr>
          <w:rFonts w:ascii="Aptos" w:eastAsia="Times New Roman" w:hAnsi="Aptos" w:cs="Arial"/>
          <w:b/>
          <w:bCs/>
          <w:color w:val="000000"/>
          <w:kern w:val="0"/>
          <w:sz w:val="22"/>
          <w:szCs w:val="22"/>
          <w:lang w:eastAsia="en-GB"/>
          <w14:ligatures w14:val="none"/>
        </w:rPr>
        <w:t>Ảnh hưởng tiêu cực đến huy động vốn trung – dài hạn của ngân hàng</w:t>
      </w:r>
      <w:r w:rsidRPr="002A019B">
        <w:rPr>
          <w:rFonts w:ascii="Aptos" w:eastAsia="Times New Roman" w:hAnsi="Aptos" w:cs="Arial"/>
          <w:color w:val="000000"/>
          <w:kern w:val="0"/>
          <w:sz w:val="22"/>
          <w:szCs w:val="22"/>
          <w:lang w:eastAsia="en-GB"/>
          <w14:ligatures w14:val="none"/>
        </w:rPr>
        <w:t xml:space="preserve">: CCTG là công cụ huy động vốn trung và dài hạn quan trọng của các ngân hàng, thường hướng đến khách hàng doanh nghiệp có dòng tiền ổn định. Tuy nhiên, quy định nêu trên đã </w:t>
      </w:r>
      <w:r w:rsidRPr="002A019B">
        <w:rPr>
          <w:rFonts w:ascii="Aptos" w:eastAsia="Times New Roman" w:hAnsi="Aptos" w:cs="Arial"/>
          <w:b/>
          <w:bCs/>
          <w:color w:val="000000"/>
          <w:kern w:val="0"/>
          <w:sz w:val="22"/>
          <w:szCs w:val="22"/>
          <w:lang w:eastAsia="en-GB"/>
          <w14:ligatures w14:val="none"/>
        </w:rPr>
        <w:t>giảm tính hấp dẫn của CCTG</w:t>
      </w:r>
      <w:r w:rsidRPr="002A019B">
        <w:rPr>
          <w:rFonts w:ascii="Aptos" w:eastAsia="Times New Roman" w:hAnsi="Aptos" w:cs="Arial"/>
          <w:color w:val="000000"/>
          <w:kern w:val="0"/>
          <w:sz w:val="22"/>
          <w:szCs w:val="22"/>
          <w:lang w:eastAsia="en-GB"/>
          <w14:ligatures w14:val="none"/>
        </w:rPr>
        <w:t xml:space="preserve">, gián tiếp </w:t>
      </w:r>
      <w:r w:rsidRPr="002A019B">
        <w:rPr>
          <w:rFonts w:ascii="Aptos" w:eastAsia="Times New Roman" w:hAnsi="Aptos" w:cs="Arial"/>
          <w:b/>
          <w:bCs/>
          <w:color w:val="000000"/>
          <w:kern w:val="0"/>
          <w:sz w:val="22"/>
          <w:szCs w:val="22"/>
          <w:lang w:eastAsia="en-GB"/>
          <w14:ligatures w14:val="none"/>
        </w:rPr>
        <w:t>gây khó khăn cho hoạt động huy động vốn</w:t>
      </w:r>
      <w:r w:rsidRPr="002A019B">
        <w:rPr>
          <w:rFonts w:ascii="Aptos" w:eastAsia="Times New Roman" w:hAnsi="Aptos" w:cs="Arial"/>
          <w:color w:val="000000"/>
          <w:kern w:val="0"/>
          <w:sz w:val="22"/>
          <w:szCs w:val="22"/>
          <w:lang w:eastAsia="en-GB"/>
          <w14:ligatures w14:val="none"/>
        </w:rPr>
        <w:t xml:space="preserve"> của hệ thống ngân hàng, nhất là trong bối cảnh thị trường trái phiếu doanh nghiệp còn nhiều hạn chế.  </w:t>
      </w:r>
    </w:p>
    <w:p w:rsidR="002A019B" w:rsidRPr="002A019B" w:rsidRDefault="002A019B" w:rsidP="002A019B">
      <w:pPr>
        <w:shd w:val="clear" w:color="auto" w:fill="FFFFFF"/>
        <w:spacing w:after="0" w:line="240" w:lineRule="auto"/>
        <w:rPr>
          <w:rFonts w:ascii="Aptos" w:eastAsia="Times New Roman" w:hAnsi="Aptos" w:cs="Times New Roman"/>
          <w:color w:val="000000"/>
          <w:kern w:val="0"/>
          <w:sz w:val="22"/>
          <w:szCs w:val="22"/>
          <w:lang w:eastAsia="en-GB"/>
          <w14:ligatures w14:val="none"/>
        </w:rPr>
      </w:pPr>
    </w:p>
    <w:p w:rsidR="002A019B" w:rsidRPr="002A019B" w:rsidRDefault="002A019B" w:rsidP="002A019B">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2A019B">
        <w:rPr>
          <w:rFonts w:ascii="Aptos" w:eastAsia="Times New Roman" w:hAnsi="Aptos" w:cs="Times New Roman"/>
          <w:b/>
          <w:bCs/>
          <w:color w:val="000000"/>
          <w:kern w:val="0"/>
          <w:sz w:val="22"/>
          <w:szCs w:val="22"/>
          <w:lang w:eastAsia="en-GB"/>
          <w14:ligatures w14:val="none"/>
        </w:rPr>
        <w:t>Kiến nghị</w:t>
      </w:r>
      <w:r w:rsidRPr="002A019B">
        <w:rPr>
          <w:rFonts w:ascii="Aptos" w:eastAsia="Times New Roman" w:hAnsi="Aptos" w:cs="Times New Roman"/>
          <w:color w:val="000000"/>
          <w:kern w:val="0"/>
          <w:sz w:val="22"/>
          <w:szCs w:val="22"/>
          <w:lang w:eastAsia="en-GB"/>
          <w14:ligatures w14:val="none"/>
        </w:rPr>
        <w:t> </w:t>
      </w:r>
    </w:p>
    <w:p w:rsidR="002A019B" w:rsidRPr="002A019B" w:rsidRDefault="002A019B" w:rsidP="002A019B">
      <w:pPr>
        <w:shd w:val="clear" w:color="auto" w:fill="FFFFFF"/>
        <w:spacing w:line="240" w:lineRule="auto"/>
        <w:jc w:val="both"/>
        <w:rPr>
          <w:rFonts w:ascii="Aptos" w:eastAsia="Times New Roman" w:hAnsi="Aptos" w:cs="Times New Roman"/>
          <w:color w:val="000000"/>
          <w:kern w:val="0"/>
          <w:sz w:val="22"/>
          <w:szCs w:val="22"/>
          <w:lang w:eastAsia="en-GB"/>
          <w14:ligatures w14:val="none"/>
        </w:rPr>
      </w:pPr>
      <w:r w:rsidRPr="002A019B">
        <w:rPr>
          <w:rFonts w:ascii="Aptos" w:eastAsia="Times New Roman" w:hAnsi="Aptos" w:cs="Times New Roman"/>
          <w:b/>
          <w:bCs/>
          <w:color w:val="000000"/>
          <w:kern w:val="0"/>
          <w:sz w:val="22"/>
          <w:szCs w:val="22"/>
          <w:lang w:eastAsia="en-GB"/>
          <w14:ligatures w14:val="none"/>
        </w:rPr>
        <w:t>Xem xét lại quy định về thuế GTGT đối với giao dịch bán chứng chỉ tiền gửi giữa các bên không phải là tổ chức tín dụng</w:t>
      </w:r>
      <w:r w:rsidRPr="002A019B">
        <w:rPr>
          <w:rFonts w:ascii="Aptos" w:eastAsia="Times New Roman" w:hAnsi="Aptos" w:cs="Times New Roman"/>
          <w:color w:val="000000"/>
          <w:kern w:val="0"/>
          <w:sz w:val="22"/>
          <w:szCs w:val="22"/>
          <w:lang w:eastAsia="en-GB"/>
          <w14:ligatures w14:val="none"/>
        </w:rPr>
        <w:t>, nhằm: </w:t>
      </w:r>
    </w:p>
    <w:p w:rsidR="002A019B" w:rsidRPr="002A019B" w:rsidRDefault="002A019B" w:rsidP="002A019B">
      <w:pPr>
        <w:numPr>
          <w:ilvl w:val="0"/>
          <w:numId w:val="6"/>
        </w:numPr>
        <w:shd w:val="clear" w:color="auto" w:fill="FFFFFF"/>
        <w:spacing w:after="0" w:line="240" w:lineRule="auto"/>
        <w:ind w:left="945" w:firstLine="0"/>
        <w:jc w:val="both"/>
        <w:rPr>
          <w:rFonts w:ascii="Aptos" w:eastAsia="Times New Roman" w:hAnsi="Aptos" w:cs="Arial"/>
          <w:color w:val="000000"/>
          <w:kern w:val="0"/>
          <w:sz w:val="22"/>
          <w:szCs w:val="22"/>
          <w:lang w:eastAsia="en-GB"/>
          <w14:ligatures w14:val="none"/>
        </w:rPr>
      </w:pPr>
      <w:r w:rsidRPr="002A019B">
        <w:rPr>
          <w:rFonts w:ascii="Aptos" w:eastAsia="Times New Roman" w:hAnsi="Aptos" w:cs="Arial"/>
          <w:color w:val="000000"/>
          <w:kern w:val="0"/>
          <w:sz w:val="22"/>
          <w:szCs w:val="22"/>
          <w:lang w:eastAsia="en-GB"/>
          <w14:ligatures w14:val="none"/>
        </w:rPr>
        <w:t>Đảm bảo sự công bằng trong tiếp cận chính sách thuế giữa các công cụ tài chính; </w:t>
      </w:r>
    </w:p>
    <w:p w:rsidR="002A019B" w:rsidRPr="002A019B" w:rsidRDefault="002A019B" w:rsidP="002A019B">
      <w:pPr>
        <w:numPr>
          <w:ilvl w:val="0"/>
          <w:numId w:val="6"/>
        </w:numPr>
        <w:shd w:val="clear" w:color="auto" w:fill="FFFFFF"/>
        <w:spacing w:after="0" w:line="240" w:lineRule="auto"/>
        <w:ind w:left="945" w:firstLine="0"/>
        <w:jc w:val="both"/>
        <w:rPr>
          <w:rFonts w:ascii="Aptos" w:eastAsia="Times New Roman" w:hAnsi="Aptos" w:cs="Arial"/>
          <w:color w:val="000000"/>
          <w:kern w:val="0"/>
          <w:sz w:val="22"/>
          <w:szCs w:val="22"/>
          <w:lang w:eastAsia="en-GB"/>
          <w14:ligatures w14:val="none"/>
        </w:rPr>
      </w:pPr>
      <w:r w:rsidRPr="002A019B">
        <w:rPr>
          <w:rFonts w:ascii="Aptos" w:eastAsia="Times New Roman" w:hAnsi="Aptos" w:cs="Arial"/>
          <w:color w:val="000000"/>
          <w:kern w:val="0"/>
          <w:sz w:val="22"/>
          <w:szCs w:val="22"/>
          <w:lang w:eastAsia="en-GB"/>
          <w14:ligatures w14:val="none"/>
        </w:rPr>
        <w:t>Hạn chế rủi ro pháp lý cho doanh nghiệp; </w:t>
      </w:r>
    </w:p>
    <w:p w:rsidR="002A019B" w:rsidRPr="002A019B" w:rsidRDefault="002A019B" w:rsidP="002A019B">
      <w:pPr>
        <w:numPr>
          <w:ilvl w:val="0"/>
          <w:numId w:val="6"/>
        </w:numPr>
        <w:shd w:val="clear" w:color="auto" w:fill="FFFFFF"/>
        <w:spacing w:after="0" w:line="240" w:lineRule="auto"/>
        <w:ind w:left="945" w:firstLine="0"/>
        <w:jc w:val="both"/>
        <w:rPr>
          <w:rFonts w:ascii="Aptos" w:eastAsia="Times New Roman" w:hAnsi="Aptos" w:cs="Arial"/>
          <w:color w:val="000000"/>
          <w:kern w:val="0"/>
          <w:sz w:val="22"/>
          <w:szCs w:val="22"/>
          <w:lang w:eastAsia="en-GB"/>
          <w14:ligatures w14:val="none"/>
        </w:rPr>
      </w:pPr>
      <w:r w:rsidRPr="002A019B">
        <w:rPr>
          <w:rFonts w:ascii="Aptos" w:eastAsia="Times New Roman" w:hAnsi="Aptos" w:cs="Arial"/>
          <w:color w:val="000000"/>
          <w:kern w:val="0"/>
          <w:sz w:val="22"/>
          <w:szCs w:val="22"/>
          <w:lang w:eastAsia="en-GB"/>
          <w14:ligatures w14:val="none"/>
        </w:rPr>
        <w:t>Khuyến khích thị trường chứng chỉ tiền gửi phát triển minh bạch và hiệu quả hơn, qua đó hỗ trợ ngân hàng huy động vốn trung – dài hạn. </w:t>
      </w:r>
    </w:p>
    <w:p w:rsidR="007477C4" w:rsidRPr="007477C4" w:rsidRDefault="007477C4">
      <w:pPr>
        <w:rPr>
          <w:lang w:val="vi-VN"/>
        </w:rPr>
      </w:pPr>
    </w:p>
    <w:sectPr w:rsidR="007477C4" w:rsidRPr="007477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FBB"/>
    <w:multiLevelType w:val="multilevel"/>
    <w:tmpl w:val="19F4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44E38"/>
    <w:multiLevelType w:val="multilevel"/>
    <w:tmpl w:val="DDB2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A5C59"/>
    <w:multiLevelType w:val="multilevel"/>
    <w:tmpl w:val="1ACA1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DB3D47"/>
    <w:multiLevelType w:val="multilevel"/>
    <w:tmpl w:val="38D6E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E3328C"/>
    <w:multiLevelType w:val="multilevel"/>
    <w:tmpl w:val="D39E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D14A7"/>
    <w:multiLevelType w:val="multilevel"/>
    <w:tmpl w:val="0AB4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0722452">
    <w:abstractNumId w:val="2"/>
  </w:num>
  <w:num w:numId="2" w16cid:durableId="1327053489">
    <w:abstractNumId w:val="4"/>
  </w:num>
  <w:num w:numId="3" w16cid:durableId="2128700195">
    <w:abstractNumId w:val="3"/>
  </w:num>
  <w:num w:numId="4" w16cid:durableId="1979914346">
    <w:abstractNumId w:val="5"/>
  </w:num>
  <w:num w:numId="5" w16cid:durableId="1399589509">
    <w:abstractNumId w:val="0"/>
  </w:num>
  <w:num w:numId="6" w16cid:durableId="874348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C4"/>
    <w:rsid w:val="002A019B"/>
    <w:rsid w:val="003F1867"/>
    <w:rsid w:val="005775D5"/>
    <w:rsid w:val="007477C4"/>
    <w:rsid w:val="00A45B1F"/>
    <w:rsid w:val="00E53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8F1D"/>
  <w15:chartTrackingRefBased/>
  <w15:docId w15:val="{10A7AF62-5439-3043-863E-EA89FDED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7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7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7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7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7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7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7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7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7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7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7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7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7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7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7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7C4"/>
    <w:rPr>
      <w:rFonts w:eastAsiaTheme="majorEastAsia" w:cstheme="majorBidi"/>
      <w:color w:val="272727" w:themeColor="text1" w:themeTint="D8"/>
    </w:rPr>
  </w:style>
  <w:style w:type="paragraph" w:styleId="Title">
    <w:name w:val="Title"/>
    <w:basedOn w:val="Normal"/>
    <w:next w:val="Normal"/>
    <w:link w:val="TitleChar"/>
    <w:uiPriority w:val="10"/>
    <w:qFormat/>
    <w:rsid w:val="00747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7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7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7C4"/>
    <w:pPr>
      <w:spacing w:before="160"/>
      <w:jc w:val="center"/>
    </w:pPr>
    <w:rPr>
      <w:i/>
      <w:iCs/>
      <w:color w:val="404040" w:themeColor="text1" w:themeTint="BF"/>
    </w:rPr>
  </w:style>
  <w:style w:type="character" w:customStyle="1" w:styleId="QuoteChar">
    <w:name w:val="Quote Char"/>
    <w:basedOn w:val="DefaultParagraphFont"/>
    <w:link w:val="Quote"/>
    <w:uiPriority w:val="29"/>
    <w:rsid w:val="007477C4"/>
    <w:rPr>
      <w:i/>
      <w:iCs/>
      <w:color w:val="404040" w:themeColor="text1" w:themeTint="BF"/>
    </w:rPr>
  </w:style>
  <w:style w:type="paragraph" w:styleId="ListParagraph">
    <w:name w:val="List Paragraph"/>
    <w:basedOn w:val="Normal"/>
    <w:uiPriority w:val="34"/>
    <w:qFormat/>
    <w:rsid w:val="007477C4"/>
    <w:pPr>
      <w:ind w:left="720"/>
      <w:contextualSpacing/>
    </w:pPr>
  </w:style>
  <w:style w:type="character" w:styleId="IntenseEmphasis">
    <w:name w:val="Intense Emphasis"/>
    <w:basedOn w:val="DefaultParagraphFont"/>
    <w:uiPriority w:val="21"/>
    <w:qFormat/>
    <w:rsid w:val="007477C4"/>
    <w:rPr>
      <w:i/>
      <w:iCs/>
      <w:color w:val="0F4761" w:themeColor="accent1" w:themeShade="BF"/>
    </w:rPr>
  </w:style>
  <w:style w:type="paragraph" w:styleId="IntenseQuote">
    <w:name w:val="Intense Quote"/>
    <w:basedOn w:val="Normal"/>
    <w:next w:val="Normal"/>
    <w:link w:val="IntenseQuoteChar"/>
    <w:uiPriority w:val="30"/>
    <w:qFormat/>
    <w:rsid w:val="00747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7C4"/>
    <w:rPr>
      <w:i/>
      <w:iCs/>
      <w:color w:val="0F4761" w:themeColor="accent1" w:themeShade="BF"/>
    </w:rPr>
  </w:style>
  <w:style w:type="character" w:styleId="IntenseReference">
    <w:name w:val="Intense Reference"/>
    <w:basedOn w:val="DefaultParagraphFont"/>
    <w:uiPriority w:val="32"/>
    <w:qFormat/>
    <w:rsid w:val="007477C4"/>
    <w:rPr>
      <w:b/>
      <w:bCs/>
      <w:smallCaps/>
      <w:color w:val="0F4761" w:themeColor="accent1" w:themeShade="BF"/>
      <w:spacing w:val="5"/>
    </w:rPr>
  </w:style>
  <w:style w:type="character" w:styleId="Hyperlink">
    <w:name w:val="Hyperlink"/>
    <w:basedOn w:val="DefaultParagraphFont"/>
    <w:uiPriority w:val="99"/>
    <w:semiHidden/>
    <w:unhideWhenUsed/>
    <w:rsid w:val="007477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497950">
      <w:bodyDiv w:val="1"/>
      <w:marLeft w:val="0"/>
      <w:marRight w:val="0"/>
      <w:marTop w:val="0"/>
      <w:marBottom w:val="0"/>
      <w:divBdr>
        <w:top w:val="none" w:sz="0" w:space="0" w:color="auto"/>
        <w:left w:val="none" w:sz="0" w:space="0" w:color="auto"/>
        <w:bottom w:val="none" w:sz="0" w:space="0" w:color="auto"/>
        <w:right w:val="none" w:sz="0" w:space="0" w:color="auto"/>
      </w:divBdr>
      <w:divsChild>
        <w:div w:id="1489977793">
          <w:marLeft w:val="0"/>
          <w:marRight w:val="0"/>
          <w:marTop w:val="0"/>
          <w:marBottom w:val="160"/>
          <w:divBdr>
            <w:top w:val="none" w:sz="0" w:space="0" w:color="auto"/>
            <w:left w:val="none" w:sz="0" w:space="0" w:color="auto"/>
            <w:bottom w:val="none" w:sz="0" w:space="0" w:color="auto"/>
            <w:right w:val="none" w:sz="0" w:space="0" w:color="auto"/>
          </w:divBdr>
        </w:div>
        <w:div w:id="857811867">
          <w:marLeft w:val="0"/>
          <w:marRight w:val="0"/>
          <w:marTop w:val="0"/>
          <w:marBottom w:val="160"/>
          <w:divBdr>
            <w:top w:val="none" w:sz="0" w:space="0" w:color="auto"/>
            <w:left w:val="none" w:sz="0" w:space="0" w:color="auto"/>
            <w:bottom w:val="none" w:sz="0" w:space="0" w:color="auto"/>
            <w:right w:val="none" w:sz="0" w:space="0" w:color="auto"/>
          </w:divBdr>
        </w:div>
        <w:div w:id="1800607947">
          <w:marLeft w:val="0"/>
          <w:marRight w:val="0"/>
          <w:marTop w:val="0"/>
          <w:marBottom w:val="160"/>
          <w:divBdr>
            <w:top w:val="none" w:sz="0" w:space="0" w:color="auto"/>
            <w:left w:val="none" w:sz="0" w:space="0" w:color="auto"/>
            <w:bottom w:val="none" w:sz="0" w:space="0" w:color="auto"/>
            <w:right w:val="none" w:sz="0" w:space="0" w:color="auto"/>
          </w:divBdr>
        </w:div>
        <w:div w:id="1049643660">
          <w:marLeft w:val="0"/>
          <w:marRight w:val="0"/>
          <w:marTop w:val="0"/>
          <w:marBottom w:val="160"/>
          <w:divBdr>
            <w:top w:val="none" w:sz="0" w:space="0" w:color="auto"/>
            <w:left w:val="none" w:sz="0" w:space="0" w:color="auto"/>
            <w:bottom w:val="none" w:sz="0" w:space="0" w:color="auto"/>
            <w:right w:val="none" w:sz="0" w:space="0" w:color="auto"/>
          </w:divBdr>
        </w:div>
        <w:div w:id="977415757">
          <w:marLeft w:val="0"/>
          <w:marRight w:val="0"/>
          <w:marTop w:val="0"/>
          <w:marBottom w:val="0"/>
          <w:divBdr>
            <w:top w:val="none" w:sz="0" w:space="0" w:color="auto"/>
            <w:left w:val="none" w:sz="0" w:space="0" w:color="auto"/>
            <w:bottom w:val="none" w:sz="0" w:space="0" w:color="auto"/>
            <w:right w:val="none" w:sz="0" w:space="0" w:color="auto"/>
          </w:divBdr>
        </w:div>
        <w:div w:id="1640765481">
          <w:marLeft w:val="0"/>
          <w:marRight w:val="0"/>
          <w:marTop w:val="0"/>
          <w:marBottom w:val="160"/>
          <w:divBdr>
            <w:top w:val="none" w:sz="0" w:space="0" w:color="auto"/>
            <w:left w:val="none" w:sz="0" w:space="0" w:color="auto"/>
            <w:bottom w:val="none" w:sz="0" w:space="0" w:color="auto"/>
            <w:right w:val="none" w:sz="0" w:space="0" w:color="auto"/>
          </w:divBdr>
        </w:div>
        <w:div w:id="1878732229">
          <w:marLeft w:val="0"/>
          <w:marRight w:val="0"/>
          <w:marTop w:val="0"/>
          <w:marBottom w:val="160"/>
          <w:divBdr>
            <w:top w:val="none" w:sz="0" w:space="0" w:color="auto"/>
            <w:left w:val="none" w:sz="0" w:space="0" w:color="auto"/>
            <w:bottom w:val="none" w:sz="0" w:space="0" w:color="auto"/>
            <w:right w:val="none" w:sz="0" w:space="0" w:color="auto"/>
          </w:divBdr>
        </w:div>
      </w:divsChild>
    </w:div>
    <w:div w:id="1748071912">
      <w:bodyDiv w:val="1"/>
      <w:marLeft w:val="0"/>
      <w:marRight w:val="0"/>
      <w:marTop w:val="0"/>
      <w:marBottom w:val="0"/>
      <w:divBdr>
        <w:top w:val="none" w:sz="0" w:space="0" w:color="auto"/>
        <w:left w:val="none" w:sz="0" w:space="0" w:color="auto"/>
        <w:bottom w:val="none" w:sz="0" w:space="0" w:color="auto"/>
        <w:right w:val="none" w:sz="0" w:space="0" w:color="auto"/>
      </w:divBdr>
      <w:divsChild>
        <w:div w:id="1213691852">
          <w:marLeft w:val="0"/>
          <w:marRight w:val="0"/>
          <w:marTop w:val="0"/>
          <w:marBottom w:val="0"/>
          <w:divBdr>
            <w:top w:val="none" w:sz="0" w:space="0" w:color="auto"/>
            <w:left w:val="none" w:sz="0" w:space="0" w:color="auto"/>
            <w:bottom w:val="none" w:sz="0" w:space="0" w:color="auto"/>
            <w:right w:val="none" w:sz="0" w:space="0" w:color="auto"/>
          </w:divBdr>
        </w:div>
        <w:div w:id="788013714">
          <w:marLeft w:val="0"/>
          <w:marRight w:val="0"/>
          <w:marTop w:val="0"/>
          <w:marBottom w:val="160"/>
          <w:divBdr>
            <w:top w:val="none" w:sz="0" w:space="0" w:color="auto"/>
            <w:left w:val="none" w:sz="0" w:space="0" w:color="auto"/>
            <w:bottom w:val="none" w:sz="0" w:space="0" w:color="auto"/>
            <w:right w:val="none" w:sz="0" w:space="0" w:color="auto"/>
          </w:divBdr>
        </w:div>
        <w:div w:id="1238634001">
          <w:marLeft w:val="0"/>
          <w:marRight w:val="0"/>
          <w:marTop w:val="0"/>
          <w:marBottom w:val="160"/>
          <w:divBdr>
            <w:top w:val="none" w:sz="0" w:space="0" w:color="auto"/>
            <w:left w:val="none" w:sz="0" w:space="0" w:color="auto"/>
            <w:bottom w:val="none" w:sz="0" w:space="0" w:color="auto"/>
            <w:right w:val="none" w:sz="0" w:space="0" w:color="auto"/>
          </w:divBdr>
        </w:div>
        <w:div w:id="491457678">
          <w:marLeft w:val="0"/>
          <w:marRight w:val="0"/>
          <w:marTop w:val="0"/>
          <w:marBottom w:val="160"/>
          <w:divBdr>
            <w:top w:val="none" w:sz="0" w:space="0" w:color="auto"/>
            <w:left w:val="none" w:sz="0" w:space="0" w:color="auto"/>
            <w:bottom w:val="none" w:sz="0" w:space="0" w:color="auto"/>
            <w:right w:val="none" w:sz="0" w:space="0" w:color="auto"/>
          </w:divBdr>
        </w:div>
        <w:div w:id="1399475040">
          <w:marLeft w:val="0"/>
          <w:marRight w:val="0"/>
          <w:marTop w:val="0"/>
          <w:marBottom w:val="160"/>
          <w:divBdr>
            <w:top w:val="none" w:sz="0" w:space="0" w:color="auto"/>
            <w:left w:val="none" w:sz="0" w:space="0" w:color="auto"/>
            <w:bottom w:val="none" w:sz="0" w:space="0" w:color="auto"/>
            <w:right w:val="none" w:sz="0" w:space="0" w:color="auto"/>
          </w:divBdr>
        </w:div>
        <w:div w:id="1116678678">
          <w:marLeft w:val="0"/>
          <w:marRight w:val="0"/>
          <w:marTop w:val="0"/>
          <w:marBottom w:val="160"/>
          <w:divBdr>
            <w:top w:val="none" w:sz="0" w:space="0" w:color="auto"/>
            <w:left w:val="none" w:sz="0" w:space="0" w:color="auto"/>
            <w:bottom w:val="none" w:sz="0" w:space="0" w:color="auto"/>
            <w:right w:val="none" w:sz="0" w:space="0" w:color="auto"/>
          </w:divBdr>
        </w:div>
        <w:div w:id="1899433398">
          <w:marLeft w:val="0"/>
          <w:marRight w:val="0"/>
          <w:marTop w:val="0"/>
          <w:marBottom w:val="160"/>
          <w:divBdr>
            <w:top w:val="none" w:sz="0" w:space="0" w:color="auto"/>
            <w:left w:val="none" w:sz="0" w:space="0" w:color="auto"/>
            <w:bottom w:val="none" w:sz="0" w:space="0" w:color="auto"/>
            <w:right w:val="none" w:sz="0" w:space="0" w:color="auto"/>
          </w:divBdr>
        </w:div>
        <w:div w:id="2093887985">
          <w:marLeft w:val="0"/>
          <w:marRight w:val="0"/>
          <w:marTop w:val="0"/>
          <w:marBottom w:val="160"/>
          <w:divBdr>
            <w:top w:val="none" w:sz="0" w:space="0" w:color="auto"/>
            <w:left w:val="none" w:sz="0" w:space="0" w:color="auto"/>
            <w:bottom w:val="none" w:sz="0" w:space="0" w:color="auto"/>
            <w:right w:val="none" w:sz="0" w:space="0" w:color="auto"/>
          </w:divBdr>
        </w:div>
        <w:div w:id="53819695">
          <w:marLeft w:val="0"/>
          <w:marRight w:val="0"/>
          <w:marTop w:val="0"/>
          <w:marBottom w:val="160"/>
          <w:divBdr>
            <w:top w:val="none" w:sz="0" w:space="0" w:color="auto"/>
            <w:left w:val="none" w:sz="0" w:space="0" w:color="auto"/>
            <w:bottom w:val="none" w:sz="0" w:space="0" w:color="auto"/>
            <w:right w:val="none" w:sz="0" w:space="0" w:color="auto"/>
          </w:divBdr>
        </w:div>
        <w:div w:id="1794976854">
          <w:marLeft w:val="0"/>
          <w:marRight w:val="0"/>
          <w:marTop w:val="0"/>
          <w:marBottom w:val="160"/>
          <w:divBdr>
            <w:top w:val="none" w:sz="0" w:space="0" w:color="auto"/>
            <w:left w:val="none" w:sz="0" w:space="0" w:color="auto"/>
            <w:bottom w:val="none" w:sz="0" w:space="0" w:color="auto"/>
            <w:right w:val="none" w:sz="0" w:space="0" w:color="auto"/>
          </w:divBdr>
        </w:div>
        <w:div w:id="67849245">
          <w:marLeft w:val="0"/>
          <w:marRight w:val="0"/>
          <w:marTop w:val="0"/>
          <w:marBottom w:val="160"/>
          <w:divBdr>
            <w:top w:val="none" w:sz="0" w:space="0" w:color="auto"/>
            <w:left w:val="none" w:sz="0" w:space="0" w:color="auto"/>
            <w:bottom w:val="none" w:sz="0" w:space="0" w:color="auto"/>
            <w:right w:val="none" w:sz="0" w:space="0" w:color="auto"/>
          </w:divBdr>
        </w:div>
        <w:div w:id="94643051">
          <w:marLeft w:val="0"/>
          <w:marRight w:val="0"/>
          <w:marTop w:val="0"/>
          <w:marBottom w:val="160"/>
          <w:divBdr>
            <w:top w:val="none" w:sz="0" w:space="0" w:color="auto"/>
            <w:left w:val="none" w:sz="0" w:space="0" w:color="auto"/>
            <w:bottom w:val="none" w:sz="0" w:space="0" w:color="auto"/>
            <w:right w:val="none" w:sz="0" w:space="0" w:color="auto"/>
          </w:divBdr>
        </w:div>
        <w:div w:id="1130780415">
          <w:marLeft w:val="0"/>
          <w:marRight w:val="0"/>
          <w:marTop w:val="0"/>
          <w:marBottom w:val="160"/>
          <w:divBdr>
            <w:top w:val="none" w:sz="0" w:space="0" w:color="auto"/>
            <w:left w:val="none" w:sz="0" w:space="0" w:color="auto"/>
            <w:bottom w:val="none" w:sz="0" w:space="0" w:color="auto"/>
            <w:right w:val="none" w:sz="0" w:space="0" w:color="auto"/>
          </w:divBdr>
        </w:div>
        <w:div w:id="296566808">
          <w:marLeft w:val="0"/>
          <w:marRight w:val="0"/>
          <w:marTop w:val="0"/>
          <w:marBottom w:val="160"/>
          <w:divBdr>
            <w:top w:val="none" w:sz="0" w:space="0" w:color="auto"/>
            <w:left w:val="none" w:sz="0" w:space="0" w:color="auto"/>
            <w:bottom w:val="none" w:sz="0" w:space="0" w:color="auto"/>
            <w:right w:val="none" w:sz="0" w:space="0" w:color="auto"/>
          </w:divBdr>
        </w:div>
        <w:div w:id="1336345852">
          <w:marLeft w:val="0"/>
          <w:marRight w:val="0"/>
          <w:marTop w:val="0"/>
          <w:marBottom w:val="0"/>
          <w:divBdr>
            <w:top w:val="none" w:sz="0" w:space="0" w:color="auto"/>
            <w:left w:val="none" w:sz="0" w:space="0" w:color="auto"/>
            <w:bottom w:val="none" w:sz="0" w:space="0" w:color="auto"/>
            <w:right w:val="none" w:sz="0" w:space="0" w:color="auto"/>
          </w:divBdr>
        </w:div>
        <w:div w:id="120851890">
          <w:marLeft w:val="0"/>
          <w:marRight w:val="0"/>
          <w:marTop w:val="0"/>
          <w:marBottom w:val="0"/>
          <w:divBdr>
            <w:top w:val="none" w:sz="0" w:space="0" w:color="auto"/>
            <w:left w:val="none" w:sz="0" w:space="0" w:color="auto"/>
            <w:bottom w:val="none" w:sz="0" w:space="0" w:color="auto"/>
            <w:right w:val="none" w:sz="0" w:space="0" w:color="auto"/>
          </w:divBdr>
          <w:divsChild>
            <w:div w:id="10913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il.google.com/mail/u/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Tannie Nguyen</dc:creator>
  <cp:keywords/>
  <dc:description/>
  <cp:lastModifiedBy>Tannie Nguyen</cp:lastModifiedBy>
  <cp:revision>1</cp:revision>
  <dcterms:created xsi:type="dcterms:W3CDTF">2025-07-24T03:41:00Z</dcterms:created>
  <dcterms:modified xsi:type="dcterms:W3CDTF">2025-07-24T04:01:00Z</dcterms:modified>
</cp:coreProperties>
</file>