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6"/>
        <w:tblW w:w="9180" w:type="dxa"/>
        <w:tblLook w:val="00A0"/>
      </w:tblPr>
      <w:tblGrid>
        <w:gridCol w:w="3227"/>
        <w:gridCol w:w="5953"/>
      </w:tblGrid>
      <w:tr w:rsidR="00602248" w:rsidRPr="00211773" w:rsidTr="00DD27A5">
        <w:trPr>
          <w:trHeight w:val="584"/>
        </w:trPr>
        <w:tc>
          <w:tcPr>
            <w:tcW w:w="3227" w:type="dxa"/>
          </w:tcPr>
          <w:p w:rsidR="00602248" w:rsidRPr="00211773" w:rsidRDefault="00602248" w:rsidP="00EA2B53">
            <w:pPr>
              <w:jc w:val="center"/>
              <w:rPr>
                <w:b/>
                <w:sz w:val="26"/>
                <w:szCs w:val="26"/>
              </w:rPr>
            </w:pPr>
            <w:r w:rsidRPr="00211773">
              <w:rPr>
                <w:b/>
                <w:sz w:val="26"/>
                <w:szCs w:val="26"/>
              </w:rPr>
              <w:t>BỘ TÀI CHÍNH</w:t>
            </w:r>
          </w:p>
          <w:p w:rsidR="003B0CC9" w:rsidRPr="00211773" w:rsidRDefault="00615889" w:rsidP="00EA2B53">
            <w:pPr>
              <w:jc w:val="center"/>
              <w:rPr>
                <w:b/>
                <w:bCs/>
                <w:sz w:val="26"/>
                <w:szCs w:val="26"/>
              </w:rPr>
            </w:pPr>
            <w:r w:rsidRPr="00615889">
              <w:rPr>
                <w:b/>
                <w:noProof/>
                <w:sz w:val="26"/>
                <w:szCs w:val="26"/>
              </w:rPr>
              <w:pict>
                <v:line id="_x0000_s2088" style="position:absolute;left:0;text-align:left;z-index:251656192" from="59.25pt,3.05pt" to="96.75pt,3.05pt"/>
              </w:pict>
            </w:r>
          </w:p>
        </w:tc>
        <w:tc>
          <w:tcPr>
            <w:tcW w:w="5953" w:type="dxa"/>
          </w:tcPr>
          <w:p w:rsidR="00602248" w:rsidRPr="00211773" w:rsidRDefault="00602248" w:rsidP="00EA2B53">
            <w:pPr>
              <w:jc w:val="center"/>
              <w:rPr>
                <w:b/>
                <w:sz w:val="26"/>
                <w:szCs w:val="26"/>
              </w:rPr>
            </w:pPr>
            <w:r w:rsidRPr="00211773">
              <w:rPr>
                <w:b/>
                <w:sz w:val="26"/>
                <w:szCs w:val="26"/>
              </w:rPr>
              <w:t>CỘNG HÒA XÃ HỘI CHỦ NGHĨA VIỆT NAM</w:t>
            </w:r>
          </w:p>
          <w:p w:rsidR="00602248" w:rsidRPr="00211773" w:rsidRDefault="00602248" w:rsidP="00EA2B53">
            <w:pPr>
              <w:jc w:val="center"/>
              <w:rPr>
                <w:b/>
              </w:rPr>
            </w:pPr>
            <w:r w:rsidRPr="00211773">
              <w:rPr>
                <w:b/>
              </w:rPr>
              <w:t>Độc lập - Tự do - Hạnh phúc</w:t>
            </w:r>
          </w:p>
          <w:p w:rsidR="00602248" w:rsidRPr="00211773" w:rsidRDefault="00615889" w:rsidP="00EA2B53">
            <w:pPr>
              <w:ind w:firstLine="720"/>
              <w:jc w:val="center"/>
              <w:rPr>
                <w:b/>
                <w:bCs/>
              </w:rPr>
            </w:pPr>
            <w:r w:rsidRPr="00615889">
              <w:rPr>
                <w:noProof/>
              </w:rPr>
              <w:pict>
                <v:line id="_x0000_s2089" style="position:absolute;left:0;text-align:left;z-index:251657216" from="66.3pt,5.5pt" to="217.05pt,5.5pt"/>
              </w:pict>
            </w:r>
          </w:p>
        </w:tc>
      </w:tr>
      <w:tr w:rsidR="00602248" w:rsidRPr="00211773" w:rsidTr="00DD27A5">
        <w:trPr>
          <w:trHeight w:val="1269"/>
        </w:trPr>
        <w:tc>
          <w:tcPr>
            <w:tcW w:w="3227" w:type="dxa"/>
          </w:tcPr>
          <w:p w:rsidR="00DD27A5" w:rsidRPr="00211773" w:rsidRDefault="00602248" w:rsidP="00DD27A5">
            <w:pPr>
              <w:spacing w:after="120"/>
              <w:jc w:val="center"/>
              <w:rPr>
                <w:sz w:val="26"/>
                <w:szCs w:val="26"/>
              </w:rPr>
            </w:pPr>
            <w:r w:rsidRPr="00211773">
              <w:rPr>
                <w:sz w:val="26"/>
                <w:szCs w:val="26"/>
              </w:rPr>
              <w:t>Số:              /</w:t>
            </w:r>
            <w:r w:rsidR="003B0CC9" w:rsidRPr="00211773">
              <w:rPr>
                <w:sz w:val="26"/>
                <w:szCs w:val="26"/>
              </w:rPr>
              <w:t>TTr</w:t>
            </w:r>
            <w:r w:rsidRPr="00211773">
              <w:rPr>
                <w:sz w:val="26"/>
                <w:szCs w:val="26"/>
              </w:rPr>
              <w:t>-</w:t>
            </w:r>
            <w:r w:rsidR="003B0CC9" w:rsidRPr="00211773">
              <w:rPr>
                <w:sz w:val="26"/>
                <w:szCs w:val="26"/>
              </w:rPr>
              <w:t>BTC</w:t>
            </w:r>
          </w:p>
          <w:p w:rsidR="00687175" w:rsidRPr="00211773" w:rsidRDefault="00687175" w:rsidP="00330F13">
            <w:pPr>
              <w:spacing w:after="120"/>
              <w:jc w:val="center"/>
              <w:rPr>
                <w:i/>
                <w:sz w:val="24"/>
                <w:szCs w:val="24"/>
              </w:rPr>
            </w:pPr>
          </w:p>
          <w:p w:rsidR="00602248" w:rsidRPr="00211773" w:rsidRDefault="00615889" w:rsidP="00687175">
            <w:pPr>
              <w:spacing w:after="120"/>
              <w:jc w:val="center"/>
              <w:rPr>
                <w:sz w:val="26"/>
                <w:szCs w:val="26"/>
              </w:rPr>
            </w:pPr>
            <w:r w:rsidRPr="00615889">
              <w:rPr>
                <w:b/>
                <w:noProof/>
              </w:rPr>
              <w:pict>
                <v:shapetype id="_x0000_t202" coordsize="21600,21600" o:spt="202" path="m,l,21600r21600,l21600,xe">
                  <v:stroke joinstyle="miter"/>
                  <v:path gradientshapeok="t" o:connecttype="rect"/>
                </v:shapetype>
                <v:shape id="_x0000_s2097" type="#_x0000_t202" style="position:absolute;left:0;text-align:left;margin-left:25.65pt;margin-top:.35pt;width:99.95pt;height:23.4pt;z-index:251659264">
                  <v:textbox>
                    <w:txbxContent>
                      <w:p w:rsidR="00C25EE9" w:rsidRPr="00687175" w:rsidRDefault="006B2F9B" w:rsidP="00687175">
                        <w:pPr>
                          <w:jc w:val="center"/>
                          <w:rPr>
                            <w:b/>
                          </w:rPr>
                        </w:pPr>
                        <w:r>
                          <w:rPr>
                            <w:b/>
                            <w:sz w:val="24"/>
                            <w:szCs w:val="24"/>
                          </w:rPr>
                          <w:t>Dự thảo lần 2</w:t>
                        </w:r>
                      </w:p>
                    </w:txbxContent>
                  </v:textbox>
                </v:shape>
              </w:pict>
            </w:r>
          </w:p>
        </w:tc>
        <w:tc>
          <w:tcPr>
            <w:tcW w:w="5953" w:type="dxa"/>
          </w:tcPr>
          <w:p w:rsidR="00602248" w:rsidRPr="00211773" w:rsidRDefault="00602248" w:rsidP="00905F55">
            <w:pPr>
              <w:jc w:val="center"/>
            </w:pPr>
            <w:r w:rsidRPr="00211773">
              <w:rPr>
                <w:i/>
              </w:rPr>
              <w:t xml:space="preserve">Hà Nội, ngày       tháng </w:t>
            </w:r>
            <w:r w:rsidR="00BA52FE" w:rsidRPr="00211773">
              <w:rPr>
                <w:i/>
              </w:rPr>
              <w:t xml:space="preserve">  </w:t>
            </w:r>
            <w:r w:rsidR="00905F55" w:rsidRPr="00211773">
              <w:rPr>
                <w:i/>
              </w:rPr>
              <w:t xml:space="preserve"> </w:t>
            </w:r>
            <w:r w:rsidRPr="00211773">
              <w:rPr>
                <w:i/>
              </w:rPr>
              <w:t xml:space="preserve">  năm 202</w:t>
            </w:r>
            <w:r w:rsidR="00905F55" w:rsidRPr="00211773">
              <w:rPr>
                <w:i/>
              </w:rPr>
              <w:t>5</w:t>
            </w:r>
          </w:p>
        </w:tc>
      </w:tr>
    </w:tbl>
    <w:p w:rsidR="00DD27A5" w:rsidRPr="00211773" w:rsidRDefault="00DD27A5" w:rsidP="00351A94">
      <w:pPr>
        <w:spacing w:before="60" w:after="60" w:line="245" w:lineRule="auto"/>
        <w:jc w:val="center"/>
        <w:rPr>
          <w:b/>
        </w:rPr>
      </w:pPr>
    </w:p>
    <w:p w:rsidR="00602248" w:rsidRPr="00211773" w:rsidRDefault="003B0CC9" w:rsidP="00351A94">
      <w:pPr>
        <w:spacing w:before="60" w:after="60" w:line="245" w:lineRule="auto"/>
        <w:jc w:val="center"/>
        <w:rPr>
          <w:b/>
        </w:rPr>
      </w:pPr>
      <w:r w:rsidRPr="00211773">
        <w:rPr>
          <w:b/>
        </w:rPr>
        <w:t>TỜ TRÌNH</w:t>
      </w:r>
    </w:p>
    <w:p w:rsidR="00BA52FE" w:rsidRPr="00211773" w:rsidRDefault="00706DE5" w:rsidP="00BA52FE">
      <w:pPr>
        <w:spacing w:before="60" w:after="60" w:line="245" w:lineRule="auto"/>
        <w:jc w:val="center"/>
        <w:rPr>
          <w:b/>
        </w:rPr>
      </w:pPr>
      <w:r w:rsidRPr="00211773">
        <w:rPr>
          <w:b/>
        </w:rPr>
        <w:t>Về việc ban hành</w:t>
      </w:r>
      <w:r w:rsidR="003B0CC9" w:rsidRPr="00211773">
        <w:rPr>
          <w:b/>
        </w:rPr>
        <w:t xml:space="preserve"> </w:t>
      </w:r>
      <w:r w:rsidR="00BA52FE" w:rsidRPr="00211773">
        <w:rPr>
          <w:b/>
        </w:rPr>
        <w:t>Nghị định</w:t>
      </w:r>
      <w:r w:rsidRPr="00211773">
        <w:rPr>
          <w:b/>
        </w:rPr>
        <w:t xml:space="preserve"> của Chính phủ</w:t>
      </w:r>
      <w:r w:rsidR="000935B1" w:rsidRPr="00211773">
        <w:rPr>
          <w:b/>
        </w:rPr>
        <w:t xml:space="preserve"> </w:t>
      </w:r>
      <w:r w:rsidR="0049191D" w:rsidRPr="00211773">
        <w:rPr>
          <w:b/>
          <w:spacing w:val="-4"/>
        </w:rPr>
        <w:t>sửa đổi,</w:t>
      </w:r>
      <w:r w:rsidR="001D4062" w:rsidRPr="00211773">
        <w:rPr>
          <w:b/>
          <w:spacing w:val="-4"/>
        </w:rPr>
        <w:t xml:space="preserve"> </w:t>
      </w:r>
      <w:r w:rsidR="00687175" w:rsidRPr="00211773">
        <w:rPr>
          <w:b/>
          <w:spacing w:val="-4"/>
          <w:lang w:val="vi-VN"/>
        </w:rPr>
        <w:t xml:space="preserve">bổ sung một số </w:t>
      </w:r>
      <w:r w:rsidR="002613BF" w:rsidRPr="00211773">
        <w:rPr>
          <w:b/>
          <w:spacing w:val="-4"/>
        </w:rPr>
        <w:t>đ</w:t>
      </w:r>
      <w:r w:rsidR="00A4532E" w:rsidRPr="00211773">
        <w:rPr>
          <w:b/>
          <w:spacing w:val="-4"/>
        </w:rPr>
        <w:t>iều của</w:t>
      </w:r>
      <w:r w:rsidR="00A4532E" w:rsidRPr="00211773">
        <w:rPr>
          <w:b/>
          <w:spacing w:val="-4"/>
          <w:lang w:val="vi-VN"/>
        </w:rPr>
        <w:t xml:space="preserve"> Nghị định số 103/2024/NĐ-CP</w:t>
      </w:r>
      <w:r w:rsidR="00A4532E" w:rsidRPr="00211773">
        <w:rPr>
          <w:b/>
          <w:spacing w:val="-4"/>
          <w:lang w:val="it-IT"/>
        </w:rPr>
        <w:t xml:space="preserve"> </w:t>
      </w:r>
      <w:r w:rsidR="00A4532E" w:rsidRPr="00211773">
        <w:rPr>
          <w:b/>
          <w:bCs/>
          <w:lang w:val="pt-BR"/>
        </w:rPr>
        <w:t xml:space="preserve">ngày 30 tháng 7 năm 2024 </w:t>
      </w:r>
      <w:r w:rsidR="00A4532E" w:rsidRPr="00211773">
        <w:rPr>
          <w:b/>
          <w:spacing w:val="-4"/>
        </w:rPr>
        <w:t xml:space="preserve">quy định </w:t>
      </w:r>
      <w:r w:rsidR="00A4532E" w:rsidRPr="00211773">
        <w:rPr>
          <w:b/>
          <w:spacing w:val="-4"/>
          <w:lang w:val="vi-VN"/>
        </w:rPr>
        <w:t>về tiền sử dụng đất, tiền thuê đất và Nghị định số 104/2024/NĐ-CP</w:t>
      </w:r>
      <w:r w:rsidR="00A4532E" w:rsidRPr="00211773">
        <w:rPr>
          <w:b/>
          <w:spacing w:val="-4"/>
          <w:lang w:val="it-IT"/>
        </w:rPr>
        <w:t xml:space="preserve"> </w:t>
      </w:r>
      <w:r w:rsidR="00A4532E" w:rsidRPr="00211773">
        <w:rPr>
          <w:b/>
          <w:bCs/>
          <w:lang w:val="pt-BR"/>
        </w:rPr>
        <w:t>ngày 31 tháng 7 năm 2024</w:t>
      </w:r>
      <w:r w:rsidR="00A4532E" w:rsidRPr="00211773">
        <w:rPr>
          <w:b/>
          <w:spacing w:val="-4"/>
          <w:lang w:val="vi-VN"/>
        </w:rPr>
        <w:t xml:space="preserve"> </w:t>
      </w:r>
      <w:r w:rsidR="00A4532E" w:rsidRPr="00211773">
        <w:rPr>
          <w:b/>
          <w:spacing w:val="-4"/>
        </w:rPr>
        <w:t>quy định về</w:t>
      </w:r>
      <w:r w:rsidR="00A4532E" w:rsidRPr="00211773">
        <w:rPr>
          <w:b/>
          <w:spacing w:val="-4"/>
          <w:lang w:val="vi-VN"/>
        </w:rPr>
        <w:t xml:space="preserve"> </w:t>
      </w:r>
      <w:r w:rsidR="00FB26AC">
        <w:rPr>
          <w:b/>
          <w:spacing w:val="-4"/>
        </w:rPr>
        <w:t>Q</w:t>
      </w:r>
      <w:r w:rsidR="00A4532E" w:rsidRPr="00211773">
        <w:rPr>
          <w:b/>
          <w:spacing w:val="-4"/>
          <w:lang w:val="vi-VN"/>
        </w:rPr>
        <w:t>uỹ phát triển đất</w:t>
      </w:r>
    </w:p>
    <w:p w:rsidR="008D5B0F" w:rsidRPr="00211773" w:rsidRDefault="00615889" w:rsidP="00351A94">
      <w:pPr>
        <w:spacing w:before="60" w:after="60" w:line="245" w:lineRule="auto"/>
        <w:jc w:val="center"/>
      </w:pPr>
      <w:r w:rsidRPr="00615889">
        <w:rPr>
          <w:b/>
          <w:noProof/>
        </w:rPr>
        <w:pict>
          <v:shapetype id="_x0000_t32" coordsize="21600,21600" o:spt="32" o:oned="t" path="m,l21600,21600e" filled="f">
            <v:path arrowok="t" fillok="f" o:connecttype="none"/>
            <o:lock v:ext="edit" shapetype="t"/>
          </v:shapetype>
          <v:shape id="_x0000_s2096" type="#_x0000_t32" style="position:absolute;left:0;text-align:left;margin-left:190.55pt;margin-top:5.75pt;width:75.75pt;height:0;z-index:251658240" o:connectortype="straight"/>
        </w:pict>
      </w:r>
    </w:p>
    <w:p w:rsidR="00602248" w:rsidRPr="00211773" w:rsidRDefault="00602248" w:rsidP="00332B32">
      <w:pPr>
        <w:spacing w:before="120" w:after="120" w:line="245" w:lineRule="auto"/>
        <w:jc w:val="center"/>
        <w:outlineLvl w:val="0"/>
      </w:pPr>
      <w:r w:rsidRPr="00211773">
        <w:t>Kính gửi: Chính phủ</w:t>
      </w:r>
      <w:r w:rsidR="00DD27A5" w:rsidRPr="00211773">
        <w:t>.</w:t>
      </w:r>
    </w:p>
    <w:p w:rsidR="00AF41BA" w:rsidRPr="00211773" w:rsidRDefault="00AF41BA" w:rsidP="00304A15">
      <w:pPr>
        <w:spacing w:before="120" w:after="120" w:line="264" w:lineRule="auto"/>
        <w:ind w:firstLine="720"/>
        <w:jc w:val="both"/>
        <w:rPr>
          <w:spacing w:val="-4"/>
        </w:rPr>
      </w:pPr>
      <w:r w:rsidRPr="00211773">
        <w:rPr>
          <w:spacing w:val="-4"/>
          <w:lang w:val="vi-VN"/>
        </w:rPr>
        <w:t>Căn cứ Luật Ban hành văn bản quy phạm pháp luật năm 2</w:t>
      </w:r>
      <w:r w:rsidR="00CC1551" w:rsidRPr="00211773">
        <w:rPr>
          <w:spacing w:val="-4"/>
          <w:lang w:val="vi-VN"/>
        </w:rPr>
        <w:t>025</w:t>
      </w:r>
      <w:r w:rsidR="007B1BD0" w:rsidRPr="00211773">
        <w:rPr>
          <w:spacing w:val="-4"/>
          <w:lang w:val="vi-VN"/>
        </w:rPr>
        <w:t xml:space="preserve">; </w:t>
      </w:r>
      <w:r w:rsidR="00802299" w:rsidRPr="00211773">
        <w:rPr>
          <w:spacing w:val="-4"/>
          <w:lang w:val="vi-VN"/>
        </w:rPr>
        <w:t>trên cơ sở tổng hợp ý kiến đề xuất của</w:t>
      </w:r>
      <w:r w:rsidR="008866CE">
        <w:rPr>
          <w:spacing w:val="-4"/>
        </w:rPr>
        <w:t xml:space="preserve"> các</w:t>
      </w:r>
      <w:r w:rsidR="00802299" w:rsidRPr="00211773">
        <w:rPr>
          <w:spacing w:val="-4"/>
          <w:lang w:val="vi-VN"/>
        </w:rPr>
        <w:t xml:space="preserve"> Bộ, ngành, địa phương trong quá trình thực hiện Nghị định số 103/2024/NĐ-CP ngày 30/7/202</w:t>
      </w:r>
      <w:r w:rsidR="008866CE">
        <w:rPr>
          <w:spacing w:val="-4"/>
        </w:rPr>
        <w:t>4</w:t>
      </w:r>
      <w:r w:rsidR="00802299" w:rsidRPr="00211773">
        <w:rPr>
          <w:spacing w:val="-4"/>
          <w:lang w:val="vi-VN"/>
        </w:rPr>
        <w:t xml:space="preserve">  của Chính phủ quy định về tiền sử dụng đất, tiền thuê đất và Nghị định số 104/2024/NĐ-CP ngày 3</w:t>
      </w:r>
      <w:r w:rsidR="008866CE">
        <w:rPr>
          <w:spacing w:val="-4"/>
        </w:rPr>
        <w:t>1</w:t>
      </w:r>
      <w:r w:rsidR="00802299" w:rsidRPr="00211773">
        <w:rPr>
          <w:spacing w:val="-4"/>
          <w:lang w:val="vi-VN"/>
        </w:rPr>
        <w:t xml:space="preserve">/7/2024 của Chính phủ quy định về </w:t>
      </w:r>
      <w:r w:rsidR="00FB26AC">
        <w:rPr>
          <w:spacing w:val="-4"/>
        </w:rPr>
        <w:t>Q</w:t>
      </w:r>
      <w:r w:rsidR="00802299" w:rsidRPr="00211773">
        <w:rPr>
          <w:spacing w:val="-4"/>
          <w:lang w:val="vi-VN"/>
        </w:rPr>
        <w:t>uỹ phát triển đất</w:t>
      </w:r>
      <w:r w:rsidRPr="00211773">
        <w:rPr>
          <w:spacing w:val="-4"/>
          <w:lang w:val="vi-VN"/>
        </w:rPr>
        <w:t>, Bộ Tài</w:t>
      </w:r>
      <w:r w:rsidRPr="00211773">
        <w:rPr>
          <w:spacing w:val="-4"/>
        </w:rPr>
        <w:t xml:space="preserve"> chính đã chủ trì, phối hợp với các Bộ, cơ quan trung ương có liên quan và các địa phương xây dựng dự thảo </w:t>
      </w:r>
      <w:r w:rsidRPr="00211773">
        <w:t xml:space="preserve">Nghị định </w:t>
      </w:r>
      <w:r w:rsidR="003E6756" w:rsidRPr="00211773">
        <w:rPr>
          <w:spacing w:val="-4"/>
        </w:rPr>
        <w:t>sửa đổi,</w:t>
      </w:r>
      <w:r w:rsidR="007B1BD0" w:rsidRPr="00211773">
        <w:rPr>
          <w:spacing w:val="-4"/>
          <w:lang w:val="vi-VN"/>
        </w:rPr>
        <w:t xml:space="preserve"> bổ sung </w:t>
      </w:r>
      <w:r w:rsidR="002613BF" w:rsidRPr="00211773">
        <w:rPr>
          <w:spacing w:val="-4"/>
          <w:lang w:val="vi-VN"/>
        </w:rPr>
        <w:t xml:space="preserve">một số </w:t>
      </w:r>
      <w:r w:rsidR="002613BF" w:rsidRPr="00211773">
        <w:rPr>
          <w:spacing w:val="-4"/>
        </w:rPr>
        <w:t>điều của</w:t>
      </w:r>
      <w:r w:rsidR="002613BF" w:rsidRPr="00211773">
        <w:rPr>
          <w:spacing w:val="-4"/>
          <w:lang w:val="vi-VN"/>
        </w:rPr>
        <w:t xml:space="preserve"> Nghị định số 103/2024/NĐ-CP</w:t>
      </w:r>
      <w:r w:rsidR="002613BF" w:rsidRPr="00211773">
        <w:rPr>
          <w:spacing w:val="-4"/>
          <w:lang w:val="it-IT"/>
        </w:rPr>
        <w:t xml:space="preserve"> </w:t>
      </w:r>
      <w:r w:rsidR="002613BF" w:rsidRPr="00211773">
        <w:rPr>
          <w:bCs/>
          <w:lang w:val="pt-BR"/>
        </w:rPr>
        <w:t xml:space="preserve">ngày 30/7/2024 </w:t>
      </w:r>
      <w:r w:rsidR="002613BF" w:rsidRPr="00211773">
        <w:rPr>
          <w:spacing w:val="-4"/>
          <w:lang w:val="vi-VN"/>
        </w:rPr>
        <w:t>và Nghị định số 104/2024/NĐ-CP</w:t>
      </w:r>
      <w:r w:rsidR="002613BF" w:rsidRPr="00211773">
        <w:rPr>
          <w:spacing w:val="-4"/>
          <w:lang w:val="it-IT"/>
        </w:rPr>
        <w:t xml:space="preserve"> </w:t>
      </w:r>
      <w:r w:rsidR="002613BF" w:rsidRPr="00211773">
        <w:rPr>
          <w:bCs/>
          <w:lang w:val="pt-BR"/>
        </w:rPr>
        <w:t>ngày 31/7/2024</w:t>
      </w:r>
      <w:r w:rsidR="008866CE">
        <w:rPr>
          <w:bCs/>
          <w:lang w:val="pt-BR"/>
        </w:rPr>
        <w:t xml:space="preserve"> nêu trên</w:t>
      </w:r>
      <w:r w:rsidR="002613BF" w:rsidRPr="00211773">
        <w:rPr>
          <w:spacing w:val="-4"/>
          <w:lang w:val="vi-VN"/>
        </w:rPr>
        <w:t xml:space="preserve"> </w:t>
      </w:r>
      <w:r w:rsidR="002613BF" w:rsidRPr="00211773">
        <w:rPr>
          <w:spacing w:val="-4"/>
        </w:rPr>
        <w:t>(sau đây gọi là dự thảo Nghị định)</w:t>
      </w:r>
      <w:r w:rsidRPr="00211773">
        <w:t>. Bộ Tài chính xin báo cáo Chính phủ về dự thảo Nghị định như sau</w:t>
      </w:r>
      <w:r w:rsidRPr="00211773">
        <w:rPr>
          <w:spacing w:val="-4"/>
        </w:rPr>
        <w:t>:</w:t>
      </w:r>
    </w:p>
    <w:p w:rsidR="00AF41BA" w:rsidRPr="00211773" w:rsidRDefault="00AF41BA" w:rsidP="00304A15">
      <w:pPr>
        <w:spacing w:before="120" w:after="120" w:line="264" w:lineRule="auto"/>
        <w:ind w:firstLine="720"/>
        <w:jc w:val="both"/>
        <w:outlineLvl w:val="0"/>
        <w:rPr>
          <w:b/>
          <w:spacing w:val="-4"/>
          <w:sz w:val="24"/>
        </w:rPr>
      </w:pPr>
      <w:r w:rsidRPr="00211773">
        <w:rPr>
          <w:b/>
          <w:spacing w:val="-4"/>
          <w:sz w:val="24"/>
        </w:rPr>
        <w:t xml:space="preserve">I. VỀ SỰ CẦN THIẾT BAN HÀNH </w:t>
      </w:r>
      <w:r w:rsidR="00DD27A5" w:rsidRPr="00211773">
        <w:rPr>
          <w:b/>
          <w:spacing w:val="-4"/>
          <w:sz w:val="24"/>
        </w:rPr>
        <w:t>NGHỊ ĐỊNH</w:t>
      </w:r>
    </w:p>
    <w:p w:rsidR="00AF41BA" w:rsidRPr="00211773" w:rsidRDefault="00AF41BA" w:rsidP="00304A15">
      <w:pPr>
        <w:spacing w:before="120" w:after="120" w:line="264" w:lineRule="auto"/>
        <w:ind w:firstLine="720"/>
        <w:jc w:val="both"/>
        <w:outlineLvl w:val="0"/>
        <w:rPr>
          <w:b/>
          <w:spacing w:val="-4"/>
        </w:rPr>
      </w:pPr>
      <w:r w:rsidRPr="00211773">
        <w:rPr>
          <w:b/>
          <w:spacing w:val="-4"/>
        </w:rPr>
        <w:t>1. Về căn cứ pháp lý</w:t>
      </w:r>
    </w:p>
    <w:p w:rsidR="007D62BF" w:rsidRDefault="007D62BF" w:rsidP="00304A15">
      <w:pPr>
        <w:spacing w:before="120" w:after="120" w:line="264" w:lineRule="auto"/>
        <w:ind w:firstLine="720"/>
        <w:jc w:val="both"/>
        <w:rPr>
          <w:bCs/>
        </w:rPr>
      </w:pPr>
      <w:r w:rsidRPr="00211773">
        <w:rPr>
          <w:bCs/>
          <w:lang w:val="vi-VN"/>
        </w:rPr>
        <w:t>- Ngày 18/01/2024, Quốc hội ban hành Luật Đất đai số 31/2024/QH15 có hiệu lực thi hành kể từ ngày 01/8/2024</w:t>
      </w:r>
      <w:r w:rsidRPr="00211773">
        <w:rPr>
          <w:rStyle w:val="FootnoteReference"/>
          <w:bCs/>
          <w:lang w:val="vi-VN"/>
        </w:rPr>
        <w:footnoteReference w:id="2"/>
      </w:r>
      <w:r w:rsidRPr="00211773">
        <w:rPr>
          <w:bCs/>
          <w:lang w:val="vi-VN"/>
        </w:rPr>
        <w:t>; trong đó, tại</w:t>
      </w:r>
      <w:r w:rsidRPr="00211773">
        <w:rPr>
          <w:bCs/>
        </w:rPr>
        <w:t xml:space="preserve"> khoản 4 Điều 114,</w:t>
      </w:r>
      <w:r w:rsidRPr="00211773">
        <w:rPr>
          <w:bCs/>
          <w:lang w:val="vi-VN"/>
        </w:rPr>
        <w:t xml:space="preserve"> </w:t>
      </w:r>
      <w:r w:rsidRPr="00211773">
        <w:rPr>
          <w:bCs/>
        </w:rPr>
        <w:t xml:space="preserve">khoản 1, </w:t>
      </w:r>
      <w:r w:rsidRPr="00211773">
        <w:rPr>
          <w:bCs/>
          <w:lang w:val="vi-VN"/>
        </w:rPr>
        <w:t xml:space="preserve">khoản </w:t>
      </w:r>
      <w:r w:rsidRPr="00211773">
        <w:rPr>
          <w:bCs/>
        </w:rPr>
        <w:t>3</w:t>
      </w:r>
      <w:r w:rsidRPr="00211773">
        <w:rPr>
          <w:bCs/>
          <w:lang w:val="vi-VN"/>
        </w:rPr>
        <w:t xml:space="preserve"> Điều 15</w:t>
      </w:r>
      <w:r w:rsidRPr="00211773">
        <w:rPr>
          <w:bCs/>
        </w:rPr>
        <w:t>3</w:t>
      </w:r>
      <w:r w:rsidRPr="00211773">
        <w:rPr>
          <w:bCs/>
          <w:lang w:val="vi-VN"/>
        </w:rPr>
        <w:t xml:space="preserve"> Luật Đất đai năm 2024 </w:t>
      </w:r>
      <w:r w:rsidRPr="00211773">
        <w:rPr>
          <w:bCs/>
        </w:rPr>
        <w:t xml:space="preserve">giao </w:t>
      </w:r>
      <w:r w:rsidRPr="00211773">
        <w:rPr>
          <w:bCs/>
          <w:i/>
          <w:iCs/>
        </w:rPr>
        <w:t>C</w:t>
      </w:r>
      <w:r w:rsidRPr="00211773">
        <w:rPr>
          <w:bCs/>
          <w:i/>
          <w:iCs/>
          <w:lang w:val="vi-VN"/>
        </w:rPr>
        <w:t>hính phủ quy định</w:t>
      </w:r>
      <w:r w:rsidRPr="00211773">
        <w:rPr>
          <w:bCs/>
          <w:i/>
          <w:iCs/>
        </w:rPr>
        <w:t xml:space="preserve"> cụ thể về tiền sử dụng đất, tiền thuê đất và các khoản thu ngân sách từ đất đai khác; quy định chi tiết về Quỹ phát triển đất.</w:t>
      </w:r>
    </w:p>
    <w:p w:rsidR="0041584B" w:rsidRPr="00211773" w:rsidRDefault="00A570EA" w:rsidP="00304A15">
      <w:pPr>
        <w:spacing w:before="120" w:after="120" w:line="264" w:lineRule="auto"/>
        <w:ind w:firstLine="720"/>
        <w:jc w:val="both"/>
        <w:rPr>
          <w:lang w:val="nb-NO"/>
        </w:rPr>
      </w:pPr>
      <w:r w:rsidRPr="00211773">
        <w:rPr>
          <w:bCs/>
          <w:lang w:val="vi-VN"/>
        </w:rPr>
        <w:t xml:space="preserve">- Ngày 30/7/2024, Chính phủ ban hành Nghị định số 103/2024/NĐ-CP quy định về tiền sử dụng đất, tiền thuê đất; theo đó, </w:t>
      </w:r>
      <w:r w:rsidR="0041584B" w:rsidRPr="00211773">
        <w:rPr>
          <w:bCs/>
        </w:rPr>
        <w:t>quy định cụ thể về t</w:t>
      </w:r>
      <w:r w:rsidR="0041584B" w:rsidRPr="00211773">
        <w:rPr>
          <w:lang w:val="nb-NO"/>
        </w:rPr>
        <w:t xml:space="preserve">iền sử dụng đất, tiền thuê đất (bao gồm tính, thu, nộp, miễn, giảm tiền sử dụng đất, tiền thuê đất; xử lý kinh phí bồi thường, hỗ trợ, tái định cư; ghi nợ tiền sử dụng đất) </w:t>
      </w:r>
      <w:r w:rsidR="0041584B" w:rsidRPr="00211773">
        <w:rPr>
          <w:lang w:val="nb-NO"/>
        </w:rPr>
        <w:lastRenderedPageBreak/>
        <w:t xml:space="preserve">quy định tại điểm a, điểm b khoản 1 Điều 153 Luật Đất đai; </w:t>
      </w:r>
      <w:r w:rsidR="0041584B" w:rsidRPr="00211773">
        <w:rPr>
          <w:spacing w:val="-2"/>
          <w:lang w:val="nb-NO"/>
        </w:rPr>
        <w:t xml:space="preserve">tiền nộp bổ sung (tiền sử dụng đất tăng thêm, tiền thuê đất tăng thêm) đối với trường hợp được Nhà nước giao đất, cho thuê đất, cho phép chuyển mục đích sử dụng đất, công nhận quyền sử dụng đất, nhận chuyển nhượng quyền sử dụng đất để thực hiện dự án đầu tư mà </w:t>
      </w:r>
      <w:r w:rsidR="0041584B" w:rsidRPr="00211773">
        <w:rPr>
          <w:lang w:val="nb-NO"/>
        </w:rPr>
        <w:t>không đưa đất vào sử dụng, chậm tiến độ sử dụng đất quy định tại khoản 8 Điều 81, điểm đ khoản 1 Điều 153 Luật Đất đai.</w:t>
      </w:r>
    </w:p>
    <w:p w:rsidR="00673B4E" w:rsidRPr="00211773" w:rsidRDefault="00890145" w:rsidP="00304A15">
      <w:pPr>
        <w:spacing w:before="120" w:after="120" w:line="264" w:lineRule="auto"/>
        <w:ind w:firstLine="720"/>
        <w:jc w:val="both"/>
        <w:rPr>
          <w:color w:val="FF0000"/>
          <w:lang w:val="it-IT"/>
        </w:rPr>
      </w:pPr>
      <w:r w:rsidRPr="00211773">
        <w:rPr>
          <w:lang w:val="it-IT"/>
        </w:rPr>
        <w:t>- Ngày 3</w:t>
      </w:r>
      <w:r w:rsidR="008866CE">
        <w:rPr>
          <w:lang w:val="it-IT"/>
        </w:rPr>
        <w:t>1</w:t>
      </w:r>
      <w:r w:rsidRPr="00211773">
        <w:rPr>
          <w:lang w:val="it-IT"/>
        </w:rPr>
        <w:t>/7/2024, Chính phủ ban hành Nghị định số 104/2024/NĐ-CP quy định về Quỹ phát triển đất; trong đó quy định cụ thể về tổ chức và hoạt động của Quỹ phát triển đất; cơ chế tài chính của Quỹ phát triển đất.</w:t>
      </w:r>
    </w:p>
    <w:p w:rsidR="00AF41BA" w:rsidRPr="00211773" w:rsidRDefault="007D62BF" w:rsidP="00476C99">
      <w:pPr>
        <w:spacing w:before="120" w:after="120" w:line="264" w:lineRule="auto"/>
        <w:ind w:firstLine="720"/>
        <w:jc w:val="both"/>
        <w:rPr>
          <w:lang w:val="it-IT"/>
        </w:rPr>
      </w:pPr>
      <w:r>
        <w:rPr>
          <w:lang w:val="it-IT"/>
        </w:rPr>
        <w:t>Q</w:t>
      </w:r>
      <w:r w:rsidR="003F4229" w:rsidRPr="00211773">
        <w:rPr>
          <w:lang w:val="it-IT"/>
        </w:rPr>
        <w:t>uá trình thực hiện Nghị định số 103/2024/NĐ-CP, Nghị định số 104/2024/NĐ-CP, một số Bộ, ngành, địa phương</w:t>
      </w:r>
      <w:r w:rsidR="008866CE">
        <w:rPr>
          <w:lang w:val="it-IT"/>
        </w:rPr>
        <w:t>, hiệp hội, người sử dụng đất có</w:t>
      </w:r>
      <w:r w:rsidR="003F4229" w:rsidRPr="00211773">
        <w:rPr>
          <w:lang w:val="it-IT"/>
        </w:rPr>
        <w:t xml:space="preserve"> đề nghị Bộ Tài chính</w:t>
      </w:r>
      <w:r w:rsidR="001D4062" w:rsidRPr="00211773">
        <w:rPr>
          <w:lang w:val="it-IT"/>
        </w:rPr>
        <w:t xml:space="preserve"> nghiên cứu, cáo cáo cấp có thẩm quyền xem xét, bổ sung, điều chỉnh một số nội dung về tiền sử dụng đất, tiền thuê đất, </w:t>
      </w:r>
      <w:r w:rsidR="006026C3">
        <w:rPr>
          <w:lang w:val="it-IT"/>
        </w:rPr>
        <w:t>Q</w:t>
      </w:r>
      <w:r w:rsidR="001D4062" w:rsidRPr="00211773">
        <w:rPr>
          <w:lang w:val="it-IT"/>
        </w:rPr>
        <w:t xml:space="preserve">uỹ phát triển đất tại </w:t>
      </w:r>
      <w:r w:rsidR="006026C3">
        <w:rPr>
          <w:lang w:val="it-IT"/>
        </w:rPr>
        <w:t>02</w:t>
      </w:r>
      <w:r w:rsidR="001D4062" w:rsidRPr="00211773">
        <w:rPr>
          <w:lang w:val="it-IT"/>
        </w:rPr>
        <w:t xml:space="preserve"> Nghị định này để thống nhất trong thực hiện.</w:t>
      </w:r>
      <w:r w:rsidR="00476C99" w:rsidRPr="00211773">
        <w:rPr>
          <w:lang w:val="it-IT"/>
        </w:rPr>
        <w:t xml:space="preserve"> Do vậy, việc Chính phủ</w:t>
      </w:r>
      <w:r w:rsidR="00DB2C4D" w:rsidRPr="00211773">
        <w:rPr>
          <w:lang w:val="it-IT"/>
        </w:rPr>
        <w:t xml:space="preserve"> </w:t>
      </w:r>
      <w:r w:rsidR="0049191D" w:rsidRPr="00211773">
        <w:rPr>
          <w:spacing w:val="-4"/>
          <w:lang w:val="it-IT"/>
        </w:rPr>
        <w:t>sửa đổi,</w:t>
      </w:r>
      <w:r w:rsidR="001D4062" w:rsidRPr="00211773">
        <w:rPr>
          <w:spacing w:val="-4"/>
          <w:lang w:val="it-IT"/>
        </w:rPr>
        <w:t xml:space="preserve"> </w:t>
      </w:r>
      <w:r w:rsidR="00E32497" w:rsidRPr="00211773">
        <w:rPr>
          <w:spacing w:val="-4"/>
          <w:lang w:val="vi-VN"/>
        </w:rPr>
        <w:t xml:space="preserve">bổ sung một số </w:t>
      </w:r>
      <w:r w:rsidR="00476C99" w:rsidRPr="00211773">
        <w:rPr>
          <w:spacing w:val="-4"/>
          <w:lang w:val="it-IT"/>
        </w:rPr>
        <w:t>điều của</w:t>
      </w:r>
      <w:r w:rsidR="00E32497" w:rsidRPr="00211773">
        <w:rPr>
          <w:spacing w:val="-4"/>
          <w:lang w:val="vi-VN"/>
        </w:rPr>
        <w:t xml:space="preserve"> Nghị định số 103/2024/NĐ-CP và Nghị định số 104/2024/NĐ-CP</w:t>
      </w:r>
      <w:r w:rsidR="00AF41BA" w:rsidRPr="00211773">
        <w:rPr>
          <w:lang w:val="it-IT"/>
        </w:rPr>
        <w:t xml:space="preserve"> là có căn cứ pháp lý.</w:t>
      </w:r>
    </w:p>
    <w:p w:rsidR="00905F55" w:rsidRPr="00211773" w:rsidRDefault="00AF41BA" w:rsidP="00304A15">
      <w:pPr>
        <w:spacing w:before="120" w:after="120" w:line="264" w:lineRule="auto"/>
        <w:ind w:firstLine="720"/>
        <w:jc w:val="both"/>
        <w:outlineLvl w:val="0"/>
        <w:rPr>
          <w:bCs/>
          <w:lang w:val="vi-VN"/>
        </w:rPr>
      </w:pPr>
      <w:r w:rsidRPr="00211773">
        <w:rPr>
          <w:b/>
          <w:lang w:val="it-IT"/>
        </w:rPr>
        <w:t>2.</w:t>
      </w:r>
      <w:r w:rsidRPr="00211773">
        <w:rPr>
          <w:lang w:val="it-IT"/>
        </w:rPr>
        <w:t xml:space="preserve"> </w:t>
      </w:r>
      <w:r w:rsidRPr="00211773">
        <w:rPr>
          <w:b/>
          <w:lang w:val="it-IT"/>
        </w:rPr>
        <w:t>Về căn cứ thực tiễn</w:t>
      </w:r>
    </w:p>
    <w:p w:rsidR="00E86094" w:rsidRPr="00211773" w:rsidRDefault="00E32497" w:rsidP="00304A15">
      <w:pPr>
        <w:spacing w:before="120" w:after="120" w:line="264" w:lineRule="auto"/>
        <w:ind w:firstLine="720"/>
        <w:mirrorIndents/>
        <w:jc w:val="both"/>
        <w:rPr>
          <w:bCs/>
          <w:lang w:val="vi-VN"/>
        </w:rPr>
      </w:pPr>
      <w:r w:rsidRPr="00211773">
        <w:rPr>
          <w:bCs/>
          <w:lang w:val="vi-VN"/>
        </w:rPr>
        <w:t xml:space="preserve">Thực hiện Luật Đất đai năm 2024, Bộ Tài chính đã trình Chính phủ ban hành Nghị định số 103/2024/NĐ-CP quy định về tiền sử dụng đất, tiền thuê đất, Nghị định số 104/2024/NĐ-CP quy định về Quỹ phát triển đất. Nội dung của </w:t>
      </w:r>
      <w:r w:rsidR="006026C3" w:rsidRPr="009756E6">
        <w:rPr>
          <w:bCs/>
          <w:lang w:val="vi-VN"/>
        </w:rPr>
        <w:t>02</w:t>
      </w:r>
      <w:r w:rsidRPr="00211773">
        <w:rPr>
          <w:bCs/>
          <w:lang w:val="vi-VN"/>
        </w:rPr>
        <w:t xml:space="preserve"> Nghị định được xây dựng theo nguyên tắc quy định cụ thể các </w:t>
      </w:r>
      <w:r w:rsidR="007D62BF" w:rsidRPr="009756E6">
        <w:rPr>
          <w:bCs/>
          <w:lang w:val="vi-VN"/>
        </w:rPr>
        <w:t>đ</w:t>
      </w:r>
      <w:r w:rsidRPr="00211773">
        <w:rPr>
          <w:bCs/>
          <w:lang w:val="vi-VN"/>
        </w:rPr>
        <w:t>iều, khoản mà Luật Đất đai năm 2024 giao cho Chính phủ quy định</w:t>
      </w:r>
      <w:r w:rsidR="007D62BF" w:rsidRPr="009756E6">
        <w:rPr>
          <w:bCs/>
          <w:lang w:val="vi-VN"/>
        </w:rPr>
        <w:t xml:space="preserve"> chi tiết</w:t>
      </w:r>
      <w:r w:rsidRPr="00211773">
        <w:rPr>
          <w:bCs/>
          <w:lang w:val="vi-VN"/>
        </w:rPr>
        <w:t xml:space="preserve"> liên quan đến tiền sử dụng đất, tiền thuê đất, quỹ phát triển đất. </w:t>
      </w:r>
    </w:p>
    <w:p w:rsidR="007D62BF" w:rsidRPr="009756E6" w:rsidRDefault="00E86094" w:rsidP="00FB26AC">
      <w:pPr>
        <w:spacing w:before="120" w:after="120" w:line="264" w:lineRule="auto"/>
        <w:ind w:firstLine="720"/>
        <w:mirrorIndents/>
        <w:jc w:val="both"/>
        <w:rPr>
          <w:bCs/>
          <w:lang w:val="vi-VN"/>
        </w:rPr>
      </w:pPr>
      <w:r w:rsidRPr="00211773">
        <w:rPr>
          <w:bCs/>
          <w:lang w:val="vi-VN"/>
        </w:rPr>
        <w:t>Việc Bộ Tài chính báo cáo Chính phủ ban hành quy định về tiền sử dụng đất, tiền thuê đất, Quỹ phát triển đất theo quy định của Luật Đất đai năm 2024</w:t>
      </w:r>
      <w:r w:rsidR="00E75B51" w:rsidRPr="00211773">
        <w:rPr>
          <w:bCs/>
          <w:lang w:val="vi-VN"/>
        </w:rPr>
        <w:t>,</w:t>
      </w:r>
      <w:r w:rsidRPr="00211773">
        <w:rPr>
          <w:bCs/>
          <w:lang w:val="vi-VN"/>
        </w:rPr>
        <w:t xml:space="preserve"> có hiệu lực thi hành đồng thời với thời điểm có hiệu lực của Luật đã đảm bảo kịp thời đưa các quy định mới của pháp luật vào cuộc sống, góp phần giải quyết các ách tắc về thể chế, khơi thông nguồn lực về đất đai. </w:t>
      </w:r>
      <w:r w:rsidR="00E32497" w:rsidRPr="00211773">
        <w:rPr>
          <w:bCs/>
          <w:lang w:val="vi-VN"/>
        </w:rPr>
        <w:t>Tuy nhiên</w:t>
      </w:r>
      <w:r w:rsidR="00DF05EC" w:rsidRPr="00211773">
        <w:rPr>
          <w:bCs/>
          <w:lang w:val="vi-VN"/>
        </w:rPr>
        <w:t>,</w:t>
      </w:r>
      <w:r w:rsidR="00E32497" w:rsidRPr="00211773">
        <w:rPr>
          <w:bCs/>
          <w:lang w:val="vi-VN"/>
        </w:rPr>
        <w:t xml:space="preserve"> qua thực tế thực hiện chính sách tại các địa phương thì có một số nội dung </w:t>
      </w:r>
      <w:r w:rsidRPr="00211773">
        <w:rPr>
          <w:bCs/>
          <w:lang w:val="vi-VN"/>
        </w:rPr>
        <w:t>vướng mắc</w:t>
      </w:r>
      <w:r w:rsidR="00DF05EC" w:rsidRPr="00211773">
        <w:rPr>
          <w:bCs/>
          <w:lang w:val="vi-VN"/>
        </w:rPr>
        <w:t xml:space="preserve"> cần hoàn thiện để đảm bảo đồng bộ, thống nhất</w:t>
      </w:r>
      <w:r w:rsidRPr="00211773">
        <w:rPr>
          <w:bCs/>
          <w:lang w:val="vi-VN"/>
        </w:rPr>
        <w:t xml:space="preserve"> trong tổ chức thực hiện</w:t>
      </w:r>
      <w:r w:rsidR="00DF05EC" w:rsidRPr="00211773">
        <w:rPr>
          <w:bCs/>
          <w:lang w:val="vi-VN"/>
        </w:rPr>
        <w:t>, trong đó tập trung chủ yếu vào các quy định</w:t>
      </w:r>
      <w:r w:rsidRPr="00211773">
        <w:rPr>
          <w:bCs/>
          <w:lang w:val="vi-VN"/>
        </w:rPr>
        <w:t xml:space="preserve"> </w:t>
      </w:r>
      <w:r w:rsidR="00DF05EC" w:rsidRPr="00211773">
        <w:rPr>
          <w:bCs/>
          <w:lang w:val="vi-VN"/>
        </w:rPr>
        <w:t>liên quan đến xử lý chuyển tiếp giữa Luật Đất đai năm 2024 và pháp luật đất đai năm 2013 cần quy định cụ thể hơn để đơn giản, thuận lợi khi thực hiện</w:t>
      </w:r>
      <w:r w:rsidR="00FB26AC" w:rsidRPr="009756E6">
        <w:rPr>
          <w:bCs/>
          <w:lang w:val="vi-VN"/>
        </w:rPr>
        <w:t>.</w:t>
      </w:r>
    </w:p>
    <w:p w:rsidR="007D62BF" w:rsidRPr="009756E6" w:rsidRDefault="007D62BF" w:rsidP="007D62BF">
      <w:pPr>
        <w:pStyle w:val="NormalWeb"/>
        <w:spacing w:before="120" w:beforeAutospacing="0" w:after="120" w:afterAutospacing="0" w:line="264" w:lineRule="auto"/>
        <w:ind w:firstLine="720"/>
        <w:rPr>
          <w:rFonts w:ascii="Times New Roman" w:hAnsi="Times New Roman" w:cs="Times New Roman"/>
          <w:bCs/>
          <w:sz w:val="28"/>
          <w:szCs w:val="28"/>
          <w:lang w:val="vi-VN"/>
        </w:rPr>
      </w:pPr>
      <w:r w:rsidRPr="007D62BF">
        <w:rPr>
          <w:rFonts w:ascii="Times New Roman" w:hAnsi="Times New Roman" w:cs="Times New Roman"/>
          <w:bCs/>
          <w:sz w:val="28"/>
          <w:szCs w:val="28"/>
          <w:lang w:val="vi-VN"/>
        </w:rPr>
        <w:t>Bên cạnh đó, để thực hiện chủ trương sắp xếp, tinh gọn bộ máy</w:t>
      </w:r>
      <w:r w:rsidRPr="009756E6">
        <w:rPr>
          <w:rFonts w:ascii="Times New Roman" w:hAnsi="Times New Roman" w:cs="Times New Roman"/>
          <w:bCs/>
          <w:sz w:val="28"/>
          <w:szCs w:val="28"/>
          <w:lang w:val="vi-VN"/>
        </w:rPr>
        <w:t>, xây dựng</w:t>
      </w:r>
      <w:r w:rsidRPr="007D62BF">
        <w:rPr>
          <w:rFonts w:ascii="Times New Roman" w:hAnsi="Times New Roman" w:cs="Times New Roman"/>
          <w:bCs/>
          <w:sz w:val="28"/>
          <w:szCs w:val="28"/>
          <w:lang w:val="vi-VN"/>
        </w:rPr>
        <w:t xml:space="preserve"> chính quyền</w:t>
      </w:r>
      <w:r w:rsidRPr="009756E6">
        <w:rPr>
          <w:rFonts w:ascii="Times New Roman" w:hAnsi="Times New Roman" w:cs="Times New Roman"/>
          <w:bCs/>
          <w:sz w:val="28"/>
          <w:szCs w:val="28"/>
          <w:lang w:val="vi-VN"/>
        </w:rPr>
        <w:t xml:space="preserve"> địa phương </w:t>
      </w:r>
      <w:r w:rsidRPr="007D62BF">
        <w:rPr>
          <w:rFonts w:ascii="Times New Roman" w:hAnsi="Times New Roman" w:cs="Times New Roman"/>
          <w:bCs/>
          <w:sz w:val="28"/>
          <w:szCs w:val="28"/>
          <w:lang w:val="vi-VN"/>
        </w:rPr>
        <w:t>hai cấp và thì nhiều nội dung quy định tại Nghị định số 103/2024/NĐ-CP, Nghị định số 104/2024/NĐ-CP cũng cần</w:t>
      </w:r>
      <w:r w:rsidR="006026C3" w:rsidRPr="009756E6">
        <w:rPr>
          <w:rFonts w:ascii="Times New Roman" w:hAnsi="Times New Roman" w:cs="Times New Roman"/>
          <w:bCs/>
          <w:sz w:val="28"/>
          <w:szCs w:val="28"/>
          <w:lang w:val="vi-VN"/>
        </w:rPr>
        <w:t xml:space="preserve"> được</w:t>
      </w:r>
      <w:r w:rsidRPr="007D62BF">
        <w:rPr>
          <w:rFonts w:ascii="Times New Roman" w:hAnsi="Times New Roman" w:cs="Times New Roman"/>
          <w:bCs/>
          <w:sz w:val="28"/>
          <w:szCs w:val="28"/>
          <w:lang w:val="vi-VN"/>
        </w:rPr>
        <w:t xml:space="preserve"> sửa đổi để đồng bộ với mô hình chính quyền hai cấp và bộ máy nhà nước sau khi sắp xếp.</w:t>
      </w:r>
    </w:p>
    <w:p w:rsidR="00E32497" w:rsidRPr="007D62BF" w:rsidRDefault="00E32497" w:rsidP="007D62BF">
      <w:pPr>
        <w:pStyle w:val="NormalWeb"/>
        <w:spacing w:before="120" w:beforeAutospacing="0" w:after="120" w:afterAutospacing="0" w:line="264" w:lineRule="auto"/>
        <w:ind w:firstLine="720"/>
        <w:rPr>
          <w:rFonts w:ascii="Times New Roman" w:hAnsi="Times New Roman" w:cs="Times New Roman"/>
          <w:bCs/>
          <w:sz w:val="28"/>
          <w:szCs w:val="28"/>
          <w:lang w:val="vi-VN"/>
        </w:rPr>
      </w:pPr>
      <w:r w:rsidRPr="007D62BF">
        <w:rPr>
          <w:rFonts w:ascii="Times New Roman" w:hAnsi="Times New Roman" w:cs="Times New Roman"/>
          <w:bCs/>
          <w:sz w:val="28"/>
          <w:szCs w:val="28"/>
          <w:lang w:val="vi-VN"/>
        </w:rPr>
        <w:lastRenderedPageBreak/>
        <w:t xml:space="preserve">Ngoài ra, qua rà soát quy định của pháp luật hiện hành về tiền sử dụng đất, tiền thuê đất, </w:t>
      </w:r>
      <w:r w:rsidR="006026C3" w:rsidRPr="009756E6">
        <w:rPr>
          <w:rFonts w:ascii="Times New Roman" w:hAnsi="Times New Roman" w:cs="Times New Roman"/>
          <w:bCs/>
          <w:sz w:val="28"/>
          <w:szCs w:val="28"/>
          <w:lang w:val="vi-VN"/>
        </w:rPr>
        <w:t>Q</w:t>
      </w:r>
      <w:r w:rsidRPr="007D62BF">
        <w:rPr>
          <w:rFonts w:ascii="Times New Roman" w:hAnsi="Times New Roman" w:cs="Times New Roman"/>
          <w:bCs/>
          <w:sz w:val="28"/>
          <w:szCs w:val="28"/>
          <w:lang w:val="vi-VN"/>
        </w:rPr>
        <w:t>uỹ phát triển đất quy định tại các Nghị định số 103/2024/NĐ-CP ngày 30/7/2024, Nghị định số 104/2024/NĐ-CP ngày 31/7/2024 của Chính phủ còn có một số lỗi</w:t>
      </w:r>
      <w:r w:rsidR="008173B0" w:rsidRPr="007D62BF">
        <w:rPr>
          <w:rFonts w:ascii="Times New Roman" w:hAnsi="Times New Roman" w:cs="Times New Roman"/>
          <w:bCs/>
          <w:sz w:val="28"/>
          <w:szCs w:val="28"/>
          <w:lang w:val="vi-VN"/>
        </w:rPr>
        <w:t xml:space="preserve"> về</w:t>
      </w:r>
      <w:r w:rsidRPr="007D62BF">
        <w:rPr>
          <w:rFonts w:ascii="Times New Roman" w:hAnsi="Times New Roman" w:cs="Times New Roman"/>
          <w:bCs/>
          <w:sz w:val="28"/>
          <w:szCs w:val="28"/>
          <w:lang w:val="vi-VN"/>
        </w:rPr>
        <w:t xml:space="preserve"> kỹ thuật soạn thảo cần được điều chỉnh để thống nhất trong thực hiện.</w:t>
      </w:r>
    </w:p>
    <w:p w:rsidR="00AF41BA" w:rsidRPr="007D62BF" w:rsidRDefault="00AF41BA" w:rsidP="00304A15">
      <w:pPr>
        <w:spacing w:before="120" w:after="120" w:line="264" w:lineRule="auto"/>
        <w:ind w:firstLine="720"/>
        <w:jc w:val="both"/>
        <w:rPr>
          <w:lang w:val="it-IT"/>
        </w:rPr>
      </w:pPr>
      <w:r w:rsidRPr="007D62BF">
        <w:rPr>
          <w:lang w:val="it-IT"/>
        </w:rPr>
        <w:t xml:space="preserve">Từ cơ sở trên, việc </w:t>
      </w:r>
      <w:r w:rsidR="003E6756" w:rsidRPr="007D62BF">
        <w:rPr>
          <w:spacing w:val="-4"/>
          <w:lang w:val="vi-VN"/>
        </w:rPr>
        <w:t>sửa đổi,</w:t>
      </w:r>
      <w:r w:rsidR="0099162C" w:rsidRPr="007D62BF">
        <w:rPr>
          <w:spacing w:val="-4"/>
          <w:lang w:val="vi-VN"/>
        </w:rPr>
        <w:t xml:space="preserve"> bổ sung một số nội dung về tiền sử dụng đất, tiền thuê đất, quỹ phát triển đất tại Nghị định số 103/2024/NĐ-CP và Nghị định số 104/2024/NĐ-CP của Chính phủ</w:t>
      </w:r>
      <w:r w:rsidRPr="007D62BF">
        <w:rPr>
          <w:lang w:val="it-IT"/>
        </w:rPr>
        <w:t xml:space="preserve"> là có căn cứ thực tiễn.</w:t>
      </w:r>
    </w:p>
    <w:p w:rsidR="00AF41BA" w:rsidRPr="007D62BF" w:rsidRDefault="00AF41BA" w:rsidP="00304A15">
      <w:pPr>
        <w:widowControl w:val="0"/>
        <w:spacing w:before="120" w:after="120" w:line="264" w:lineRule="auto"/>
        <w:ind w:firstLine="720"/>
        <w:jc w:val="both"/>
        <w:outlineLvl w:val="0"/>
        <w:rPr>
          <w:b/>
          <w:bCs/>
          <w:spacing w:val="8"/>
          <w:lang w:val="vi-VN"/>
        </w:rPr>
      </w:pPr>
      <w:r w:rsidRPr="007D62BF">
        <w:rPr>
          <w:b/>
          <w:bCs/>
          <w:spacing w:val="8"/>
          <w:lang w:val="vi-VN"/>
        </w:rPr>
        <w:t>II. QUÁ TRÌNH XÂY DỰNG DỰ THẢO NGHỊ ĐỊNH</w:t>
      </w:r>
    </w:p>
    <w:p w:rsidR="008D0382" w:rsidRPr="007D62BF" w:rsidRDefault="00D2786C" w:rsidP="00304A15">
      <w:pPr>
        <w:widowControl w:val="0"/>
        <w:tabs>
          <w:tab w:val="left" w:pos="1134"/>
        </w:tabs>
        <w:spacing w:before="120" w:after="120" w:line="264" w:lineRule="auto"/>
        <w:ind w:firstLine="720"/>
        <w:jc w:val="both"/>
        <w:rPr>
          <w:spacing w:val="-4"/>
          <w:lang w:val="vi-VN"/>
        </w:rPr>
      </w:pPr>
      <w:r w:rsidRPr="007D62BF">
        <w:rPr>
          <w:bCs/>
          <w:lang w:val="vi-VN"/>
        </w:rPr>
        <w:t xml:space="preserve">1. </w:t>
      </w:r>
      <w:r w:rsidR="002109FF" w:rsidRPr="007D62BF">
        <w:rPr>
          <w:bCs/>
          <w:lang w:val="vi-VN"/>
        </w:rPr>
        <w:t>Trên cơ sở tổng h</w:t>
      </w:r>
      <w:r w:rsidR="006026C3" w:rsidRPr="009756E6">
        <w:rPr>
          <w:bCs/>
          <w:lang w:val="vi-VN"/>
        </w:rPr>
        <w:t>ợ</w:t>
      </w:r>
      <w:r w:rsidR="002109FF" w:rsidRPr="007D62BF">
        <w:rPr>
          <w:bCs/>
          <w:lang w:val="vi-VN"/>
        </w:rPr>
        <w:t xml:space="preserve">p ý kiến của các </w:t>
      </w:r>
      <w:r w:rsidR="00F24A25" w:rsidRPr="009756E6">
        <w:rPr>
          <w:bCs/>
          <w:lang w:val="vi-VN"/>
        </w:rPr>
        <w:t>hiệp hội</w:t>
      </w:r>
      <w:r w:rsidR="002109FF" w:rsidRPr="007D62BF">
        <w:rPr>
          <w:bCs/>
          <w:lang w:val="vi-VN"/>
        </w:rPr>
        <w:t>, tổ chức, cá nhân trong quá trình</w:t>
      </w:r>
      <w:r w:rsidR="00673B4E" w:rsidRPr="007D62BF">
        <w:rPr>
          <w:bCs/>
          <w:lang w:val="vi-VN"/>
        </w:rPr>
        <w:t xml:space="preserve"> tổ chức</w:t>
      </w:r>
      <w:r w:rsidR="002109FF" w:rsidRPr="007D62BF">
        <w:rPr>
          <w:bCs/>
          <w:lang w:val="vi-VN"/>
        </w:rPr>
        <w:t xml:space="preserve"> thực hiện Nghị định số 103/2024/NĐ-CP</w:t>
      </w:r>
      <w:r w:rsidR="00673B4E" w:rsidRPr="007D62BF">
        <w:rPr>
          <w:bCs/>
          <w:lang w:val="vi-VN"/>
        </w:rPr>
        <w:t>, Nghị định số 104/2024/NĐ-CP</w:t>
      </w:r>
      <w:r w:rsidR="002109FF" w:rsidRPr="007D62BF">
        <w:rPr>
          <w:bCs/>
          <w:lang w:val="vi-VN"/>
        </w:rPr>
        <w:t xml:space="preserve">, </w:t>
      </w:r>
      <w:r w:rsidR="008D0382" w:rsidRPr="007D62BF">
        <w:rPr>
          <w:bCs/>
          <w:lang w:val="vi-VN"/>
        </w:rPr>
        <w:t>Bộ Tài c</w:t>
      </w:r>
      <w:r w:rsidR="008D0382" w:rsidRPr="007D62BF">
        <w:rPr>
          <w:spacing w:val="-4"/>
          <w:lang w:val="vi-VN"/>
        </w:rPr>
        <w:t xml:space="preserve">hính đã xây dựng dự thảo Nghị định và có Công văn số </w:t>
      </w:r>
      <w:r w:rsidR="00DB2C4D" w:rsidRPr="007D62BF">
        <w:rPr>
          <w:spacing w:val="-4"/>
          <w:lang w:val="vi-VN"/>
        </w:rPr>
        <w:t>1060</w:t>
      </w:r>
      <w:r w:rsidR="008D0382" w:rsidRPr="007D62BF">
        <w:rPr>
          <w:spacing w:val="-4"/>
          <w:lang w:val="vi-VN"/>
        </w:rPr>
        <w:t xml:space="preserve">/BTC-QLCS ngày </w:t>
      </w:r>
      <w:r w:rsidRPr="007D62BF">
        <w:rPr>
          <w:spacing w:val="-4"/>
          <w:lang w:val="vi-VN"/>
        </w:rPr>
        <w:t>23</w:t>
      </w:r>
      <w:r w:rsidR="008D0382" w:rsidRPr="007D62BF">
        <w:rPr>
          <w:spacing w:val="-4"/>
          <w:lang w:val="vi-VN"/>
        </w:rPr>
        <w:t>/</w:t>
      </w:r>
      <w:r w:rsidR="00DB2C4D" w:rsidRPr="007D62BF">
        <w:rPr>
          <w:spacing w:val="-4"/>
          <w:lang w:val="vi-VN"/>
        </w:rPr>
        <w:t>01/2</w:t>
      </w:r>
      <w:r w:rsidR="008D0382" w:rsidRPr="007D62BF">
        <w:rPr>
          <w:spacing w:val="-4"/>
          <w:lang w:val="vi-VN"/>
        </w:rPr>
        <w:t>025</w:t>
      </w:r>
      <w:r w:rsidRPr="007D62BF">
        <w:rPr>
          <w:spacing w:val="-4"/>
          <w:lang w:val="vi-VN"/>
        </w:rPr>
        <w:t xml:space="preserve"> gửi </w:t>
      </w:r>
      <w:r w:rsidRPr="007D62BF">
        <w:rPr>
          <w:spacing w:val="-4"/>
          <w:lang w:val="sv-SE"/>
        </w:rPr>
        <w:t xml:space="preserve">các Bộ, ngành và </w:t>
      </w:r>
      <w:r w:rsidRPr="007D62BF">
        <w:rPr>
          <w:spacing w:val="-4"/>
          <w:lang w:val="vi-VN"/>
        </w:rPr>
        <w:t>Ủy ban nhân dân các tỉnh, thành phố trực thuộc trung ương</w:t>
      </w:r>
      <w:r w:rsidRPr="007D62BF">
        <w:rPr>
          <w:spacing w:val="-4"/>
          <w:lang w:val="sv-SE"/>
        </w:rPr>
        <w:t xml:space="preserve"> về việc</w:t>
      </w:r>
      <w:r w:rsidRPr="007D62BF">
        <w:rPr>
          <w:spacing w:val="-4"/>
          <w:lang w:val="vi-VN"/>
        </w:rPr>
        <w:t xml:space="preserve"> xin ý kiến đối với dự thảo Nghị định; đồng thời, có Công văn số 1061/BTC-QLCS ngày 23/01/2025 </w:t>
      </w:r>
      <w:r w:rsidR="008D0382" w:rsidRPr="007D62BF">
        <w:rPr>
          <w:spacing w:val="-4"/>
          <w:lang w:val="vi-VN"/>
        </w:rPr>
        <w:t>gửi</w:t>
      </w:r>
      <w:r w:rsidRPr="007D62BF">
        <w:rPr>
          <w:spacing w:val="-4"/>
          <w:lang w:val="vi-VN"/>
        </w:rPr>
        <w:t xml:space="preserve"> C</w:t>
      </w:r>
      <w:r w:rsidR="00E75B51" w:rsidRPr="007D62BF">
        <w:rPr>
          <w:spacing w:val="-4"/>
          <w:lang w:val="vi-VN"/>
        </w:rPr>
        <w:t>ổ</w:t>
      </w:r>
      <w:r w:rsidRPr="007D62BF">
        <w:rPr>
          <w:spacing w:val="-4"/>
          <w:lang w:val="vi-VN"/>
        </w:rPr>
        <w:t>ng thông tin điện tử Chính phủ đề nghị đăng tải dự thảo Nghị định để lấy ý kiến rộng rãi đối</w:t>
      </w:r>
      <w:r w:rsidR="00BD4C44" w:rsidRPr="009756E6">
        <w:rPr>
          <w:spacing w:val="-4"/>
          <w:lang w:val="vi-VN"/>
        </w:rPr>
        <w:t xml:space="preserve"> với nội dung Dự thảo</w:t>
      </w:r>
      <w:r w:rsidR="008D0382" w:rsidRPr="007D62BF">
        <w:rPr>
          <w:spacing w:val="-4"/>
          <w:lang w:val="vi-VN"/>
        </w:rPr>
        <w:t>.</w:t>
      </w:r>
    </w:p>
    <w:p w:rsidR="00E75B51" w:rsidRPr="00211773" w:rsidRDefault="00E75B51" w:rsidP="00304A15">
      <w:pPr>
        <w:widowControl w:val="0"/>
        <w:tabs>
          <w:tab w:val="left" w:pos="1134"/>
        </w:tabs>
        <w:spacing w:before="120" w:after="120" w:line="264" w:lineRule="auto"/>
        <w:ind w:firstLine="720"/>
        <w:jc w:val="both"/>
        <w:rPr>
          <w:lang w:val="vi-VN"/>
        </w:rPr>
      </w:pPr>
      <w:r w:rsidRPr="007D62BF">
        <w:rPr>
          <w:spacing w:val="-4"/>
          <w:lang w:val="vi-VN"/>
        </w:rPr>
        <w:t>2.</w:t>
      </w:r>
      <w:r w:rsidR="00F24A25" w:rsidRPr="009756E6">
        <w:rPr>
          <w:spacing w:val="-4"/>
          <w:lang w:val="vi-VN"/>
        </w:rPr>
        <w:t xml:space="preserve"> Rà soát,</w:t>
      </w:r>
      <w:r w:rsidRPr="007D62BF">
        <w:rPr>
          <w:spacing w:val="-4"/>
          <w:lang w:val="vi-VN"/>
        </w:rPr>
        <w:t xml:space="preserve"> </w:t>
      </w:r>
      <w:r w:rsidR="00F24A25" w:rsidRPr="009756E6">
        <w:rPr>
          <w:spacing w:val="-4"/>
          <w:lang w:val="vi-VN"/>
        </w:rPr>
        <w:t>t</w:t>
      </w:r>
      <w:r w:rsidRPr="007D62BF">
        <w:rPr>
          <w:spacing w:val="-4"/>
          <w:lang w:val="vi-VN"/>
        </w:rPr>
        <w:t xml:space="preserve">ổng hợp, tiếp thu ý kiến của các Bộ, ngành, địa phương, doanh nghiệp, Bộ Tài chính đã hoàn thiện dự thảo Nghị định và gửi lấy ý kiến lần 2 của </w:t>
      </w:r>
      <w:r w:rsidR="00AA6AA8" w:rsidRPr="007D62BF">
        <w:rPr>
          <w:lang w:val="pt-BR"/>
        </w:rPr>
        <w:t xml:space="preserve">các Bộ, </w:t>
      </w:r>
      <w:r w:rsidR="00AA6AA8" w:rsidRPr="009756E6">
        <w:rPr>
          <w:spacing w:val="-4"/>
          <w:lang w:val="vi-VN"/>
        </w:rPr>
        <w:t xml:space="preserve">cơ quan ngang Bộ, cơ quan thuộc Chính phủ, cơ quan khác ở Trung ương, </w:t>
      </w:r>
      <w:r w:rsidR="00AA6AA8" w:rsidRPr="009756E6">
        <w:rPr>
          <w:lang w:val="vi-VN"/>
        </w:rPr>
        <w:t xml:space="preserve">Ủy ban Trung ương Mặt trận tổ quốc Việt Nam; Hội đồng Dân tộc của Quốc hội; Liên đoàn Thương mại và Công nghiệp Việt Nam UBND các tỉnh, thành phố </w:t>
      </w:r>
      <w:r w:rsidR="00AA6AA8" w:rsidRPr="009756E6">
        <w:rPr>
          <w:spacing w:val="-4"/>
          <w:lang w:val="vi-VN"/>
        </w:rPr>
        <w:t>trực thuộc Trung ương</w:t>
      </w:r>
      <w:r w:rsidR="00AA6AA8" w:rsidRPr="00211773">
        <w:rPr>
          <w:lang w:val="vi-VN"/>
        </w:rPr>
        <w:t xml:space="preserve"> và các Tập đoàn, Tổng công ty do Thủ tướng Chính phủ quyết định thành lập</w:t>
      </w:r>
      <w:r w:rsidRPr="00211773">
        <w:rPr>
          <w:lang w:val="vi-VN"/>
        </w:rPr>
        <w:t>.</w:t>
      </w:r>
    </w:p>
    <w:p w:rsidR="00AF41BA" w:rsidRPr="00211773" w:rsidRDefault="00E75B51" w:rsidP="00304A15">
      <w:pPr>
        <w:widowControl w:val="0"/>
        <w:tabs>
          <w:tab w:val="left" w:pos="1134"/>
        </w:tabs>
        <w:spacing w:before="120" w:after="120" w:line="264" w:lineRule="auto"/>
        <w:ind w:firstLine="720"/>
        <w:jc w:val="both"/>
        <w:rPr>
          <w:spacing w:val="-4"/>
          <w:lang w:val="vi-VN"/>
        </w:rPr>
      </w:pPr>
      <w:r w:rsidRPr="00211773">
        <w:rPr>
          <w:bCs/>
          <w:lang w:val="vi-VN"/>
        </w:rPr>
        <w:t>Ngày</w:t>
      </w:r>
      <w:r w:rsidRPr="00211773">
        <w:rPr>
          <w:spacing w:val="-4"/>
          <w:lang w:val="vi-VN"/>
        </w:rPr>
        <w:t>..../…/2025</w:t>
      </w:r>
      <w:r w:rsidR="00D2786C" w:rsidRPr="00211773">
        <w:rPr>
          <w:spacing w:val="-4"/>
          <w:lang w:val="vi-VN"/>
        </w:rPr>
        <w:t>, Bộ Tài chính có Công văn số ....../BTC-QLCS</w:t>
      </w:r>
      <w:r w:rsidRPr="00211773">
        <w:rPr>
          <w:spacing w:val="-4"/>
          <w:lang w:val="vi-VN"/>
        </w:rPr>
        <w:t xml:space="preserve"> </w:t>
      </w:r>
      <w:r w:rsidR="00D2786C" w:rsidRPr="00211773">
        <w:rPr>
          <w:spacing w:val="-4"/>
          <w:lang w:val="vi-VN"/>
        </w:rPr>
        <w:t>gửi Bộ Tư pháp đề nghị thẩm định đối với hồ sơ dự thảo Nghị định</w:t>
      </w:r>
      <w:r w:rsidRPr="00211773">
        <w:rPr>
          <w:spacing w:val="-4"/>
          <w:lang w:val="vi-VN"/>
        </w:rPr>
        <w:t>. N</w:t>
      </w:r>
      <w:r w:rsidR="00D2786C" w:rsidRPr="00211773">
        <w:rPr>
          <w:spacing w:val="-4"/>
          <w:lang w:val="vi-VN"/>
        </w:rPr>
        <w:t>gày …./…/2025 Bộ Tư pháp có văn bản thẩm định đối với hồ sơ dự thảo Nghị định.</w:t>
      </w:r>
    </w:p>
    <w:p w:rsidR="00AF41BA" w:rsidRPr="00211773" w:rsidRDefault="00AF41BA" w:rsidP="00304A15">
      <w:pPr>
        <w:widowControl w:val="0"/>
        <w:spacing w:before="120" w:after="120" w:line="264" w:lineRule="auto"/>
        <w:ind w:firstLine="720"/>
        <w:jc w:val="both"/>
        <w:rPr>
          <w:spacing w:val="-4"/>
          <w:lang w:val="vi-VN"/>
        </w:rPr>
      </w:pPr>
      <w:r w:rsidRPr="00211773">
        <w:rPr>
          <w:spacing w:val="-4"/>
          <w:lang w:val="vi-VN"/>
        </w:rPr>
        <w:t>Trên cơ sở tiếp thu, giải trình ý kiến thẩm định của Bộ Tư pháp, Bộ Tài chính hoàn thiện hồ sơ trình Chính phủ về dự thảo Nghị định.</w:t>
      </w:r>
    </w:p>
    <w:p w:rsidR="00AF41BA" w:rsidRPr="00211773" w:rsidRDefault="00AF41BA" w:rsidP="00304A15">
      <w:pPr>
        <w:spacing w:before="120" w:after="120" w:line="264" w:lineRule="auto"/>
        <w:ind w:firstLine="720"/>
        <w:jc w:val="both"/>
        <w:outlineLvl w:val="0"/>
        <w:rPr>
          <w:b/>
          <w:iCs/>
          <w:spacing w:val="8"/>
          <w:sz w:val="24"/>
          <w:lang w:val="vi-VN"/>
        </w:rPr>
      </w:pPr>
      <w:r w:rsidRPr="00211773">
        <w:rPr>
          <w:b/>
          <w:iCs/>
          <w:spacing w:val="8"/>
          <w:sz w:val="24"/>
          <w:lang w:val="vi-VN"/>
        </w:rPr>
        <w:t>III. MỤC TIÊU, QUAN ĐIỂM XÂY DỰNG NGHỊ ĐỊNH</w:t>
      </w:r>
    </w:p>
    <w:p w:rsidR="00AF41BA" w:rsidRPr="00211773" w:rsidRDefault="00E75B51" w:rsidP="00304A15">
      <w:pPr>
        <w:spacing w:before="120" w:after="120" w:line="264" w:lineRule="auto"/>
        <w:ind w:firstLine="720"/>
        <w:jc w:val="both"/>
        <w:outlineLvl w:val="0"/>
        <w:rPr>
          <w:b/>
          <w:iCs/>
          <w:spacing w:val="8"/>
          <w:lang w:val="vi-VN"/>
        </w:rPr>
      </w:pPr>
      <w:r w:rsidRPr="00211773">
        <w:rPr>
          <w:b/>
          <w:iCs/>
          <w:spacing w:val="8"/>
          <w:lang w:val="vi-VN"/>
        </w:rPr>
        <w:t>1. Mục tiêu</w:t>
      </w:r>
    </w:p>
    <w:p w:rsidR="00AF41BA" w:rsidRPr="00211773" w:rsidRDefault="0049191D" w:rsidP="00304A15">
      <w:pPr>
        <w:spacing w:before="120" w:after="120" w:line="264" w:lineRule="auto"/>
        <w:ind w:firstLine="720"/>
        <w:jc w:val="both"/>
        <w:rPr>
          <w:bCs/>
          <w:lang w:val="vi-VN"/>
        </w:rPr>
      </w:pPr>
      <w:r w:rsidRPr="00211773">
        <w:rPr>
          <w:spacing w:val="-4"/>
          <w:lang w:val="vi-VN"/>
        </w:rPr>
        <w:t>Sửa đổi, bổ sung</w:t>
      </w:r>
      <w:r w:rsidR="0022719D" w:rsidRPr="00211773">
        <w:rPr>
          <w:lang w:val="vi-VN"/>
        </w:rPr>
        <w:t xml:space="preserve"> một số nội dung về tiền sử dụng đất, tiền thuê đất, </w:t>
      </w:r>
      <w:r w:rsidR="006026C3" w:rsidRPr="009756E6">
        <w:rPr>
          <w:lang w:val="vi-VN"/>
        </w:rPr>
        <w:t>Q</w:t>
      </w:r>
      <w:r w:rsidR="0022719D" w:rsidRPr="00211773">
        <w:rPr>
          <w:lang w:val="vi-VN"/>
        </w:rPr>
        <w:t xml:space="preserve">uỹ phát triển đất để </w:t>
      </w:r>
      <w:r w:rsidR="0022719D" w:rsidRPr="00211773">
        <w:rPr>
          <w:bCs/>
          <w:lang w:val="vi-VN"/>
        </w:rPr>
        <w:t>g</w:t>
      </w:r>
      <w:r w:rsidR="00AF41BA" w:rsidRPr="00211773">
        <w:rPr>
          <w:bCs/>
          <w:lang w:val="vi-VN"/>
        </w:rPr>
        <w:t>iải quyết các vấn đề do thực tiễn đặt ra</w:t>
      </w:r>
      <w:r w:rsidR="0022719D" w:rsidRPr="00211773">
        <w:rPr>
          <w:bCs/>
          <w:lang w:val="vi-VN"/>
        </w:rPr>
        <w:t xml:space="preserve"> trong quá trình</w:t>
      </w:r>
      <w:r w:rsidR="00AF41BA" w:rsidRPr="00211773">
        <w:rPr>
          <w:bCs/>
          <w:lang w:val="vi-VN"/>
        </w:rPr>
        <w:t xml:space="preserve"> triển khai thực hiện các quy định về thu tiền sử dụng đất, thu tiền thuê đất, </w:t>
      </w:r>
      <w:r w:rsidR="006026C3" w:rsidRPr="009756E6">
        <w:rPr>
          <w:bCs/>
          <w:lang w:val="vi-VN"/>
        </w:rPr>
        <w:t>Q</w:t>
      </w:r>
      <w:r w:rsidRPr="00211773">
        <w:rPr>
          <w:bCs/>
          <w:lang w:val="vi-VN"/>
        </w:rPr>
        <w:t>uỹ phát triển đất</w:t>
      </w:r>
      <w:r w:rsidR="00AF41BA" w:rsidRPr="00211773">
        <w:rPr>
          <w:bCs/>
          <w:lang w:val="vi-VN"/>
        </w:rPr>
        <w:t xml:space="preserve"> </w:t>
      </w:r>
      <w:r w:rsidR="0022719D" w:rsidRPr="00211773">
        <w:rPr>
          <w:bCs/>
          <w:lang w:val="vi-VN"/>
        </w:rPr>
        <w:t>tại</w:t>
      </w:r>
      <w:r w:rsidR="00AF41BA" w:rsidRPr="00211773">
        <w:rPr>
          <w:bCs/>
          <w:lang w:val="vi-VN"/>
        </w:rPr>
        <w:t xml:space="preserve"> </w:t>
      </w:r>
      <w:r w:rsidR="0022719D" w:rsidRPr="00211773">
        <w:rPr>
          <w:lang w:val="vi-VN"/>
        </w:rPr>
        <w:t>Nghị</w:t>
      </w:r>
      <w:r w:rsidRPr="00211773">
        <w:rPr>
          <w:lang w:val="vi-VN"/>
        </w:rPr>
        <w:t xml:space="preserve"> định số 103/2024/NĐ-CP</w:t>
      </w:r>
      <w:r w:rsidR="0022719D" w:rsidRPr="00211773">
        <w:rPr>
          <w:lang w:val="vi-VN"/>
        </w:rPr>
        <w:t>, Nghị định số 104/2024/NĐ-C</w:t>
      </w:r>
      <w:r w:rsidRPr="00211773">
        <w:rPr>
          <w:lang w:val="vi-VN"/>
        </w:rPr>
        <w:t xml:space="preserve">P </w:t>
      </w:r>
      <w:r w:rsidR="0022719D" w:rsidRPr="00211773">
        <w:rPr>
          <w:lang w:val="vi-VN"/>
        </w:rPr>
        <w:t xml:space="preserve">của Chính phủ </w:t>
      </w:r>
      <w:r w:rsidR="0022719D" w:rsidRPr="00211773">
        <w:rPr>
          <w:bCs/>
          <w:lang w:val="vi-VN"/>
        </w:rPr>
        <w:t>theo kiến nghị</w:t>
      </w:r>
      <w:r w:rsidRPr="00211773">
        <w:rPr>
          <w:bCs/>
          <w:lang w:val="vi-VN"/>
        </w:rPr>
        <w:t>, đề xuất</w:t>
      </w:r>
      <w:r w:rsidR="0022719D" w:rsidRPr="00211773">
        <w:rPr>
          <w:bCs/>
          <w:lang w:val="vi-VN"/>
        </w:rPr>
        <w:t xml:space="preserve"> của các Bộ, ngành, địa phương</w:t>
      </w:r>
      <w:r w:rsidR="009E1FD0" w:rsidRPr="00211773">
        <w:rPr>
          <w:bCs/>
          <w:lang w:val="vi-VN"/>
        </w:rPr>
        <w:t>.</w:t>
      </w:r>
    </w:p>
    <w:p w:rsidR="00AF41BA" w:rsidRPr="00211773" w:rsidRDefault="00E75B51" w:rsidP="00304A15">
      <w:pPr>
        <w:spacing w:before="120" w:after="120" w:line="264" w:lineRule="auto"/>
        <w:ind w:firstLine="720"/>
        <w:jc w:val="both"/>
        <w:outlineLvl w:val="0"/>
        <w:rPr>
          <w:b/>
          <w:iCs/>
          <w:spacing w:val="8"/>
          <w:lang w:val="vi-VN"/>
        </w:rPr>
      </w:pPr>
      <w:r w:rsidRPr="00211773">
        <w:rPr>
          <w:b/>
          <w:iCs/>
          <w:spacing w:val="8"/>
          <w:lang w:val="vi-VN"/>
        </w:rPr>
        <w:t>2. Quan điểm</w:t>
      </w:r>
    </w:p>
    <w:p w:rsidR="00A4067F" w:rsidRPr="00211773" w:rsidRDefault="00A9321E" w:rsidP="00304A15">
      <w:pPr>
        <w:tabs>
          <w:tab w:val="left" w:pos="1276"/>
        </w:tabs>
        <w:spacing w:before="120" w:after="120" w:line="264" w:lineRule="auto"/>
        <w:ind w:firstLine="720"/>
        <w:jc w:val="both"/>
        <w:outlineLvl w:val="0"/>
        <w:rPr>
          <w:bCs/>
          <w:lang w:val="vi-VN"/>
        </w:rPr>
      </w:pPr>
      <w:r w:rsidRPr="00211773">
        <w:rPr>
          <w:bCs/>
          <w:lang w:val="vi-VN"/>
        </w:rPr>
        <w:lastRenderedPageBreak/>
        <w:t xml:space="preserve">- </w:t>
      </w:r>
      <w:r w:rsidR="00A4067F" w:rsidRPr="00211773">
        <w:rPr>
          <w:bCs/>
          <w:lang w:val="vi-VN"/>
        </w:rPr>
        <w:t>Đảm bảo thống nhất, đồng bộ và phù hợp với pháp luật về đất đai, ngân sách nhà nước, quản lý thuế và các pháp luật khác có liên quan.</w:t>
      </w:r>
    </w:p>
    <w:p w:rsidR="00DB2C4D" w:rsidRPr="00211773" w:rsidRDefault="00A9321E" w:rsidP="00304A15">
      <w:pPr>
        <w:tabs>
          <w:tab w:val="left" w:pos="1276"/>
        </w:tabs>
        <w:spacing w:before="120" w:after="120" w:line="264" w:lineRule="auto"/>
        <w:ind w:firstLine="720"/>
        <w:jc w:val="both"/>
        <w:outlineLvl w:val="0"/>
        <w:rPr>
          <w:bCs/>
          <w:lang w:val="vi-VN"/>
        </w:rPr>
      </w:pPr>
      <w:r w:rsidRPr="00211773">
        <w:rPr>
          <w:bCs/>
          <w:lang w:val="vi-VN"/>
        </w:rPr>
        <w:t xml:space="preserve">- </w:t>
      </w:r>
      <w:r w:rsidR="00A4067F" w:rsidRPr="00211773">
        <w:rPr>
          <w:bCs/>
          <w:lang w:val="vi-VN"/>
        </w:rPr>
        <w:t xml:space="preserve">Đảm bảo quy định bao quát được hết các trường hợp phát sinh về tiền sử dụng đất, tiền thuê đất, </w:t>
      </w:r>
      <w:r w:rsidR="006026C3" w:rsidRPr="009756E6">
        <w:rPr>
          <w:bCs/>
          <w:lang w:val="vi-VN"/>
        </w:rPr>
        <w:t>Q</w:t>
      </w:r>
      <w:r w:rsidR="00A4067F" w:rsidRPr="00211773">
        <w:rPr>
          <w:bCs/>
          <w:lang w:val="vi-VN"/>
        </w:rPr>
        <w:t>uỹ phát triển đất trên thực tế.</w:t>
      </w:r>
    </w:p>
    <w:p w:rsidR="003D3819" w:rsidRPr="00211773" w:rsidRDefault="00A9321E" w:rsidP="00304A15">
      <w:pPr>
        <w:tabs>
          <w:tab w:val="left" w:pos="1276"/>
        </w:tabs>
        <w:spacing w:before="120" w:after="120" w:line="264" w:lineRule="auto"/>
        <w:ind w:firstLine="720"/>
        <w:jc w:val="both"/>
        <w:outlineLvl w:val="0"/>
        <w:rPr>
          <w:bCs/>
          <w:lang w:val="vi-VN"/>
        </w:rPr>
      </w:pPr>
      <w:r w:rsidRPr="00211773">
        <w:rPr>
          <w:bCs/>
          <w:lang w:val="vi-VN"/>
        </w:rPr>
        <w:t xml:space="preserve">- </w:t>
      </w:r>
      <w:r w:rsidR="00A4067F" w:rsidRPr="00211773">
        <w:rPr>
          <w:bCs/>
          <w:lang w:val="vi-VN"/>
        </w:rPr>
        <w:t>Có k</w:t>
      </w:r>
      <w:r w:rsidR="003D3819" w:rsidRPr="00211773">
        <w:rPr>
          <w:bCs/>
          <w:lang w:val="vi-VN"/>
        </w:rPr>
        <w:t>ế thừa các quy định về tiền sử dụng đất, tiền thuê đất</w:t>
      </w:r>
      <w:r w:rsidR="00A4067F" w:rsidRPr="00211773">
        <w:rPr>
          <w:bCs/>
          <w:lang w:val="vi-VN"/>
        </w:rPr>
        <w:t xml:space="preserve">, </w:t>
      </w:r>
      <w:r w:rsidR="006026C3" w:rsidRPr="009756E6">
        <w:rPr>
          <w:bCs/>
          <w:lang w:val="vi-VN"/>
        </w:rPr>
        <w:t>Q</w:t>
      </w:r>
      <w:r w:rsidR="00A4067F" w:rsidRPr="00211773">
        <w:rPr>
          <w:bCs/>
          <w:lang w:val="vi-VN"/>
        </w:rPr>
        <w:t>uỹ phát triển đất</w:t>
      </w:r>
      <w:r w:rsidR="003D3819" w:rsidRPr="00211773">
        <w:rPr>
          <w:bCs/>
          <w:lang w:val="vi-VN"/>
        </w:rPr>
        <w:t xml:space="preserve"> theo quy định của pháp luật về đất đai năm 2003, năm 2013</w:t>
      </w:r>
      <w:r w:rsidR="00A4067F" w:rsidRPr="00211773">
        <w:rPr>
          <w:bCs/>
          <w:lang w:val="vi-VN"/>
        </w:rPr>
        <w:t>.</w:t>
      </w:r>
    </w:p>
    <w:p w:rsidR="00AF41BA" w:rsidRPr="00211773" w:rsidRDefault="00A9321E" w:rsidP="00304A15">
      <w:pPr>
        <w:spacing w:before="120" w:after="120" w:line="264" w:lineRule="auto"/>
        <w:ind w:firstLine="720"/>
        <w:jc w:val="both"/>
        <w:outlineLvl w:val="0"/>
        <w:rPr>
          <w:iCs/>
          <w:spacing w:val="8"/>
          <w:lang w:val="vi-VN"/>
        </w:rPr>
      </w:pPr>
      <w:r w:rsidRPr="00211773">
        <w:rPr>
          <w:bCs/>
          <w:lang w:val="vi-VN"/>
        </w:rPr>
        <w:t xml:space="preserve">- </w:t>
      </w:r>
      <w:r w:rsidR="00A4067F" w:rsidRPr="00211773">
        <w:rPr>
          <w:spacing w:val="-4"/>
          <w:lang w:val="vi-VN"/>
        </w:rPr>
        <w:t xml:space="preserve">Đảm bảo hài hòa lợi ích giữa Nhà nước, nhà đầu tư và người sử dụng đất trong mối quan hệ liên quan đến tiền sử dụng đất, tiền thuê đất, </w:t>
      </w:r>
      <w:r w:rsidR="006026C3" w:rsidRPr="009756E6">
        <w:rPr>
          <w:spacing w:val="-4"/>
          <w:lang w:val="vi-VN"/>
        </w:rPr>
        <w:t>Q</w:t>
      </w:r>
      <w:r w:rsidR="00A4067F" w:rsidRPr="00211773">
        <w:rPr>
          <w:spacing w:val="-4"/>
          <w:lang w:val="vi-VN"/>
        </w:rPr>
        <w:t>uỹ phát triển đất.</w:t>
      </w:r>
    </w:p>
    <w:p w:rsidR="00AF41BA" w:rsidRPr="00211773" w:rsidRDefault="00AF41BA" w:rsidP="00304A15">
      <w:pPr>
        <w:spacing w:before="120" w:after="120" w:line="264" w:lineRule="auto"/>
        <w:ind w:firstLine="720"/>
        <w:jc w:val="both"/>
        <w:outlineLvl w:val="0"/>
        <w:rPr>
          <w:b/>
          <w:iCs/>
          <w:spacing w:val="8"/>
          <w:sz w:val="24"/>
          <w:lang w:val="pl-PL"/>
        </w:rPr>
      </w:pPr>
      <w:r w:rsidRPr="00211773">
        <w:rPr>
          <w:b/>
          <w:iCs/>
          <w:spacing w:val="8"/>
          <w:sz w:val="24"/>
          <w:lang w:val="pl-PL"/>
        </w:rPr>
        <w:t>IV. VỀ BỐ CỤC CỦA DỰ THẢO NGHỊ ĐỊNH</w:t>
      </w:r>
    </w:p>
    <w:p w:rsidR="00AF41BA" w:rsidRPr="00211773" w:rsidRDefault="00AF41BA" w:rsidP="00304A15">
      <w:pPr>
        <w:spacing w:before="120" w:after="120" w:line="264" w:lineRule="auto"/>
        <w:ind w:firstLine="720"/>
        <w:jc w:val="both"/>
        <w:rPr>
          <w:lang w:val="it-IT"/>
        </w:rPr>
      </w:pPr>
      <w:r w:rsidRPr="00211773">
        <w:rPr>
          <w:lang w:val="it-IT"/>
        </w:rPr>
        <w:t xml:space="preserve">Dự thảo Nghị định gồm </w:t>
      </w:r>
      <w:r w:rsidR="00F17618" w:rsidRPr="00211773">
        <w:rPr>
          <w:lang w:val="it-IT"/>
        </w:rPr>
        <w:t>0</w:t>
      </w:r>
      <w:r w:rsidR="00976FAD" w:rsidRPr="00211773">
        <w:rPr>
          <w:lang w:val="it-IT"/>
        </w:rPr>
        <w:t>5</w:t>
      </w:r>
      <w:r w:rsidR="003C7883" w:rsidRPr="00211773">
        <w:rPr>
          <w:lang w:val="it-IT"/>
        </w:rPr>
        <w:t xml:space="preserve"> </w:t>
      </w:r>
      <w:r w:rsidRPr="00211773">
        <w:rPr>
          <w:lang w:val="it-IT"/>
        </w:rPr>
        <w:t>Điều.</w:t>
      </w:r>
      <w:r w:rsidR="00DD27A5" w:rsidRPr="00211773">
        <w:rPr>
          <w:lang w:val="it-IT"/>
        </w:rPr>
        <w:t xml:space="preserve"> Trong đó:</w:t>
      </w:r>
    </w:p>
    <w:p w:rsidR="00AF41BA" w:rsidRPr="00211773" w:rsidRDefault="00AF41BA" w:rsidP="00304A15">
      <w:pPr>
        <w:pStyle w:val="NormalWeb"/>
        <w:spacing w:before="120" w:beforeAutospacing="0" w:after="120" w:afterAutospacing="0" w:line="264" w:lineRule="auto"/>
        <w:ind w:firstLine="720"/>
        <w:rPr>
          <w:rFonts w:ascii="Times New Roman" w:hAnsi="Times New Roman" w:cs="Times New Roman"/>
          <w:sz w:val="28"/>
          <w:szCs w:val="28"/>
          <w:lang w:val="it-IT"/>
        </w:rPr>
      </w:pPr>
      <w:r w:rsidRPr="00211773">
        <w:rPr>
          <w:rFonts w:ascii="Times New Roman" w:hAnsi="Times New Roman" w:cs="Times New Roman"/>
          <w:sz w:val="28"/>
          <w:szCs w:val="28"/>
          <w:lang w:val="it-IT"/>
        </w:rPr>
        <w:t xml:space="preserve">- </w:t>
      </w:r>
      <w:r w:rsidR="00976FAD" w:rsidRPr="00211773">
        <w:rPr>
          <w:rFonts w:ascii="Times New Roman" w:hAnsi="Times New Roman" w:cs="Times New Roman"/>
          <w:sz w:val="28"/>
          <w:szCs w:val="28"/>
          <w:lang w:val="it-IT"/>
        </w:rPr>
        <w:t xml:space="preserve">Điều 1, Điều 2 </w:t>
      </w:r>
      <w:r w:rsidRPr="00211773">
        <w:rPr>
          <w:rFonts w:ascii="Times New Roman" w:hAnsi="Times New Roman" w:cs="Times New Roman"/>
          <w:sz w:val="28"/>
          <w:szCs w:val="28"/>
          <w:lang w:val="it-IT"/>
        </w:rPr>
        <w:t>quy định về phạm vi điều chỉnh</w:t>
      </w:r>
      <w:r w:rsidR="00976FAD" w:rsidRPr="00211773">
        <w:rPr>
          <w:rFonts w:ascii="Times New Roman" w:hAnsi="Times New Roman" w:cs="Times New Roman"/>
          <w:sz w:val="28"/>
          <w:szCs w:val="28"/>
          <w:lang w:val="it-IT"/>
        </w:rPr>
        <w:t>, đối tượng áp dụng</w:t>
      </w:r>
      <w:r w:rsidRPr="00211773">
        <w:rPr>
          <w:rFonts w:ascii="Times New Roman" w:hAnsi="Times New Roman" w:cs="Times New Roman"/>
          <w:sz w:val="28"/>
          <w:szCs w:val="28"/>
          <w:lang w:val="it-IT"/>
        </w:rPr>
        <w:t xml:space="preserve">; </w:t>
      </w:r>
    </w:p>
    <w:p w:rsidR="00AF41BA" w:rsidRPr="00211773" w:rsidRDefault="00AF41BA" w:rsidP="00304A15">
      <w:pPr>
        <w:pStyle w:val="NormalWeb"/>
        <w:spacing w:before="120" w:beforeAutospacing="0" w:after="120" w:afterAutospacing="0" w:line="264" w:lineRule="auto"/>
        <w:ind w:firstLine="720"/>
        <w:rPr>
          <w:rFonts w:ascii="Times New Roman" w:hAnsi="Times New Roman" w:cs="Times New Roman"/>
          <w:sz w:val="28"/>
          <w:szCs w:val="28"/>
          <w:lang w:val="it-IT"/>
        </w:rPr>
      </w:pPr>
      <w:r w:rsidRPr="00211773">
        <w:rPr>
          <w:rFonts w:ascii="Times New Roman" w:hAnsi="Times New Roman" w:cs="Times New Roman"/>
          <w:sz w:val="28"/>
          <w:szCs w:val="28"/>
          <w:lang w:val="it-IT"/>
        </w:rPr>
        <w:t xml:space="preserve">- Điều 3 </w:t>
      </w:r>
      <w:r w:rsidR="00F17618" w:rsidRPr="00211773">
        <w:rPr>
          <w:rFonts w:ascii="Times New Roman" w:hAnsi="Times New Roman" w:cs="Times New Roman"/>
          <w:bCs/>
          <w:sz w:val="28"/>
          <w:szCs w:val="28"/>
          <w:shd w:val="clear" w:color="auto" w:fill="FFFFFF"/>
          <w:lang w:val="it-IT"/>
        </w:rPr>
        <w:t>sửa đổi, bổ sung một số điều của Nghị định số 103/20</w:t>
      </w:r>
      <w:r w:rsidR="005F7FA5" w:rsidRPr="00211773">
        <w:rPr>
          <w:rFonts w:ascii="Times New Roman" w:hAnsi="Times New Roman" w:cs="Times New Roman"/>
          <w:bCs/>
          <w:sz w:val="28"/>
          <w:szCs w:val="28"/>
          <w:shd w:val="clear" w:color="auto" w:fill="FFFFFF"/>
          <w:lang w:val="it-IT"/>
        </w:rPr>
        <w:t>2</w:t>
      </w:r>
      <w:r w:rsidR="00F17618" w:rsidRPr="00211773">
        <w:rPr>
          <w:rFonts w:ascii="Times New Roman" w:hAnsi="Times New Roman" w:cs="Times New Roman"/>
          <w:bCs/>
          <w:sz w:val="28"/>
          <w:szCs w:val="28"/>
          <w:shd w:val="clear" w:color="auto" w:fill="FFFFFF"/>
          <w:lang w:val="it-IT"/>
        </w:rPr>
        <w:t>4/NĐ-CP ngày 30 tháng 7 năm 2024 của Chính phủ quy định về thu tiền sử dụng đất, tiền thuê đất</w:t>
      </w:r>
      <w:r w:rsidRPr="00211773">
        <w:rPr>
          <w:rFonts w:ascii="Times New Roman" w:hAnsi="Times New Roman" w:cs="Times New Roman"/>
          <w:sz w:val="28"/>
          <w:szCs w:val="28"/>
          <w:lang w:val="it-IT"/>
        </w:rPr>
        <w:t xml:space="preserve">; </w:t>
      </w:r>
    </w:p>
    <w:p w:rsidR="00624599" w:rsidRPr="00211773" w:rsidRDefault="00624599" w:rsidP="00304A15">
      <w:pPr>
        <w:pStyle w:val="NormalWeb"/>
        <w:spacing w:before="120" w:beforeAutospacing="0" w:after="120" w:afterAutospacing="0" w:line="264" w:lineRule="auto"/>
        <w:ind w:firstLine="720"/>
        <w:rPr>
          <w:rFonts w:ascii="Times New Roman" w:hAnsi="Times New Roman" w:cs="Times New Roman"/>
          <w:sz w:val="28"/>
          <w:szCs w:val="28"/>
          <w:lang w:val="it-IT"/>
        </w:rPr>
      </w:pPr>
      <w:r w:rsidRPr="00211773">
        <w:rPr>
          <w:rFonts w:ascii="Times New Roman" w:hAnsi="Times New Roman" w:cs="Times New Roman"/>
          <w:sz w:val="28"/>
          <w:szCs w:val="28"/>
          <w:lang w:val="it-IT"/>
        </w:rPr>
        <w:t xml:space="preserve">- Điều </w:t>
      </w:r>
      <w:r w:rsidR="003C7883" w:rsidRPr="00211773">
        <w:rPr>
          <w:rFonts w:ascii="Times New Roman" w:hAnsi="Times New Roman" w:cs="Times New Roman"/>
          <w:sz w:val="28"/>
          <w:szCs w:val="28"/>
          <w:lang w:val="it-IT"/>
        </w:rPr>
        <w:t>4</w:t>
      </w:r>
      <w:r w:rsidRPr="00211773">
        <w:rPr>
          <w:rFonts w:ascii="Times New Roman" w:hAnsi="Times New Roman" w:cs="Times New Roman"/>
          <w:sz w:val="28"/>
          <w:szCs w:val="28"/>
          <w:lang w:val="it-IT"/>
        </w:rPr>
        <w:t xml:space="preserve"> </w:t>
      </w:r>
      <w:r w:rsidR="00F17618" w:rsidRPr="00211773">
        <w:rPr>
          <w:rFonts w:ascii="Times New Roman" w:hAnsi="Times New Roman" w:cs="Times New Roman"/>
          <w:bCs/>
          <w:sz w:val="28"/>
          <w:szCs w:val="28"/>
          <w:shd w:val="clear" w:color="auto" w:fill="FFFFFF"/>
          <w:lang w:val="it-IT"/>
        </w:rPr>
        <w:t>sửa đổi, bổ sung một số điều của Nghị định số 104/20</w:t>
      </w:r>
      <w:r w:rsidR="005F7FA5" w:rsidRPr="00211773">
        <w:rPr>
          <w:rFonts w:ascii="Times New Roman" w:hAnsi="Times New Roman" w:cs="Times New Roman"/>
          <w:bCs/>
          <w:sz w:val="28"/>
          <w:szCs w:val="28"/>
          <w:shd w:val="clear" w:color="auto" w:fill="FFFFFF"/>
          <w:lang w:val="it-IT"/>
        </w:rPr>
        <w:t>2</w:t>
      </w:r>
      <w:r w:rsidR="00F17618" w:rsidRPr="00211773">
        <w:rPr>
          <w:rFonts w:ascii="Times New Roman" w:hAnsi="Times New Roman" w:cs="Times New Roman"/>
          <w:bCs/>
          <w:sz w:val="28"/>
          <w:szCs w:val="28"/>
          <w:shd w:val="clear" w:color="auto" w:fill="FFFFFF"/>
          <w:lang w:val="it-IT"/>
        </w:rPr>
        <w:t>4/NĐ-CP ngày 31 tháng 7 năm 2024 của Chính phủ quy định về Quỹ phát triển đất</w:t>
      </w:r>
      <w:r w:rsidRPr="00211773">
        <w:rPr>
          <w:rFonts w:ascii="Times New Roman" w:hAnsi="Times New Roman" w:cs="Times New Roman"/>
          <w:sz w:val="28"/>
          <w:szCs w:val="28"/>
          <w:lang w:val="it-IT"/>
        </w:rPr>
        <w:t>;</w:t>
      </w:r>
    </w:p>
    <w:p w:rsidR="00624599" w:rsidRPr="00211773" w:rsidRDefault="00624599" w:rsidP="00304A15">
      <w:pPr>
        <w:pStyle w:val="NormalWeb"/>
        <w:spacing w:before="120" w:beforeAutospacing="0" w:after="120" w:afterAutospacing="0" w:line="264" w:lineRule="auto"/>
        <w:ind w:firstLine="720"/>
        <w:rPr>
          <w:rFonts w:ascii="Times New Roman" w:hAnsi="Times New Roman" w:cs="Times New Roman"/>
          <w:bCs/>
          <w:sz w:val="28"/>
          <w:szCs w:val="28"/>
          <w:shd w:val="clear" w:color="auto" w:fill="FFFFFF"/>
          <w:lang w:val="it-IT"/>
        </w:rPr>
      </w:pPr>
      <w:r w:rsidRPr="00211773">
        <w:rPr>
          <w:rFonts w:ascii="Times New Roman" w:hAnsi="Times New Roman" w:cs="Times New Roman"/>
          <w:bCs/>
          <w:sz w:val="28"/>
          <w:szCs w:val="28"/>
          <w:shd w:val="clear" w:color="auto" w:fill="FFFFFF"/>
          <w:lang w:val="it-IT"/>
        </w:rPr>
        <w:t xml:space="preserve">- Điều </w:t>
      </w:r>
      <w:r w:rsidR="003C7883" w:rsidRPr="00211773">
        <w:rPr>
          <w:rFonts w:ascii="Times New Roman" w:hAnsi="Times New Roman" w:cs="Times New Roman"/>
          <w:bCs/>
          <w:sz w:val="28"/>
          <w:szCs w:val="28"/>
          <w:shd w:val="clear" w:color="auto" w:fill="FFFFFF"/>
          <w:lang w:val="it-IT"/>
        </w:rPr>
        <w:t xml:space="preserve">5 </w:t>
      </w:r>
      <w:r w:rsidRPr="00211773">
        <w:rPr>
          <w:rFonts w:ascii="Times New Roman" w:hAnsi="Times New Roman" w:cs="Times New Roman"/>
          <w:bCs/>
          <w:sz w:val="28"/>
          <w:szCs w:val="28"/>
          <w:shd w:val="clear" w:color="auto" w:fill="FFFFFF"/>
          <w:lang w:val="it-IT"/>
        </w:rPr>
        <w:t>quy định về hiệu lực</w:t>
      </w:r>
      <w:r w:rsidR="00976FAD" w:rsidRPr="00211773">
        <w:rPr>
          <w:rFonts w:ascii="Times New Roman" w:hAnsi="Times New Roman" w:cs="Times New Roman"/>
          <w:bCs/>
          <w:sz w:val="28"/>
          <w:szCs w:val="28"/>
          <w:shd w:val="clear" w:color="auto" w:fill="FFFFFF"/>
          <w:lang w:val="it-IT"/>
        </w:rPr>
        <w:t xml:space="preserve"> thi hành</w:t>
      </w:r>
      <w:r w:rsidRPr="00211773">
        <w:rPr>
          <w:rFonts w:ascii="Times New Roman" w:hAnsi="Times New Roman" w:cs="Times New Roman"/>
          <w:bCs/>
          <w:sz w:val="28"/>
          <w:szCs w:val="28"/>
          <w:shd w:val="clear" w:color="auto" w:fill="FFFFFF"/>
          <w:lang w:val="it-IT"/>
        </w:rPr>
        <w:t xml:space="preserve"> và trách nhiệm </w:t>
      </w:r>
      <w:r w:rsidR="00976FAD" w:rsidRPr="00211773">
        <w:rPr>
          <w:rFonts w:ascii="Times New Roman" w:hAnsi="Times New Roman" w:cs="Times New Roman"/>
          <w:bCs/>
          <w:sz w:val="28"/>
          <w:szCs w:val="28"/>
          <w:shd w:val="clear" w:color="auto" w:fill="FFFFFF"/>
          <w:lang w:val="it-IT"/>
        </w:rPr>
        <w:t>thực hiện</w:t>
      </w:r>
      <w:r w:rsidRPr="00211773">
        <w:rPr>
          <w:rFonts w:ascii="Times New Roman" w:hAnsi="Times New Roman" w:cs="Times New Roman"/>
          <w:bCs/>
          <w:sz w:val="28"/>
          <w:szCs w:val="28"/>
          <w:shd w:val="clear" w:color="auto" w:fill="FFFFFF"/>
          <w:lang w:val="it-IT"/>
        </w:rPr>
        <w:t>.</w:t>
      </w:r>
    </w:p>
    <w:p w:rsidR="00AF41BA" w:rsidRPr="00211773" w:rsidRDefault="00AF41BA" w:rsidP="00304A15">
      <w:pPr>
        <w:pStyle w:val="NormalWeb"/>
        <w:spacing w:before="120" w:beforeAutospacing="0" w:after="120" w:afterAutospacing="0" w:line="264" w:lineRule="auto"/>
        <w:ind w:firstLine="720"/>
        <w:outlineLvl w:val="0"/>
        <w:rPr>
          <w:rFonts w:ascii="Times New Roman" w:hAnsi="Times New Roman" w:cs="Times New Roman"/>
          <w:b/>
          <w:sz w:val="24"/>
          <w:szCs w:val="28"/>
          <w:lang w:val="it-IT"/>
        </w:rPr>
      </w:pPr>
      <w:r w:rsidRPr="00211773">
        <w:rPr>
          <w:rFonts w:ascii="Times New Roman" w:hAnsi="Times New Roman" w:cs="Times New Roman"/>
          <w:b/>
          <w:sz w:val="24"/>
          <w:szCs w:val="28"/>
          <w:lang w:val="it-IT"/>
        </w:rPr>
        <w:t>V. NỘI DUNG</w:t>
      </w:r>
      <w:r w:rsidR="00976FAD" w:rsidRPr="00211773">
        <w:rPr>
          <w:rFonts w:ascii="Times New Roman" w:hAnsi="Times New Roman" w:cs="Times New Roman"/>
          <w:b/>
          <w:sz w:val="24"/>
          <w:szCs w:val="28"/>
          <w:lang w:val="it-IT"/>
        </w:rPr>
        <w:t xml:space="preserve"> CHÍNH</w:t>
      </w:r>
      <w:r w:rsidRPr="00211773">
        <w:rPr>
          <w:rFonts w:ascii="Times New Roman" w:hAnsi="Times New Roman" w:cs="Times New Roman"/>
          <w:b/>
          <w:sz w:val="24"/>
          <w:szCs w:val="28"/>
          <w:lang w:val="it-IT"/>
        </w:rPr>
        <w:t xml:space="preserve"> DỰ THẢO</w:t>
      </w:r>
      <w:r w:rsidR="00976FAD" w:rsidRPr="00211773">
        <w:rPr>
          <w:rFonts w:ascii="Times New Roman" w:hAnsi="Times New Roman" w:cs="Times New Roman"/>
          <w:b/>
          <w:sz w:val="24"/>
          <w:szCs w:val="28"/>
          <w:lang w:val="it-IT"/>
        </w:rPr>
        <w:t xml:space="preserve"> NGHỊ ĐỊNH</w:t>
      </w:r>
    </w:p>
    <w:p w:rsidR="00AF41BA" w:rsidRPr="00211773" w:rsidRDefault="00AF41BA" w:rsidP="00304A15">
      <w:pPr>
        <w:tabs>
          <w:tab w:val="left" w:pos="993"/>
        </w:tabs>
        <w:spacing w:before="120" w:after="120" w:line="264" w:lineRule="auto"/>
        <w:ind w:firstLine="720"/>
        <w:jc w:val="both"/>
        <w:rPr>
          <w:b/>
          <w:bCs/>
          <w:lang w:val="it-IT"/>
        </w:rPr>
      </w:pPr>
      <w:r w:rsidRPr="00211773">
        <w:rPr>
          <w:b/>
          <w:bCs/>
          <w:lang w:val="it-IT"/>
        </w:rPr>
        <w:t>1. Về p</w:t>
      </w:r>
      <w:r w:rsidRPr="00211773">
        <w:rPr>
          <w:b/>
          <w:bCs/>
          <w:lang w:val="vi-VN"/>
        </w:rPr>
        <w:t>hạm vi điều chỉnh</w:t>
      </w:r>
      <w:r w:rsidR="00624599" w:rsidRPr="00211773">
        <w:rPr>
          <w:b/>
          <w:bCs/>
          <w:lang w:val="it-IT"/>
        </w:rPr>
        <w:t>, đối tượng áp dụng</w:t>
      </w:r>
      <w:r w:rsidRPr="00211773">
        <w:rPr>
          <w:b/>
          <w:bCs/>
          <w:lang w:val="it-IT"/>
        </w:rPr>
        <w:t xml:space="preserve"> </w:t>
      </w:r>
      <w:r w:rsidRPr="00211773">
        <w:rPr>
          <w:bCs/>
          <w:i/>
          <w:lang w:val="it-IT"/>
        </w:rPr>
        <w:t>(Điều 1</w:t>
      </w:r>
      <w:r w:rsidR="00624599" w:rsidRPr="00211773">
        <w:rPr>
          <w:bCs/>
          <w:i/>
          <w:lang w:val="it-IT"/>
        </w:rPr>
        <w:t>, Điều 2</w:t>
      </w:r>
      <w:r w:rsidRPr="00211773">
        <w:rPr>
          <w:bCs/>
          <w:i/>
          <w:lang w:val="it-IT"/>
        </w:rPr>
        <w:t xml:space="preserve"> dự thảo Nghị định)</w:t>
      </w:r>
      <w:r w:rsidRPr="00211773">
        <w:rPr>
          <w:b/>
          <w:bCs/>
          <w:lang w:val="vi-VN"/>
        </w:rPr>
        <w:t xml:space="preserve"> </w:t>
      </w:r>
    </w:p>
    <w:p w:rsidR="00624599" w:rsidRPr="00211773" w:rsidRDefault="00624599" w:rsidP="00304A15">
      <w:pPr>
        <w:shd w:val="clear" w:color="auto" w:fill="FFFFFF"/>
        <w:spacing w:before="120" w:after="120" w:line="264" w:lineRule="auto"/>
        <w:ind w:firstLine="720"/>
        <w:jc w:val="both"/>
        <w:rPr>
          <w:lang w:val="it-IT"/>
        </w:rPr>
      </w:pPr>
      <w:r w:rsidRPr="00211773">
        <w:rPr>
          <w:lang w:val="it-IT"/>
        </w:rPr>
        <w:t xml:space="preserve">Nghị định này </w:t>
      </w:r>
      <w:r w:rsidR="004F1237" w:rsidRPr="00211773">
        <w:rPr>
          <w:spacing w:val="-4"/>
          <w:lang w:val="it-IT"/>
        </w:rPr>
        <w:t>sửa đổi,</w:t>
      </w:r>
      <w:r w:rsidR="004F1237" w:rsidRPr="00211773">
        <w:rPr>
          <w:spacing w:val="-4"/>
          <w:lang w:val="vi-VN"/>
        </w:rPr>
        <w:t xml:space="preserve"> bổ sung một số </w:t>
      </w:r>
      <w:r w:rsidR="004F1237" w:rsidRPr="00211773">
        <w:rPr>
          <w:spacing w:val="-4"/>
          <w:lang w:val="it-IT"/>
        </w:rPr>
        <w:t>điều của</w:t>
      </w:r>
      <w:r w:rsidR="004F1237" w:rsidRPr="00211773">
        <w:rPr>
          <w:spacing w:val="-4"/>
          <w:lang w:val="vi-VN"/>
        </w:rPr>
        <w:t xml:space="preserve"> Nghị định số 103/2024/NĐ-CP</w:t>
      </w:r>
      <w:r w:rsidR="004F1237" w:rsidRPr="00211773">
        <w:rPr>
          <w:spacing w:val="-4"/>
          <w:lang w:val="it-IT"/>
        </w:rPr>
        <w:t xml:space="preserve"> </w:t>
      </w:r>
      <w:r w:rsidR="004F1237" w:rsidRPr="00211773">
        <w:rPr>
          <w:bCs/>
          <w:lang w:val="pt-BR"/>
        </w:rPr>
        <w:t>ngày 30/7/2024</w:t>
      </w:r>
      <w:r w:rsidR="007D62BF">
        <w:rPr>
          <w:bCs/>
          <w:lang w:val="pt-BR"/>
        </w:rPr>
        <w:t xml:space="preserve"> của Chính phủ</w:t>
      </w:r>
      <w:r w:rsidR="004F1237" w:rsidRPr="00211773">
        <w:rPr>
          <w:bCs/>
          <w:lang w:val="pt-BR"/>
        </w:rPr>
        <w:t xml:space="preserve"> </w:t>
      </w:r>
      <w:r w:rsidR="004F1237" w:rsidRPr="00211773">
        <w:rPr>
          <w:spacing w:val="-4"/>
          <w:lang w:val="it-IT"/>
        </w:rPr>
        <w:t xml:space="preserve">quy định </w:t>
      </w:r>
      <w:r w:rsidR="004F1237" w:rsidRPr="00211773">
        <w:rPr>
          <w:spacing w:val="-4"/>
          <w:lang w:val="vi-VN"/>
        </w:rPr>
        <w:t>về tiền sử dụng đất, tiền thuê đất và Nghị định số 104/2024/NĐ-CP</w:t>
      </w:r>
      <w:r w:rsidR="004F1237" w:rsidRPr="00211773">
        <w:rPr>
          <w:spacing w:val="-4"/>
          <w:lang w:val="it-IT"/>
        </w:rPr>
        <w:t xml:space="preserve"> </w:t>
      </w:r>
      <w:r w:rsidR="004F1237" w:rsidRPr="00211773">
        <w:rPr>
          <w:bCs/>
          <w:lang w:val="pt-BR"/>
        </w:rPr>
        <w:t>ngày 31/7/2024</w:t>
      </w:r>
      <w:r w:rsidR="007D62BF">
        <w:rPr>
          <w:bCs/>
          <w:lang w:val="pt-BR"/>
        </w:rPr>
        <w:t xml:space="preserve"> của Chính phủ</w:t>
      </w:r>
      <w:r w:rsidR="004F1237" w:rsidRPr="00211773">
        <w:rPr>
          <w:spacing w:val="-4"/>
          <w:lang w:val="vi-VN"/>
        </w:rPr>
        <w:t xml:space="preserve"> </w:t>
      </w:r>
      <w:r w:rsidR="004F1237" w:rsidRPr="00211773">
        <w:rPr>
          <w:spacing w:val="-4"/>
          <w:lang w:val="it-IT"/>
        </w:rPr>
        <w:t>quy định về</w:t>
      </w:r>
      <w:r w:rsidR="004F1237" w:rsidRPr="00211773">
        <w:rPr>
          <w:spacing w:val="-4"/>
          <w:lang w:val="vi-VN"/>
        </w:rPr>
        <w:t xml:space="preserve"> </w:t>
      </w:r>
      <w:r w:rsidR="006026C3" w:rsidRPr="009756E6">
        <w:rPr>
          <w:spacing w:val="-4"/>
          <w:lang w:val="it-IT"/>
        </w:rPr>
        <w:t>Q</w:t>
      </w:r>
      <w:r w:rsidR="004F1237" w:rsidRPr="00211773">
        <w:rPr>
          <w:spacing w:val="-4"/>
          <w:lang w:val="vi-VN"/>
        </w:rPr>
        <w:t>uỹ phát triển đất</w:t>
      </w:r>
      <w:r w:rsidRPr="00211773">
        <w:rPr>
          <w:bCs/>
          <w:lang w:val="pt-BR"/>
        </w:rPr>
        <w:t>.</w:t>
      </w:r>
    </w:p>
    <w:p w:rsidR="00624599" w:rsidRPr="00211773" w:rsidRDefault="00624599" w:rsidP="00304A15">
      <w:pPr>
        <w:spacing w:before="120" w:after="120" w:line="264" w:lineRule="auto"/>
        <w:ind w:firstLine="720"/>
        <w:jc w:val="both"/>
        <w:rPr>
          <w:bCs/>
          <w:lang w:val="it-IT"/>
        </w:rPr>
      </w:pPr>
      <w:r w:rsidRPr="00211773">
        <w:rPr>
          <w:lang w:val="it-IT"/>
        </w:rPr>
        <w:t xml:space="preserve">- Đối tượng áp dụng gồm: (i) </w:t>
      </w:r>
      <w:r w:rsidRPr="00211773">
        <w:rPr>
          <w:lang w:val="nb-NO"/>
        </w:rPr>
        <w:t xml:space="preserve">Cơ quan nhà nước, người sử dụng đất và các đối tượng khác liên quan đến việc tính, thu, nộp, quản lý tiền sử dụng đất, tiền thuê đất theo quy định tại Điều 2 </w:t>
      </w:r>
      <w:r w:rsidRPr="00211773">
        <w:rPr>
          <w:bCs/>
          <w:lang w:val="pt-BR"/>
        </w:rPr>
        <w:t xml:space="preserve">Nghị định số 103/2024/NĐ-CP ngày 30 tháng 7 năm 2024 của Chính phủ; (ii) </w:t>
      </w:r>
      <w:r w:rsidRPr="00211773">
        <w:rPr>
          <w:bCs/>
          <w:lang w:val="it-IT"/>
        </w:rPr>
        <w:t>Hội đồng nhân dân, Ủy ban nhân dân tỉnh, thành phố trực thuộc trung ương; Quỹ phát triển đất; Tổ chức được ứng vốn từ Quỹ phát triển đất; Các cơ qua</w:t>
      </w:r>
      <w:r w:rsidR="0072292C" w:rsidRPr="00211773">
        <w:rPr>
          <w:bCs/>
          <w:lang w:val="it-IT"/>
        </w:rPr>
        <w:t>n, tổ chức, đơn vị khác có liê</w:t>
      </w:r>
      <w:r w:rsidR="009502E5" w:rsidRPr="00211773">
        <w:rPr>
          <w:bCs/>
          <w:lang w:val="it-IT"/>
        </w:rPr>
        <w:t>n</w:t>
      </w:r>
      <w:r w:rsidR="0072292C" w:rsidRPr="00211773">
        <w:rPr>
          <w:bCs/>
          <w:lang w:val="it-IT"/>
        </w:rPr>
        <w:t xml:space="preserve"> quan</w:t>
      </w:r>
      <w:r w:rsidR="009502E5" w:rsidRPr="00211773">
        <w:rPr>
          <w:bCs/>
          <w:lang w:val="it-IT"/>
        </w:rPr>
        <w:t>.</w:t>
      </w:r>
    </w:p>
    <w:p w:rsidR="0072292C" w:rsidRPr="00F24A25" w:rsidRDefault="00CC1551" w:rsidP="00304A15">
      <w:pPr>
        <w:shd w:val="clear" w:color="auto" w:fill="FFFFFF"/>
        <w:spacing w:before="120" w:after="120" w:line="264" w:lineRule="auto"/>
        <w:ind w:firstLine="720"/>
        <w:jc w:val="both"/>
        <w:rPr>
          <w:bCs/>
          <w:lang w:val="nb-NO"/>
        </w:rPr>
      </w:pPr>
      <w:r w:rsidRPr="00211773">
        <w:rPr>
          <w:b/>
          <w:bCs/>
          <w:lang w:val="it-IT"/>
        </w:rPr>
        <w:t>2</w:t>
      </w:r>
      <w:r w:rsidR="001115E3" w:rsidRPr="00211773">
        <w:rPr>
          <w:b/>
          <w:bCs/>
          <w:lang w:val="it-IT"/>
        </w:rPr>
        <w:t xml:space="preserve">. </w:t>
      </w:r>
      <w:r w:rsidR="001115E3" w:rsidRPr="00211773">
        <w:rPr>
          <w:bCs/>
          <w:lang w:val="it-IT"/>
        </w:rPr>
        <w:t>S</w:t>
      </w:r>
      <w:r w:rsidR="001115E3" w:rsidRPr="00211773">
        <w:rPr>
          <w:bCs/>
          <w:shd w:val="clear" w:color="auto" w:fill="FFFFFF"/>
          <w:lang w:val="nb-NO"/>
        </w:rPr>
        <w:t>ửa đổi, bổ sung một</w:t>
      </w:r>
      <w:r w:rsidR="00EF0048" w:rsidRPr="00211773">
        <w:rPr>
          <w:bCs/>
          <w:shd w:val="clear" w:color="auto" w:fill="FFFFFF"/>
          <w:lang w:val="nb-NO"/>
        </w:rPr>
        <w:t xml:space="preserve"> số</w:t>
      </w:r>
      <w:r w:rsidR="001115E3" w:rsidRPr="00211773">
        <w:rPr>
          <w:bCs/>
          <w:shd w:val="clear" w:color="auto" w:fill="FFFFFF"/>
          <w:lang w:val="nb-NO"/>
        </w:rPr>
        <w:t xml:space="preserve"> </w:t>
      </w:r>
      <w:r w:rsidR="007D62BF">
        <w:rPr>
          <w:bCs/>
          <w:shd w:val="clear" w:color="auto" w:fill="FFFFFF"/>
          <w:lang w:val="nb-NO"/>
        </w:rPr>
        <w:t>điều của</w:t>
      </w:r>
      <w:r w:rsidR="001115E3" w:rsidRPr="00211773">
        <w:rPr>
          <w:bCs/>
          <w:shd w:val="clear" w:color="auto" w:fill="FFFFFF"/>
          <w:lang w:val="nb-NO"/>
        </w:rPr>
        <w:t xml:space="preserve"> Nghị định số 103/20</w:t>
      </w:r>
      <w:r w:rsidR="005F7FA5" w:rsidRPr="00211773">
        <w:rPr>
          <w:bCs/>
          <w:shd w:val="clear" w:color="auto" w:fill="FFFFFF"/>
          <w:lang w:val="nb-NO"/>
        </w:rPr>
        <w:t>2</w:t>
      </w:r>
      <w:r w:rsidR="001115E3" w:rsidRPr="00211773">
        <w:rPr>
          <w:bCs/>
          <w:shd w:val="clear" w:color="auto" w:fill="FFFFFF"/>
          <w:lang w:val="nb-NO"/>
        </w:rPr>
        <w:t>4/NĐ-CP ngày 30</w:t>
      </w:r>
      <w:r w:rsidR="00375AD6" w:rsidRPr="00211773">
        <w:rPr>
          <w:bCs/>
          <w:shd w:val="clear" w:color="auto" w:fill="FFFFFF"/>
          <w:lang w:val="nb-NO"/>
        </w:rPr>
        <w:t>/</w:t>
      </w:r>
      <w:r w:rsidR="001115E3" w:rsidRPr="00211773">
        <w:rPr>
          <w:bCs/>
          <w:shd w:val="clear" w:color="auto" w:fill="FFFFFF"/>
          <w:lang w:val="nb-NO"/>
        </w:rPr>
        <w:t>7</w:t>
      </w:r>
      <w:r w:rsidR="00375AD6" w:rsidRPr="00211773">
        <w:rPr>
          <w:bCs/>
          <w:shd w:val="clear" w:color="auto" w:fill="FFFFFF"/>
          <w:lang w:val="nb-NO"/>
        </w:rPr>
        <w:t>/</w:t>
      </w:r>
      <w:r w:rsidR="001115E3" w:rsidRPr="00211773">
        <w:rPr>
          <w:bCs/>
          <w:shd w:val="clear" w:color="auto" w:fill="FFFFFF"/>
          <w:lang w:val="nb-NO"/>
        </w:rPr>
        <w:t>2024 của Chính phủ</w:t>
      </w:r>
      <w:r w:rsidR="007D62BF">
        <w:rPr>
          <w:bCs/>
          <w:shd w:val="clear" w:color="auto" w:fill="FFFFFF"/>
          <w:lang w:val="nb-NO"/>
        </w:rPr>
        <w:t xml:space="preserve"> quy định </w:t>
      </w:r>
      <w:r w:rsidR="007D62BF" w:rsidRPr="00211773">
        <w:rPr>
          <w:bCs/>
          <w:shd w:val="clear" w:color="auto" w:fill="FFFFFF"/>
          <w:lang w:val="nb-NO"/>
        </w:rPr>
        <w:t>về tiền sử dụng đất, tiền thuê đất</w:t>
      </w:r>
      <w:r w:rsidR="001115E3" w:rsidRPr="00F24A25">
        <w:rPr>
          <w:b/>
          <w:bCs/>
          <w:lang w:val="it-IT"/>
        </w:rPr>
        <w:t xml:space="preserve"> </w:t>
      </w:r>
      <w:r w:rsidR="001115E3" w:rsidRPr="00F24A25">
        <w:rPr>
          <w:b/>
          <w:bCs/>
          <w:i/>
          <w:lang w:val="it-IT"/>
        </w:rPr>
        <w:t xml:space="preserve">(Điều </w:t>
      </w:r>
      <w:r w:rsidR="00EC5BBE" w:rsidRPr="00F24A25">
        <w:rPr>
          <w:b/>
          <w:bCs/>
          <w:i/>
          <w:lang w:val="it-IT"/>
        </w:rPr>
        <w:t>3</w:t>
      </w:r>
      <w:r w:rsidR="001115E3" w:rsidRPr="00F24A25">
        <w:rPr>
          <w:b/>
          <w:bCs/>
          <w:i/>
          <w:lang w:val="it-IT"/>
        </w:rPr>
        <w:t xml:space="preserve"> dự thảo Nghị định)</w:t>
      </w:r>
      <w:r w:rsidR="0072292C" w:rsidRPr="00F24A25">
        <w:rPr>
          <w:bCs/>
          <w:lang w:val="nb-NO"/>
        </w:rPr>
        <w:t>:</w:t>
      </w:r>
    </w:p>
    <w:p w:rsidR="00976FAD" w:rsidRPr="00F24A25" w:rsidRDefault="00976FAD" w:rsidP="00304A15">
      <w:pPr>
        <w:spacing w:before="120" w:after="120" w:line="264" w:lineRule="auto"/>
        <w:ind w:firstLine="720"/>
        <w:jc w:val="both"/>
        <w:rPr>
          <w:spacing w:val="-2"/>
          <w:lang w:val="nb-NO"/>
        </w:rPr>
      </w:pPr>
      <w:r w:rsidRPr="00F24A25">
        <w:rPr>
          <w:b/>
          <w:lang w:val="nb-NO"/>
        </w:rPr>
        <w:t>2.1. Về nguyên tắc miễn, giảm tiền sử dụng đất, tiền thuê đất</w:t>
      </w:r>
    </w:p>
    <w:p w:rsidR="00976FAD" w:rsidRPr="00F24A25" w:rsidRDefault="00FB60F9" w:rsidP="00304A15">
      <w:pPr>
        <w:spacing w:before="120" w:after="120" w:line="264" w:lineRule="auto"/>
        <w:ind w:firstLine="720"/>
        <w:jc w:val="both"/>
        <w:rPr>
          <w:b/>
          <w:i/>
          <w:spacing w:val="-2"/>
          <w:lang w:val="nb-NO"/>
        </w:rPr>
      </w:pPr>
      <w:r w:rsidRPr="00F24A25">
        <w:rPr>
          <w:b/>
          <w:i/>
          <w:spacing w:val="-2"/>
          <w:lang w:val="nb-NO"/>
        </w:rPr>
        <w:t>a) Đối với hộ gia đình, cá nhân</w:t>
      </w:r>
    </w:p>
    <w:p w:rsidR="00976FAD" w:rsidRPr="00211773" w:rsidRDefault="00976FAD" w:rsidP="00304A15">
      <w:pPr>
        <w:spacing w:before="120" w:after="120" w:line="264" w:lineRule="auto"/>
        <w:ind w:firstLine="720"/>
        <w:jc w:val="both"/>
        <w:rPr>
          <w:spacing w:val="-2"/>
          <w:lang w:val="nb-NO"/>
        </w:rPr>
      </w:pPr>
      <w:r w:rsidRPr="00F24A25">
        <w:rPr>
          <w:spacing w:val="-2"/>
          <w:lang w:val="nb-NO"/>
        </w:rPr>
        <w:lastRenderedPageBreak/>
        <w:t>Kế thừa nguyên tắc miễn, giảm tiền sử dụng đất quy định tại pháp luật đất đai năm 2013 (Nghị định số 45/2014/NĐ-CP ngày 15/5/2014, được sửa đổi, bổ sung tại Nghị định số 135/2016/NĐ-CP ngày 09/9/2016, Nghị định số 123/2017/NĐ-CP ngày 14/11/2017 của Chính phủ), tại Điều 18, Điều 19 Nghị định số 103/2024/NĐ-CP quy định việc miễn, giảm tiền sử</w:t>
      </w:r>
      <w:r w:rsidRPr="00211773">
        <w:rPr>
          <w:spacing w:val="-2"/>
          <w:lang w:val="nb-NO"/>
        </w:rPr>
        <w:t xml:space="preserve"> dụng đất đối với hộ gia đình, cá nhân chỉ áp dụng đối với diện tích trong hạn mức giao đất ở.</w:t>
      </w:r>
      <w:r w:rsidR="00FB60F9" w:rsidRPr="00211773">
        <w:rPr>
          <w:spacing w:val="-2"/>
          <w:lang w:val="nb-NO"/>
        </w:rPr>
        <w:t xml:space="preserve"> </w:t>
      </w:r>
      <w:r w:rsidRPr="00211773">
        <w:rPr>
          <w:spacing w:val="-2"/>
          <w:lang w:val="nb-NO"/>
        </w:rPr>
        <w:t>Tuy nhiên</w:t>
      </w:r>
      <w:r w:rsidR="00FB60F9" w:rsidRPr="00211773">
        <w:rPr>
          <w:spacing w:val="-2"/>
          <w:lang w:val="nb-NO"/>
        </w:rPr>
        <w:t>,</w:t>
      </w:r>
      <w:r w:rsidRPr="00211773">
        <w:rPr>
          <w:spacing w:val="-2"/>
          <w:lang w:val="nb-NO"/>
        </w:rPr>
        <w:t xml:space="preserve"> </w:t>
      </w:r>
      <w:r w:rsidR="00FB60F9" w:rsidRPr="00211773">
        <w:rPr>
          <w:spacing w:val="-2"/>
          <w:lang w:val="nb-NO"/>
        </w:rPr>
        <w:t xml:space="preserve">do lỗi kỹ thuật soạn thảo nên các khoản 1, 2 và 3 </w:t>
      </w:r>
      <w:r w:rsidRPr="00211773">
        <w:rPr>
          <w:spacing w:val="-2"/>
          <w:lang w:val="nb-NO"/>
        </w:rPr>
        <w:t>Điề</w:t>
      </w:r>
      <w:r w:rsidR="00FB60F9" w:rsidRPr="00211773">
        <w:rPr>
          <w:spacing w:val="-2"/>
          <w:lang w:val="nb-NO"/>
        </w:rPr>
        <w:t>u 19 Nghị định 103/2024/NĐ-CP quy định</w:t>
      </w:r>
      <w:r w:rsidRPr="00211773">
        <w:rPr>
          <w:spacing w:val="-2"/>
          <w:lang w:val="nb-NO"/>
        </w:rPr>
        <w:t xml:space="preserve"> chưa rõ nguyên tắc nêu trên. </w:t>
      </w:r>
    </w:p>
    <w:p w:rsidR="00976FAD" w:rsidRPr="00211773" w:rsidRDefault="00FB60F9" w:rsidP="00304A15">
      <w:pPr>
        <w:spacing w:before="120" w:after="120" w:line="264" w:lineRule="auto"/>
        <w:ind w:firstLine="720"/>
        <w:jc w:val="both"/>
        <w:rPr>
          <w:spacing w:val="-2"/>
          <w:lang w:val="nb-NO"/>
        </w:rPr>
      </w:pPr>
      <w:r w:rsidRPr="00211773">
        <w:rPr>
          <w:spacing w:val="-2"/>
          <w:lang w:val="nb-NO"/>
        </w:rPr>
        <w:t>Vì vậy</w:t>
      </w:r>
      <w:r w:rsidR="00976FAD" w:rsidRPr="00211773">
        <w:rPr>
          <w:spacing w:val="-2"/>
          <w:lang w:val="nb-NO"/>
        </w:rPr>
        <w:t xml:space="preserve">, Bộ Tài chính trình Chính phủ sửa đổi quy định tại khoản 1 Điều 17 Nghị định số 103/2024/NĐ-CP theo hướng </w:t>
      </w:r>
      <w:r w:rsidR="00976FAD" w:rsidRPr="00211773">
        <w:rPr>
          <w:lang w:val="nb-NO"/>
        </w:rPr>
        <w:t>h</w:t>
      </w:r>
      <w:r w:rsidR="00976FAD" w:rsidRPr="00211773">
        <w:rPr>
          <w:lang w:val="vi-VN"/>
        </w:rPr>
        <w:t>ộ gia đ</w:t>
      </w:r>
      <w:r w:rsidR="00976FAD" w:rsidRPr="00211773">
        <w:rPr>
          <w:lang w:val="nb-NO"/>
        </w:rPr>
        <w:t>ình, cá nhân thu</w:t>
      </w:r>
      <w:r w:rsidR="00976FAD" w:rsidRPr="00211773">
        <w:rPr>
          <w:lang w:val="vi-VN"/>
        </w:rPr>
        <w:t xml:space="preserve">ộc đối tượng được miễn hoặc giảm tiền sử dụng đất theo quy định tại </w:t>
      </w:r>
      <w:bookmarkStart w:id="0" w:name="tc_25"/>
      <w:r w:rsidR="00976FAD" w:rsidRPr="00211773">
        <w:rPr>
          <w:lang w:val="vi-VN"/>
        </w:rPr>
        <w:t>Điều 18, Điều 19 Nghị định này</w:t>
      </w:r>
      <w:bookmarkEnd w:id="0"/>
      <w:r w:rsidR="00976FAD" w:rsidRPr="00211773">
        <w:rPr>
          <w:lang w:val="nb-NO"/>
        </w:rPr>
        <w:t xml:space="preserve"> ch</w:t>
      </w:r>
      <w:r w:rsidR="00976FAD" w:rsidRPr="00211773">
        <w:rPr>
          <w:lang w:val="vi-VN"/>
        </w:rPr>
        <w:t>ỉ được miễn</w:t>
      </w:r>
      <w:r w:rsidR="00976FAD" w:rsidRPr="00211773">
        <w:rPr>
          <w:lang w:val="nb-NO"/>
        </w:rPr>
        <w:t xml:space="preserve"> hoặc giảm một lần tiền sử dụng đất đối với diện tích đất trong hạn mức giao đất ở.</w:t>
      </w:r>
    </w:p>
    <w:p w:rsidR="00976FAD" w:rsidRPr="00211773" w:rsidRDefault="00976FAD" w:rsidP="00304A15">
      <w:pPr>
        <w:spacing w:before="120" w:after="120" w:line="264" w:lineRule="auto"/>
        <w:ind w:firstLine="720"/>
        <w:jc w:val="both"/>
        <w:rPr>
          <w:lang w:val="nb-NO"/>
        </w:rPr>
      </w:pPr>
      <w:r w:rsidRPr="00211773">
        <w:rPr>
          <w:spacing w:val="-2"/>
          <w:lang w:val="nb-NO"/>
        </w:rPr>
        <w:t>Đồng thời, bổ sung</w:t>
      </w:r>
      <w:r w:rsidR="00FB60F9" w:rsidRPr="00211773">
        <w:rPr>
          <w:spacing w:val="-2"/>
          <w:lang w:val="nb-NO"/>
        </w:rPr>
        <w:t xml:space="preserve"> nội dung quy định</w:t>
      </w:r>
      <w:r w:rsidRPr="00211773">
        <w:rPr>
          <w:spacing w:val="-2"/>
          <w:lang w:val="nb-NO"/>
        </w:rPr>
        <w:t xml:space="preserve"> tại khoản 1 Điều 17 Nghị định số 103/2024/NĐ-CP </w:t>
      </w:r>
      <w:r w:rsidR="00FB60F9" w:rsidRPr="00211773">
        <w:rPr>
          <w:spacing w:val="-2"/>
          <w:lang w:val="nb-NO"/>
        </w:rPr>
        <w:t xml:space="preserve">để làm rõ hơn </w:t>
      </w:r>
      <w:r w:rsidRPr="00211773">
        <w:rPr>
          <w:spacing w:val="-2"/>
          <w:lang w:val="nb-NO"/>
        </w:rPr>
        <w:t xml:space="preserve">nguyên tắc miễn, giảm tiền sử dụng đất đối với hộ gia đình, cá nhân là người </w:t>
      </w:r>
      <w:r w:rsidRPr="00211773">
        <w:rPr>
          <w:lang w:val="nb-NO"/>
        </w:rPr>
        <w:t xml:space="preserve">dân tộc thiểu số chỉ áp dụng </w:t>
      </w:r>
      <w:bookmarkStart w:id="1" w:name="khoan_6_16"/>
      <w:r w:rsidRPr="00211773">
        <w:rPr>
          <w:rFonts w:eastAsia="MS Mincho"/>
          <w:lang w:val="nb-NO"/>
        </w:rPr>
        <w:t xml:space="preserve">đối với đồng bào dân tộc thiểu số sinh sống </w:t>
      </w:r>
      <w:bookmarkEnd w:id="1"/>
      <w:r w:rsidRPr="00211773">
        <w:rPr>
          <w:lang w:val="nb-NO"/>
        </w:rPr>
        <w:t>tại nơi có đất; hồ sơ miễn, giảm tiền sử dụng đất thực hiện theo quy định của pháp luật về quản lý thuế</w:t>
      </w:r>
      <w:r w:rsidR="00FB60F9" w:rsidRPr="00211773">
        <w:rPr>
          <w:lang w:val="nb-NO"/>
        </w:rPr>
        <w:t xml:space="preserve"> (hiện nay trong hồ sơ miễn, giảm tiền sử dụng đất đối với người sử dụng đất là đồng bào dân tộc thiểu số quy định tại Thông tư số 80</w:t>
      </w:r>
      <w:r w:rsidR="000B658B" w:rsidRPr="00211773">
        <w:rPr>
          <w:lang w:val="nb-NO"/>
        </w:rPr>
        <w:t>/</w:t>
      </w:r>
      <w:r w:rsidR="00FB60F9" w:rsidRPr="00211773">
        <w:rPr>
          <w:lang w:val="nb-NO"/>
        </w:rPr>
        <w:t>2021/TT-BTC ngày 29/9/2021 của Bộ Tài chính hướng dẫn thi hành một số điều của Luật Quản lý thuế và Nghị định số 126/2020/NĐ-CP ngày 19/10/2020 của Chính phủ đã quy định rõ nội dung này)</w:t>
      </w:r>
      <w:r w:rsidRPr="00211773">
        <w:rPr>
          <w:lang w:val="nb-NO"/>
        </w:rPr>
        <w:t>.</w:t>
      </w:r>
    </w:p>
    <w:p w:rsidR="00976FAD" w:rsidRPr="00211773" w:rsidRDefault="00AF4282" w:rsidP="00304A15">
      <w:pPr>
        <w:spacing w:before="120" w:after="120" w:line="264" w:lineRule="auto"/>
        <w:ind w:firstLine="720"/>
        <w:jc w:val="both"/>
        <w:rPr>
          <w:b/>
          <w:i/>
          <w:lang w:val="nb-NO"/>
        </w:rPr>
      </w:pPr>
      <w:r w:rsidRPr="00211773">
        <w:rPr>
          <w:b/>
          <w:i/>
          <w:lang w:val="nb-NO"/>
        </w:rPr>
        <w:t>b</w:t>
      </w:r>
      <w:r w:rsidR="00CD4B33" w:rsidRPr="00211773">
        <w:rPr>
          <w:b/>
          <w:i/>
          <w:lang w:val="nb-NO"/>
        </w:rPr>
        <w:t xml:space="preserve">) </w:t>
      </w:r>
      <w:r w:rsidR="00976FAD" w:rsidRPr="00211773">
        <w:rPr>
          <w:b/>
          <w:i/>
          <w:lang w:val="nb-NO"/>
        </w:rPr>
        <w:t xml:space="preserve">Về nguyên tắc xử lý đối với trường hợp </w:t>
      </w:r>
      <w:r w:rsidR="00976FAD" w:rsidRPr="00211773">
        <w:rPr>
          <w:b/>
          <w:i/>
          <w:lang w:val="vi-VN"/>
        </w:rPr>
        <w:t>cơ quan nh</w:t>
      </w:r>
      <w:r w:rsidR="00976FAD" w:rsidRPr="00211773">
        <w:rPr>
          <w:b/>
          <w:i/>
          <w:lang w:val="nb-NO"/>
        </w:rPr>
        <w:t>à nư</w:t>
      </w:r>
      <w:r w:rsidR="00976FAD" w:rsidRPr="00211773">
        <w:rPr>
          <w:b/>
          <w:i/>
          <w:lang w:val="vi-VN"/>
        </w:rPr>
        <w:t>ớc c</w:t>
      </w:r>
      <w:r w:rsidR="00976FAD" w:rsidRPr="00211773">
        <w:rPr>
          <w:b/>
          <w:i/>
          <w:lang w:val="nb-NO"/>
        </w:rPr>
        <w:t>ó th</w:t>
      </w:r>
      <w:r w:rsidR="00976FAD" w:rsidRPr="00211773">
        <w:rPr>
          <w:b/>
          <w:i/>
          <w:lang w:val="vi-VN"/>
        </w:rPr>
        <w:t>ẩm quyền ph</w:t>
      </w:r>
      <w:r w:rsidR="00976FAD" w:rsidRPr="00211773">
        <w:rPr>
          <w:b/>
          <w:i/>
          <w:lang w:val="nb-NO"/>
        </w:rPr>
        <w:t>át hi</w:t>
      </w:r>
      <w:r w:rsidR="00976FAD" w:rsidRPr="00211773">
        <w:rPr>
          <w:b/>
          <w:i/>
          <w:lang w:val="vi-VN"/>
        </w:rPr>
        <w:t>ện người sử dụng đất đ</w:t>
      </w:r>
      <w:r w:rsidR="00976FAD" w:rsidRPr="00211773">
        <w:rPr>
          <w:b/>
          <w:i/>
          <w:lang w:val="nb-NO"/>
        </w:rPr>
        <w:t>ã đư</w:t>
      </w:r>
      <w:r w:rsidR="00976FAD" w:rsidRPr="00211773">
        <w:rPr>
          <w:b/>
          <w:i/>
          <w:lang w:val="vi-VN"/>
        </w:rPr>
        <w:t>ợc miễn, giảm tiền sử dụng đất</w:t>
      </w:r>
      <w:r w:rsidR="00976FAD" w:rsidRPr="00211773">
        <w:rPr>
          <w:b/>
          <w:i/>
          <w:lang w:val="nb-NO"/>
        </w:rPr>
        <w:t>, tiền thuê đất</w:t>
      </w:r>
      <w:r w:rsidR="00976FAD" w:rsidRPr="00211773">
        <w:rPr>
          <w:b/>
          <w:i/>
          <w:lang w:val="vi-VN"/>
        </w:rPr>
        <w:t xml:space="preserve"> nhưng kh</w:t>
      </w:r>
      <w:r w:rsidR="00976FAD" w:rsidRPr="00211773">
        <w:rPr>
          <w:b/>
          <w:i/>
          <w:lang w:val="nb-NO"/>
        </w:rPr>
        <w:t>ông đáp </w:t>
      </w:r>
      <w:r w:rsidR="00976FAD" w:rsidRPr="00211773">
        <w:rPr>
          <w:b/>
          <w:i/>
          <w:lang w:val="vi-VN"/>
        </w:rPr>
        <w:t>ứng c</w:t>
      </w:r>
      <w:r w:rsidR="00976FAD" w:rsidRPr="00211773">
        <w:rPr>
          <w:b/>
          <w:i/>
          <w:lang w:val="nb-NO"/>
        </w:rPr>
        <w:t>ác điều</w:t>
      </w:r>
      <w:r w:rsidR="00976FAD" w:rsidRPr="00211773">
        <w:rPr>
          <w:b/>
          <w:i/>
          <w:lang w:val="vi-VN"/>
        </w:rPr>
        <w:t> kiện để được miễn, giảm</w:t>
      </w:r>
      <w:r w:rsidR="00FB60F9" w:rsidRPr="00211773">
        <w:rPr>
          <w:b/>
          <w:i/>
          <w:lang w:val="nb-NO"/>
        </w:rPr>
        <w:t xml:space="preserve"> theo quy định</w:t>
      </w:r>
    </w:p>
    <w:p w:rsidR="00976FAD" w:rsidRPr="00211773" w:rsidRDefault="00976FAD" w:rsidP="00304A15">
      <w:pPr>
        <w:spacing w:before="120" w:after="120" w:line="264" w:lineRule="auto"/>
        <w:ind w:firstLine="720"/>
        <w:jc w:val="both"/>
        <w:rPr>
          <w:lang w:val="nb-NO"/>
        </w:rPr>
      </w:pPr>
      <w:r w:rsidRPr="00211773">
        <w:rPr>
          <w:lang w:val="nb-NO"/>
        </w:rPr>
        <w:t xml:space="preserve">Tại khoản 6 Điều 17, khoản 9 Điều 38 Nghị định số 103/2024/NĐ-CP quy định nguyên tắc xử lý đối với trường hợp </w:t>
      </w:r>
      <w:bookmarkStart w:id="2" w:name="_Hlk196052152"/>
      <w:r w:rsidRPr="00211773">
        <w:rPr>
          <w:lang w:val="vi-VN"/>
        </w:rPr>
        <w:t>cơ quan nh</w:t>
      </w:r>
      <w:r w:rsidRPr="00211773">
        <w:rPr>
          <w:lang w:val="nb-NO"/>
        </w:rPr>
        <w:t>à nư</w:t>
      </w:r>
      <w:r w:rsidRPr="00211773">
        <w:rPr>
          <w:lang w:val="vi-VN"/>
        </w:rPr>
        <w:t>ớc c</w:t>
      </w:r>
      <w:r w:rsidRPr="00211773">
        <w:rPr>
          <w:lang w:val="nb-NO"/>
        </w:rPr>
        <w:t>ó th</w:t>
      </w:r>
      <w:r w:rsidRPr="00211773">
        <w:rPr>
          <w:lang w:val="vi-VN"/>
        </w:rPr>
        <w:t>ẩm quyền ph</w:t>
      </w:r>
      <w:r w:rsidRPr="00211773">
        <w:rPr>
          <w:lang w:val="nb-NO"/>
        </w:rPr>
        <w:t>át hi</w:t>
      </w:r>
      <w:r w:rsidRPr="00211773">
        <w:rPr>
          <w:lang w:val="vi-VN"/>
        </w:rPr>
        <w:t>ện người sử dụng đất đ</w:t>
      </w:r>
      <w:r w:rsidRPr="00211773">
        <w:rPr>
          <w:lang w:val="nb-NO"/>
        </w:rPr>
        <w:t>ã đư</w:t>
      </w:r>
      <w:r w:rsidRPr="00211773">
        <w:rPr>
          <w:lang w:val="vi-VN"/>
        </w:rPr>
        <w:t>ợc miễn, giảm tiền sử dụng đất</w:t>
      </w:r>
      <w:r w:rsidRPr="00211773">
        <w:rPr>
          <w:lang w:val="nb-NO"/>
        </w:rPr>
        <w:t>, tiền thuê đất</w:t>
      </w:r>
      <w:r w:rsidRPr="00211773">
        <w:rPr>
          <w:lang w:val="vi-VN"/>
        </w:rPr>
        <w:t xml:space="preserve"> nhưng kh</w:t>
      </w:r>
      <w:r w:rsidRPr="00211773">
        <w:rPr>
          <w:lang w:val="nb-NO"/>
        </w:rPr>
        <w:t>ông đáp </w:t>
      </w:r>
      <w:r w:rsidRPr="00211773">
        <w:rPr>
          <w:lang w:val="vi-VN"/>
        </w:rPr>
        <w:t>ứng c</w:t>
      </w:r>
      <w:r w:rsidRPr="00211773">
        <w:rPr>
          <w:lang w:val="nb-NO"/>
        </w:rPr>
        <w:t>ác điều</w:t>
      </w:r>
      <w:r w:rsidRPr="00211773">
        <w:rPr>
          <w:lang w:val="vi-VN"/>
        </w:rPr>
        <w:t> kiện để được miễn, giảm</w:t>
      </w:r>
      <w:bookmarkEnd w:id="2"/>
      <w:r w:rsidRPr="00211773">
        <w:rPr>
          <w:lang w:val="vi-VN"/>
        </w:rPr>
        <w:t xml:space="preserve"> (nếu c</w:t>
      </w:r>
      <w:r w:rsidRPr="00211773">
        <w:rPr>
          <w:lang w:val="nb-NO"/>
        </w:rPr>
        <w:t>ó) theo quy đ</w:t>
      </w:r>
      <w:r w:rsidRPr="00211773">
        <w:rPr>
          <w:lang w:val="vi-VN"/>
        </w:rPr>
        <w:t>ịnh</w:t>
      </w:r>
      <w:r w:rsidRPr="00211773">
        <w:rPr>
          <w:lang w:val="nb-NO"/>
        </w:rPr>
        <w:t xml:space="preserve"> tại thời điểm được miễn, giảm</w:t>
      </w:r>
      <w:r w:rsidRPr="00211773">
        <w:rPr>
          <w:b/>
          <w:bCs/>
          <w:lang w:val="nb-NO"/>
        </w:rPr>
        <w:t xml:space="preserve"> hoặc</w:t>
      </w:r>
      <w:r w:rsidRPr="00211773">
        <w:rPr>
          <w:lang w:val="vi-VN"/>
        </w:rPr>
        <w:t xml:space="preserve"> sử dụng đất kh</w:t>
      </w:r>
      <w:r w:rsidRPr="00211773">
        <w:rPr>
          <w:lang w:val="nb-NO"/>
        </w:rPr>
        <w:t>ông đúng mục</w:t>
      </w:r>
      <w:r w:rsidRPr="00211773">
        <w:rPr>
          <w:lang w:val="vi-VN"/>
        </w:rPr>
        <w:t> đ</w:t>
      </w:r>
      <w:r w:rsidRPr="00211773">
        <w:rPr>
          <w:lang w:val="nb-NO"/>
        </w:rPr>
        <w:t>ích đã đư</w:t>
      </w:r>
      <w:r w:rsidRPr="00211773">
        <w:rPr>
          <w:lang w:val="vi-VN"/>
        </w:rPr>
        <w:t>ợc ghi tại quyết định giao đất</w:t>
      </w:r>
      <w:r w:rsidRPr="00211773">
        <w:rPr>
          <w:lang w:val="nb-NO"/>
        </w:rPr>
        <w:t>, cho thuê đất</w:t>
      </w:r>
      <w:r w:rsidRPr="00211773">
        <w:rPr>
          <w:lang w:val="vi-VN"/>
        </w:rPr>
        <w:t xml:space="preserve"> nhưng kh</w:t>
      </w:r>
      <w:r w:rsidRPr="00211773">
        <w:rPr>
          <w:lang w:val="nb-NO"/>
        </w:rPr>
        <w:t>ông thu</w:t>
      </w:r>
      <w:r w:rsidRPr="00211773">
        <w:rPr>
          <w:lang w:val="vi-VN"/>
        </w:rPr>
        <w:t>ộc trường hợp bị thu hồi đất theo quy định của ph</w:t>
      </w:r>
      <w:r w:rsidRPr="00211773">
        <w:rPr>
          <w:lang w:val="nb-NO"/>
        </w:rPr>
        <w:t>áp luật</w:t>
      </w:r>
      <w:r w:rsidRPr="00211773">
        <w:rPr>
          <w:lang w:val="vi-VN"/>
        </w:rPr>
        <w:t xml:space="preserve"> về đất đai </w:t>
      </w:r>
      <w:r w:rsidRPr="00211773">
        <w:rPr>
          <w:b/>
          <w:bCs/>
          <w:lang w:val="vi-VN"/>
        </w:rPr>
        <w:t>hoặc</w:t>
      </w:r>
      <w:r w:rsidRPr="00211773">
        <w:rPr>
          <w:lang w:val="vi-VN"/>
        </w:rPr>
        <w:t xml:space="preserve"> người sử dụng đất đề nghị kh</w:t>
      </w:r>
      <w:r w:rsidRPr="00211773">
        <w:rPr>
          <w:lang w:val="nb-NO"/>
        </w:rPr>
        <w:t>ông áp d</w:t>
      </w:r>
      <w:r w:rsidRPr="00211773">
        <w:rPr>
          <w:lang w:val="vi-VN"/>
        </w:rPr>
        <w:t>ụng ưu đ</w:t>
      </w:r>
      <w:r w:rsidRPr="00211773">
        <w:rPr>
          <w:lang w:val="nb-NO"/>
        </w:rPr>
        <w:t>ãi do không còn đáp </w:t>
      </w:r>
      <w:r w:rsidRPr="00211773">
        <w:rPr>
          <w:lang w:val="vi-VN"/>
        </w:rPr>
        <w:t>ứng c</w:t>
      </w:r>
      <w:r w:rsidRPr="00211773">
        <w:rPr>
          <w:lang w:val="nb-NO"/>
        </w:rPr>
        <w:t>ác điều</w:t>
      </w:r>
      <w:r w:rsidRPr="00211773">
        <w:rPr>
          <w:lang w:val="vi-VN"/>
        </w:rPr>
        <w:t> kiện để được miễn, giảm</w:t>
      </w:r>
      <w:r w:rsidRPr="00211773">
        <w:rPr>
          <w:lang w:val="nb-NO"/>
        </w:rPr>
        <w:t xml:space="preserve">. Tuy nhiên, có ý kiến cho rằng quy định tại khoản 6 Điều 17, khoản 9 Điều 38 Nghị định số 103/2024/NĐ-CP mới chỉ quy định xử lý đối với các trường hợp giao đất, cho thuê đất và được miễn, giảm tiền sử dụng đất, tiền thuê đất theo quy định của pháp luật đất đai năm 2024; chưa có quy định xử lý đối với trường hợp giao đất, cho thuê đất và được miễn, giảm tiền sử dụng đất, tiền thuê đất </w:t>
      </w:r>
      <w:r w:rsidRPr="00211773">
        <w:rPr>
          <w:lang w:val="nb-NO"/>
        </w:rPr>
        <w:lastRenderedPageBreak/>
        <w:t xml:space="preserve">theo quy định của pháp luật đất đai trước ngày 01/8/2024 nhưng đến nay cơ quan nhà nước có thẩm quyền </w:t>
      </w:r>
      <w:r w:rsidR="00FB60F9" w:rsidRPr="00211773">
        <w:rPr>
          <w:lang w:val="nb-NO"/>
        </w:rPr>
        <w:t xml:space="preserve">mới </w:t>
      </w:r>
      <w:r w:rsidRPr="00211773">
        <w:rPr>
          <w:lang w:val="nb-NO"/>
        </w:rPr>
        <w:t xml:space="preserve">phát hiện không đáp ứng điều kiện </w:t>
      </w:r>
      <w:r w:rsidRPr="00211773">
        <w:rPr>
          <w:lang w:val="vi-VN"/>
        </w:rPr>
        <w:t>để được miễn, giảm (nếu c</w:t>
      </w:r>
      <w:r w:rsidRPr="00211773">
        <w:rPr>
          <w:lang w:val="nb-NO"/>
        </w:rPr>
        <w:t>ó) theo quy đ</w:t>
      </w:r>
      <w:r w:rsidRPr="00211773">
        <w:rPr>
          <w:lang w:val="vi-VN"/>
        </w:rPr>
        <w:t>ịnh</w:t>
      </w:r>
      <w:r w:rsidRPr="00211773">
        <w:rPr>
          <w:lang w:val="nb-NO"/>
        </w:rPr>
        <w:t xml:space="preserve"> tại thời điểm được miễn, giảm hoặc người sử dụng</w:t>
      </w:r>
      <w:r w:rsidR="00CB7A63">
        <w:rPr>
          <w:lang w:val="nb-NO"/>
        </w:rPr>
        <w:t xml:space="preserve"> đất</w:t>
      </w:r>
      <w:r w:rsidRPr="00211773">
        <w:rPr>
          <w:lang w:val="nb-NO"/>
        </w:rPr>
        <w:t xml:space="preserve"> </w:t>
      </w:r>
      <w:r w:rsidRPr="00211773">
        <w:rPr>
          <w:lang w:val="vi-VN"/>
        </w:rPr>
        <w:t>đề nghị kh</w:t>
      </w:r>
      <w:r w:rsidRPr="00211773">
        <w:rPr>
          <w:lang w:val="nb-NO"/>
        </w:rPr>
        <w:t>ông áp d</w:t>
      </w:r>
      <w:r w:rsidRPr="00211773">
        <w:rPr>
          <w:lang w:val="vi-VN"/>
        </w:rPr>
        <w:t>ụng ưu đ</w:t>
      </w:r>
      <w:r w:rsidRPr="00211773">
        <w:rPr>
          <w:lang w:val="nb-NO"/>
        </w:rPr>
        <w:t>ãi (tự nguyện nộp tiền sử dụng đất, tiền thuê đất) đối với thời gian đã được miễn, giảm do không còn đáp </w:t>
      </w:r>
      <w:r w:rsidRPr="00211773">
        <w:rPr>
          <w:lang w:val="vi-VN"/>
        </w:rPr>
        <w:t>ứng c</w:t>
      </w:r>
      <w:r w:rsidRPr="00211773">
        <w:rPr>
          <w:lang w:val="nb-NO"/>
        </w:rPr>
        <w:t>ác điều</w:t>
      </w:r>
      <w:r w:rsidRPr="00211773">
        <w:rPr>
          <w:lang w:val="vi-VN"/>
        </w:rPr>
        <w:t> kiện để được miễn, giảm</w:t>
      </w:r>
      <w:r w:rsidRPr="00211773">
        <w:rPr>
          <w:lang w:val="nb-NO"/>
        </w:rPr>
        <w:t>.</w:t>
      </w:r>
    </w:p>
    <w:p w:rsidR="00976FAD" w:rsidRPr="00211773" w:rsidRDefault="00976FAD" w:rsidP="00304A15">
      <w:pPr>
        <w:spacing w:before="120" w:after="120" w:line="264" w:lineRule="auto"/>
        <w:ind w:firstLine="720"/>
        <w:jc w:val="both"/>
        <w:rPr>
          <w:lang w:val="nb-NO"/>
        </w:rPr>
      </w:pPr>
      <w:r w:rsidRPr="00211773">
        <w:rPr>
          <w:lang w:val="nb-NO"/>
        </w:rPr>
        <w:t>Do đó, Bộ Tài chính trình Chính phủ sửa đổi quy định tại khoản 6 Điều 17, khoản 7 Điều 38 Nghị định số 103/2024/NĐ-CP theo hướng:</w:t>
      </w:r>
    </w:p>
    <w:p w:rsidR="00976FAD" w:rsidRPr="00211773" w:rsidRDefault="00976FAD" w:rsidP="00304A15">
      <w:pPr>
        <w:spacing w:before="120" w:after="120" w:line="264" w:lineRule="auto"/>
        <w:ind w:firstLine="720"/>
        <w:jc w:val="both"/>
        <w:rPr>
          <w:shd w:val="clear" w:color="auto" w:fill="FFFFFF"/>
          <w:lang w:val="nb-NO"/>
        </w:rPr>
      </w:pPr>
      <w:r w:rsidRPr="00211773">
        <w:rPr>
          <w:lang w:val="nb-NO"/>
        </w:rPr>
        <w:t xml:space="preserve">- Quy định việc tính số tiền sử dụng đất, tiền thuê đất được miễn, giảm phải thu hồi theo </w:t>
      </w:r>
      <w:r w:rsidRPr="00211773">
        <w:rPr>
          <w:shd w:val="clear" w:color="auto" w:fill="FFFFFF"/>
          <w:lang w:val="nb-NO"/>
        </w:rPr>
        <w:t>chính sách và giá đất tại thời điểm</w:t>
      </w:r>
      <w:r w:rsidR="00CD4B33" w:rsidRPr="00211773">
        <w:rPr>
          <w:shd w:val="clear" w:color="auto" w:fill="FFFFFF"/>
          <w:lang w:val="nb-NO"/>
        </w:rPr>
        <w:t xml:space="preserve"> phải</w:t>
      </w:r>
      <w:r w:rsidRPr="00211773">
        <w:rPr>
          <w:shd w:val="clear" w:color="auto" w:fill="FFFFFF"/>
          <w:lang w:val="nb-NO"/>
        </w:rPr>
        <w:t xml:space="preserve"> </w:t>
      </w:r>
      <w:r w:rsidR="00CD4B33" w:rsidRPr="00211773">
        <w:rPr>
          <w:shd w:val="clear" w:color="auto" w:fill="FFFFFF"/>
          <w:lang w:val="nb-NO"/>
        </w:rPr>
        <w:t>tính tiền sử dụng đất, tiền thuê đất theo quy định (thời điểm có</w:t>
      </w:r>
      <w:r w:rsidRPr="00211773">
        <w:rPr>
          <w:shd w:val="clear" w:color="auto" w:fill="FFFFFF"/>
          <w:lang w:val="nb-NO"/>
        </w:rPr>
        <w:t xml:space="preserve"> </w:t>
      </w:r>
      <w:r w:rsidR="00CD4B33" w:rsidRPr="00211773">
        <w:rPr>
          <w:shd w:val="clear" w:color="auto" w:fill="FFFFFF"/>
          <w:lang w:val="nb-NO"/>
        </w:rPr>
        <w:t xml:space="preserve">các </w:t>
      </w:r>
      <w:r w:rsidRPr="00211773">
        <w:rPr>
          <w:shd w:val="clear" w:color="auto" w:fill="FFFFFF"/>
          <w:lang w:val="nb-NO"/>
        </w:rPr>
        <w:t>quyết định</w:t>
      </w:r>
      <w:r w:rsidR="00CD4B33" w:rsidRPr="00211773">
        <w:rPr>
          <w:shd w:val="clear" w:color="auto" w:fill="FFFFFF"/>
          <w:lang w:val="nb-NO"/>
        </w:rPr>
        <w:t xml:space="preserve"> về giao đất, cho thuê đất, chuyển mục đích sử dụng đất,...</w:t>
      </w:r>
      <w:r w:rsidR="00CB7A63">
        <w:rPr>
          <w:shd w:val="clear" w:color="auto" w:fill="FFFFFF"/>
          <w:lang w:val="nb-NO"/>
        </w:rPr>
        <w:t xml:space="preserve"> </w:t>
      </w:r>
      <w:r w:rsidR="00CD4B33" w:rsidRPr="00211773">
        <w:rPr>
          <w:shd w:val="clear" w:color="auto" w:fill="FFFFFF"/>
          <w:lang w:val="nb-NO"/>
        </w:rPr>
        <w:t>hoặc thời điểm bàn giao đất trên thực tế).</w:t>
      </w:r>
    </w:p>
    <w:p w:rsidR="00976FAD" w:rsidRPr="00211773" w:rsidRDefault="00976FAD" w:rsidP="00304A15">
      <w:pPr>
        <w:spacing w:before="120" w:after="120" w:line="264" w:lineRule="auto"/>
        <w:ind w:firstLine="720"/>
        <w:jc w:val="both"/>
        <w:rPr>
          <w:lang w:val="nb-NO"/>
        </w:rPr>
      </w:pPr>
      <w:r w:rsidRPr="00211773">
        <w:rPr>
          <w:shd w:val="clear" w:color="auto" w:fill="FFFFFF"/>
          <w:lang w:val="nb-NO"/>
        </w:rPr>
        <w:t xml:space="preserve">- Phân biệt đối với trường hợp </w:t>
      </w:r>
      <w:r w:rsidRPr="00211773">
        <w:rPr>
          <w:lang w:val="vi-VN"/>
        </w:rPr>
        <w:t>cơ quan nh</w:t>
      </w:r>
      <w:r w:rsidRPr="00211773">
        <w:rPr>
          <w:lang w:val="nb-NO"/>
        </w:rPr>
        <w:t>à nư</w:t>
      </w:r>
      <w:r w:rsidRPr="00211773">
        <w:rPr>
          <w:lang w:val="vi-VN"/>
        </w:rPr>
        <w:t>ớc c</w:t>
      </w:r>
      <w:r w:rsidRPr="00211773">
        <w:rPr>
          <w:lang w:val="nb-NO"/>
        </w:rPr>
        <w:t>ó th</w:t>
      </w:r>
      <w:r w:rsidRPr="00211773">
        <w:rPr>
          <w:lang w:val="vi-VN"/>
        </w:rPr>
        <w:t>ẩm quyền ph</w:t>
      </w:r>
      <w:r w:rsidRPr="00211773">
        <w:rPr>
          <w:lang w:val="nb-NO"/>
        </w:rPr>
        <w:t>át hi</w:t>
      </w:r>
      <w:r w:rsidRPr="00211773">
        <w:rPr>
          <w:lang w:val="vi-VN"/>
        </w:rPr>
        <w:t>ện</w:t>
      </w:r>
      <w:r w:rsidRPr="00211773">
        <w:rPr>
          <w:lang w:val="nb-NO"/>
        </w:rPr>
        <w:t xml:space="preserve"> không đáp ứng điều kiện để được miễn, giảm hoặc </w:t>
      </w:r>
      <w:r w:rsidRPr="00211773">
        <w:rPr>
          <w:lang w:val="vi-VN"/>
        </w:rPr>
        <w:t>sử dụng đất kh</w:t>
      </w:r>
      <w:r w:rsidRPr="00211773">
        <w:rPr>
          <w:lang w:val="nb-NO"/>
        </w:rPr>
        <w:t>ông đúng mục</w:t>
      </w:r>
      <w:r w:rsidRPr="00211773">
        <w:rPr>
          <w:lang w:val="vi-VN"/>
        </w:rPr>
        <w:t> đ</w:t>
      </w:r>
      <w:r w:rsidRPr="00211773">
        <w:rPr>
          <w:lang w:val="nb-NO"/>
        </w:rPr>
        <w:t>ích</w:t>
      </w:r>
      <w:r w:rsidRPr="00211773">
        <w:rPr>
          <w:rStyle w:val="FootnoteReference"/>
        </w:rPr>
        <w:footnoteReference w:id="3"/>
      </w:r>
      <w:r w:rsidRPr="00211773">
        <w:rPr>
          <w:lang w:val="nb-NO"/>
        </w:rPr>
        <w:t xml:space="preserve"> và trường hợp người sử dụng </w:t>
      </w:r>
      <w:r w:rsidRPr="00211773">
        <w:rPr>
          <w:lang w:val="vi-VN"/>
        </w:rPr>
        <w:t>đề nghị kh</w:t>
      </w:r>
      <w:r w:rsidRPr="00211773">
        <w:rPr>
          <w:lang w:val="nb-NO"/>
        </w:rPr>
        <w:t>ông áp d</w:t>
      </w:r>
      <w:r w:rsidRPr="00211773">
        <w:rPr>
          <w:lang w:val="vi-VN"/>
        </w:rPr>
        <w:t>ụng ưu đ</w:t>
      </w:r>
      <w:r w:rsidRPr="00211773">
        <w:rPr>
          <w:lang w:val="nb-NO"/>
        </w:rPr>
        <w:t>ãi (tự nguyện nộp tiền sử dụng đất, tiền thuê đất) đối với thời gian đã được miễn, giảm do không còn đáp </w:t>
      </w:r>
      <w:r w:rsidRPr="00211773">
        <w:rPr>
          <w:lang w:val="vi-VN"/>
        </w:rPr>
        <w:t>ứng c</w:t>
      </w:r>
      <w:r w:rsidRPr="00211773">
        <w:rPr>
          <w:lang w:val="nb-NO"/>
        </w:rPr>
        <w:t>ác điều</w:t>
      </w:r>
      <w:r w:rsidRPr="00211773">
        <w:rPr>
          <w:lang w:val="vi-VN"/>
        </w:rPr>
        <w:t> kiện để được miễn, giảm</w:t>
      </w:r>
      <w:r w:rsidRPr="00211773">
        <w:rPr>
          <w:rStyle w:val="FootnoteReference"/>
        </w:rPr>
        <w:footnoteReference w:id="4"/>
      </w:r>
      <w:r w:rsidR="006026C3" w:rsidRPr="009756E6">
        <w:rPr>
          <w:lang w:val="nb-NO"/>
        </w:rPr>
        <w:t xml:space="preserve"> để quy định về tính tiền sử dụng đất, tiền thuê đất được miễn, giảm phải thu hồi đối với từng trường hợp cho phù hợp</w:t>
      </w:r>
      <w:r w:rsidRPr="00211773">
        <w:rPr>
          <w:lang w:val="nb-NO"/>
        </w:rPr>
        <w:t>.</w:t>
      </w:r>
    </w:p>
    <w:p w:rsidR="00976FAD" w:rsidRPr="00211773" w:rsidRDefault="00976FAD" w:rsidP="00304A15">
      <w:pPr>
        <w:spacing w:before="120" w:after="120" w:line="264" w:lineRule="auto"/>
        <w:ind w:firstLine="720"/>
        <w:jc w:val="both"/>
        <w:rPr>
          <w:lang w:val="nb-NO"/>
        </w:rPr>
      </w:pPr>
      <w:r w:rsidRPr="00211773">
        <w:rPr>
          <w:lang w:val="nb-NO"/>
        </w:rPr>
        <w:t>- Quy định cụ thể hơn trách nhiệm của cơ quan thuế, cơ quan có chức năng quản</w:t>
      </w:r>
      <w:r w:rsidR="00FB60F9" w:rsidRPr="00211773">
        <w:rPr>
          <w:lang w:val="nb-NO"/>
        </w:rPr>
        <w:t xml:space="preserve"> lý đất đai trong việc tính, thu</w:t>
      </w:r>
      <w:r w:rsidRPr="00211773">
        <w:rPr>
          <w:lang w:val="nb-NO"/>
        </w:rPr>
        <w:t xml:space="preserve">, nộp số tiền sử dụng đất, tiền thuê đất được miễn, giảm phải thu hồi. </w:t>
      </w:r>
    </w:p>
    <w:p w:rsidR="00976FAD" w:rsidRPr="00211773" w:rsidRDefault="00976FAD" w:rsidP="00304A15">
      <w:pPr>
        <w:shd w:val="clear" w:color="auto" w:fill="FFFFFF"/>
        <w:spacing w:before="120" w:after="120" w:line="264" w:lineRule="auto"/>
        <w:ind w:firstLine="720"/>
        <w:jc w:val="both"/>
        <w:rPr>
          <w:bCs/>
          <w:lang w:val="nb-NO"/>
        </w:rPr>
      </w:pPr>
      <w:r w:rsidRPr="00211773">
        <w:rPr>
          <w:lang w:val="nb-NO"/>
        </w:rPr>
        <w:t xml:space="preserve">- </w:t>
      </w:r>
      <w:r w:rsidR="00CB7A63">
        <w:rPr>
          <w:lang w:val="nb-NO"/>
        </w:rPr>
        <w:t>B</w:t>
      </w:r>
      <w:r w:rsidRPr="00211773">
        <w:rPr>
          <w:lang w:val="nb-NO"/>
        </w:rPr>
        <w:t xml:space="preserve">ổ sung khoản 6 Điều 17, khoản 9 Điều 38 quy định về trình tự xử lý, trách nhiệm của </w:t>
      </w:r>
      <w:r w:rsidRPr="00211773">
        <w:rPr>
          <w:shd w:val="clear" w:color="auto" w:fill="FFFFFF"/>
          <w:lang w:val="nb-NO"/>
        </w:rPr>
        <w:t xml:space="preserve">cơ quan, người có thẩm quyền quyết định giao đất, cho thuê đất, </w:t>
      </w:r>
      <w:r w:rsidRPr="00211773">
        <w:rPr>
          <w:rFonts w:eastAsia="MS Mincho"/>
          <w:shd w:val="clear" w:color="auto" w:fill="FFFFFF"/>
          <w:lang w:val="nb-NO"/>
        </w:rPr>
        <w:t>chuyển mục đích sử dụng đất</w:t>
      </w:r>
      <w:r w:rsidRPr="00211773">
        <w:rPr>
          <w:shd w:val="clear" w:color="auto" w:fill="FFFFFF"/>
          <w:lang w:val="nb-NO"/>
        </w:rPr>
        <w:t>, công nhận quyền sử dụng đất</w:t>
      </w:r>
      <w:r w:rsidR="00FB60F9" w:rsidRPr="00211773">
        <w:rPr>
          <w:shd w:val="clear" w:color="auto" w:fill="FFFFFF"/>
          <w:lang w:val="nb-NO"/>
        </w:rPr>
        <w:t>,</w:t>
      </w:r>
      <w:r w:rsidRPr="00211773">
        <w:rPr>
          <w:lang w:val="nb-NO"/>
        </w:rPr>
        <w:t xml:space="preserve"> cơ quan thuế, cơ quan có chức năng quản lý đất đai tại địa phương trong việc xử lý đối với trường hợp </w:t>
      </w:r>
      <w:r w:rsidRPr="00211773">
        <w:rPr>
          <w:lang w:val="vi-VN"/>
        </w:rPr>
        <w:t>cơ quan nh</w:t>
      </w:r>
      <w:r w:rsidRPr="00211773">
        <w:rPr>
          <w:lang w:val="nb-NO"/>
        </w:rPr>
        <w:t>à nư</w:t>
      </w:r>
      <w:r w:rsidRPr="00211773">
        <w:rPr>
          <w:lang w:val="vi-VN"/>
        </w:rPr>
        <w:t>ớc c</w:t>
      </w:r>
      <w:r w:rsidRPr="00211773">
        <w:rPr>
          <w:lang w:val="nb-NO"/>
        </w:rPr>
        <w:t>ó th</w:t>
      </w:r>
      <w:r w:rsidRPr="00211773">
        <w:rPr>
          <w:lang w:val="vi-VN"/>
        </w:rPr>
        <w:t>ẩm quyền ph</w:t>
      </w:r>
      <w:r w:rsidRPr="00211773">
        <w:rPr>
          <w:lang w:val="nb-NO"/>
        </w:rPr>
        <w:t>át hi</w:t>
      </w:r>
      <w:r w:rsidRPr="00211773">
        <w:rPr>
          <w:lang w:val="vi-VN"/>
        </w:rPr>
        <w:t>ện người sử dụng đất đ</w:t>
      </w:r>
      <w:r w:rsidRPr="00211773">
        <w:rPr>
          <w:lang w:val="nb-NO"/>
        </w:rPr>
        <w:t>ã đư</w:t>
      </w:r>
      <w:r w:rsidRPr="00211773">
        <w:rPr>
          <w:lang w:val="vi-VN"/>
        </w:rPr>
        <w:t>ợc miễn, giảm tiền sử dụng đất</w:t>
      </w:r>
      <w:r w:rsidRPr="00211773">
        <w:rPr>
          <w:lang w:val="nb-NO"/>
        </w:rPr>
        <w:t>, tiền thuê đất</w:t>
      </w:r>
      <w:r w:rsidRPr="00211773">
        <w:rPr>
          <w:lang w:val="vi-VN"/>
        </w:rPr>
        <w:t xml:space="preserve"> nhưng kh</w:t>
      </w:r>
      <w:r w:rsidRPr="00211773">
        <w:rPr>
          <w:lang w:val="nb-NO"/>
        </w:rPr>
        <w:t>ông đáp </w:t>
      </w:r>
      <w:r w:rsidRPr="00211773">
        <w:rPr>
          <w:lang w:val="vi-VN"/>
        </w:rPr>
        <w:t>ứng c</w:t>
      </w:r>
      <w:r w:rsidRPr="00211773">
        <w:rPr>
          <w:lang w:val="nb-NO"/>
        </w:rPr>
        <w:t>ác điều</w:t>
      </w:r>
      <w:r w:rsidRPr="00211773">
        <w:rPr>
          <w:lang w:val="vi-VN"/>
        </w:rPr>
        <w:t> kiện để được miễn, giảm</w:t>
      </w:r>
      <w:r w:rsidRPr="00211773">
        <w:rPr>
          <w:lang w:val="nb-NO"/>
        </w:rPr>
        <w:t xml:space="preserve"> theo quy định </w:t>
      </w:r>
      <w:r w:rsidRPr="00211773">
        <w:rPr>
          <w:i/>
          <w:spacing w:val="-2"/>
          <w:lang w:val="nb-NO"/>
        </w:rPr>
        <w:t xml:space="preserve">(quy định tại khoản </w:t>
      </w:r>
      <w:r w:rsidR="00F94C36" w:rsidRPr="00211773">
        <w:rPr>
          <w:i/>
          <w:spacing w:val="-2"/>
          <w:lang w:val="nb-NO"/>
        </w:rPr>
        <w:t>3</w:t>
      </w:r>
      <w:r w:rsidRPr="00211773">
        <w:rPr>
          <w:i/>
          <w:spacing w:val="-2"/>
          <w:lang w:val="nb-NO"/>
        </w:rPr>
        <w:t xml:space="preserve">, khoản </w:t>
      </w:r>
      <w:r w:rsidR="00F94C36" w:rsidRPr="00211773">
        <w:rPr>
          <w:i/>
          <w:spacing w:val="-2"/>
          <w:lang w:val="nb-NO"/>
        </w:rPr>
        <w:t>9</w:t>
      </w:r>
      <w:r w:rsidRPr="00211773">
        <w:rPr>
          <w:i/>
          <w:spacing w:val="-2"/>
          <w:lang w:val="nb-NO"/>
        </w:rPr>
        <w:t xml:space="preserve"> Điều 3 dự thảo Nghị định).</w:t>
      </w:r>
      <w:r w:rsidR="003609E7" w:rsidRPr="00211773">
        <w:rPr>
          <w:i/>
          <w:spacing w:val="-2"/>
          <w:lang w:val="nb-NO"/>
        </w:rPr>
        <w:t xml:space="preserve"> </w:t>
      </w:r>
    </w:p>
    <w:p w:rsidR="0072292C" w:rsidRPr="00211773" w:rsidRDefault="00AF4282" w:rsidP="00304A15">
      <w:pPr>
        <w:shd w:val="clear" w:color="auto" w:fill="FFFFFF"/>
        <w:spacing w:before="120" w:after="120" w:line="264" w:lineRule="auto"/>
        <w:ind w:firstLine="720"/>
        <w:jc w:val="both"/>
        <w:rPr>
          <w:b/>
          <w:bCs/>
          <w:spacing w:val="8"/>
          <w:lang w:val="pt-BR"/>
        </w:rPr>
      </w:pPr>
      <w:r w:rsidRPr="00211773">
        <w:rPr>
          <w:b/>
          <w:bCs/>
          <w:spacing w:val="8"/>
          <w:lang w:val="pt-BR"/>
        </w:rPr>
        <w:t>c)</w:t>
      </w:r>
      <w:r w:rsidR="005639BD" w:rsidRPr="00211773">
        <w:rPr>
          <w:b/>
          <w:bCs/>
          <w:spacing w:val="8"/>
          <w:lang w:val="pt-BR"/>
        </w:rPr>
        <w:t xml:space="preserve"> Về nguyên tắc miễn, giảm tiền sử dụng đất, tiền thuê đất theo địa bàn ưu đãi đầu </w:t>
      </w:r>
      <w:r w:rsidR="00FB60F9" w:rsidRPr="00211773">
        <w:rPr>
          <w:b/>
          <w:bCs/>
          <w:spacing w:val="8"/>
          <w:lang w:val="pt-BR"/>
        </w:rPr>
        <w:t>tư</w:t>
      </w:r>
    </w:p>
    <w:p w:rsidR="005639BD" w:rsidRPr="00211773" w:rsidRDefault="005639BD" w:rsidP="00304A15">
      <w:pPr>
        <w:shd w:val="clear" w:color="auto" w:fill="FFFFFF"/>
        <w:spacing w:before="120" w:after="120" w:line="264" w:lineRule="auto"/>
        <w:ind w:firstLine="720"/>
        <w:jc w:val="both"/>
        <w:rPr>
          <w:bCs/>
          <w:spacing w:val="8"/>
          <w:lang w:val="pt-BR"/>
        </w:rPr>
      </w:pPr>
      <w:r w:rsidRPr="00211773">
        <w:rPr>
          <w:bCs/>
          <w:spacing w:val="8"/>
          <w:lang w:val="pt-BR"/>
        </w:rPr>
        <w:lastRenderedPageBreak/>
        <w:t>Trên thực tế có trường hợp sử dụng đất thuộc trường hợp được miễn, giảm tiền sử dụng đất, tiền thuê đất do thuộc địa bàn ưu đãi đầu tư theo pháp luật về đầu tư; tuy nhi</w:t>
      </w:r>
      <w:r w:rsidR="00976FAD" w:rsidRPr="00211773">
        <w:rPr>
          <w:bCs/>
          <w:spacing w:val="8"/>
          <w:lang w:val="pt-BR"/>
        </w:rPr>
        <w:t xml:space="preserve">ên, </w:t>
      </w:r>
      <w:r w:rsidR="00A922CA">
        <w:rPr>
          <w:bCs/>
          <w:spacing w:val="8"/>
          <w:lang w:val="pt-BR"/>
        </w:rPr>
        <w:t>diện tích đất được giao, cho thuê</w:t>
      </w:r>
      <w:r w:rsidR="00976FAD" w:rsidRPr="00211773">
        <w:rPr>
          <w:bCs/>
          <w:spacing w:val="8"/>
          <w:lang w:val="pt-BR"/>
        </w:rPr>
        <w:t xml:space="preserve"> nằm trên nhiều địa</w:t>
      </w:r>
      <w:r w:rsidRPr="00211773">
        <w:rPr>
          <w:bCs/>
          <w:spacing w:val="8"/>
          <w:lang w:val="pt-BR"/>
        </w:rPr>
        <w:t xml:space="preserve"> bàn khác nhau nên có mức miễn, giảm khác nhau. Nghị định số 103/2024/NĐ-CP ch</w:t>
      </w:r>
      <w:r w:rsidR="00976FAD" w:rsidRPr="00211773">
        <w:rPr>
          <w:bCs/>
          <w:spacing w:val="8"/>
          <w:lang w:val="pt-BR"/>
        </w:rPr>
        <w:t>ưa có quy định hướng dẫn đối với</w:t>
      </w:r>
      <w:r w:rsidRPr="00211773">
        <w:rPr>
          <w:bCs/>
          <w:spacing w:val="8"/>
          <w:lang w:val="pt-BR"/>
        </w:rPr>
        <w:t xml:space="preserve"> trường hợp này.</w:t>
      </w:r>
    </w:p>
    <w:p w:rsidR="005639BD" w:rsidRPr="00211773" w:rsidRDefault="005639BD" w:rsidP="00304A15">
      <w:pPr>
        <w:shd w:val="clear" w:color="auto" w:fill="FFFFFF"/>
        <w:spacing w:before="120" w:after="120" w:line="264" w:lineRule="auto"/>
        <w:ind w:firstLine="720"/>
        <w:jc w:val="both"/>
        <w:rPr>
          <w:bCs/>
          <w:i/>
          <w:spacing w:val="8"/>
          <w:lang w:val="pt-BR"/>
        </w:rPr>
      </w:pPr>
      <w:r w:rsidRPr="00211773">
        <w:rPr>
          <w:bCs/>
          <w:spacing w:val="8"/>
          <w:lang w:val="pt-BR"/>
        </w:rPr>
        <w:t>Vì vậy, tại</w:t>
      </w:r>
      <w:r w:rsidR="000B658B" w:rsidRPr="00211773">
        <w:rPr>
          <w:bCs/>
          <w:spacing w:val="8"/>
          <w:lang w:val="pt-BR"/>
        </w:rPr>
        <w:t xml:space="preserve"> khoản 3, khoản 9 Điều 3</w:t>
      </w:r>
      <w:r w:rsidRPr="00211773">
        <w:rPr>
          <w:bCs/>
          <w:spacing w:val="8"/>
          <w:lang w:val="pt-BR"/>
        </w:rPr>
        <w:t xml:space="preserve"> dự thảo Nghị định bổ sung quy định: </w:t>
      </w:r>
      <w:r w:rsidR="005C65F1" w:rsidRPr="00211773">
        <w:rPr>
          <w:i/>
          <w:lang w:val="pt-BR"/>
        </w:rPr>
        <w:t>Trư</w:t>
      </w:r>
      <w:r w:rsidR="005C65F1" w:rsidRPr="00211773">
        <w:rPr>
          <w:i/>
          <w:lang w:val="vi-VN"/>
        </w:rPr>
        <w:t>ờng hợp</w:t>
      </w:r>
      <w:r w:rsidR="005C65F1" w:rsidRPr="00211773">
        <w:rPr>
          <w:i/>
          <w:lang w:val="pt-BR"/>
        </w:rPr>
        <w:t xml:space="preserve"> diện tích đất</w:t>
      </w:r>
      <w:r w:rsidR="005C65F1" w:rsidRPr="00211773">
        <w:rPr>
          <w:i/>
          <w:lang w:val="vi-VN"/>
        </w:rPr>
        <w:t xml:space="preserve"> </w:t>
      </w:r>
      <w:r w:rsidR="005C65F1" w:rsidRPr="00211773">
        <w:rPr>
          <w:i/>
          <w:lang w:val="pt-BR"/>
        </w:rPr>
        <w:t>được Nhà nước giao đất</w:t>
      </w:r>
      <w:r w:rsidR="00E33954">
        <w:rPr>
          <w:i/>
          <w:lang w:val="pt-BR"/>
        </w:rPr>
        <w:t xml:space="preserve"> có thu tiền sử dụng đất</w:t>
      </w:r>
      <w:r w:rsidR="005C65F1" w:rsidRPr="00211773">
        <w:rPr>
          <w:i/>
          <w:lang w:val="pt-BR"/>
        </w:rPr>
        <w:t>, cho thuê đất</w:t>
      </w:r>
      <w:r w:rsidR="00E33954">
        <w:rPr>
          <w:i/>
          <w:lang w:val="pt-BR"/>
        </w:rPr>
        <w:t xml:space="preserve"> và được</w:t>
      </w:r>
      <w:r w:rsidR="005C65F1" w:rsidRPr="00211773">
        <w:rPr>
          <w:i/>
          <w:lang w:val="pt-BR"/>
        </w:rPr>
        <w:t xml:space="preserve"> miễn, giảm tiền sử dụng đất, tiền thuê đất</w:t>
      </w:r>
      <w:r w:rsidRPr="00211773">
        <w:rPr>
          <w:bCs/>
          <w:i/>
          <w:spacing w:val="8"/>
          <w:lang w:val="pt-BR"/>
        </w:rPr>
        <w:t xml:space="preserve"> theo quy định tại Nghị định số 103/2024/NĐ-CP mà </w:t>
      </w:r>
      <w:r w:rsidR="005C65F1" w:rsidRPr="00211773">
        <w:rPr>
          <w:i/>
          <w:lang w:val="vi-VN"/>
        </w:rPr>
        <w:t>nằm tr</w:t>
      </w:r>
      <w:r w:rsidR="005C65F1" w:rsidRPr="00211773">
        <w:rPr>
          <w:i/>
          <w:lang w:val="pt-BR"/>
        </w:rPr>
        <w:t>ên ph</w:t>
      </w:r>
      <w:r w:rsidR="005C65F1" w:rsidRPr="00211773">
        <w:rPr>
          <w:i/>
          <w:lang w:val="vi-VN"/>
        </w:rPr>
        <w:t>ạm vi nhiều địa bàn có địa giới hành chính cụ thể khác khau th</w:t>
      </w:r>
      <w:r w:rsidR="005C65F1" w:rsidRPr="00211773">
        <w:rPr>
          <w:i/>
          <w:lang w:val="pt-BR"/>
        </w:rPr>
        <w:t>ì vi</w:t>
      </w:r>
      <w:r w:rsidR="005C65F1" w:rsidRPr="00211773">
        <w:rPr>
          <w:i/>
          <w:lang w:val="vi-VN"/>
        </w:rPr>
        <w:t xml:space="preserve">ệc </w:t>
      </w:r>
      <w:r w:rsidR="005C65F1" w:rsidRPr="00211773">
        <w:rPr>
          <w:i/>
          <w:lang w:val="pt-BR"/>
        </w:rPr>
        <w:t>mi</w:t>
      </w:r>
      <w:r w:rsidR="005C65F1" w:rsidRPr="00211773">
        <w:rPr>
          <w:i/>
          <w:lang w:val="vi-VN"/>
        </w:rPr>
        <w:t>ễn</w:t>
      </w:r>
      <w:r w:rsidR="005C65F1" w:rsidRPr="00211773">
        <w:rPr>
          <w:i/>
          <w:lang w:val="pt-BR"/>
        </w:rPr>
        <w:t>, giảm</w:t>
      </w:r>
      <w:r w:rsidR="005C65F1" w:rsidRPr="00211773">
        <w:rPr>
          <w:i/>
          <w:lang w:val="vi-VN"/>
        </w:rPr>
        <w:t xml:space="preserve"> tiền</w:t>
      </w:r>
      <w:r w:rsidR="005C65F1" w:rsidRPr="00211773">
        <w:rPr>
          <w:i/>
          <w:lang w:val="pt-BR"/>
        </w:rPr>
        <w:t xml:space="preserve"> sử dụng đất, tiền</w:t>
      </w:r>
      <w:r w:rsidR="005C65F1" w:rsidRPr="00211773">
        <w:rPr>
          <w:i/>
          <w:lang w:val="vi-VN"/>
        </w:rPr>
        <w:t xml:space="preserve"> thu</w:t>
      </w:r>
      <w:r w:rsidR="005C65F1" w:rsidRPr="00211773">
        <w:rPr>
          <w:i/>
          <w:lang w:val="pt-BR"/>
        </w:rPr>
        <w:t>ê đ</w:t>
      </w:r>
      <w:r w:rsidR="005C65F1" w:rsidRPr="00211773">
        <w:rPr>
          <w:i/>
          <w:lang w:val="vi-VN"/>
        </w:rPr>
        <w:t>ất được x</w:t>
      </w:r>
      <w:r w:rsidR="005C65F1" w:rsidRPr="00211773">
        <w:rPr>
          <w:i/>
          <w:lang w:val="pt-BR"/>
        </w:rPr>
        <w:t>ác đ</w:t>
      </w:r>
      <w:r w:rsidR="005C65F1" w:rsidRPr="00211773">
        <w:rPr>
          <w:i/>
          <w:lang w:val="vi-VN"/>
        </w:rPr>
        <w:t>ịnh theo diện t</w:t>
      </w:r>
      <w:r w:rsidR="005C65F1" w:rsidRPr="00211773">
        <w:rPr>
          <w:i/>
          <w:lang w:val="pt-BR"/>
        </w:rPr>
        <w:t xml:space="preserve">ích tương </w:t>
      </w:r>
      <w:r w:rsidR="005C65F1" w:rsidRPr="00211773">
        <w:rPr>
          <w:i/>
          <w:lang w:val="vi-VN"/>
        </w:rPr>
        <w:t xml:space="preserve">ứng ở từng </w:t>
      </w:r>
      <w:r w:rsidR="005C65F1" w:rsidRPr="00211773">
        <w:rPr>
          <w:bCs/>
          <w:i/>
          <w:lang w:val="pt-BR"/>
        </w:rPr>
        <w:t>địa bàn có địa giới hành chính cụ thể</w:t>
      </w:r>
      <w:r w:rsidR="005C65F1" w:rsidRPr="00211773">
        <w:rPr>
          <w:bCs/>
          <w:i/>
          <w:lang w:val="vi-VN"/>
        </w:rPr>
        <w:t>.</w:t>
      </w:r>
      <w:r w:rsidRPr="00211773">
        <w:rPr>
          <w:bCs/>
          <w:i/>
          <w:spacing w:val="8"/>
          <w:lang w:val="pt-BR"/>
        </w:rPr>
        <w:t>”</w:t>
      </w:r>
    </w:p>
    <w:p w:rsidR="006713C7" w:rsidRPr="00211773" w:rsidRDefault="00E1782F" w:rsidP="00304A15">
      <w:pPr>
        <w:shd w:val="clear" w:color="auto" w:fill="FFFFFF"/>
        <w:spacing w:before="120" w:after="120" w:line="264" w:lineRule="auto"/>
        <w:ind w:firstLine="720"/>
        <w:jc w:val="both"/>
        <w:rPr>
          <w:bCs/>
          <w:spacing w:val="8"/>
          <w:lang w:val="pt-BR"/>
        </w:rPr>
      </w:pPr>
      <w:r w:rsidRPr="00211773">
        <w:rPr>
          <w:bCs/>
          <w:spacing w:val="8"/>
          <w:lang w:val="pt-BR"/>
        </w:rPr>
        <w:t xml:space="preserve">Nội dung quy định </w:t>
      </w:r>
      <w:r w:rsidR="008B19D3" w:rsidRPr="00211773">
        <w:rPr>
          <w:bCs/>
          <w:spacing w:val="8"/>
          <w:lang w:val="pt-BR"/>
        </w:rPr>
        <w:t>nêu trên</w:t>
      </w:r>
      <w:r w:rsidRPr="00211773">
        <w:rPr>
          <w:bCs/>
          <w:spacing w:val="8"/>
          <w:lang w:val="pt-BR"/>
        </w:rPr>
        <w:t xml:space="preserve"> là kế thừa nguyên tắc quy định tại pháp luật về</w:t>
      </w:r>
      <w:r w:rsidR="00536BE5">
        <w:rPr>
          <w:bCs/>
          <w:spacing w:val="8"/>
          <w:lang w:val="pt-BR"/>
        </w:rPr>
        <w:t xml:space="preserve"> thu</w:t>
      </w:r>
      <w:r w:rsidRPr="00211773">
        <w:rPr>
          <w:bCs/>
          <w:spacing w:val="8"/>
          <w:lang w:val="pt-BR"/>
        </w:rPr>
        <w:t xml:space="preserve"> tiền thuê đất</w:t>
      </w:r>
      <w:r w:rsidR="00536BE5">
        <w:rPr>
          <w:bCs/>
          <w:spacing w:val="8"/>
          <w:lang w:val="pt-BR"/>
        </w:rPr>
        <w:t xml:space="preserve"> trong Khu kinh tế</w:t>
      </w:r>
      <w:r w:rsidRPr="00211773">
        <w:rPr>
          <w:bCs/>
          <w:spacing w:val="8"/>
          <w:lang w:val="pt-BR"/>
        </w:rPr>
        <w:t xml:space="preserve"> theo Luật Đất đai năm 2013 (điểm d khoản 6 Điều 8 Nghị định số 35/2017/NĐ-CP ngày 03/4/2017 của Chính phủ</w:t>
      </w:r>
      <w:r w:rsidRPr="00211773">
        <w:rPr>
          <w:rStyle w:val="FootnoteReference"/>
          <w:bCs/>
          <w:spacing w:val="8"/>
          <w:lang w:val="pt-BR"/>
        </w:rPr>
        <w:footnoteReference w:id="5"/>
      </w:r>
      <w:r w:rsidRPr="00211773">
        <w:rPr>
          <w:bCs/>
          <w:spacing w:val="8"/>
          <w:lang w:val="pt-BR"/>
        </w:rPr>
        <w:t>).</w:t>
      </w:r>
    </w:p>
    <w:p w:rsidR="00AF4282" w:rsidRPr="00211773" w:rsidRDefault="00AF4282" w:rsidP="00304A15">
      <w:pPr>
        <w:spacing w:before="120" w:after="120"/>
        <w:ind w:firstLine="567"/>
        <w:jc w:val="both"/>
        <w:rPr>
          <w:b/>
          <w:lang w:val="pt-BR"/>
        </w:rPr>
      </w:pPr>
      <w:r w:rsidRPr="00211773">
        <w:rPr>
          <w:b/>
          <w:bCs/>
          <w:spacing w:val="8"/>
          <w:lang w:val="pt-BR"/>
        </w:rPr>
        <w:t xml:space="preserve">2.2. </w:t>
      </w:r>
      <w:r w:rsidRPr="00211773">
        <w:rPr>
          <w:b/>
          <w:lang w:val="pt-BR"/>
        </w:rPr>
        <w:t xml:space="preserve">Về miễn, giảm tiền sử dụng đất khi </w:t>
      </w:r>
      <w:r w:rsidRPr="00211773">
        <w:rPr>
          <w:rFonts w:eastAsia="MS Mincho"/>
          <w:b/>
          <w:shd w:val="clear" w:color="auto" w:fill="FFFFFF"/>
          <w:lang w:val="pt-BR"/>
        </w:rPr>
        <w:t>giao đ</w:t>
      </w:r>
      <w:r w:rsidRPr="00211773">
        <w:rPr>
          <w:rFonts w:eastAsia="MS Mincho"/>
          <w:b/>
          <w:shd w:val="clear" w:color="auto" w:fill="FFFFFF"/>
          <w:lang w:val="vi-VN"/>
        </w:rPr>
        <w:t>ất ở đối với hộ gia đ</w:t>
      </w:r>
      <w:r w:rsidRPr="00211773">
        <w:rPr>
          <w:rFonts w:eastAsia="MS Mincho"/>
          <w:b/>
          <w:shd w:val="clear" w:color="auto" w:fill="FFFFFF"/>
          <w:lang w:val="pt-BR"/>
        </w:rPr>
        <w:t>ình, cá nhân khi Nhà nư</w:t>
      </w:r>
      <w:r w:rsidRPr="00211773">
        <w:rPr>
          <w:rFonts w:eastAsia="MS Mincho"/>
          <w:b/>
          <w:shd w:val="clear" w:color="auto" w:fill="FFFFFF"/>
          <w:lang w:val="vi-VN"/>
        </w:rPr>
        <w:t>ớc thu hồi đất gắn liền với nh</w:t>
      </w:r>
      <w:r w:rsidRPr="00211773">
        <w:rPr>
          <w:rFonts w:eastAsia="MS Mincho"/>
          <w:b/>
          <w:shd w:val="clear" w:color="auto" w:fill="FFFFFF"/>
          <w:lang w:val="pt-BR"/>
        </w:rPr>
        <w:t>à </w:t>
      </w:r>
      <w:r w:rsidRPr="00211773">
        <w:rPr>
          <w:rFonts w:eastAsia="MS Mincho"/>
          <w:b/>
          <w:shd w:val="clear" w:color="auto" w:fill="FFFFFF"/>
          <w:lang w:val="vi-VN"/>
        </w:rPr>
        <w:t>ở phải di chuyển chỗ ở m</w:t>
      </w:r>
      <w:r w:rsidRPr="00211773">
        <w:rPr>
          <w:rFonts w:eastAsia="MS Mincho"/>
          <w:b/>
          <w:shd w:val="clear" w:color="auto" w:fill="FFFFFF"/>
          <w:lang w:val="pt-BR"/>
        </w:rPr>
        <w:t>à không đ</w:t>
      </w:r>
      <w:r w:rsidRPr="00211773">
        <w:rPr>
          <w:rFonts w:eastAsia="MS Mincho"/>
          <w:b/>
          <w:shd w:val="clear" w:color="auto" w:fill="FFFFFF"/>
          <w:lang w:val="vi-VN"/>
        </w:rPr>
        <w:t>ủ điều kiện được bồi thường về đất ở v</w:t>
      </w:r>
      <w:r w:rsidRPr="00211773">
        <w:rPr>
          <w:rFonts w:eastAsia="MS Mincho"/>
          <w:b/>
          <w:shd w:val="clear" w:color="auto" w:fill="FFFFFF"/>
          <w:lang w:val="pt-BR"/>
        </w:rPr>
        <w:t>à không có ch</w:t>
      </w:r>
      <w:r w:rsidRPr="00211773">
        <w:rPr>
          <w:rFonts w:eastAsia="MS Mincho"/>
          <w:b/>
          <w:shd w:val="clear" w:color="auto" w:fill="FFFFFF"/>
          <w:lang w:val="vi-VN"/>
        </w:rPr>
        <w:t>ỗ ở n</w:t>
      </w:r>
      <w:r w:rsidRPr="00211773">
        <w:rPr>
          <w:rFonts w:eastAsia="MS Mincho"/>
          <w:b/>
          <w:shd w:val="clear" w:color="auto" w:fill="FFFFFF"/>
          <w:lang w:val="pt-BR"/>
        </w:rPr>
        <w:t>ào khác trong đ</w:t>
      </w:r>
      <w:r w:rsidRPr="00211773">
        <w:rPr>
          <w:rFonts w:eastAsia="MS Mincho"/>
          <w:b/>
          <w:shd w:val="clear" w:color="auto" w:fill="FFFFFF"/>
          <w:lang w:val="vi-VN"/>
        </w:rPr>
        <w:t>ịa b</w:t>
      </w:r>
      <w:r w:rsidRPr="00211773">
        <w:rPr>
          <w:rFonts w:eastAsia="MS Mincho"/>
          <w:b/>
          <w:shd w:val="clear" w:color="auto" w:fill="FFFFFF"/>
          <w:lang w:val="pt-BR"/>
        </w:rPr>
        <w:t>àn đơn v</w:t>
      </w:r>
      <w:r w:rsidRPr="00211773">
        <w:rPr>
          <w:rFonts w:eastAsia="MS Mincho"/>
          <w:b/>
          <w:shd w:val="clear" w:color="auto" w:fill="FFFFFF"/>
          <w:lang w:val="vi-VN"/>
        </w:rPr>
        <w:t>ị h</w:t>
      </w:r>
      <w:r w:rsidRPr="00211773">
        <w:rPr>
          <w:rFonts w:eastAsia="MS Mincho"/>
          <w:b/>
          <w:shd w:val="clear" w:color="auto" w:fill="FFFFFF"/>
          <w:lang w:val="pt-BR"/>
        </w:rPr>
        <w:t>ành chính c</w:t>
      </w:r>
      <w:r w:rsidRPr="00211773">
        <w:rPr>
          <w:rFonts w:eastAsia="MS Mincho"/>
          <w:b/>
          <w:shd w:val="clear" w:color="auto" w:fill="FFFFFF"/>
          <w:lang w:val="vi-VN"/>
        </w:rPr>
        <w:t>ấp x</w:t>
      </w:r>
      <w:r w:rsidRPr="00211773">
        <w:rPr>
          <w:rFonts w:eastAsia="MS Mincho"/>
          <w:b/>
          <w:shd w:val="clear" w:color="auto" w:fill="FFFFFF"/>
          <w:lang w:val="pt-BR"/>
        </w:rPr>
        <w:t>ã nơi có đ</w:t>
      </w:r>
      <w:r w:rsidRPr="00211773">
        <w:rPr>
          <w:rFonts w:eastAsia="MS Mincho"/>
          <w:b/>
          <w:shd w:val="clear" w:color="auto" w:fill="FFFFFF"/>
          <w:lang w:val="vi-VN"/>
        </w:rPr>
        <w:t>ất bị thu hồi</w:t>
      </w:r>
    </w:p>
    <w:p w:rsidR="00AF4282" w:rsidRPr="00211773" w:rsidRDefault="00AF4282" w:rsidP="00304A15">
      <w:pPr>
        <w:spacing w:before="120" w:after="120"/>
        <w:ind w:firstLine="567"/>
        <w:jc w:val="both"/>
        <w:rPr>
          <w:rFonts w:eastAsia="MS Mincho"/>
          <w:shd w:val="clear" w:color="auto" w:fill="FFFFFF"/>
          <w:lang w:val="pt-BR"/>
        </w:rPr>
      </w:pPr>
      <w:r w:rsidRPr="00211773">
        <w:rPr>
          <w:lang w:val="pt-BR"/>
        </w:rPr>
        <w:t xml:space="preserve">Tại điểm l khoản 1 Điều 157 Luật Đất đai quy định việc miễn, giảm tiền sử dụng đất được thực hiện khi </w:t>
      </w:r>
      <w:r w:rsidRPr="00211773">
        <w:rPr>
          <w:rFonts w:eastAsia="MS Mincho"/>
          <w:shd w:val="clear" w:color="auto" w:fill="FFFFFF"/>
          <w:lang w:val="pt-BR"/>
        </w:rPr>
        <w:t>giao đ</w:t>
      </w:r>
      <w:r w:rsidRPr="00211773">
        <w:rPr>
          <w:rFonts w:eastAsia="MS Mincho"/>
          <w:shd w:val="clear" w:color="auto" w:fill="FFFFFF"/>
          <w:lang w:val="vi-VN"/>
        </w:rPr>
        <w:t>ất ở đối với hộ gia đ</w:t>
      </w:r>
      <w:r w:rsidRPr="00211773">
        <w:rPr>
          <w:rFonts w:eastAsia="MS Mincho"/>
          <w:shd w:val="clear" w:color="auto" w:fill="FFFFFF"/>
          <w:lang w:val="pt-BR"/>
        </w:rPr>
        <w:t>ình, cá nhân khi Nhà nư</w:t>
      </w:r>
      <w:r w:rsidRPr="00211773">
        <w:rPr>
          <w:rFonts w:eastAsia="MS Mincho"/>
          <w:shd w:val="clear" w:color="auto" w:fill="FFFFFF"/>
          <w:lang w:val="vi-VN"/>
        </w:rPr>
        <w:t>ớc thu hồi đất gắn liền với nh</w:t>
      </w:r>
      <w:r w:rsidRPr="00211773">
        <w:rPr>
          <w:rFonts w:eastAsia="MS Mincho"/>
          <w:shd w:val="clear" w:color="auto" w:fill="FFFFFF"/>
          <w:lang w:val="pt-BR"/>
        </w:rPr>
        <w:t>à </w:t>
      </w:r>
      <w:r w:rsidRPr="00211773">
        <w:rPr>
          <w:rFonts w:eastAsia="MS Mincho"/>
          <w:shd w:val="clear" w:color="auto" w:fill="FFFFFF"/>
          <w:lang w:val="vi-VN"/>
        </w:rPr>
        <w:t>ở phải di chuyển chỗ ở m</w:t>
      </w:r>
      <w:r w:rsidRPr="00211773">
        <w:rPr>
          <w:rFonts w:eastAsia="MS Mincho"/>
          <w:shd w:val="clear" w:color="auto" w:fill="FFFFFF"/>
          <w:lang w:val="pt-BR"/>
        </w:rPr>
        <w:t>à không đ</w:t>
      </w:r>
      <w:r w:rsidRPr="00211773">
        <w:rPr>
          <w:rFonts w:eastAsia="MS Mincho"/>
          <w:shd w:val="clear" w:color="auto" w:fill="FFFFFF"/>
          <w:lang w:val="vi-VN"/>
        </w:rPr>
        <w:t>ủ điều kiện được bồi thường về đất ở v</w:t>
      </w:r>
      <w:r w:rsidRPr="00211773">
        <w:rPr>
          <w:rFonts w:eastAsia="MS Mincho"/>
          <w:shd w:val="clear" w:color="auto" w:fill="FFFFFF"/>
          <w:lang w:val="pt-BR"/>
        </w:rPr>
        <w:t>à không có ch</w:t>
      </w:r>
      <w:r w:rsidRPr="00211773">
        <w:rPr>
          <w:rFonts w:eastAsia="MS Mincho"/>
          <w:shd w:val="clear" w:color="auto" w:fill="FFFFFF"/>
          <w:lang w:val="vi-VN"/>
        </w:rPr>
        <w:t>ỗ ở n</w:t>
      </w:r>
      <w:r w:rsidRPr="00211773">
        <w:rPr>
          <w:rFonts w:eastAsia="MS Mincho"/>
          <w:shd w:val="clear" w:color="auto" w:fill="FFFFFF"/>
          <w:lang w:val="pt-BR"/>
        </w:rPr>
        <w:t>ào khác trong đ</w:t>
      </w:r>
      <w:r w:rsidRPr="00211773">
        <w:rPr>
          <w:rFonts w:eastAsia="MS Mincho"/>
          <w:shd w:val="clear" w:color="auto" w:fill="FFFFFF"/>
          <w:lang w:val="vi-VN"/>
        </w:rPr>
        <w:t>ịa b</w:t>
      </w:r>
      <w:r w:rsidRPr="00211773">
        <w:rPr>
          <w:rFonts w:eastAsia="MS Mincho"/>
          <w:shd w:val="clear" w:color="auto" w:fill="FFFFFF"/>
          <w:lang w:val="pt-BR"/>
        </w:rPr>
        <w:t>àn đơn v</w:t>
      </w:r>
      <w:r w:rsidRPr="00211773">
        <w:rPr>
          <w:rFonts w:eastAsia="MS Mincho"/>
          <w:shd w:val="clear" w:color="auto" w:fill="FFFFFF"/>
          <w:lang w:val="vi-VN"/>
        </w:rPr>
        <w:t>ị h</w:t>
      </w:r>
      <w:r w:rsidRPr="00211773">
        <w:rPr>
          <w:rFonts w:eastAsia="MS Mincho"/>
          <w:shd w:val="clear" w:color="auto" w:fill="FFFFFF"/>
          <w:lang w:val="pt-BR"/>
        </w:rPr>
        <w:t>ành chính c</w:t>
      </w:r>
      <w:r w:rsidRPr="00211773">
        <w:rPr>
          <w:rFonts w:eastAsia="MS Mincho"/>
          <w:shd w:val="clear" w:color="auto" w:fill="FFFFFF"/>
          <w:lang w:val="vi-VN"/>
        </w:rPr>
        <w:t>ấp x</w:t>
      </w:r>
      <w:r w:rsidRPr="00211773">
        <w:rPr>
          <w:rFonts w:eastAsia="MS Mincho"/>
          <w:shd w:val="clear" w:color="auto" w:fill="FFFFFF"/>
          <w:lang w:val="pt-BR"/>
        </w:rPr>
        <w:t>ã nơi có đ</w:t>
      </w:r>
      <w:r w:rsidRPr="00211773">
        <w:rPr>
          <w:rFonts w:eastAsia="MS Mincho"/>
          <w:shd w:val="clear" w:color="auto" w:fill="FFFFFF"/>
          <w:lang w:val="vi-VN"/>
        </w:rPr>
        <w:t>ất bị thu hồi</w:t>
      </w:r>
      <w:r w:rsidRPr="00211773">
        <w:rPr>
          <w:rFonts w:eastAsia="MS Mincho"/>
          <w:shd w:val="clear" w:color="auto" w:fill="FFFFFF"/>
          <w:lang w:val="pt-BR"/>
        </w:rPr>
        <w:t xml:space="preserve"> và giao Chính phủ quy định chi tiết điểm này.</w:t>
      </w:r>
    </w:p>
    <w:p w:rsidR="00AF4282" w:rsidRPr="00211773" w:rsidRDefault="00FB60F9" w:rsidP="00304A15">
      <w:pPr>
        <w:spacing w:before="120" w:after="120"/>
        <w:ind w:firstLine="567"/>
        <w:jc w:val="both"/>
        <w:rPr>
          <w:lang w:val="pt-BR"/>
        </w:rPr>
      </w:pPr>
      <w:r w:rsidRPr="00211773">
        <w:rPr>
          <w:rFonts w:eastAsia="MS Mincho"/>
          <w:shd w:val="clear" w:color="auto" w:fill="FFFFFF"/>
          <w:lang w:val="pt-BR"/>
        </w:rPr>
        <w:t>Quy định chi tiết</w:t>
      </w:r>
      <w:r w:rsidR="00AF4282" w:rsidRPr="00211773">
        <w:rPr>
          <w:rFonts w:eastAsia="MS Mincho"/>
          <w:shd w:val="clear" w:color="auto" w:fill="FFFFFF"/>
          <w:lang w:val="pt-BR"/>
        </w:rPr>
        <w:t xml:space="preserve"> nội dung nêu trên, tại điểm d khoản 1 Điều 18 Nghị định số 103/2024/NĐ-CP quy định miễn tiền sử dụng đất đối với trường hợp quy định tại </w:t>
      </w:r>
      <w:r w:rsidR="00AF4282" w:rsidRPr="00211773">
        <w:rPr>
          <w:lang w:val="pt-BR"/>
        </w:rPr>
        <w:t>điểm l khoản 1 Điều 157 Luật Đất đai. Tuy nhiên, trong quá trình triển khai thực hiện quy định tại điểm d khoản 1 Điều 18 nêu trên, có ý kiến cho rằng quy định miễn tiền sử dụng đất đối với trường hợp nêu trên là chưa công bằng với trường hợp Nhà nước thu hồi đất, đủ điều kiện bồi thường về đất ở thì phải nộp tiền sử dụng tại nơi tái định cư (không đư</w:t>
      </w:r>
      <w:r w:rsidR="006026C3">
        <w:rPr>
          <w:lang w:val="pt-BR"/>
        </w:rPr>
        <w:t>ợc miễn, giảm tiền sử dụng đất); vì vậy, đề nghị sửa dự thảo Nghị định theo hướng quy định mức giảm 50% tiền sử dụng đất thay vì miễn.</w:t>
      </w:r>
      <w:r w:rsidR="00AF4282" w:rsidRPr="00211773">
        <w:rPr>
          <w:lang w:val="pt-BR"/>
        </w:rPr>
        <w:t xml:space="preserve"> </w:t>
      </w:r>
    </w:p>
    <w:p w:rsidR="00AF4282" w:rsidRPr="00211773" w:rsidRDefault="00AF4282" w:rsidP="00304A15">
      <w:pPr>
        <w:shd w:val="clear" w:color="auto" w:fill="FFFFFF"/>
        <w:spacing w:before="120" w:after="120" w:line="264" w:lineRule="auto"/>
        <w:ind w:firstLine="720"/>
        <w:jc w:val="both"/>
        <w:rPr>
          <w:bCs/>
          <w:spacing w:val="8"/>
          <w:lang w:val="pt-BR"/>
        </w:rPr>
      </w:pPr>
      <w:r w:rsidRPr="00211773">
        <w:rPr>
          <w:lang w:val="pt-BR"/>
        </w:rPr>
        <w:t xml:space="preserve">Do đó, Bộ Tài chính trình Chính phủ sửa đổi nội dung nêu trên theo hướng bãi bỏ điểm d khoản 1 Điều 18 và sửa đổi khoản 1 Điều 19 Nghị định số 103/2024/NĐ-CP theo hướng quy định giảm 50% tiền sử dụng đất khi </w:t>
      </w:r>
      <w:r w:rsidRPr="00211773">
        <w:rPr>
          <w:rFonts w:eastAsia="MS Mincho"/>
          <w:shd w:val="clear" w:color="auto" w:fill="FFFFFF"/>
          <w:lang w:val="pt-BR"/>
        </w:rPr>
        <w:t>giao đ</w:t>
      </w:r>
      <w:r w:rsidRPr="00211773">
        <w:rPr>
          <w:rFonts w:eastAsia="MS Mincho"/>
          <w:shd w:val="clear" w:color="auto" w:fill="FFFFFF"/>
          <w:lang w:val="vi-VN"/>
        </w:rPr>
        <w:t xml:space="preserve">ất ở </w:t>
      </w:r>
      <w:r w:rsidRPr="00211773">
        <w:rPr>
          <w:rFonts w:eastAsia="MS Mincho"/>
          <w:shd w:val="clear" w:color="auto" w:fill="FFFFFF"/>
          <w:lang w:val="vi-VN"/>
        </w:rPr>
        <w:lastRenderedPageBreak/>
        <w:t>đối với hộ gia đ</w:t>
      </w:r>
      <w:r w:rsidRPr="00211773">
        <w:rPr>
          <w:rFonts w:eastAsia="MS Mincho"/>
          <w:shd w:val="clear" w:color="auto" w:fill="FFFFFF"/>
          <w:lang w:val="pt-BR"/>
        </w:rPr>
        <w:t>ình, cá nhân khi Nhà nư</w:t>
      </w:r>
      <w:r w:rsidRPr="00211773">
        <w:rPr>
          <w:rFonts w:eastAsia="MS Mincho"/>
          <w:shd w:val="clear" w:color="auto" w:fill="FFFFFF"/>
          <w:lang w:val="vi-VN"/>
        </w:rPr>
        <w:t>ớc thu hồi đất gắn liền với nh</w:t>
      </w:r>
      <w:r w:rsidRPr="00211773">
        <w:rPr>
          <w:rFonts w:eastAsia="MS Mincho"/>
          <w:shd w:val="clear" w:color="auto" w:fill="FFFFFF"/>
          <w:lang w:val="pt-BR"/>
        </w:rPr>
        <w:t>à </w:t>
      </w:r>
      <w:r w:rsidRPr="00211773">
        <w:rPr>
          <w:rFonts w:eastAsia="MS Mincho"/>
          <w:shd w:val="clear" w:color="auto" w:fill="FFFFFF"/>
          <w:lang w:val="vi-VN"/>
        </w:rPr>
        <w:t>ở phải di chuyển chỗ ở m</w:t>
      </w:r>
      <w:r w:rsidRPr="00211773">
        <w:rPr>
          <w:rFonts w:eastAsia="MS Mincho"/>
          <w:shd w:val="clear" w:color="auto" w:fill="FFFFFF"/>
          <w:lang w:val="pt-BR"/>
        </w:rPr>
        <w:t>à không đ</w:t>
      </w:r>
      <w:r w:rsidRPr="00211773">
        <w:rPr>
          <w:rFonts w:eastAsia="MS Mincho"/>
          <w:shd w:val="clear" w:color="auto" w:fill="FFFFFF"/>
          <w:lang w:val="vi-VN"/>
        </w:rPr>
        <w:t>ủ điều kiện được bồi thường về đất ở v</w:t>
      </w:r>
      <w:r w:rsidRPr="00211773">
        <w:rPr>
          <w:rFonts w:eastAsia="MS Mincho"/>
          <w:shd w:val="clear" w:color="auto" w:fill="FFFFFF"/>
          <w:lang w:val="pt-BR"/>
        </w:rPr>
        <w:t>à không có ch</w:t>
      </w:r>
      <w:r w:rsidRPr="00211773">
        <w:rPr>
          <w:rFonts w:eastAsia="MS Mincho"/>
          <w:shd w:val="clear" w:color="auto" w:fill="FFFFFF"/>
          <w:lang w:val="vi-VN"/>
        </w:rPr>
        <w:t>ỗ ở n</w:t>
      </w:r>
      <w:r w:rsidRPr="00211773">
        <w:rPr>
          <w:rFonts w:eastAsia="MS Mincho"/>
          <w:shd w:val="clear" w:color="auto" w:fill="FFFFFF"/>
          <w:lang w:val="pt-BR"/>
        </w:rPr>
        <w:t>ào khác trong đ</w:t>
      </w:r>
      <w:r w:rsidRPr="00211773">
        <w:rPr>
          <w:rFonts w:eastAsia="MS Mincho"/>
          <w:shd w:val="clear" w:color="auto" w:fill="FFFFFF"/>
          <w:lang w:val="vi-VN"/>
        </w:rPr>
        <w:t>ịa b</w:t>
      </w:r>
      <w:r w:rsidRPr="00211773">
        <w:rPr>
          <w:rFonts w:eastAsia="MS Mincho"/>
          <w:shd w:val="clear" w:color="auto" w:fill="FFFFFF"/>
          <w:lang w:val="pt-BR"/>
        </w:rPr>
        <w:t>àn đơn v</w:t>
      </w:r>
      <w:r w:rsidRPr="00211773">
        <w:rPr>
          <w:rFonts w:eastAsia="MS Mincho"/>
          <w:shd w:val="clear" w:color="auto" w:fill="FFFFFF"/>
          <w:lang w:val="vi-VN"/>
        </w:rPr>
        <w:t>ị h</w:t>
      </w:r>
      <w:r w:rsidRPr="00211773">
        <w:rPr>
          <w:rFonts w:eastAsia="MS Mincho"/>
          <w:shd w:val="clear" w:color="auto" w:fill="FFFFFF"/>
          <w:lang w:val="pt-BR"/>
        </w:rPr>
        <w:t>ành chính c</w:t>
      </w:r>
      <w:r w:rsidRPr="00211773">
        <w:rPr>
          <w:rFonts w:eastAsia="MS Mincho"/>
          <w:shd w:val="clear" w:color="auto" w:fill="FFFFFF"/>
          <w:lang w:val="vi-VN"/>
        </w:rPr>
        <w:t>ấp x</w:t>
      </w:r>
      <w:r w:rsidRPr="00211773">
        <w:rPr>
          <w:rFonts w:eastAsia="MS Mincho"/>
          <w:shd w:val="clear" w:color="auto" w:fill="FFFFFF"/>
          <w:lang w:val="pt-BR"/>
        </w:rPr>
        <w:t>ã nơi có đ</w:t>
      </w:r>
      <w:r w:rsidRPr="00211773">
        <w:rPr>
          <w:rFonts w:eastAsia="MS Mincho"/>
          <w:shd w:val="clear" w:color="auto" w:fill="FFFFFF"/>
          <w:lang w:val="vi-VN"/>
        </w:rPr>
        <w:t>ất bị thu hồi</w:t>
      </w:r>
      <w:r w:rsidRPr="00211773">
        <w:rPr>
          <w:rFonts w:eastAsia="MS Mincho"/>
          <w:shd w:val="clear" w:color="auto" w:fill="FFFFFF"/>
          <w:lang w:val="pt-BR"/>
        </w:rPr>
        <w:t xml:space="preserve"> </w:t>
      </w:r>
      <w:r w:rsidRPr="00211773">
        <w:rPr>
          <w:rFonts w:eastAsia="MS Mincho"/>
          <w:i/>
          <w:iCs/>
          <w:shd w:val="clear" w:color="auto" w:fill="FFFFFF"/>
          <w:lang w:val="pt-BR"/>
        </w:rPr>
        <w:t>(quy định tại khoản 5 Điều 2 dự thảo Nghị định)</w:t>
      </w:r>
      <w:r w:rsidR="006733B9" w:rsidRPr="00211773">
        <w:rPr>
          <w:rFonts w:eastAsia="MS Mincho"/>
          <w:i/>
          <w:iCs/>
          <w:shd w:val="clear" w:color="auto" w:fill="FFFFFF"/>
          <w:lang w:val="pt-BR"/>
        </w:rPr>
        <w:t xml:space="preserve">; </w:t>
      </w:r>
      <w:r w:rsidR="006733B9" w:rsidRPr="00211773">
        <w:rPr>
          <w:rFonts w:eastAsia="MS Mincho"/>
          <w:iCs/>
          <w:shd w:val="clear" w:color="auto" w:fill="FFFFFF"/>
          <w:lang w:val="pt-BR"/>
        </w:rPr>
        <w:t>tức là chuyển từ mức miễn tiền sử dụng đất thành giảm 50% tiền sử dụng đất. Trong t</w:t>
      </w:r>
      <w:r w:rsidR="006733B9" w:rsidRPr="00211773">
        <w:rPr>
          <w:bCs/>
          <w:spacing w:val="8"/>
          <w:lang w:val="pt-BR"/>
        </w:rPr>
        <w:t xml:space="preserve">rường hợp này nếu người dân có khó khăn về tài chính khi được cấp giấy chứng nhận quyền sử dụng đất thì có thể </w:t>
      </w:r>
      <w:r w:rsidR="00B251AA">
        <w:rPr>
          <w:bCs/>
          <w:spacing w:val="8"/>
          <w:lang w:val="pt-BR"/>
        </w:rPr>
        <w:t>được</w:t>
      </w:r>
      <w:r w:rsidR="006733B9" w:rsidRPr="00211773">
        <w:rPr>
          <w:bCs/>
          <w:spacing w:val="8"/>
          <w:lang w:val="pt-BR"/>
        </w:rPr>
        <w:t xml:space="preserve"> ghi nợ tiền sử dụng đất</w:t>
      </w:r>
      <w:r w:rsidR="00B251AA">
        <w:rPr>
          <w:bCs/>
          <w:spacing w:val="8"/>
          <w:lang w:val="pt-BR"/>
        </w:rPr>
        <w:t xml:space="preserve"> theo quy định tại Điều 22 Nghị định số 103/2024/NĐ-CP</w:t>
      </w:r>
      <w:r w:rsidR="006733B9" w:rsidRPr="00211773">
        <w:rPr>
          <w:bCs/>
          <w:spacing w:val="8"/>
          <w:lang w:val="pt-BR"/>
        </w:rPr>
        <w:t>.</w:t>
      </w:r>
    </w:p>
    <w:p w:rsidR="008770B3" w:rsidRPr="00211773" w:rsidRDefault="00976FAD" w:rsidP="00304A15">
      <w:pPr>
        <w:spacing w:before="120" w:after="120" w:line="264" w:lineRule="auto"/>
        <w:ind w:firstLine="720"/>
        <w:jc w:val="both"/>
        <w:outlineLvl w:val="0"/>
        <w:rPr>
          <w:b/>
          <w:bCs/>
          <w:spacing w:val="8"/>
          <w:lang w:val="pt-BR"/>
        </w:rPr>
      </w:pPr>
      <w:r w:rsidRPr="00211773">
        <w:rPr>
          <w:b/>
          <w:bCs/>
          <w:spacing w:val="8"/>
          <w:lang w:val="pt-BR"/>
        </w:rPr>
        <w:t>2.</w:t>
      </w:r>
      <w:r w:rsidR="005E7279" w:rsidRPr="00211773">
        <w:rPr>
          <w:b/>
          <w:bCs/>
          <w:spacing w:val="8"/>
          <w:lang w:val="pt-BR"/>
        </w:rPr>
        <w:t>3</w:t>
      </w:r>
      <w:r w:rsidRPr="00211773">
        <w:rPr>
          <w:b/>
          <w:bCs/>
          <w:spacing w:val="8"/>
          <w:lang w:val="pt-BR"/>
        </w:rPr>
        <w:t xml:space="preserve">. </w:t>
      </w:r>
      <w:r w:rsidR="00CD4B33" w:rsidRPr="00211773">
        <w:rPr>
          <w:b/>
          <w:bCs/>
          <w:spacing w:val="8"/>
          <w:lang w:val="pt-BR"/>
        </w:rPr>
        <w:t xml:space="preserve">Về </w:t>
      </w:r>
      <w:r w:rsidR="008770B3" w:rsidRPr="00211773">
        <w:rPr>
          <w:b/>
          <w:bCs/>
          <w:spacing w:val="8"/>
          <w:lang w:val="pt-BR"/>
        </w:rPr>
        <w:t>quy định chuyển tiếp đối với tiền sử dụng đất, tiền thuê đất trong trường hợp nhận chuyển nhượng quyền sử dụng đất, sau đó được Nhà nước cho phép chuyển mục đích sử dụn</w:t>
      </w:r>
      <w:r w:rsidR="001D79BA" w:rsidRPr="00211773">
        <w:rPr>
          <w:b/>
          <w:bCs/>
          <w:spacing w:val="8"/>
          <w:lang w:val="pt-BR"/>
        </w:rPr>
        <w:t>g đất để thực hiện dự án đầu tư trước ngày Nghị định số 103/</w:t>
      </w:r>
      <w:r w:rsidR="006733B9" w:rsidRPr="00211773">
        <w:rPr>
          <w:b/>
          <w:bCs/>
          <w:spacing w:val="8"/>
          <w:lang w:val="pt-BR"/>
        </w:rPr>
        <w:t>2024/NĐ-CP có hiệu lực thi hành</w:t>
      </w:r>
    </w:p>
    <w:p w:rsidR="005A2F6F" w:rsidRPr="00211773" w:rsidRDefault="008B19D3" w:rsidP="00304A15">
      <w:pPr>
        <w:spacing w:before="120" w:after="120" w:line="264" w:lineRule="auto"/>
        <w:ind w:firstLine="720"/>
        <w:jc w:val="both"/>
        <w:rPr>
          <w:iCs/>
          <w:lang w:val="pt-BR"/>
        </w:rPr>
      </w:pPr>
      <w:r w:rsidRPr="00211773">
        <w:rPr>
          <w:iCs/>
          <w:lang w:val="pt-BR"/>
        </w:rPr>
        <w:t xml:space="preserve">- Pháp luật </w:t>
      </w:r>
      <w:r w:rsidR="004C5AE4" w:rsidRPr="00211773">
        <w:rPr>
          <w:iCs/>
          <w:lang w:val="pt-BR"/>
        </w:rPr>
        <w:t>về</w:t>
      </w:r>
      <w:r w:rsidRPr="00211773">
        <w:rPr>
          <w:iCs/>
          <w:lang w:val="pt-BR"/>
        </w:rPr>
        <w:t xml:space="preserve"> tiền sử dụng đất, tiền thuê đất theo Luật </w:t>
      </w:r>
      <w:r w:rsidR="00726AFA">
        <w:rPr>
          <w:iCs/>
          <w:lang w:val="pt-BR"/>
        </w:rPr>
        <w:t>Đ</w:t>
      </w:r>
      <w:r w:rsidRPr="00211773">
        <w:rPr>
          <w:iCs/>
          <w:lang w:val="pt-BR"/>
        </w:rPr>
        <w:t>ất đai năm</w:t>
      </w:r>
      <w:r w:rsidR="004C5AE4" w:rsidRPr="00211773">
        <w:rPr>
          <w:iCs/>
          <w:lang w:val="pt-BR"/>
        </w:rPr>
        <w:t xml:space="preserve"> </w:t>
      </w:r>
      <w:r w:rsidRPr="00211773">
        <w:rPr>
          <w:iCs/>
          <w:lang w:val="pt-BR"/>
        </w:rPr>
        <w:t>2013</w:t>
      </w:r>
      <w:r w:rsidRPr="00211773">
        <w:rPr>
          <w:rStyle w:val="FootnoteReference"/>
          <w:iCs/>
          <w:lang w:val="pt-BR"/>
        </w:rPr>
        <w:footnoteReference w:id="6"/>
      </w:r>
      <w:r w:rsidRPr="00211773">
        <w:rPr>
          <w:iCs/>
          <w:lang w:val="pt-BR"/>
        </w:rPr>
        <w:t xml:space="preserve"> quy định: Trường hợp tổ chức kinh tế nhận chuyển nhượng quyền sử dụng đất hợp pháp của tổ chức, cá nhân để thực hiện dự án đầu tư mà phải chuyển mục đích sử dụng đất sau khi nhận chuyển nhượng và phải thực hiện nghĩa vụ tài chính về nộp tiền thuê đất, tiền thuê đất theo mục đích sử dụng đất sau khi chuyển mục đích; </w:t>
      </w:r>
      <w:r w:rsidRPr="00211773">
        <w:rPr>
          <w:iCs/>
          <w:u w:val="single"/>
          <w:lang w:val="pt-BR"/>
        </w:rPr>
        <w:t>khoản tiền tổ chức kinh tế đã trả để nhận chuyển nhượng quyền sử dụng đất được cơ quan tài chính xác định và được trừ vào tiền sử dụng đất, tiền thuê đất phải nộp</w:t>
      </w:r>
      <w:r w:rsidRPr="00211773">
        <w:rPr>
          <w:iCs/>
          <w:lang w:val="pt-BR"/>
        </w:rPr>
        <w:t xml:space="preserve"> (trường hợp thuê đất trả tiền một lần cho cả thời gian thuê) hoặc được quy đổi ra số năm hoàn thành tiền thuê đất (trường hợp thuê đất trả tiền hàng năm). Khoản tiền này được xác định theo giá đất của mục đích sử dụng đất nhận chuyển nhượng tại thời điểm được cơ quan nhà nước có thẩm quyền cho phép chuyển mục đích sử dụng đất </w:t>
      </w:r>
      <w:r w:rsidRPr="00211773">
        <w:rPr>
          <w:iCs/>
          <w:u w:val="single"/>
          <w:lang w:val="pt-BR"/>
        </w:rPr>
        <w:t>nhưng không vượt quá số tiền bồi thường, hỗ trợ tương ứng với trường hợp Nhà nước thu hồi đất theo quy định của pháp luật.</w:t>
      </w:r>
      <w:r w:rsidR="005A2F6F" w:rsidRPr="00211773">
        <w:rPr>
          <w:iCs/>
          <w:lang w:val="pt-BR"/>
        </w:rPr>
        <w:t xml:space="preserve"> Để tính khoản được trừ trong trường hợp này, cơ quan </w:t>
      </w:r>
      <w:r w:rsidR="006733B9" w:rsidRPr="00211773">
        <w:rPr>
          <w:iCs/>
          <w:lang w:val="pt-BR"/>
        </w:rPr>
        <w:t>nhà nước</w:t>
      </w:r>
      <w:r w:rsidR="005A2F6F" w:rsidRPr="00211773">
        <w:rPr>
          <w:iCs/>
          <w:lang w:val="pt-BR"/>
        </w:rPr>
        <w:t xml:space="preserve"> phải tính một phương án bồi thường, giải phóng mặt bằng giả định; việc này tốn thời gian và thủ tục. Vì vậy, tại Nghị định số </w:t>
      </w:r>
      <w:r w:rsidRPr="00211773">
        <w:rPr>
          <w:iCs/>
          <w:lang w:val="pt-BR"/>
        </w:rPr>
        <w:t xml:space="preserve">103/2024/NĐ-CP ngày 30/7/2024 của Chính phủ </w:t>
      </w:r>
      <w:r w:rsidR="005A2F6F" w:rsidRPr="00211773">
        <w:rPr>
          <w:iCs/>
          <w:lang w:val="pt-BR"/>
        </w:rPr>
        <w:t>đã</w:t>
      </w:r>
      <w:r w:rsidR="006733B9" w:rsidRPr="00211773">
        <w:rPr>
          <w:iCs/>
          <w:lang w:val="pt-BR"/>
        </w:rPr>
        <w:t xml:space="preserve"> điều chỉnh</w:t>
      </w:r>
      <w:r w:rsidR="005A2F6F" w:rsidRPr="00211773">
        <w:rPr>
          <w:iCs/>
          <w:lang w:val="pt-BR"/>
        </w:rPr>
        <w:t xml:space="preserve"> cách tính tiền sử dụng đất, tiền thuê đất trong </w:t>
      </w:r>
      <w:r w:rsidR="006733B9" w:rsidRPr="00211773">
        <w:rPr>
          <w:iCs/>
          <w:lang w:val="pt-BR"/>
        </w:rPr>
        <w:t>trường hợp này theo hướng: Tổ chức kinh tế</w:t>
      </w:r>
      <w:r w:rsidR="005A2F6F" w:rsidRPr="00211773">
        <w:rPr>
          <w:iCs/>
          <w:lang w:val="pt-BR"/>
        </w:rPr>
        <w:t xml:space="preserve"> vẫn phải nộp chênh lệch giữa tiền sử dụng đất, tiền thuê đất theo mục đích mới (sau khi chuyển mục đích) trừ (-) tiền sử dụng đất, tiền thuê đất theo mục đích cũ (trước khi chuyển mục đích)</w:t>
      </w:r>
      <w:r w:rsidR="004C5AE4" w:rsidRPr="00211773">
        <w:rPr>
          <w:iCs/>
          <w:lang w:val="pt-BR"/>
        </w:rPr>
        <w:t xml:space="preserve"> tính tại thời điểm có quyết định chuyển mục đích sử dụng đất (không phải </w:t>
      </w:r>
      <w:r w:rsidR="00726AFA">
        <w:rPr>
          <w:iCs/>
          <w:lang w:val="pt-BR"/>
        </w:rPr>
        <w:t>lập</w:t>
      </w:r>
      <w:r w:rsidR="004C5AE4" w:rsidRPr="00211773">
        <w:rPr>
          <w:iCs/>
          <w:lang w:val="pt-BR"/>
        </w:rPr>
        <w:t xml:space="preserve"> phương án bồi thường giả </w:t>
      </w:r>
      <w:r w:rsidR="006733B9" w:rsidRPr="00211773">
        <w:rPr>
          <w:iCs/>
          <w:lang w:val="pt-BR"/>
        </w:rPr>
        <w:t xml:space="preserve">định </w:t>
      </w:r>
      <w:r w:rsidR="004C5AE4" w:rsidRPr="00211773">
        <w:rPr>
          <w:iCs/>
          <w:lang w:val="pt-BR"/>
        </w:rPr>
        <w:t>và so</w:t>
      </w:r>
      <w:r w:rsidR="00726AFA">
        <w:rPr>
          <w:iCs/>
          <w:lang w:val="pt-BR"/>
        </w:rPr>
        <w:t xml:space="preserve"> sánh</w:t>
      </w:r>
      <w:r w:rsidR="004C5AE4" w:rsidRPr="00211773">
        <w:rPr>
          <w:iCs/>
          <w:lang w:val="pt-BR"/>
        </w:rPr>
        <w:t xml:space="preserve"> với mức tiền nhận chuyển nhượng trước đây để tính khoản được trừ). </w:t>
      </w:r>
      <w:r w:rsidR="006733B9" w:rsidRPr="00211773">
        <w:rPr>
          <w:iCs/>
          <w:lang w:val="pt-BR"/>
        </w:rPr>
        <w:t xml:space="preserve"> </w:t>
      </w:r>
    </w:p>
    <w:p w:rsidR="006713C7" w:rsidRPr="00211773" w:rsidRDefault="002B29BE" w:rsidP="00304A15">
      <w:pPr>
        <w:spacing w:before="120" w:after="120" w:line="264" w:lineRule="auto"/>
        <w:ind w:firstLine="720"/>
        <w:jc w:val="both"/>
        <w:outlineLvl w:val="0"/>
        <w:rPr>
          <w:bCs/>
          <w:spacing w:val="8"/>
          <w:lang w:val="pt-BR"/>
        </w:rPr>
      </w:pPr>
      <w:r w:rsidRPr="00211773">
        <w:rPr>
          <w:lang w:val="pt-BR"/>
        </w:rPr>
        <w:lastRenderedPageBreak/>
        <w:t xml:space="preserve">Tuy nhiên, Nghị định số 103/2024/NĐ-CP chưa có quy định xử lý chuyển tiếp đối với trường hợp </w:t>
      </w:r>
      <w:r w:rsidRPr="00211773">
        <w:rPr>
          <w:rFonts w:eastAsia="MS Mincho"/>
          <w:shd w:val="clear" w:color="auto" w:fill="FFFFFF"/>
          <w:lang w:val="vi-VN"/>
        </w:rPr>
        <w:t>tổ chức kinh tế nhận chuyển nhượng quyền sử dụng đất hợp ph</w:t>
      </w:r>
      <w:r w:rsidRPr="00211773">
        <w:rPr>
          <w:rFonts w:eastAsia="MS Mincho"/>
          <w:shd w:val="clear" w:color="auto" w:fill="FFFFFF"/>
          <w:lang w:val="pt-BR"/>
        </w:rPr>
        <w:t>áp c</w:t>
      </w:r>
      <w:r w:rsidRPr="00211773">
        <w:rPr>
          <w:rFonts w:eastAsia="MS Mincho"/>
          <w:shd w:val="clear" w:color="auto" w:fill="FFFFFF"/>
          <w:lang w:val="vi-VN"/>
        </w:rPr>
        <w:t>ủa tổ chức, c</w:t>
      </w:r>
      <w:r w:rsidRPr="00211773">
        <w:rPr>
          <w:rFonts w:eastAsia="MS Mincho"/>
          <w:shd w:val="clear" w:color="auto" w:fill="FFFFFF"/>
          <w:lang w:val="pt-BR"/>
        </w:rPr>
        <w:t>á nhân đ</w:t>
      </w:r>
      <w:r w:rsidRPr="00211773">
        <w:rPr>
          <w:rFonts w:eastAsia="MS Mincho"/>
          <w:shd w:val="clear" w:color="auto" w:fill="FFFFFF"/>
          <w:lang w:val="vi-VN"/>
        </w:rPr>
        <w:t>ể thực hiện dự </w:t>
      </w:r>
      <w:r w:rsidRPr="00211773">
        <w:rPr>
          <w:rFonts w:eastAsia="MS Mincho"/>
          <w:shd w:val="clear" w:color="auto" w:fill="FFFFFF"/>
          <w:lang w:val="pt-BR"/>
        </w:rPr>
        <w:t>án đ</w:t>
      </w:r>
      <w:r w:rsidRPr="00211773">
        <w:rPr>
          <w:rFonts w:eastAsia="MS Mincho"/>
          <w:shd w:val="clear" w:color="auto" w:fill="FFFFFF"/>
          <w:lang w:val="vi-VN"/>
        </w:rPr>
        <w:t>ầu tư</w:t>
      </w:r>
      <w:r w:rsidRPr="00211773">
        <w:rPr>
          <w:rFonts w:eastAsia="MS Mincho"/>
          <w:shd w:val="clear" w:color="auto" w:fill="FFFFFF"/>
          <w:lang w:val="pt-BR"/>
        </w:rPr>
        <w:t xml:space="preserve"> </w:t>
      </w:r>
      <w:r w:rsidRPr="00211773">
        <w:rPr>
          <w:rFonts w:eastAsia="MS Mincho"/>
          <w:shd w:val="clear" w:color="auto" w:fill="FFFFFF"/>
          <w:lang w:val="vi-VN"/>
        </w:rPr>
        <w:t>m</w:t>
      </w:r>
      <w:r w:rsidRPr="00211773">
        <w:rPr>
          <w:rFonts w:eastAsia="MS Mincho"/>
          <w:shd w:val="clear" w:color="auto" w:fill="FFFFFF"/>
          <w:lang w:val="pt-BR"/>
        </w:rPr>
        <w:t>à ph</w:t>
      </w:r>
      <w:r w:rsidRPr="00211773">
        <w:rPr>
          <w:rFonts w:eastAsia="MS Mincho"/>
          <w:shd w:val="clear" w:color="auto" w:fill="FFFFFF"/>
          <w:lang w:val="vi-VN"/>
        </w:rPr>
        <w:t>ải chuyển mục đ</w:t>
      </w:r>
      <w:r w:rsidRPr="00211773">
        <w:rPr>
          <w:rFonts w:eastAsia="MS Mincho"/>
          <w:shd w:val="clear" w:color="auto" w:fill="FFFFFF"/>
          <w:lang w:val="pt-BR"/>
        </w:rPr>
        <w:t>ích s</w:t>
      </w:r>
      <w:r w:rsidRPr="00211773">
        <w:rPr>
          <w:rFonts w:eastAsia="MS Mincho"/>
          <w:shd w:val="clear" w:color="auto" w:fill="FFFFFF"/>
          <w:lang w:val="vi-VN"/>
        </w:rPr>
        <w:t xml:space="preserve">ử dụng đất </w:t>
      </w:r>
      <w:r w:rsidRPr="00211773">
        <w:rPr>
          <w:rFonts w:eastAsia="MS Mincho"/>
          <w:shd w:val="clear" w:color="auto" w:fill="FFFFFF"/>
          <w:lang w:val="pt-BR"/>
        </w:rPr>
        <w:t xml:space="preserve">từ trước ngày Nghị định số 103/2024/NĐ-CP có hiệu lực thi hành nhưng đến nay chưa </w:t>
      </w:r>
      <w:r w:rsidRPr="00211773">
        <w:rPr>
          <w:lang w:val="pt-BR"/>
        </w:rPr>
        <w:t>chưa hoàn thành nghĩa vụ về tiền sử dụng đất, tiền thuê đất; chưa quy định cơ q</w:t>
      </w:r>
      <w:r w:rsidR="006733B9" w:rsidRPr="00211773">
        <w:rPr>
          <w:lang w:val="pt-BR"/>
        </w:rPr>
        <w:t>uan xác định số tiền người sử dụ</w:t>
      </w:r>
      <w:r w:rsidRPr="00211773">
        <w:rPr>
          <w:lang w:val="pt-BR"/>
        </w:rPr>
        <w:t>ng đất đã trả được trừ vào tiền sử dụng đất, tiền thuê đất phải nộp đối với trường hợp này.</w:t>
      </w:r>
    </w:p>
    <w:p w:rsidR="004C5AE4" w:rsidRPr="00211773" w:rsidRDefault="00213E14" w:rsidP="00304A15">
      <w:pPr>
        <w:spacing w:before="120" w:after="120" w:line="264" w:lineRule="auto"/>
        <w:ind w:firstLine="720"/>
        <w:jc w:val="both"/>
        <w:outlineLvl w:val="0"/>
        <w:rPr>
          <w:bCs/>
          <w:i/>
          <w:spacing w:val="8"/>
          <w:lang w:val="pt-BR"/>
        </w:rPr>
      </w:pPr>
      <w:r>
        <w:rPr>
          <w:lang w:val="pt-BR"/>
        </w:rPr>
        <w:t>Để thống nhất áp dụng pháp luật</w:t>
      </w:r>
      <w:r w:rsidR="002B29BE" w:rsidRPr="00211773">
        <w:rPr>
          <w:lang w:val="pt-BR"/>
        </w:rPr>
        <w:t>, Bộ Tài chính trình Chính phủ bổ sung khoản 10 Điều 50, khoản 16 Điều 51 quy định xử lý chuyển tiếp xác định</w:t>
      </w:r>
      <w:r w:rsidR="002B29BE" w:rsidRPr="00211773">
        <w:rPr>
          <w:shd w:val="clear" w:color="auto" w:fill="FFFFFF"/>
          <w:lang w:val="pt-BR"/>
        </w:rPr>
        <w:t xml:space="preserve"> khoản tiền tổ chức kinh tế đã trả để nhận chuyển nhượng quyền sử dụng đất được trừ vào số tiền sử dụng đất, tiền thuê đất phải nộp</w:t>
      </w:r>
      <w:r w:rsidR="002B29BE" w:rsidRPr="00211773">
        <w:rPr>
          <w:lang w:val="pt-BR"/>
        </w:rPr>
        <w:t xml:space="preserve"> (tiền đất trước khi chuyển mục đích sử dụng đất) đối với trường hợp nêu trên</w:t>
      </w:r>
      <w:r w:rsidR="002B29BE" w:rsidRPr="00211773">
        <w:rPr>
          <w:lang w:val="vi-VN"/>
        </w:rPr>
        <w:t xml:space="preserve"> theo nguy</w:t>
      </w:r>
      <w:r w:rsidR="002B29BE" w:rsidRPr="00211773">
        <w:rPr>
          <w:lang w:val="pt-BR"/>
        </w:rPr>
        <w:t>ên t</w:t>
      </w:r>
      <w:r w:rsidR="002B29BE" w:rsidRPr="00211773">
        <w:rPr>
          <w:lang w:val="vi-VN"/>
        </w:rPr>
        <w:t xml:space="preserve">ắc quy định tại Điều 7, Điều 34 Nghị định </w:t>
      </w:r>
      <w:r w:rsidRPr="009756E6">
        <w:rPr>
          <w:lang w:val="pt-BR"/>
        </w:rPr>
        <w:t>số 103/2024/NĐ-CP</w:t>
      </w:r>
      <w:r w:rsidR="002B29BE" w:rsidRPr="00211773">
        <w:rPr>
          <w:lang w:val="pt-BR"/>
        </w:rPr>
        <w:t>; đồng thời, quy định trách nhiệm của cơ</w:t>
      </w:r>
      <w:r w:rsidR="00F24A25">
        <w:rPr>
          <w:lang w:val="pt-BR"/>
        </w:rPr>
        <w:t xml:space="preserve"> quan quản lý đất đai trong trường hợp phải xác định giá đất cụ thể của loại đất trước khi nhận chuyển nhượng quyền sử dụng đất và cơ </w:t>
      </w:r>
      <w:r w:rsidR="002B29BE" w:rsidRPr="00211773">
        <w:rPr>
          <w:lang w:val="pt-BR"/>
        </w:rPr>
        <w:t>quan thuế</w:t>
      </w:r>
      <w:r w:rsidR="00F24A25">
        <w:rPr>
          <w:lang w:val="pt-BR"/>
        </w:rPr>
        <w:t xml:space="preserve"> trong việc</w:t>
      </w:r>
      <w:r w:rsidR="002B29BE" w:rsidRPr="00211773">
        <w:rPr>
          <w:lang w:val="pt-BR"/>
        </w:rPr>
        <w:t xml:space="preserve"> xác định</w:t>
      </w:r>
      <w:r w:rsidR="002B29BE" w:rsidRPr="00211773">
        <w:rPr>
          <w:shd w:val="clear" w:color="auto" w:fill="FFFFFF"/>
          <w:lang w:val="pt-BR"/>
        </w:rPr>
        <w:t xml:space="preserve"> khoản tiền tổ chức kinh tế đã trả để nhận chuyển nhượng quyền sử dụng đất được trừ vào số tiền sử dụng đất, tiền thuê đất phải nộp</w:t>
      </w:r>
      <w:r w:rsidR="002B29BE" w:rsidRPr="00211773">
        <w:rPr>
          <w:lang w:val="pt-BR"/>
        </w:rPr>
        <w:t xml:space="preserve"> (tiền đất trước khi chuyển mục đích sử dụng đất) đối với trường hợp này </w:t>
      </w:r>
      <w:r w:rsidR="002B29BE" w:rsidRPr="00211773">
        <w:rPr>
          <w:i/>
          <w:lang w:val="pt-BR"/>
        </w:rPr>
        <w:t>(quy định tại khoản 13, khoản 14 Điều 3 dự thảo Nghị định)</w:t>
      </w:r>
      <w:r w:rsidR="002B29BE" w:rsidRPr="00211773">
        <w:rPr>
          <w:lang w:val="pt-BR"/>
        </w:rPr>
        <w:t>.</w:t>
      </w:r>
    </w:p>
    <w:p w:rsidR="008C0F4A" w:rsidRPr="00211773" w:rsidRDefault="002B29BE" w:rsidP="00304A15">
      <w:pPr>
        <w:spacing w:before="120" w:after="120" w:line="264" w:lineRule="auto"/>
        <w:ind w:firstLine="720"/>
        <w:jc w:val="both"/>
        <w:outlineLvl w:val="0"/>
        <w:rPr>
          <w:b/>
          <w:bCs/>
          <w:spacing w:val="8"/>
          <w:lang w:val="pt-BR"/>
        </w:rPr>
      </w:pPr>
      <w:r w:rsidRPr="00211773">
        <w:rPr>
          <w:b/>
          <w:bCs/>
          <w:spacing w:val="8"/>
          <w:lang w:val="pt-BR"/>
        </w:rPr>
        <w:t xml:space="preserve">2.4. </w:t>
      </w:r>
      <w:r w:rsidR="008C0F4A" w:rsidRPr="00211773">
        <w:rPr>
          <w:b/>
          <w:bCs/>
          <w:spacing w:val="8"/>
          <w:lang w:val="pt-BR"/>
        </w:rPr>
        <w:t>Về quy định khoản tiền bổ sung theo quy định tại điểm d khoản 2 Điều 257 Luật Đất đai</w:t>
      </w:r>
    </w:p>
    <w:p w:rsidR="002471D6" w:rsidRDefault="00064DB2" w:rsidP="00304A15">
      <w:pPr>
        <w:pStyle w:val="ListParagraph"/>
        <w:widowControl w:val="0"/>
        <w:tabs>
          <w:tab w:val="left" w:pos="0"/>
          <w:tab w:val="left" w:pos="426"/>
          <w:tab w:val="left" w:pos="993"/>
        </w:tabs>
        <w:spacing w:before="120" w:after="120" w:line="264" w:lineRule="auto"/>
        <w:ind w:left="0" w:firstLine="720"/>
        <w:jc w:val="both"/>
        <w:outlineLvl w:val="2"/>
        <w:rPr>
          <w:lang w:val="pt-BR"/>
        </w:rPr>
      </w:pPr>
      <w:bookmarkStart w:id="4" w:name="_Toc149829385"/>
      <w:bookmarkStart w:id="5" w:name="_Ref155711837"/>
      <w:r w:rsidRPr="00211773">
        <w:rPr>
          <w:lang w:val="pt-BR"/>
        </w:rPr>
        <w:t>Tại khoản 2 Điều 257 Luật Đất đai năm 2024 giao Chính phủ quy định về khoản tiền người sử dụng đất phải nộp bổ sung đối với thời gian chưa tính tiền sử dụng đất, tiền thuê đất của các trường hợp quy định tại các điểm a, b và c khoản này (đối với trường hợp đã có quyết định giao đất, cho thuê đất, cho phép chuyển mục đích sử dụng đất, cho phép chuyển từ hình thức thuê đất trả tiền hằng năm sang thuê đất trả tiền một lần cho cả thời gian thuê, gia hạn sử dụng đất, điều chỉnh thời hạn sử dụng đất, điều chỉnh quy hoạch chi tiết theo quy định của pháp luật về đất đai và quy định khác của pháp luật có liên quan trước ngày Luật này có hiệu lực thi hành nhưng chưa quyết định giá đất). Theo đó, tại Nghị định số 103/2024/NĐ-CP đã quy định cụ thể về khoản thu bổ sung này</w:t>
      </w:r>
      <w:r w:rsidR="002471D6">
        <w:rPr>
          <w:lang w:val="pt-BR"/>
        </w:rPr>
        <w:t>.</w:t>
      </w:r>
      <w:r w:rsidRPr="00211773">
        <w:rPr>
          <w:lang w:val="pt-BR"/>
        </w:rPr>
        <w:t xml:space="preserve"> </w:t>
      </w:r>
      <w:r w:rsidR="002471D6">
        <w:rPr>
          <w:lang w:val="pt-BR"/>
        </w:rPr>
        <w:t>T</w:t>
      </w:r>
      <w:r w:rsidRPr="00211773">
        <w:rPr>
          <w:lang w:val="pt-BR"/>
        </w:rPr>
        <w:t xml:space="preserve">uy nhiên, </w:t>
      </w:r>
      <w:r w:rsidR="002471D6">
        <w:rPr>
          <w:lang w:val="pt-BR"/>
        </w:rPr>
        <w:t>có ý kiến đề nghị không thu khoản thu bổ sung đối với thời gian chưa tính tiền sử dụng đất, tiền thuê đất; có ý kiến đề nghị điều chỉnh mức thu hoặc điều chỉnh thời gian tính khoản thu bổ sung. Về vấn đề này, Bộ Tài chính báo cáo Chính phủ như sau:</w:t>
      </w:r>
    </w:p>
    <w:p w:rsidR="002471D6" w:rsidRDefault="002471D6" w:rsidP="00304A15">
      <w:pPr>
        <w:pStyle w:val="ListParagraph"/>
        <w:widowControl w:val="0"/>
        <w:tabs>
          <w:tab w:val="left" w:pos="0"/>
          <w:tab w:val="left" w:pos="426"/>
          <w:tab w:val="left" w:pos="993"/>
        </w:tabs>
        <w:spacing w:before="120" w:after="120" w:line="264" w:lineRule="auto"/>
        <w:ind w:left="0" w:firstLine="720"/>
        <w:jc w:val="both"/>
        <w:outlineLvl w:val="2"/>
        <w:rPr>
          <w:lang w:val="pt-BR"/>
        </w:rPr>
      </w:pPr>
      <w:r>
        <w:rPr>
          <w:lang w:val="pt-BR"/>
        </w:rPr>
        <w:t xml:space="preserve">a) Về đề nghị không thu khoản thu bổ sung đối với thời gian chưa tính tiền sử dụng đất, tiền thuê đất: Việc người sử dụng đất phải nộp bổ sung một khoản tiền đối với thời gian chưa tính tiền sử dụng đất, tiền thuê đất đã được quy định tại khoản 2 Điều 257 Luật Đất đai. Vì vậy, việc không thu khoản tiền này </w:t>
      </w:r>
      <w:r>
        <w:rPr>
          <w:lang w:val="pt-BR"/>
        </w:rPr>
        <w:lastRenderedPageBreak/>
        <w:t>vượt thẩm quyền của Chính phủ.</w:t>
      </w:r>
    </w:p>
    <w:p w:rsidR="00EB5C22" w:rsidRPr="00211773" w:rsidRDefault="002471D6" w:rsidP="00304A15">
      <w:pPr>
        <w:widowControl w:val="0"/>
        <w:spacing w:before="120" w:after="120" w:line="264" w:lineRule="auto"/>
        <w:ind w:firstLine="720"/>
        <w:jc w:val="both"/>
        <w:rPr>
          <w:b/>
          <w:i/>
          <w:lang w:val="pt-BR"/>
        </w:rPr>
      </w:pPr>
      <w:r>
        <w:rPr>
          <w:b/>
          <w:i/>
          <w:lang w:val="pt-BR"/>
        </w:rPr>
        <w:t>b</w:t>
      </w:r>
      <w:r w:rsidR="002B29BE" w:rsidRPr="00211773">
        <w:rPr>
          <w:b/>
          <w:i/>
          <w:lang w:val="pt-BR"/>
        </w:rPr>
        <w:t>)</w:t>
      </w:r>
      <w:r w:rsidR="00EB5C22" w:rsidRPr="00211773">
        <w:rPr>
          <w:b/>
          <w:i/>
          <w:lang w:val="pt-BR"/>
        </w:rPr>
        <w:t xml:space="preserve"> Về mức thu tiền bổ sung.</w:t>
      </w:r>
    </w:p>
    <w:p w:rsidR="00D33A39" w:rsidRPr="00211773" w:rsidRDefault="00EB5C22" w:rsidP="00304A15">
      <w:pPr>
        <w:pStyle w:val="BodyText"/>
        <w:tabs>
          <w:tab w:val="left" w:pos="993"/>
        </w:tabs>
        <w:spacing w:before="120" w:after="120" w:line="264" w:lineRule="auto"/>
        <w:ind w:firstLine="720"/>
        <w:outlineLvl w:val="1"/>
        <w:rPr>
          <w:rFonts w:ascii="Times New Roman" w:hAnsi="Times New Roman"/>
          <w:iCs/>
          <w:sz w:val="28"/>
          <w:szCs w:val="28"/>
          <w:lang w:val="nb-NO"/>
        </w:rPr>
      </w:pPr>
      <w:r w:rsidRPr="00211773">
        <w:rPr>
          <w:rFonts w:ascii="Times New Roman" w:hAnsi="Times New Roman"/>
          <w:iCs/>
          <w:sz w:val="28"/>
          <w:szCs w:val="28"/>
          <w:lang w:val="nb-NO"/>
        </w:rPr>
        <w:t xml:space="preserve">Trên cơ sở </w:t>
      </w:r>
      <w:r w:rsidR="000C584E" w:rsidRPr="00211773">
        <w:rPr>
          <w:rFonts w:ascii="Times New Roman" w:hAnsi="Times New Roman"/>
          <w:iCs/>
          <w:sz w:val="28"/>
          <w:szCs w:val="28"/>
          <w:lang w:val="nb-NO"/>
        </w:rPr>
        <w:t>phương án được đa số Thành viên Chính phủ lựa chọn</w:t>
      </w:r>
      <w:r w:rsidR="00D33A39" w:rsidRPr="00211773">
        <w:rPr>
          <w:rStyle w:val="FootnoteReference"/>
          <w:rFonts w:ascii="Times New Roman" w:hAnsi="Times New Roman"/>
          <w:iCs/>
          <w:sz w:val="28"/>
          <w:szCs w:val="28"/>
          <w:lang w:val="nb-NO"/>
        </w:rPr>
        <w:footnoteReference w:id="7"/>
      </w:r>
      <w:r w:rsidRPr="00211773">
        <w:rPr>
          <w:rFonts w:ascii="Times New Roman" w:hAnsi="Times New Roman"/>
          <w:iCs/>
          <w:sz w:val="28"/>
          <w:szCs w:val="28"/>
          <w:lang w:val="nb-NO"/>
        </w:rPr>
        <w:t>, Chính phủ đã ban hành Nghị định số 103/2024/NĐ</w:t>
      </w:r>
      <w:r w:rsidR="000C584E" w:rsidRPr="00211773">
        <w:rPr>
          <w:rFonts w:ascii="Times New Roman" w:hAnsi="Times New Roman"/>
          <w:iCs/>
          <w:sz w:val="28"/>
          <w:szCs w:val="28"/>
          <w:lang w:val="nb-NO"/>
        </w:rPr>
        <w:t>-CP theo phương án mức thu 5,4%</w:t>
      </w:r>
      <w:r w:rsidR="00D33A39" w:rsidRPr="00211773">
        <w:rPr>
          <w:rFonts w:ascii="Times New Roman" w:hAnsi="Times New Roman"/>
          <w:iCs/>
          <w:sz w:val="28"/>
          <w:szCs w:val="28"/>
          <w:lang w:val="nb-NO"/>
        </w:rPr>
        <w:t>/năm tính trên số tiền sử dụng đất phải nộp được xác định theo quy định tại khoản 2 Điều 257 Luật Đất đai</w:t>
      </w:r>
      <w:r w:rsidR="00D33A39" w:rsidRPr="00211773">
        <w:rPr>
          <w:rStyle w:val="FootnoteReference"/>
          <w:rFonts w:ascii="Times New Roman" w:hAnsi="Times New Roman"/>
          <w:iCs/>
          <w:sz w:val="28"/>
          <w:szCs w:val="28"/>
          <w:lang w:val="nb-NO"/>
        </w:rPr>
        <w:footnoteReference w:id="8"/>
      </w:r>
      <w:r w:rsidR="00D33A39" w:rsidRPr="00211773">
        <w:rPr>
          <w:rFonts w:ascii="Times New Roman" w:hAnsi="Times New Roman"/>
          <w:iCs/>
          <w:sz w:val="28"/>
          <w:szCs w:val="28"/>
          <w:lang w:val="nb-NO"/>
        </w:rPr>
        <w:t>; lý do của Phương án này là mức thu bổ sung bằng 5,4%/năm tính trên số tiền sử dụng đất, tiền thuê đất phải nộp (tương đương với 50% khoản tiền chậm nộp tiền sử dụng đất, tiền thuê đất theo quy định của pháp luật về quản lý thuế) có tính đến yếu tố chia sẻ trách nhiệm về nghĩa vụ tài chính về đất đai giữa Nhà nước và người sử dụng đất trong trường hợp thực tế các địa phương phản ánh thường khó xác định lỗi của việc chậm xác định giá đất tính thu tiền sử dụng đất, tiền thuê đất; bảo đảm đơn giản, rõ ràng trong thực hiện vì mức thu theo phương án này đã có sẵn trên hệ thống theo dõi của cơ quan thuế, người sử dụng đất cũng có thể tự tính được số tiền phải nộp.</w:t>
      </w:r>
    </w:p>
    <w:p w:rsidR="00EB5C22" w:rsidRPr="00211773" w:rsidRDefault="00EB5C22" w:rsidP="00304A15">
      <w:pPr>
        <w:pStyle w:val="BodyText"/>
        <w:tabs>
          <w:tab w:val="left" w:pos="993"/>
        </w:tabs>
        <w:spacing w:before="120" w:after="120" w:line="264" w:lineRule="auto"/>
        <w:ind w:firstLine="720"/>
        <w:outlineLvl w:val="1"/>
        <w:rPr>
          <w:rFonts w:ascii="Times New Roman" w:hAnsi="Times New Roman"/>
          <w:i/>
          <w:iCs/>
          <w:sz w:val="28"/>
          <w:szCs w:val="28"/>
          <w:lang w:val="nb-NO"/>
        </w:rPr>
      </w:pPr>
      <w:r w:rsidRPr="00211773">
        <w:rPr>
          <w:rFonts w:ascii="Times New Roman" w:hAnsi="Times New Roman"/>
          <w:iCs/>
          <w:sz w:val="28"/>
          <w:szCs w:val="28"/>
          <w:lang w:val="nb-NO"/>
        </w:rPr>
        <w:t xml:space="preserve">Nay, có </w:t>
      </w:r>
      <w:r w:rsidR="00BF283A" w:rsidRPr="006026C3">
        <w:rPr>
          <w:rFonts w:ascii="Times New Roman" w:hAnsi="Times New Roman"/>
          <w:iCs/>
          <w:sz w:val="28"/>
          <w:szCs w:val="28"/>
          <w:lang w:val="nb-NO"/>
        </w:rPr>
        <w:t xml:space="preserve">02 </w:t>
      </w:r>
      <w:r w:rsidRPr="006026C3">
        <w:rPr>
          <w:rFonts w:ascii="Times New Roman" w:hAnsi="Times New Roman"/>
          <w:iCs/>
          <w:sz w:val="28"/>
          <w:szCs w:val="28"/>
          <w:lang w:val="nb-NO"/>
        </w:rPr>
        <w:t>ý kiến tham gia</w:t>
      </w:r>
      <w:r w:rsidRPr="00211773">
        <w:rPr>
          <w:rFonts w:ascii="Times New Roman" w:hAnsi="Times New Roman"/>
          <w:iCs/>
          <w:sz w:val="28"/>
          <w:szCs w:val="28"/>
          <w:lang w:val="nb-NO"/>
        </w:rPr>
        <w:t xml:space="preserve"> đề nghị sửa mức thu nêu trên: </w:t>
      </w:r>
      <w:r w:rsidRPr="00211773">
        <w:rPr>
          <w:rFonts w:ascii="Times New Roman" w:hAnsi="Times New Roman"/>
          <w:i/>
          <w:iCs/>
          <w:sz w:val="28"/>
          <w:szCs w:val="28"/>
          <w:lang w:val="nb-NO"/>
        </w:rPr>
        <w:t xml:space="preserve">(i) </w:t>
      </w:r>
      <w:r w:rsidR="000C584E" w:rsidRPr="00211773">
        <w:rPr>
          <w:rFonts w:ascii="Times New Roman" w:hAnsi="Times New Roman"/>
          <w:i/>
          <w:iCs/>
          <w:sz w:val="28"/>
          <w:szCs w:val="28"/>
          <w:lang w:val="nb-NO"/>
        </w:rPr>
        <w:t>Đ</w:t>
      </w:r>
      <w:r w:rsidRPr="00211773">
        <w:rPr>
          <w:rFonts w:ascii="Times New Roman" w:hAnsi="Times New Roman"/>
          <w:i/>
          <w:iCs/>
          <w:sz w:val="28"/>
          <w:szCs w:val="28"/>
          <w:lang w:val="nb-NO"/>
        </w:rPr>
        <w:t xml:space="preserve">ề nghị giảm mức thu để tránh gây ra gánh nặng tài chính với doanh nghiệp theo hướng tính theo lãi suất tiền gửi tiết kiệm của Ngân hàng TMCP mà Nhà nước sở hữu trên 50% vốn điều lệ của kỳ hạn 03 tháng); (ii) </w:t>
      </w:r>
      <w:r w:rsidR="000C584E" w:rsidRPr="00211773">
        <w:rPr>
          <w:rFonts w:ascii="Times New Roman" w:hAnsi="Times New Roman"/>
          <w:i/>
          <w:iCs/>
          <w:sz w:val="28"/>
          <w:szCs w:val="28"/>
          <w:lang w:val="nb-NO"/>
        </w:rPr>
        <w:t>Đ</w:t>
      </w:r>
      <w:r w:rsidRPr="00211773">
        <w:rPr>
          <w:rFonts w:ascii="Times New Roman" w:hAnsi="Times New Roman"/>
          <w:i/>
          <w:iCs/>
          <w:sz w:val="28"/>
          <w:szCs w:val="28"/>
          <w:lang w:val="nb-NO"/>
        </w:rPr>
        <w:t>ề nghị giảm mức thu xuống không quá 4%</w:t>
      </w:r>
      <w:r w:rsidR="00D33A39" w:rsidRPr="00211773">
        <w:rPr>
          <w:rFonts w:ascii="Times New Roman" w:hAnsi="Times New Roman"/>
          <w:i/>
          <w:iCs/>
          <w:sz w:val="28"/>
          <w:szCs w:val="28"/>
          <w:lang w:val="nb-NO"/>
        </w:rPr>
        <w:t>/năm</w:t>
      </w:r>
      <w:r w:rsidRPr="00211773">
        <w:rPr>
          <w:rFonts w:ascii="Times New Roman" w:hAnsi="Times New Roman"/>
          <w:i/>
          <w:iCs/>
          <w:sz w:val="28"/>
          <w:szCs w:val="28"/>
          <w:lang w:val="nb-NO"/>
        </w:rPr>
        <w:t xml:space="preserve"> với lý do người sử dụng đất h</w:t>
      </w:r>
      <w:r w:rsidR="00074658" w:rsidRPr="00211773">
        <w:rPr>
          <w:rFonts w:ascii="Times New Roman" w:hAnsi="Times New Roman"/>
          <w:i/>
          <w:iCs/>
          <w:sz w:val="28"/>
          <w:szCs w:val="28"/>
          <w:lang w:val="nb-NO"/>
        </w:rPr>
        <w:t>oàn toàn không có lỗi dẫn đến Quyết định</w:t>
      </w:r>
      <w:r w:rsidRPr="00211773">
        <w:rPr>
          <w:rFonts w:ascii="Times New Roman" w:hAnsi="Times New Roman"/>
          <w:i/>
          <w:iCs/>
          <w:sz w:val="28"/>
          <w:szCs w:val="28"/>
          <w:lang w:val="nb-NO"/>
        </w:rPr>
        <w:t xml:space="preserve"> phê duyệt giá đất ban hành chậm.</w:t>
      </w:r>
    </w:p>
    <w:p w:rsidR="003D512D" w:rsidRPr="00211773" w:rsidRDefault="00074658" w:rsidP="00304A15">
      <w:pPr>
        <w:pStyle w:val="BodyText"/>
        <w:tabs>
          <w:tab w:val="left" w:pos="993"/>
        </w:tabs>
        <w:spacing w:before="120" w:after="120" w:line="264" w:lineRule="auto"/>
        <w:ind w:firstLine="720"/>
        <w:outlineLvl w:val="1"/>
        <w:rPr>
          <w:rFonts w:ascii="Times New Roman" w:hAnsi="Times New Roman"/>
          <w:iCs/>
          <w:sz w:val="28"/>
          <w:szCs w:val="28"/>
          <w:lang w:val="nb-NO"/>
        </w:rPr>
      </w:pPr>
      <w:r w:rsidRPr="00211773">
        <w:rPr>
          <w:rFonts w:ascii="Times New Roman" w:hAnsi="Times New Roman"/>
          <w:iCs/>
          <w:sz w:val="28"/>
          <w:szCs w:val="28"/>
          <w:lang w:val="nb-NO"/>
        </w:rPr>
        <w:t>Bộ Tài chính trình Chính phủ cho phép</w:t>
      </w:r>
      <w:r w:rsidR="00EB5C22" w:rsidRPr="00211773">
        <w:rPr>
          <w:rFonts w:ascii="Times New Roman" w:hAnsi="Times New Roman"/>
          <w:iCs/>
          <w:sz w:val="28"/>
          <w:szCs w:val="28"/>
          <w:lang w:val="nb-NO"/>
        </w:rPr>
        <w:t xml:space="preserve"> giữ như mức thu 5,4%</w:t>
      </w:r>
      <w:r w:rsidR="00D33A39" w:rsidRPr="00211773">
        <w:rPr>
          <w:rFonts w:ascii="Times New Roman" w:hAnsi="Times New Roman"/>
          <w:iCs/>
          <w:sz w:val="28"/>
          <w:szCs w:val="28"/>
          <w:lang w:val="nb-NO"/>
        </w:rPr>
        <w:t>/năm</w:t>
      </w:r>
      <w:r w:rsidR="00EB5C22" w:rsidRPr="00211773">
        <w:rPr>
          <w:rFonts w:ascii="Times New Roman" w:hAnsi="Times New Roman"/>
          <w:iCs/>
          <w:sz w:val="28"/>
          <w:szCs w:val="28"/>
          <w:lang w:val="nb-NO"/>
        </w:rPr>
        <w:t xml:space="preserve"> như phương án đa số T</w:t>
      </w:r>
      <w:r w:rsidRPr="00211773">
        <w:rPr>
          <w:rFonts w:ascii="Times New Roman" w:hAnsi="Times New Roman"/>
          <w:iCs/>
          <w:sz w:val="28"/>
          <w:szCs w:val="28"/>
          <w:lang w:val="nb-NO"/>
        </w:rPr>
        <w:t>hành viên Chính phủ</w:t>
      </w:r>
      <w:r w:rsidR="00EB5C22" w:rsidRPr="00211773">
        <w:rPr>
          <w:rFonts w:ascii="Times New Roman" w:hAnsi="Times New Roman"/>
          <w:iCs/>
          <w:sz w:val="28"/>
          <w:szCs w:val="28"/>
          <w:lang w:val="nb-NO"/>
        </w:rPr>
        <w:t xml:space="preserve"> </w:t>
      </w:r>
      <w:r w:rsidRPr="00211773">
        <w:rPr>
          <w:rFonts w:ascii="Times New Roman" w:hAnsi="Times New Roman"/>
          <w:iCs/>
          <w:sz w:val="28"/>
          <w:szCs w:val="28"/>
          <w:lang w:val="nb-NO"/>
        </w:rPr>
        <w:t xml:space="preserve">thống nhất (không sửa đổi, bổ sung nội dung này tại </w:t>
      </w:r>
      <w:r w:rsidR="002B29BE" w:rsidRPr="00211773">
        <w:rPr>
          <w:rFonts w:ascii="Times New Roman" w:hAnsi="Times New Roman"/>
          <w:iCs/>
          <w:sz w:val="28"/>
          <w:szCs w:val="28"/>
          <w:lang w:val="nb-NO"/>
        </w:rPr>
        <w:t>Nghị định số 103/2024/NĐ-CP</w:t>
      </w:r>
      <w:r w:rsidRPr="00211773">
        <w:rPr>
          <w:rFonts w:ascii="Times New Roman" w:hAnsi="Times New Roman"/>
          <w:iCs/>
          <w:sz w:val="28"/>
          <w:szCs w:val="28"/>
          <w:lang w:val="nb-NO"/>
        </w:rPr>
        <w:t>).</w:t>
      </w:r>
      <w:r w:rsidR="00EB5C22" w:rsidRPr="00211773">
        <w:rPr>
          <w:rFonts w:ascii="Times New Roman" w:hAnsi="Times New Roman"/>
          <w:iCs/>
          <w:sz w:val="28"/>
          <w:szCs w:val="28"/>
          <w:lang w:val="nb-NO"/>
        </w:rPr>
        <w:t xml:space="preserve"> </w:t>
      </w:r>
      <w:r w:rsidRPr="00211773">
        <w:rPr>
          <w:rFonts w:ascii="Times New Roman" w:hAnsi="Times New Roman"/>
          <w:iCs/>
          <w:sz w:val="28"/>
          <w:szCs w:val="28"/>
          <w:lang w:val="nb-NO"/>
        </w:rPr>
        <w:t>L</w:t>
      </w:r>
      <w:r w:rsidR="00EB5C22" w:rsidRPr="00211773">
        <w:rPr>
          <w:rFonts w:ascii="Times New Roman" w:hAnsi="Times New Roman"/>
          <w:iCs/>
          <w:sz w:val="28"/>
          <w:szCs w:val="28"/>
          <w:lang w:val="nb-NO"/>
        </w:rPr>
        <w:t>ý do</w:t>
      </w:r>
      <w:r w:rsidRPr="00211773">
        <w:rPr>
          <w:rFonts w:ascii="Times New Roman" w:hAnsi="Times New Roman"/>
          <w:iCs/>
          <w:sz w:val="28"/>
          <w:szCs w:val="28"/>
          <w:lang w:val="nb-NO"/>
        </w:rPr>
        <w:t>:</w:t>
      </w:r>
      <w:r w:rsidR="002B29BE" w:rsidRPr="00211773">
        <w:rPr>
          <w:rFonts w:ascii="Times New Roman" w:hAnsi="Times New Roman"/>
          <w:iCs/>
          <w:sz w:val="28"/>
          <w:szCs w:val="28"/>
          <w:lang w:val="nb-NO"/>
        </w:rPr>
        <w:t xml:space="preserve"> </w:t>
      </w:r>
    </w:p>
    <w:p w:rsidR="008B1AAD" w:rsidRPr="00211773" w:rsidRDefault="008B1AAD" w:rsidP="008B1AAD">
      <w:pPr>
        <w:pStyle w:val="BodyText"/>
        <w:tabs>
          <w:tab w:val="left" w:pos="993"/>
        </w:tabs>
        <w:spacing w:before="120" w:after="120" w:line="264" w:lineRule="auto"/>
        <w:ind w:firstLine="720"/>
        <w:outlineLvl w:val="1"/>
        <w:rPr>
          <w:rFonts w:ascii="Times New Roman" w:hAnsi="Times New Roman"/>
          <w:iCs/>
          <w:sz w:val="28"/>
          <w:szCs w:val="28"/>
          <w:lang w:val="nb-NO"/>
        </w:rPr>
      </w:pPr>
      <w:r w:rsidRPr="00211773">
        <w:rPr>
          <w:rFonts w:ascii="Times New Roman" w:hAnsi="Times New Roman"/>
          <w:iCs/>
          <w:sz w:val="28"/>
          <w:szCs w:val="28"/>
          <w:lang w:val="nb-NO"/>
        </w:rPr>
        <w:t>- Về nguyên tắc,</w:t>
      </w:r>
      <w:r w:rsidR="00881E8D" w:rsidRPr="00211773">
        <w:rPr>
          <w:rFonts w:ascii="Times New Roman" w:hAnsi="Times New Roman"/>
          <w:iCs/>
          <w:sz w:val="28"/>
          <w:szCs w:val="28"/>
          <w:lang w:val="nb-NO"/>
        </w:rPr>
        <w:t xml:space="preserve"> theo quy định của pháp luật về đất đai thì</w:t>
      </w:r>
      <w:r w:rsidRPr="00211773">
        <w:rPr>
          <w:rFonts w:ascii="Times New Roman" w:hAnsi="Times New Roman"/>
          <w:iCs/>
          <w:sz w:val="28"/>
          <w:szCs w:val="28"/>
          <w:lang w:val="nb-NO"/>
        </w:rPr>
        <w:t xml:space="preserve"> người sử dụng đất phải nộp tiền sử dụng đất, tiền thuê đất vào ngân sách nhà nước tại thời điểm phát sinh khoản thu này (thời điểm có quyết định giao đất, cho thuê đất hoặc thời điểm bàn giao đất trên thực địa); tuy nhiên, do chậm quyết định giá đất nên Nhà nước chậm tính tiền sử dụng đất, tiền thuê đất</w:t>
      </w:r>
      <w:r w:rsidR="006026C3">
        <w:rPr>
          <w:rFonts w:ascii="Times New Roman" w:hAnsi="Times New Roman"/>
          <w:iCs/>
          <w:sz w:val="28"/>
          <w:szCs w:val="28"/>
          <w:lang w:val="nb-NO"/>
        </w:rPr>
        <w:t>; vì vậy,</w:t>
      </w:r>
      <w:r w:rsidRPr="00211773">
        <w:rPr>
          <w:rFonts w:ascii="Times New Roman" w:hAnsi="Times New Roman"/>
          <w:iCs/>
          <w:sz w:val="28"/>
          <w:szCs w:val="28"/>
          <w:lang w:val="nb-NO"/>
        </w:rPr>
        <w:t xml:space="preserve"> người sử dụng đất được hưởng lợi từ việc chậm nộp tiền này trong thời gian chậm tính tiền theo quy định, cụ thể: (i) Bằng lãi suất tiền vay ngân hàng thương mại (nếu người sử dụng đất dùng vốn vay để trả tiền đất); (ii) Bằng lãi suất tiền gửi ngân hàng thương mại (nếu người sử dụng đất định dùng vốn tự có để trả tiền đất – họ có thể dùng số tiền đáng lẽ phải nộp để gửi ngân hàng hoặc để sản xuất, kinh doanh).</w:t>
      </w:r>
      <w:r w:rsidR="00B30FDA" w:rsidRPr="00211773">
        <w:rPr>
          <w:rFonts w:ascii="Times New Roman" w:hAnsi="Times New Roman"/>
          <w:iCs/>
          <w:sz w:val="28"/>
          <w:szCs w:val="28"/>
          <w:lang w:val="nb-NO"/>
        </w:rPr>
        <w:t xml:space="preserve"> Đồng thời, theo quy định của pháp luật về tiền sử dụng đất, tiền thuê đất, pháp luật về quản lý thuế</w:t>
      </w:r>
      <w:r w:rsidR="00BB3718">
        <w:rPr>
          <w:rStyle w:val="FootnoteReference"/>
          <w:rFonts w:ascii="Times New Roman" w:hAnsi="Times New Roman"/>
          <w:iCs/>
          <w:sz w:val="28"/>
          <w:szCs w:val="28"/>
          <w:lang w:val="nb-NO"/>
        </w:rPr>
        <w:footnoteReference w:id="9"/>
      </w:r>
      <w:r w:rsidR="00B30FDA" w:rsidRPr="00211773">
        <w:rPr>
          <w:rFonts w:ascii="Times New Roman" w:hAnsi="Times New Roman"/>
          <w:iCs/>
          <w:sz w:val="28"/>
          <w:szCs w:val="28"/>
          <w:lang w:val="nb-NO"/>
        </w:rPr>
        <w:t xml:space="preserve"> thì người sử dụng đất có nghĩa vụ kê khai tiền sử </w:t>
      </w:r>
      <w:r w:rsidR="00B30FDA" w:rsidRPr="00211773">
        <w:rPr>
          <w:rFonts w:ascii="Times New Roman" w:hAnsi="Times New Roman"/>
          <w:iCs/>
          <w:sz w:val="28"/>
          <w:szCs w:val="28"/>
          <w:lang w:val="nb-NO"/>
        </w:rPr>
        <w:lastRenderedPageBreak/>
        <w:t>dụng đất, tiền thuê đất và nộp hồ sơ vào cơ quan nhà nước để thực hiện việc xác định giá đất, tính tiền và ban hành thông báo thu tiền sử dụng đất, tiền thuê đất.</w:t>
      </w:r>
    </w:p>
    <w:p w:rsidR="00C207DB" w:rsidRPr="00211773" w:rsidRDefault="003D512D" w:rsidP="00304A15">
      <w:pPr>
        <w:pStyle w:val="BodyText"/>
        <w:tabs>
          <w:tab w:val="left" w:pos="993"/>
        </w:tabs>
        <w:spacing w:before="120" w:after="120" w:line="264" w:lineRule="auto"/>
        <w:ind w:firstLine="720"/>
        <w:outlineLvl w:val="1"/>
        <w:rPr>
          <w:rFonts w:ascii="Times New Roman" w:hAnsi="Times New Roman"/>
          <w:iCs/>
          <w:sz w:val="28"/>
          <w:szCs w:val="28"/>
          <w:lang w:val="nb-NO"/>
        </w:rPr>
      </w:pPr>
      <w:r w:rsidRPr="00211773">
        <w:rPr>
          <w:rFonts w:ascii="Times New Roman" w:hAnsi="Times New Roman"/>
          <w:iCs/>
          <w:sz w:val="28"/>
          <w:szCs w:val="28"/>
          <w:lang w:val="nb-NO"/>
        </w:rPr>
        <w:t>-</w:t>
      </w:r>
      <w:r w:rsidR="00B30FDA" w:rsidRPr="00211773">
        <w:rPr>
          <w:rFonts w:ascii="Times New Roman" w:hAnsi="Times New Roman"/>
          <w:iCs/>
          <w:sz w:val="28"/>
          <w:szCs w:val="28"/>
          <w:lang w:val="nb-NO"/>
        </w:rPr>
        <w:t xml:space="preserve"> Liên quan đến mức thu nêu trên,</w:t>
      </w:r>
      <w:r w:rsidR="00C207DB" w:rsidRPr="00211773">
        <w:rPr>
          <w:rFonts w:ascii="Times New Roman" w:hAnsi="Times New Roman"/>
          <w:iCs/>
          <w:sz w:val="28"/>
          <w:szCs w:val="28"/>
          <w:lang w:val="nb-NO"/>
        </w:rPr>
        <w:t xml:space="preserve"> </w:t>
      </w:r>
      <w:r w:rsidR="00B30FDA" w:rsidRPr="00211773">
        <w:rPr>
          <w:rFonts w:ascii="Times New Roman" w:hAnsi="Times New Roman"/>
          <w:iCs/>
          <w:sz w:val="28"/>
          <w:szCs w:val="28"/>
          <w:lang w:val="nb-NO"/>
        </w:rPr>
        <w:t>m</w:t>
      </w:r>
      <w:r w:rsidR="002B29BE" w:rsidRPr="00211773">
        <w:rPr>
          <w:rFonts w:ascii="Times New Roman" w:hAnsi="Times New Roman"/>
          <w:iCs/>
          <w:sz w:val="28"/>
          <w:szCs w:val="28"/>
          <w:lang w:val="nb-NO"/>
        </w:rPr>
        <w:t>ột số ý kiến cho rằng</w:t>
      </w:r>
      <w:r w:rsidR="00EB5C22" w:rsidRPr="00211773">
        <w:rPr>
          <w:rFonts w:ascii="Times New Roman" w:hAnsi="Times New Roman"/>
          <w:iCs/>
          <w:sz w:val="28"/>
          <w:szCs w:val="28"/>
          <w:lang w:val="nb-NO"/>
        </w:rPr>
        <w:t xml:space="preserve"> </w:t>
      </w:r>
      <w:r w:rsidR="00165DB6" w:rsidRPr="009756E6">
        <w:rPr>
          <w:rFonts w:ascii="Times New Roman" w:hAnsi="Times New Roman"/>
          <w:i/>
          <w:spacing w:val="-2"/>
          <w:sz w:val="28"/>
          <w:szCs w:val="28"/>
          <w:lang w:val="nb-NO"/>
        </w:rPr>
        <w:t>“</w:t>
      </w:r>
      <w:r w:rsidR="00EB5C22" w:rsidRPr="00211773">
        <w:rPr>
          <w:rFonts w:ascii="Times New Roman" w:hAnsi="Times New Roman"/>
          <w:i/>
          <w:iCs/>
          <w:sz w:val="28"/>
          <w:szCs w:val="28"/>
          <w:lang w:val="nb-NO"/>
        </w:rPr>
        <w:t xml:space="preserve">người sử dụng đất hoàn toàn không có </w:t>
      </w:r>
      <w:r w:rsidR="00074658" w:rsidRPr="00211773">
        <w:rPr>
          <w:rFonts w:ascii="Times New Roman" w:hAnsi="Times New Roman"/>
          <w:i/>
          <w:iCs/>
          <w:sz w:val="28"/>
          <w:szCs w:val="28"/>
          <w:lang w:val="nb-NO"/>
        </w:rPr>
        <w:t>lỗi dẫn đến quyết định</w:t>
      </w:r>
      <w:r w:rsidR="00EB5C22" w:rsidRPr="00211773">
        <w:rPr>
          <w:rFonts w:ascii="Times New Roman" w:hAnsi="Times New Roman"/>
          <w:i/>
          <w:iCs/>
          <w:sz w:val="28"/>
          <w:szCs w:val="28"/>
          <w:lang w:val="nb-NO"/>
        </w:rPr>
        <w:t xml:space="preserve"> phê duyệt giá đất ban hành chậm”</w:t>
      </w:r>
      <w:r w:rsidR="00EB5C22" w:rsidRPr="00211773">
        <w:rPr>
          <w:rFonts w:ascii="Times New Roman" w:hAnsi="Times New Roman"/>
          <w:iCs/>
          <w:sz w:val="28"/>
          <w:szCs w:val="28"/>
          <w:lang w:val="nb-NO"/>
        </w:rPr>
        <w:t xml:space="preserve"> là không có cơ sở vì theo báo cáo của các địa phương trong thời gian xây dựng Nghị định số 103/2024/NĐ-CP</w:t>
      </w:r>
      <w:r w:rsidR="006026C3">
        <w:rPr>
          <w:rFonts w:ascii="Times New Roman" w:hAnsi="Times New Roman"/>
          <w:iCs/>
          <w:sz w:val="28"/>
          <w:szCs w:val="28"/>
          <w:lang w:val="nb-NO"/>
        </w:rPr>
        <w:t>,</w:t>
      </w:r>
      <w:r w:rsidR="00EB5C22" w:rsidRPr="00211773">
        <w:rPr>
          <w:rFonts w:ascii="Times New Roman" w:hAnsi="Times New Roman"/>
          <w:iCs/>
          <w:sz w:val="28"/>
          <w:szCs w:val="28"/>
          <w:lang w:val="nb-NO"/>
        </w:rPr>
        <w:t xml:space="preserve"> trường hợp này thường không xác định được lỗi của cơ quan</w:t>
      </w:r>
      <w:r w:rsidR="00C64E1D" w:rsidRPr="00211773">
        <w:rPr>
          <w:rFonts w:ascii="Times New Roman" w:hAnsi="Times New Roman"/>
          <w:iCs/>
          <w:sz w:val="28"/>
          <w:szCs w:val="28"/>
          <w:lang w:val="nb-NO"/>
        </w:rPr>
        <w:t xml:space="preserve"> nhà nước hay người sử dụng đất. Cũng có ý kiến đề nghị thu theo</w:t>
      </w:r>
      <w:r w:rsidR="00B30FDA" w:rsidRPr="00211773">
        <w:rPr>
          <w:rFonts w:ascii="Times New Roman" w:hAnsi="Times New Roman"/>
          <w:iCs/>
          <w:sz w:val="28"/>
          <w:szCs w:val="28"/>
          <w:lang w:val="nb-NO"/>
        </w:rPr>
        <w:t xml:space="preserve"> mức lãi suất tiền gửi trung bình kỳ hạn 03 tháng của 03 ngân hàng  thương mại mà Nhà nước sở hữu trên 50% vốn điều lệ (hiện nay khoảng từ 1,9% đến 2,4%) hoặc theo mức lãi suất không kỳ hạn; tuy nhiên, mức thu bổ sung này là thấp, không tương xứng với bản chất của khoản thu này như phân tích nêu trên. Do đó, Chính phủ đã xem xét kỹ và lựa chọn Phương án mức thu bổ sung bằng 5,4%/năm tính trên số tiền sử dụng đất, tiền thuê đất phải nộp (như quy định hiện hành tại khoản 2 Điều 50, khoản 9 Điều 51 Nghị định số 103/2024/NĐ-CP)</w:t>
      </w:r>
    </w:p>
    <w:p w:rsidR="00EB5C22" w:rsidRPr="00211773" w:rsidRDefault="009C054A" w:rsidP="00304A15">
      <w:pPr>
        <w:spacing w:before="120" w:after="120" w:line="264" w:lineRule="auto"/>
        <w:ind w:firstLine="720"/>
        <w:jc w:val="both"/>
        <w:rPr>
          <w:b/>
          <w:i/>
          <w:spacing w:val="-5"/>
          <w:lang w:val="de-DE"/>
        </w:rPr>
      </w:pPr>
      <w:r>
        <w:rPr>
          <w:b/>
          <w:i/>
          <w:spacing w:val="-5"/>
          <w:lang w:val="de-DE"/>
        </w:rPr>
        <w:t>c</w:t>
      </w:r>
      <w:r w:rsidR="00EB5C22" w:rsidRPr="00211773">
        <w:rPr>
          <w:b/>
          <w:i/>
          <w:spacing w:val="-5"/>
          <w:lang w:val="de-DE"/>
        </w:rPr>
        <w:t>) Về thời gian tính thu tiền bổ sung (tính từ thời điểm nào đến thời điểm nào).</w:t>
      </w:r>
    </w:p>
    <w:p w:rsidR="00EB5C22" w:rsidRPr="00211773" w:rsidRDefault="00EB5C22" w:rsidP="00304A15">
      <w:pPr>
        <w:spacing w:before="120" w:after="120" w:line="264" w:lineRule="auto"/>
        <w:ind w:firstLine="720"/>
        <w:jc w:val="both"/>
        <w:rPr>
          <w:i/>
          <w:lang w:val="pt-BR"/>
        </w:rPr>
      </w:pPr>
      <w:r w:rsidRPr="00211773">
        <w:rPr>
          <w:spacing w:val="-5"/>
          <w:lang w:val="de-DE"/>
        </w:rPr>
        <w:t xml:space="preserve">Tại Nghị định số 103/2024/NĐ-CP chưa có quy định hướng dẫn khoản tiền bổ sung được tính từ thời điểm nào đến thời điểm nào mà </w:t>
      </w:r>
      <w:r w:rsidR="009C054A">
        <w:rPr>
          <w:spacing w:val="-5"/>
          <w:lang w:val="de-DE"/>
        </w:rPr>
        <w:t>chỉ</w:t>
      </w:r>
      <w:r w:rsidRPr="00211773">
        <w:rPr>
          <w:spacing w:val="-5"/>
          <w:lang w:val="de-DE"/>
        </w:rPr>
        <w:t xml:space="preserve"> trích dẫn quy định tại điểm d khoản 2 Điều 257 Luật Đất đai là </w:t>
      </w:r>
      <w:r w:rsidRPr="00211773">
        <w:rPr>
          <w:i/>
          <w:lang w:val="pt-BR"/>
        </w:rPr>
        <w:t>“</w:t>
      </w:r>
      <w:r w:rsidRPr="00211773">
        <w:rPr>
          <w:i/>
          <w:shd w:val="clear" w:color="auto" w:fill="FFFFFF"/>
          <w:lang w:val="de-DE"/>
        </w:rPr>
        <w:t>người sử dụng đất phải nộp bổ sung đối với thời gian chưa tính tiền sử dụng đất, tiền thuê đất</w:t>
      </w:r>
      <w:r w:rsidRPr="00211773">
        <w:rPr>
          <w:i/>
          <w:lang w:val="pt-BR"/>
        </w:rPr>
        <w:t>”.</w:t>
      </w:r>
    </w:p>
    <w:p w:rsidR="00EB5C22" w:rsidRPr="00211773" w:rsidRDefault="00EB5C22" w:rsidP="00304A15">
      <w:pPr>
        <w:spacing w:before="120" w:after="120" w:line="264" w:lineRule="auto"/>
        <w:ind w:firstLine="720"/>
        <w:jc w:val="both"/>
        <w:rPr>
          <w:lang w:val="pt-BR"/>
        </w:rPr>
      </w:pPr>
      <w:r w:rsidRPr="00211773">
        <w:rPr>
          <w:spacing w:val="-5"/>
          <w:lang w:val="de-DE"/>
        </w:rPr>
        <w:t xml:space="preserve">Trong thời gian vừa qua, tổng hợp phản ánh vướng mắc của một số địa phương (STC tỉnh Khánh Hòa, Cục Thuế Hà Nội, Công ty Vin Group...), </w:t>
      </w:r>
      <w:r w:rsidR="00165DB6" w:rsidRPr="00211773">
        <w:rPr>
          <w:spacing w:val="-5"/>
          <w:lang w:val="de-DE"/>
        </w:rPr>
        <w:t>Bộ Tài chính đã</w:t>
      </w:r>
      <w:r w:rsidRPr="00211773">
        <w:rPr>
          <w:spacing w:val="-5"/>
          <w:lang w:val="de-DE"/>
        </w:rPr>
        <w:t xml:space="preserve"> dự thảo</w:t>
      </w:r>
      <w:r w:rsidR="00165DB6" w:rsidRPr="00211773">
        <w:rPr>
          <w:spacing w:val="-5"/>
          <w:lang w:val="de-DE"/>
        </w:rPr>
        <w:t xml:space="preserve"> nội dung</w:t>
      </w:r>
      <w:r w:rsidRPr="00211773">
        <w:rPr>
          <w:spacing w:val="-5"/>
          <w:lang w:val="de-DE"/>
        </w:rPr>
        <w:t xml:space="preserve"> sửa đổi, bổ sung Nghị định số 103/2024/NĐ-CP</w:t>
      </w:r>
      <w:r w:rsidR="009A665F" w:rsidRPr="00211773">
        <w:rPr>
          <w:spacing w:val="-5"/>
          <w:lang w:val="de-DE"/>
        </w:rPr>
        <w:t xml:space="preserve"> liên quan đến nội dung này, gửi xin ý kiến Bộ, ngành, địa phương ngày 23/01/2025</w:t>
      </w:r>
      <w:r w:rsidRPr="00211773">
        <w:rPr>
          <w:spacing w:val="-5"/>
          <w:lang w:val="de-DE"/>
        </w:rPr>
        <w:t xml:space="preserve">; trong đó hướng dẫn khoản tiền phải nộp bổ sung </w:t>
      </w:r>
      <w:r w:rsidR="009A665F" w:rsidRPr="00211773">
        <w:rPr>
          <w:spacing w:val="-5"/>
          <w:lang w:val="de-DE"/>
        </w:rPr>
        <w:t>tính từ</w:t>
      </w:r>
      <w:r w:rsidRPr="00211773">
        <w:rPr>
          <w:lang w:val="vi-VN"/>
        </w:rPr>
        <w:t xml:space="preserve"> thời điểm tính tiền</w:t>
      </w:r>
      <w:r w:rsidRPr="00211773">
        <w:rPr>
          <w:lang w:val="pt-BR"/>
        </w:rPr>
        <w:t xml:space="preserve"> sử dụng đất, tiền</w:t>
      </w:r>
      <w:r w:rsidRPr="00211773">
        <w:rPr>
          <w:lang w:val="vi-VN"/>
        </w:rPr>
        <w:t xml:space="preserve"> thuê đất theo quy định tại điểm a, điểm b và điểm c khoản 2 Điều 257 Luật Đất đai đến thời điểm Thông báo nộp tiền</w:t>
      </w:r>
      <w:r w:rsidRPr="00211773">
        <w:rPr>
          <w:lang w:val="pt-BR"/>
        </w:rPr>
        <w:t xml:space="preserve"> sử dụng đất, tiền</w:t>
      </w:r>
      <w:r w:rsidRPr="00211773">
        <w:rPr>
          <w:lang w:val="vi-VN"/>
        </w:rPr>
        <w:t xml:space="preserve"> thuê đất của cơ quan nhà nước có thẩm quyền</w:t>
      </w:r>
      <w:r w:rsidRPr="00211773">
        <w:rPr>
          <w:lang w:val="pt-BR"/>
        </w:rPr>
        <w:t>.</w:t>
      </w:r>
    </w:p>
    <w:p w:rsidR="00EB5C22" w:rsidRPr="00211773" w:rsidRDefault="00EB5C22" w:rsidP="00304A15">
      <w:pPr>
        <w:spacing w:before="120" w:after="120" w:line="264" w:lineRule="auto"/>
        <w:ind w:firstLine="720"/>
        <w:jc w:val="both"/>
        <w:rPr>
          <w:spacing w:val="-5"/>
          <w:lang w:val="de-DE"/>
        </w:rPr>
      </w:pPr>
      <w:r w:rsidRPr="00211773">
        <w:rPr>
          <w:lang w:val="pt-BR"/>
        </w:rPr>
        <w:t xml:space="preserve">Tuy nhiên, </w:t>
      </w:r>
      <w:r w:rsidR="00165DB6" w:rsidRPr="00211773">
        <w:rPr>
          <w:lang w:val="pt-BR"/>
        </w:rPr>
        <w:t>một số</w:t>
      </w:r>
      <w:r w:rsidRPr="00211773">
        <w:rPr>
          <w:lang w:val="pt-BR"/>
        </w:rPr>
        <w:t xml:space="preserve"> ý kiến tham gia về dự thảo </w:t>
      </w:r>
      <w:r w:rsidR="00165DB6" w:rsidRPr="00211773">
        <w:rPr>
          <w:lang w:val="pt-BR"/>
        </w:rPr>
        <w:t>quy định nêu trên</w:t>
      </w:r>
      <w:r w:rsidRPr="00211773">
        <w:rPr>
          <w:spacing w:val="-5"/>
          <w:lang w:val="de-DE"/>
        </w:rPr>
        <w:t xml:space="preserve"> nêu vướng mắc như sau:</w:t>
      </w:r>
    </w:p>
    <w:p w:rsidR="009A665F" w:rsidRPr="00211773" w:rsidRDefault="009C054A" w:rsidP="00304A15">
      <w:pPr>
        <w:spacing w:before="120" w:after="120" w:line="264" w:lineRule="auto"/>
        <w:ind w:firstLine="720"/>
        <w:jc w:val="both"/>
        <w:rPr>
          <w:spacing w:val="-5"/>
          <w:lang w:val="de-DE"/>
        </w:rPr>
      </w:pPr>
      <w:r>
        <w:rPr>
          <w:spacing w:val="-5"/>
          <w:lang w:val="de-DE"/>
        </w:rPr>
        <w:t>*</w:t>
      </w:r>
      <w:r w:rsidR="009A665F" w:rsidRPr="00211773">
        <w:rPr>
          <w:spacing w:val="-5"/>
          <w:lang w:val="de-DE"/>
        </w:rPr>
        <w:t xml:space="preserve"> Về tính tiền bổ sung từ thời điểm nào?</w:t>
      </w:r>
    </w:p>
    <w:p w:rsidR="009A665F" w:rsidRPr="00211773" w:rsidRDefault="009C054A" w:rsidP="009C054A">
      <w:pPr>
        <w:tabs>
          <w:tab w:val="left" w:pos="1276"/>
        </w:tabs>
        <w:spacing w:before="120" w:after="120" w:line="264" w:lineRule="auto"/>
        <w:ind w:firstLine="709"/>
        <w:jc w:val="both"/>
        <w:rPr>
          <w:spacing w:val="-5"/>
          <w:lang w:val="de-DE"/>
        </w:rPr>
      </w:pPr>
      <w:r>
        <w:rPr>
          <w:spacing w:val="-5"/>
          <w:lang w:val="de-DE"/>
        </w:rPr>
        <w:t xml:space="preserve">(i) </w:t>
      </w:r>
      <w:r w:rsidR="009A665F" w:rsidRPr="00211773">
        <w:rPr>
          <w:spacing w:val="-5"/>
          <w:lang w:val="de-DE"/>
        </w:rPr>
        <w:t xml:space="preserve">Nếu tính tiền </w:t>
      </w:r>
      <w:r w:rsidR="00031F6B" w:rsidRPr="00211773">
        <w:rPr>
          <w:spacing w:val="-5"/>
          <w:lang w:val="de-DE"/>
        </w:rPr>
        <w:t>sử dụng đất, tiền thuê đất</w:t>
      </w:r>
      <w:r w:rsidR="009A665F" w:rsidRPr="00211773">
        <w:rPr>
          <w:spacing w:val="-5"/>
          <w:lang w:val="de-DE"/>
        </w:rPr>
        <w:t xml:space="preserve"> theo giá đất trên Bảng giá đất</w:t>
      </w:r>
      <w:r w:rsidR="009756E6">
        <w:rPr>
          <w:spacing w:val="-5"/>
          <w:lang w:val="de-DE"/>
        </w:rPr>
        <w:t xml:space="preserve"> (</w:t>
      </w:r>
      <w:r w:rsidR="00EF3E7F">
        <w:rPr>
          <w:spacing w:val="-5"/>
          <w:lang w:val="de-DE"/>
        </w:rPr>
        <w:t xml:space="preserve">theo </w:t>
      </w:r>
      <w:r w:rsidR="005B5FAB">
        <w:rPr>
          <w:spacing w:val="-5"/>
          <w:lang w:val="de-DE"/>
        </w:rPr>
        <w:t xml:space="preserve">giá đất cụ thể </w:t>
      </w:r>
      <w:r w:rsidR="009756E6">
        <w:rPr>
          <w:spacing w:val="-5"/>
          <w:lang w:val="de-DE"/>
        </w:rPr>
        <w:t>theo phương pháp hệ số điều chỉnh giá đất)</w:t>
      </w:r>
      <w:r w:rsidR="009A665F" w:rsidRPr="00211773">
        <w:rPr>
          <w:spacing w:val="-5"/>
          <w:lang w:val="de-DE"/>
        </w:rPr>
        <w:t xml:space="preserve"> </w:t>
      </w:r>
      <w:r w:rsidR="00031F6B" w:rsidRPr="00211773">
        <w:rPr>
          <w:spacing w:val="-5"/>
          <w:lang w:val="de-DE"/>
        </w:rPr>
        <w:t xml:space="preserve">thì thời điểm tính tiền bổ sung </w:t>
      </w:r>
      <w:r w:rsidR="009D4F75" w:rsidRPr="00211773">
        <w:rPr>
          <w:spacing w:val="-5"/>
          <w:lang w:val="de-DE"/>
        </w:rPr>
        <w:t xml:space="preserve">tính từ thời điểm </w:t>
      </w:r>
      <w:r w:rsidR="009A665F" w:rsidRPr="00211773">
        <w:rPr>
          <w:spacing w:val="-5"/>
          <w:lang w:val="de-DE"/>
        </w:rPr>
        <w:t>quy định tại điểm a, điểm b, điểm c khoản 2 Điều 257 Luật Đất đai (như dự thảo Nghị định đã gửi xin ý kiến) là hợp lý</w:t>
      </w:r>
      <w:r w:rsidR="00031F6B" w:rsidRPr="00211773">
        <w:rPr>
          <w:spacing w:val="-5"/>
          <w:lang w:val="de-DE"/>
        </w:rPr>
        <w:t xml:space="preserve"> (Luật Đất đai năm 2024 quy định trường hợp giá đất tính tiền là giá đất trên bảng giá đất thì cơ quan nhà nước có thẩm quyền ghi giá đất trên quyết định giao đất, cho thuê đất)</w:t>
      </w:r>
      <w:r w:rsidR="009A665F" w:rsidRPr="00211773">
        <w:rPr>
          <w:spacing w:val="-5"/>
          <w:lang w:val="de-DE"/>
        </w:rPr>
        <w:t xml:space="preserve">. Tuy nhiên, </w:t>
      </w:r>
      <w:r w:rsidR="009A665F" w:rsidRPr="00211773">
        <w:rPr>
          <w:spacing w:val="-5"/>
          <w:lang w:val="de-DE"/>
        </w:rPr>
        <w:lastRenderedPageBreak/>
        <w:t>đối với trường hợp chuyển tiếp quy định tại điểm a khoản 2 Điều 257 Luật Đất đai</w:t>
      </w:r>
      <w:r w:rsidR="009D4F75" w:rsidRPr="00211773">
        <w:rPr>
          <w:rStyle w:val="FootnoteReference"/>
          <w:spacing w:val="-5"/>
          <w:lang w:val="de-DE"/>
        </w:rPr>
        <w:footnoteReference w:id="10"/>
      </w:r>
      <w:r w:rsidR="009A665F" w:rsidRPr="00211773">
        <w:rPr>
          <w:spacing w:val="-5"/>
          <w:lang w:val="de-DE"/>
        </w:rPr>
        <w:t xml:space="preserve"> thì chưa rõ thời điểm tính tiền là thời điểm nào? (Thời điểm có quyết định giao đất, cho thuê đất, bàn giao đất thực tế hay thời điểm ngày 01/01/2005).</w:t>
      </w:r>
    </w:p>
    <w:p w:rsidR="00031F6B" w:rsidRPr="00211773" w:rsidRDefault="00031F6B" w:rsidP="00304A15">
      <w:pPr>
        <w:spacing w:before="120" w:after="120" w:line="264" w:lineRule="auto"/>
        <w:ind w:firstLine="720"/>
        <w:jc w:val="both"/>
        <w:rPr>
          <w:spacing w:val="-5"/>
          <w:lang w:val="de-DE"/>
        </w:rPr>
      </w:pPr>
      <w:r w:rsidRPr="00211773">
        <w:rPr>
          <w:spacing w:val="-5"/>
          <w:lang w:val="de-DE"/>
        </w:rPr>
        <w:t xml:space="preserve">Về nội dung này, Bộ Tài chính trình Chính phủ quy định tại dự thảo Nghị định theo hướng: </w:t>
      </w:r>
      <w:r w:rsidRPr="00211773">
        <w:rPr>
          <w:i/>
          <w:spacing w:val="-5"/>
          <w:lang w:val="de-DE"/>
        </w:rPr>
        <w:t xml:space="preserve">Trường hợp tính tiền sử dụng đất, tiền thuê đất theo giá đất trên Bảng giá đất </w:t>
      </w:r>
      <w:r w:rsidR="00EF3E7F" w:rsidRPr="00EF3E7F">
        <w:rPr>
          <w:i/>
          <w:spacing w:val="-5"/>
          <w:lang w:val="de-DE"/>
        </w:rPr>
        <w:t xml:space="preserve">(theo giá đất cụ thể theo phương pháp hệ số điều chỉnh giá đất) </w:t>
      </w:r>
      <w:r w:rsidRPr="00211773">
        <w:rPr>
          <w:i/>
          <w:spacing w:val="-5"/>
          <w:lang w:val="de-DE"/>
        </w:rPr>
        <w:t>theo quy định thì khoản tiền bổ sung được tính từ thời điểm</w:t>
      </w:r>
      <w:r w:rsidR="009D4F75" w:rsidRPr="00211773">
        <w:rPr>
          <w:i/>
          <w:spacing w:val="-5"/>
          <w:lang w:val="de-DE"/>
        </w:rPr>
        <w:t xml:space="preserve"> phải</w:t>
      </w:r>
      <w:r w:rsidRPr="00211773">
        <w:rPr>
          <w:i/>
          <w:spacing w:val="-5"/>
          <w:lang w:val="de-DE"/>
        </w:rPr>
        <w:t xml:space="preserve"> </w:t>
      </w:r>
      <w:r w:rsidR="009D4F75" w:rsidRPr="00211773">
        <w:rPr>
          <w:i/>
          <w:spacing w:val="-5"/>
          <w:lang w:val="de-DE"/>
        </w:rPr>
        <w:t>t</w:t>
      </w:r>
      <w:r w:rsidRPr="00211773">
        <w:rPr>
          <w:i/>
          <w:spacing w:val="-5"/>
          <w:lang w:val="de-DE"/>
        </w:rPr>
        <w:t xml:space="preserve">ính tiền sử dụng đất, tiền thuê đất theo quy định tại điểm a, điểm b, điểm c khoản 2 Điều 257 Luật Đất đai. Riêng </w:t>
      </w:r>
      <w:r w:rsidRPr="00211773">
        <w:rPr>
          <w:i/>
          <w:lang w:val="de-DE"/>
        </w:rPr>
        <w:t>đối với trường hợp</w:t>
      </w:r>
      <w:r w:rsidR="009D4F75" w:rsidRPr="00211773">
        <w:rPr>
          <w:i/>
          <w:lang w:val="de-DE"/>
        </w:rPr>
        <w:t xml:space="preserve"> sử dụng đất theo</w:t>
      </w:r>
      <w:r w:rsidRPr="00211773">
        <w:rPr>
          <w:i/>
          <w:lang w:val="de-DE"/>
        </w:rPr>
        <w:t xml:space="preserve"> quy định tại điểm a khoản 2 Điều 257 Luật Đất đai thì khoản tiền bổ sung được tính từ thời điểm có quyết định giao đất cho thuê đất; </w:t>
      </w:r>
      <w:r w:rsidRPr="00211773">
        <w:rPr>
          <w:i/>
          <w:shd w:val="clear" w:color="auto" w:fill="FFFFFF"/>
          <w:lang w:val="de-DE"/>
        </w:rPr>
        <w:t>trường hợp thời điểm bàn giao đất không đúng với thời điểm ghi trong quyết định giao đất, cho thuê đất thì</w:t>
      </w:r>
      <w:r w:rsidRPr="00211773">
        <w:rPr>
          <w:i/>
          <w:lang w:val="de-DE"/>
        </w:rPr>
        <w:t xml:space="preserve"> thời gian chưa tính tiền sử dụng đất, tiền thuê đất được tính từ thời điểm bàn giao đất thực tế đến thời điểm có Thông báo nộp tiền sử dụng đất, tiền thuê đất của cơ quan nhà nước có thẩm quyền (quy định tại khoản 13, khoản 14 Điều 3 dự thảo Nghị định).</w:t>
      </w:r>
    </w:p>
    <w:p w:rsidR="009A665F" w:rsidRPr="00CB45CE" w:rsidRDefault="00CB45CE" w:rsidP="00CB45CE">
      <w:pPr>
        <w:tabs>
          <w:tab w:val="left" w:pos="1276"/>
        </w:tabs>
        <w:spacing w:before="120" w:after="120" w:line="264" w:lineRule="auto"/>
        <w:ind w:firstLine="709"/>
        <w:jc w:val="both"/>
        <w:rPr>
          <w:spacing w:val="-5"/>
          <w:lang w:val="de-DE"/>
        </w:rPr>
      </w:pPr>
      <w:r>
        <w:rPr>
          <w:spacing w:val="-5"/>
          <w:lang w:val="de-DE"/>
        </w:rPr>
        <w:t xml:space="preserve">(ii) </w:t>
      </w:r>
      <w:r w:rsidR="009A665F" w:rsidRPr="00CB45CE">
        <w:rPr>
          <w:spacing w:val="-5"/>
          <w:lang w:val="de-DE"/>
        </w:rPr>
        <w:t xml:space="preserve">Nếu tính tiền bổ sung theo giá đất cụ thể </w:t>
      </w:r>
      <w:r>
        <w:rPr>
          <w:spacing w:val="-5"/>
          <w:lang w:val="de-DE"/>
        </w:rPr>
        <w:t xml:space="preserve">theo 04 phương pháp: so sánh trực tiếp, chiết trừ, thu nhập </w:t>
      </w:r>
      <w:r w:rsidR="005B5FAB">
        <w:rPr>
          <w:spacing w:val="-5"/>
          <w:lang w:val="de-DE"/>
        </w:rPr>
        <w:t>thặng dư</w:t>
      </w:r>
      <w:r>
        <w:rPr>
          <w:spacing w:val="-5"/>
          <w:lang w:val="de-DE"/>
        </w:rPr>
        <w:t xml:space="preserve"> </w:t>
      </w:r>
      <w:r w:rsidR="009A665F" w:rsidRPr="00CB45CE">
        <w:rPr>
          <w:spacing w:val="-5"/>
          <w:lang w:val="de-DE"/>
        </w:rPr>
        <w:t>thì trên thực tế có 02 thời điểm: (1</w:t>
      </w:r>
      <w:r w:rsidR="0049000D" w:rsidRPr="00CB45CE">
        <w:rPr>
          <w:spacing w:val="-5"/>
          <w:lang w:val="de-DE"/>
        </w:rPr>
        <w:t>) Thời điểm của</w:t>
      </w:r>
      <w:r w:rsidR="009A665F" w:rsidRPr="00CB45CE">
        <w:rPr>
          <w:spacing w:val="-5"/>
          <w:lang w:val="de-DE"/>
        </w:rPr>
        <w:t xml:space="preserve"> chính sách và giá đất để tính tiền sử dụng đất/ tiền thuê đất chuyển tiếp: thời điểm</w:t>
      </w:r>
      <w:r w:rsidR="009D4F75" w:rsidRPr="00CB45CE">
        <w:rPr>
          <w:spacing w:val="-5"/>
          <w:lang w:val="de-DE"/>
        </w:rPr>
        <w:t xml:space="preserve"> này đã được quy định tại điểm </w:t>
      </w:r>
      <w:r w:rsidR="009A665F" w:rsidRPr="00CB45CE">
        <w:rPr>
          <w:spacing w:val="-5"/>
          <w:lang w:val="de-DE"/>
        </w:rPr>
        <w:t>b và c khoản 2 Điều 257 Luật Đất đai</w:t>
      </w:r>
      <w:r w:rsidR="009D4F75" w:rsidRPr="00CB45CE">
        <w:rPr>
          <w:spacing w:val="-5"/>
          <w:lang w:val="de-DE"/>
        </w:rPr>
        <w:t xml:space="preserve"> (dự thảo Nghị định đã gửi xin ý kiến quy định theo thời điểm này)</w:t>
      </w:r>
      <w:r w:rsidR="009A665F" w:rsidRPr="00CB45CE">
        <w:rPr>
          <w:spacing w:val="-5"/>
          <w:lang w:val="de-DE"/>
        </w:rPr>
        <w:t>; (2) Thời điểm cơ quan nhà nước có thẩm quyền phải ban hành quyết định giá đất cụ thể để tính tiền sử dụng đất/ tiền thuê đất (sau thời điểm của chính sách và giá đất tính tiền). Pháp luật đất đai trước năm 2024 không quy định rõ thời điểm này; Luật Đất đai năm 2024 quy định việc xác định giá đất cụ thể để tính thu tiền sử dụng đất, tiền thuê đất là trong thời hạn</w:t>
      </w:r>
      <w:r w:rsidR="0049000D" w:rsidRPr="00CB45CE">
        <w:rPr>
          <w:spacing w:val="-5"/>
          <w:lang w:val="de-DE"/>
        </w:rPr>
        <w:t xml:space="preserve"> không quá</w:t>
      </w:r>
      <w:r w:rsidR="009A665F" w:rsidRPr="00CB45CE">
        <w:rPr>
          <w:spacing w:val="-5"/>
          <w:lang w:val="de-DE"/>
        </w:rPr>
        <w:t xml:space="preserve"> 180 ngày</w:t>
      </w:r>
      <w:r w:rsidR="009C054A" w:rsidRPr="00CB45CE">
        <w:rPr>
          <w:spacing w:val="-5"/>
          <w:lang w:val="de-DE"/>
        </w:rPr>
        <w:t>,</w:t>
      </w:r>
      <w:r w:rsidR="009A665F" w:rsidRPr="00CB45CE">
        <w:rPr>
          <w:spacing w:val="-5"/>
          <w:lang w:val="de-DE"/>
        </w:rPr>
        <w:t xml:space="preserve"> kể từ ngày có quyết định giao đất, cho thuê đất; trường hợp giá đất tính tiền là giá đất trên bảng giá đất thì cơ quan nhà nước có thẩm quyền ghi giá đất trên</w:t>
      </w:r>
      <w:r w:rsidR="009A665F" w:rsidRPr="00CB45CE">
        <w:rPr>
          <w:lang w:val="de-DE"/>
        </w:rPr>
        <w:t xml:space="preserve"> </w:t>
      </w:r>
      <w:r w:rsidR="009A665F" w:rsidRPr="00CB45CE">
        <w:rPr>
          <w:spacing w:val="-5"/>
          <w:lang w:val="de-DE"/>
        </w:rPr>
        <w:t>quyết định giao đất, cho thuê đất.</w:t>
      </w:r>
    </w:p>
    <w:p w:rsidR="009A665F" w:rsidRPr="00211773" w:rsidRDefault="009A665F" w:rsidP="00304A15">
      <w:pPr>
        <w:spacing w:before="120" w:after="120" w:line="264" w:lineRule="auto"/>
        <w:ind w:firstLine="720"/>
        <w:jc w:val="both"/>
        <w:rPr>
          <w:spacing w:val="-5"/>
          <w:lang w:val="de-DE"/>
        </w:rPr>
      </w:pPr>
      <w:r w:rsidRPr="00211773">
        <w:rPr>
          <w:spacing w:val="-5"/>
          <w:lang w:val="de-DE"/>
        </w:rPr>
        <w:t>Có ý kiến đề nghị nên tính tiền bổ sung từ thời điểm cơ quan nhà nước có thẩm quyền phải ban hành quyết định giá đất cụ thể để tính tiền sử dụng đất/tiền thuê đất; trường hợp pháp luật đất đai trước năm 2024 không quy định rõ thời điểm này thì tính tại thời điểm sau 180</w:t>
      </w:r>
      <w:r w:rsidR="009C054A">
        <w:rPr>
          <w:spacing w:val="-5"/>
          <w:lang w:val="de-DE"/>
        </w:rPr>
        <w:t xml:space="preserve"> ngày</w:t>
      </w:r>
      <w:r w:rsidRPr="00211773">
        <w:rPr>
          <w:spacing w:val="-5"/>
          <w:lang w:val="de-DE"/>
        </w:rPr>
        <w:t xml:space="preserve"> kể từ ngày có quyết định giao đất, cho thuê đất.</w:t>
      </w:r>
    </w:p>
    <w:p w:rsidR="00EB5C22" w:rsidRPr="00211773" w:rsidRDefault="00EB5C22" w:rsidP="00304A15">
      <w:pPr>
        <w:widowControl w:val="0"/>
        <w:spacing w:before="120" w:after="120" w:line="264" w:lineRule="auto"/>
        <w:ind w:firstLine="720"/>
        <w:jc w:val="both"/>
        <w:rPr>
          <w:shd w:val="clear" w:color="auto" w:fill="FFFFFF"/>
          <w:lang w:val="pt-BR"/>
        </w:rPr>
      </w:pPr>
      <w:r w:rsidRPr="00211773">
        <w:rPr>
          <w:shd w:val="clear" w:color="auto" w:fill="FFFFFF"/>
          <w:lang w:val="pt-BR"/>
        </w:rPr>
        <w:t>Về vấn đề này</w:t>
      </w:r>
      <w:r w:rsidR="0014511E" w:rsidRPr="00211773">
        <w:rPr>
          <w:shd w:val="clear" w:color="auto" w:fill="FFFFFF"/>
          <w:lang w:val="pt-BR"/>
        </w:rPr>
        <w:t>, Bộ Tài chính trình Chính phủ</w:t>
      </w:r>
      <w:r w:rsidRPr="00211773">
        <w:rPr>
          <w:shd w:val="clear" w:color="auto" w:fill="FFFFFF"/>
          <w:lang w:val="pt-BR"/>
        </w:rPr>
        <w:t xml:space="preserve"> </w:t>
      </w:r>
      <w:r w:rsidR="009D4F75" w:rsidRPr="00211773">
        <w:rPr>
          <w:shd w:val="clear" w:color="auto" w:fill="FFFFFF"/>
          <w:lang w:val="pt-BR"/>
        </w:rPr>
        <w:t>theo 02 Phương án như sau:</w:t>
      </w:r>
    </w:p>
    <w:p w:rsidR="009D4F75" w:rsidRPr="00211773" w:rsidRDefault="009D4F75" w:rsidP="00304A15">
      <w:pPr>
        <w:widowControl w:val="0"/>
        <w:spacing w:before="120" w:after="120" w:line="264" w:lineRule="auto"/>
        <w:ind w:firstLine="720"/>
        <w:jc w:val="both"/>
        <w:rPr>
          <w:shd w:val="clear" w:color="auto" w:fill="FFFFFF"/>
          <w:lang w:val="pt-BR"/>
        </w:rPr>
      </w:pPr>
      <w:r w:rsidRPr="00211773">
        <w:rPr>
          <w:b/>
          <w:shd w:val="clear" w:color="auto" w:fill="FFFFFF"/>
          <w:lang w:val="pt-BR"/>
        </w:rPr>
        <w:t>Phương án 1:</w:t>
      </w:r>
      <w:r w:rsidRPr="00211773">
        <w:rPr>
          <w:shd w:val="clear" w:color="auto" w:fill="FFFFFF"/>
          <w:lang w:val="pt-BR"/>
        </w:rPr>
        <w:t xml:space="preserve"> Khoản tiền bổ sung được tính từ thời điểm phải tính tiền sử </w:t>
      </w:r>
      <w:r w:rsidRPr="00211773">
        <w:rPr>
          <w:shd w:val="clear" w:color="auto" w:fill="FFFFFF"/>
          <w:lang w:val="pt-BR"/>
        </w:rPr>
        <w:lastRenderedPageBreak/>
        <w:t>dụng đất, tiền thuê đất theo quy định tại điểm b và c khoản 2 Điều 257 Luật Đất đai.</w:t>
      </w:r>
    </w:p>
    <w:p w:rsidR="009B01DC" w:rsidRPr="009B01DC" w:rsidRDefault="009B01DC" w:rsidP="00304A15">
      <w:pPr>
        <w:widowControl w:val="0"/>
        <w:spacing w:before="120" w:after="120" w:line="264" w:lineRule="auto"/>
        <w:ind w:firstLine="720"/>
        <w:jc w:val="both"/>
        <w:rPr>
          <w:b/>
          <w:shd w:val="clear" w:color="auto" w:fill="FFFFFF"/>
          <w:lang w:val="pt-BR"/>
        </w:rPr>
      </w:pPr>
      <w:r w:rsidRPr="009756E6">
        <w:rPr>
          <w:b/>
          <w:lang w:val="pt-BR"/>
        </w:rPr>
        <w:t xml:space="preserve">Phương án 2: </w:t>
      </w:r>
      <w:r w:rsidRPr="009B01DC">
        <w:rPr>
          <w:shd w:val="clear" w:color="auto" w:fill="FFFFFF"/>
          <w:lang w:val="pt-BR"/>
        </w:rPr>
        <w:t xml:space="preserve">Khoản tiền bổ sung được tính </w:t>
      </w:r>
      <w:r w:rsidRPr="009756E6">
        <w:rPr>
          <w:lang w:val="pt-BR"/>
        </w:rPr>
        <w:t xml:space="preserve">từ thời điểm phải tính tiền thuê đất theo quy định tại điểm b, điểm c khoản 2 Điều 257 Luật Đất đai đến thời điểm Thông báo nộp tiền thuê đất của cơ quan nhà nước có thẩm quyền, sau khi trừ đi thời gian cơ quan nhà nước phải tổ chức thực hiện việc xác định giá đất cụ thể để tính tiền sử dụng đất, tiền thuê đất theo quy định tại khoản 4 Điều 155 Luật Đất đai năm 2024 </w:t>
      </w:r>
      <w:r w:rsidR="00C25EE9" w:rsidRPr="009756E6">
        <w:rPr>
          <w:lang w:val="pt-BR"/>
        </w:rPr>
        <w:t>(</w:t>
      </w:r>
      <w:r w:rsidRPr="009756E6">
        <w:rPr>
          <w:lang w:val="pt-BR"/>
        </w:rPr>
        <w:t>tối đa không quá 180 ngày</w:t>
      </w:r>
      <w:r w:rsidR="00C25EE9" w:rsidRPr="009756E6">
        <w:rPr>
          <w:lang w:val="pt-BR"/>
        </w:rPr>
        <w:t>)</w:t>
      </w:r>
      <w:r w:rsidRPr="009756E6">
        <w:rPr>
          <w:lang w:val="pt-BR"/>
        </w:rPr>
        <w:t>.</w:t>
      </w:r>
    </w:p>
    <w:p w:rsidR="00553812" w:rsidRDefault="00881E8D" w:rsidP="00553812">
      <w:pPr>
        <w:widowControl w:val="0"/>
        <w:spacing w:before="120" w:after="120" w:line="264" w:lineRule="auto"/>
        <w:ind w:firstLine="720"/>
        <w:jc w:val="both"/>
        <w:rPr>
          <w:shd w:val="clear" w:color="auto" w:fill="FFFFFF"/>
          <w:lang w:val="pt-BR"/>
        </w:rPr>
      </w:pPr>
      <w:r w:rsidRPr="00211773">
        <w:rPr>
          <w:shd w:val="clear" w:color="auto" w:fill="FFFFFF"/>
          <w:lang w:val="pt-BR"/>
        </w:rPr>
        <w:t>Phương án 1 đơn giản, đảm bảo thời điểm tính tiền thu bổ sung khớp với thời</w:t>
      </w:r>
      <w:r w:rsidR="00DA6AD7">
        <w:rPr>
          <w:shd w:val="clear" w:color="auto" w:fill="FFFFFF"/>
          <w:lang w:val="pt-BR"/>
        </w:rPr>
        <w:t xml:space="preserve"> điểm</w:t>
      </w:r>
      <w:r w:rsidRPr="00211773">
        <w:rPr>
          <w:shd w:val="clear" w:color="auto" w:fill="FFFFFF"/>
          <w:lang w:val="pt-BR"/>
        </w:rPr>
        <w:t xml:space="preserve"> tính tiền sử dụng đất, tiền thuê đất theo quy định tại điểm b và c khoản 2 Đi</w:t>
      </w:r>
      <w:r w:rsidR="00DA6AD7">
        <w:rPr>
          <w:shd w:val="clear" w:color="auto" w:fill="FFFFFF"/>
          <w:lang w:val="pt-BR"/>
        </w:rPr>
        <w:t>ều 257 Luật Đất đai;</w:t>
      </w:r>
      <w:r w:rsidRPr="00211773">
        <w:rPr>
          <w:shd w:val="clear" w:color="auto" w:fill="FFFFFF"/>
          <w:lang w:val="pt-BR"/>
        </w:rPr>
        <w:t xml:space="preserve"> </w:t>
      </w:r>
      <w:r w:rsidR="00DA6AD7">
        <w:rPr>
          <w:shd w:val="clear" w:color="auto" w:fill="FFFFFF"/>
          <w:lang w:val="pt-BR"/>
        </w:rPr>
        <w:t>t</w:t>
      </w:r>
      <w:r w:rsidRPr="00211773">
        <w:rPr>
          <w:shd w:val="clear" w:color="auto" w:fill="FFFFFF"/>
          <w:lang w:val="pt-BR"/>
        </w:rPr>
        <w:t xml:space="preserve">uy nhiên, phương án này không công bằng với người sử dụng đất vì chưa trừ cho người sử dụng đất thời gian mà cơ quan nhà nước có thẩm quyền đáng lẽ phải xác định và ban hành Quyết định về giá đất tính tiền sử dụng đất, tiền thuê đất theo quy định. Phương án 2 khắc phục được nhược điểm của phương án 1 nhưng cơ sở để xác định thời gian “180 ngày” là quy định theo hướng </w:t>
      </w:r>
      <w:r w:rsidR="00D01197">
        <w:rPr>
          <w:shd w:val="clear" w:color="auto" w:fill="FFFFFF"/>
          <w:lang w:val="pt-BR"/>
        </w:rPr>
        <w:t>áp dụng</w:t>
      </w:r>
      <w:r w:rsidRPr="00211773">
        <w:rPr>
          <w:shd w:val="clear" w:color="auto" w:fill="FFFFFF"/>
          <w:lang w:val="pt-BR"/>
        </w:rPr>
        <w:t xml:space="preserve"> quy định mới của Luật Đất đai năm 2024</w:t>
      </w:r>
      <w:r w:rsidR="00D01197">
        <w:rPr>
          <w:shd w:val="clear" w:color="auto" w:fill="FFFFFF"/>
          <w:lang w:val="pt-BR"/>
        </w:rPr>
        <w:t xml:space="preserve"> để trừ khoảng thời gian tối đa để cơ quan nhà nước có thẩm quyền tổ chức xác định giá đất để tính tiền sử dụng đất, tiền </w:t>
      </w:r>
      <w:r w:rsidR="00553812">
        <w:rPr>
          <w:shd w:val="clear" w:color="auto" w:fill="FFFFFF"/>
          <w:lang w:val="pt-BR"/>
        </w:rPr>
        <w:t>thuê đất cho người sử dụng đất.</w:t>
      </w:r>
    </w:p>
    <w:p w:rsidR="00881E8D" w:rsidRDefault="00553812" w:rsidP="00553812">
      <w:pPr>
        <w:widowControl w:val="0"/>
        <w:spacing w:before="120" w:after="120" w:line="264" w:lineRule="auto"/>
        <w:ind w:firstLine="720"/>
        <w:jc w:val="both"/>
        <w:rPr>
          <w:shd w:val="clear" w:color="auto" w:fill="FFFFFF"/>
          <w:lang w:val="pt-BR"/>
        </w:rPr>
      </w:pPr>
      <w:r>
        <w:rPr>
          <w:shd w:val="clear" w:color="auto" w:fill="FFFFFF"/>
          <w:lang w:val="pt-BR"/>
        </w:rPr>
        <w:t>K</w:t>
      </w:r>
      <w:r w:rsidR="00D01197">
        <w:rPr>
          <w:shd w:val="clear" w:color="auto" w:fill="FFFFFF"/>
          <w:lang w:val="pt-BR"/>
        </w:rPr>
        <w:t>hoản 4 Điều 155 Luật Đất đai năm 2024 quy định Ủy ban nhân dân cấp có thẩm quyền phải ban hành quyết định giá đất trong thời hạn 180 ngày kể từ thời điểm định giá đất, trong khi pháp luật đất đai năm 2013 không có quy định cụ thể về thời gian phải xác định giá đất để tính tiền sử dụng đất, tiền thuê đất</w:t>
      </w:r>
      <w:r>
        <w:rPr>
          <w:shd w:val="clear" w:color="auto" w:fill="FFFFFF"/>
          <w:lang w:val="pt-BR"/>
        </w:rPr>
        <w:t>. Do điểm d khoản 2 Điều 257 Luật Đất đai năm 2024 chưa quy định rõ về khoảng thời gian chưa tính tiền sử dụng đất, tiền thuê đất làm cơ sở để xác định khoản thu bổ sung có được trừ đi thời gian mà cơ quan nhà nước có thẩm quyền tổ chức thực hiện xác định giá đất cụ thể hay không. Do vậy, Bộ Tài chính thấy rằng đề xuất của một số cơ quan, đơn vị, tổ chức, doanh nghiệp về việc không thu khoản thu bổ sung đối với khoảng thời gian mà cơ quan nhà nước phải tổ chức thực hiện việc xác định giá đất cụ thể để tính tiền sử dụng đất, tiền thuê đất như quy định tại</w:t>
      </w:r>
      <w:r w:rsidR="009B01DC">
        <w:rPr>
          <w:shd w:val="clear" w:color="auto" w:fill="FFFFFF"/>
          <w:lang w:val="pt-BR"/>
        </w:rPr>
        <w:t xml:space="preserve"> khoản 4 Điều 155</w:t>
      </w:r>
      <w:r>
        <w:rPr>
          <w:shd w:val="clear" w:color="auto" w:fill="FFFFFF"/>
          <w:lang w:val="pt-BR"/>
        </w:rPr>
        <w:t xml:space="preserve"> Luật Đất đai năm 2024 (tối đa 180 ngày) là hợp lý.</w:t>
      </w:r>
    </w:p>
    <w:p w:rsidR="00553812" w:rsidRPr="00211773" w:rsidRDefault="00553812" w:rsidP="00553812">
      <w:pPr>
        <w:widowControl w:val="0"/>
        <w:spacing w:before="120" w:after="120" w:line="264" w:lineRule="auto"/>
        <w:ind w:firstLine="720"/>
        <w:jc w:val="both"/>
        <w:rPr>
          <w:shd w:val="clear" w:color="auto" w:fill="FFFFFF"/>
          <w:lang w:val="pt-BR"/>
        </w:rPr>
      </w:pPr>
      <w:r>
        <w:rPr>
          <w:shd w:val="clear" w:color="auto" w:fill="FFFFFF"/>
          <w:lang w:val="pt-BR"/>
        </w:rPr>
        <w:t xml:space="preserve">Từ cơ sở trên, Bộ Tài chính dự kiến sửa đổi khoản 2 Điều 50, khoản 9 Điều 51 Nghị định số 103/2024/NĐ-CP theo </w:t>
      </w:r>
      <w:r w:rsidRPr="00C25EE9">
        <w:rPr>
          <w:b/>
          <w:shd w:val="clear" w:color="auto" w:fill="FFFFFF"/>
          <w:lang w:val="pt-BR"/>
        </w:rPr>
        <w:t>Phương án 2</w:t>
      </w:r>
      <w:r>
        <w:rPr>
          <w:shd w:val="clear" w:color="auto" w:fill="FFFFFF"/>
          <w:lang w:val="pt-BR"/>
        </w:rPr>
        <w:t>. Đồng thời, hiện nay</w:t>
      </w:r>
      <w:r w:rsidR="002443AA">
        <w:rPr>
          <w:shd w:val="clear" w:color="auto" w:fill="FFFFFF"/>
          <w:lang w:val="pt-BR"/>
        </w:rPr>
        <w:t xml:space="preserve"> Bộ Nông nghiệp và Môi trường đang</w:t>
      </w:r>
      <w:r w:rsidR="009C054A">
        <w:rPr>
          <w:shd w:val="clear" w:color="auto" w:fill="FFFFFF"/>
          <w:lang w:val="pt-BR"/>
        </w:rPr>
        <w:t xml:space="preserve"> được Lãnh đạo Chính phủ giao nghiên cứu</w:t>
      </w:r>
      <w:r w:rsidR="002443AA">
        <w:rPr>
          <w:shd w:val="clear" w:color="auto" w:fill="FFFFFF"/>
          <w:lang w:val="pt-BR"/>
        </w:rPr>
        <w:t xml:space="preserve"> sửa đổi, bổ sung Luật Đất đai năm 2024</w:t>
      </w:r>
      <w:r w:rsidR="00931A58">
        <w:rPr>
          <w:rStyle w:val="FootnoteReference"/>
          <w:shd w:val="clear" w:color="auto" w:fill="FFFFFF"/>
          <w:lang w:val="pt-BR"/>
        </w:rPr>
        <w:footnoteReference w:id="11"/>
      </w:r>
      <w:r w:rsidR="002443AA">
        <w:rPr>
          <w:shd w:val="clear" w:color="auto" w:fill="FFFFFF"/>
          <w:lang w:val="pt-BR"/>
        </w:rPr>
        <w:t xml:space="preserve">; do vậy, Bộ Tài chính kiến nghị Chính phủ giao Bộ Nông nghiệp và Môi trường </w:t>
      </w:r>
      <w:r w:rsidR="009B01DC">
        <w:rPr>
          <w:shd w:val="clear" w:color="auto" w:fill="FFFFFF"/>
          <w:lang w:val="pt-BR"/>
        </w:rPr>
        <w:t>cập nhật để</w:t>
      </w:r>
      <w:r w:rsidR="002443AA">
        <w:rPr>
          <w:shd w:val="clear" w:color="auto" w:fill="FFFFFF"/>
          <w:lang w:val="pt-BR"/>
        </w:rPr>
        <w:t xml:space="preserve"> bổ sung</w:t>
      </w:r>
      <w:r w:rsidR="00C25EE9">
        <w:rPr>
          <w:shd w:val="clear" w:color="auto" w:fill="FFFFFF"/>
          <w:lang w:val="pt-BR"/>
        </w:rPr>
        <w:t xml:space="preserve"> vào dự thảo Luật (sửa đổi)</w:t>
      </w:r>
      <w:r w:rsidR="002443AA">
        <w:rPr>
          <w:shd w:val="clear" w:color="auto" w:fill="FFFFFF"/>
          <w:lang w:val="pt-BR"/>
        </w:rPr>
        <w:t xml:space="preserve"> nội dung này tại</w:t>
      </w:r>
      <w:r w:rsidR="009B01DC">
        <w:rPr>
          <w:shd w:val="clear" w:color="auto" w:fill="FFFFFF"/>
          <w:lang w:val="pt-BR"/>
        </w:rPr>
        <w:t xml:space="preserve"> điểm d</w:t>
      </w:r>
      <w:r w:rsidR="002443AA">
        <w:rPr>
          <w:shd w:val="clear" w:color="auto" w:fill="FFFFFF"/>
          <w:lang w:val="pt-BR"/>
        </w:rPr>
        <w:t xml:space="preserve"> khoản 2 Điều 257 Luật Đất đai để thống nhất </w:t>
      </w:r>
      <w:r w:rsidR="002443AA">
        <w:rPr>
          <w:shd w:val="clear" w:color="auto" w:fill="FFFFFF"/>
          <w:lang w:val="pt-BR"/>
        </w:rPr>
        <w:lastRenderedPageBreak/>
        <w:t>thực hiện.</w:t>
      </w:r>
    </w:p>
    <w:bookmarkEnd w:id="4"/>
    <w:bookmarkEnd w:id="5"/>
    <w:p w:rsidR="00ED0AC3" w:rsidRPr="00211773" w:rsidRDefault="0098424B" w:rsidP="00304A15">
      <w:pPr>
        <w:spacing w:before="120" w:after="120" w:line="264" w:lineRule="auto"/>
        <w:ind w:firstLine="720"/>
        <w:jc w:val="both"/>
        <w:outlineLvl w:val="0"/>
        <w:rPr>
          <w:b/>
          <w:bCs/>
          <w:spacing w:val="8"/>
          <w:lang w:val="pt-BR"/>
        </w:rPr>
      </w:pPr>
      <w:r w:rsidRPr="00211773">
        <w:rPr>
          <w:b/>
          <w:bCs/>
          <w:spacing w:val="8"/>
          <w:lang w:val="pt-BR"/>
        </w:rPr>
        <w:t xml:space="preserve">2.5. </w:t>
      </w:r>
      <w:r w:rsidR="00ED0AC3" w:rsidRPr="00211773">
        <w:rPr>
          <w:b/>
          <w:bCs/>
          <w:spacing w:val="8"/>
          <w:lang w:val="pt-BR"/>
        </w:rPr>
        <w:t>Về xử lý chuyển tiếp về miễn, giảm tiền thuê đất</w:t>
      </w:r>
    </w:p>
    <w:p w:rsidR="002615A9" w:rsidRPr="00211773" w:rsidRDefault="00ED0AC3" w:rsidP="00304A15">
      <w:pPr>
        <w:spacing w:before="120" w:after="120" w:line="264" w:lineRule="auto"/>
        <w:ind w:firstLine="720"/>
        <w:jc w:val="both"/>
        <w:outlineLvl w:val="0"/>
        <w:rPr>
          <w:bCs/>
          <w:spacing w:val="8"/>
          <w:lang w:val="pt-BR"/>
        </w:rPr>
      </w:pPr>
      <w:r w:rsidRPr="00211773">
        <w:rPr>
          <w:bCs/>
          <w:spacing w:val="8"/>
          <w:lang w:val="pt-BR"/>
        </w:rPr>
        <w:t>Có ý kiến cho rằng khoản 3 Điều 51 Nghị định số 103/2024/NĐ-CP chỉ quy định áp dụng đối với đối tượng là đơn vị sự nghiệp công lập (không áp dụng đối với doanh nghiệp); trong khi doanh nghiệp cung cấp dịch vụ công ích như Công ty nước sạch Hà Nội</w:t>
      </w:r>
      <w:r w:rsidR="002615A9" w:rsidRPr="00211773">
        <w:rPr>
          <w:bCs/>
          <w:spacing w:val="8"/>
          <w:lang w:val="pt-BR"/>
        </w:rPr>
        <w:t xml:space="preserve"> cũng có vướng mắc tương tự;</w:t>
      </w:r>
      <w:r w:rsidRPr="00211773">
        <w:rPr>
          <w:bCs/>
          <w:spacing w:val="8"/>
          <w:lang w:val="pt-BR"/>
        </w:rPr>
        <w:t xml:space="preserve"> </w:t>
      </w:r>
      <w:r w:rsidR="002615A9" w:rsidRPr="00211773">
        <w:rPr>
          <w:bCs/>
          <w:spacing w:val="8"/>
          <w:lang w:val="pt-BR"/>
        </w:rPr>
        <w:t>vì vậy, có ý kiến đề nghị bổ sung quy định xử lý chuyển tiếp nêu trên để giải quyết vướng mắc đối với các trường hợp thuộc tổ chức 100% vốn nhà nước sử dụng đất xây dựng các công trình cấp nước, thoát nước và xử lý nước thải tại khu vực thành thị và nông thôn thuộc đối tượng phải chuyển sang thuê đất được miễn tiền thuê đất theo quy định của Luật Đất đai năm 2013 nhưng chưa chuyển sang thuê đất hoặc chuyển sang thuê đất nhưng chưa hoặc chậm làm thủ tục để được miễn tiền thuê đất (Công ty TNHH MTV Nước sạch Hà Nội; tổ chức được giao đất không thu tiền sử dụng đất trước 01/7/2014 sau ngày 01/7/2014 phải thuê đất, thuộc đối tượng được miễn giảm tiền thuê đất và các trường hợp thuê đất tương tự). Người thuê đất chậm nộp hồ sơ đề nghị miễn</w:t>
      </w:r>
      <w:r w:rsidR="002443AA">
        <w:rPr>
          <w:bCs/>
          <w:spacing w:val="8"/>
          <w:lang w:val="pt-BR"/>
        </w:rPr>
        <w:t>,</w:t>
      </w:r>
      <w:r w:rsidR="002615A9" w:rsidRPr="00211773">
        <w:rPr>
          <w:bCs/>
          <w:spacing w:val="8"/>
          <w:lang w:val="pt-BR"/>
        </w:rPr>
        <w:t xml:space="preserve"> giảm tiền thuê đất xuất phát từ các nguyên nhân khách quan, trong đó có nguyên nhân thời gian thực hiện thủ tục cho thuê đất với cơ quan tài nguyên và môi trường bị kéo dài không xuất phát từ nguyên nhân chủ quan của người thuê đất.</w:t>
      </w:r>
    </w:p>
    <w:p w:rsidR="002615A9" w:rsidRPr="00211773" w:rsidRDefault="002615A9" w:rsidP="00304A15">
      <w:pPr>
        <w:spacing w:before="120" w:after="120" w:line="264" w:lineRule="auto"/>
        <w:ind w:firstLine="720"/>
        <w:jc w:val="both"/>
        <w:outlineLvl w:val="0"/>
        <w:rPr>
          <w:bCs/>
          <w:spacing w:val="8"/>
          <w:lang w:val="pt-BR"/>
        </w:rPr>
      </w:pPr>
      <w:r w:rsidRPr="00211773">
        <w:rPr>
          <w:bCs/>
          <w:spacing w:val="8"/>
          <w:lang w:val="pt-BR"/>
        </w:rPr>
        <w:t xml:space="preserve">Về nội dung này, Bộ Tài chính trình Chính phủ như sau: Hiện nay mới có thành phố Hà Nội, Công ty cấp nước sạch Hà Nội và Hiệp hội cấp nước </w:t>
      </w:r>
      <w:r w:rsidR="00931A58">
        <w:rPr>
          <w:bCs/>
          <w:spacing w:val="8"/>
          <w:lang w:val="pt-BR"/>
        </w:rPr>
        <w:t>Việt Nam</w:t>
      </w:r>
      <w:r w:rsidRPr="00211773">
        <w:rPr>
          <w:bCs/>
          <w:spacing w:val="8"/>
          <w:lang w:val="pt-BR"/>
        </w:rPr>
        <w:t>... có ý kiến về nội dung này</w:t>
      </w:r>
      <w:r w:rsidR="00931A58">
        <w:rPr>
          <w:bCs/>
          <w:spacing w:val="8"/>
          <w:lang w:val="pt-BR"/>
        </w:rPr>
        <w:t>, Bộ Tài chính chưa tổng hợp vào dự thảo.</w:t>
      </w:r>
    </w:p>
    <w:p w:rsidR="002615A9" w:rsidRPr="002443AA" w:rsidRDefault="002443AA" w:rsidP="00304A15">
      <w:pPr>
        <w:spacing w:before="120" w:after="120" w:line="264" w:lineRule="auto"/>
        <w:ind w:firstLine="720"/>
        <w:jc w:val="both"/>
        <w:outlineLvl w:val="0"/>
        <w:rPr>
          <w:bCs/>
          <w:i/>
          <w:spacing w:val="8"/>
          <w:lang w:val="pt-BR"/>
        </w:rPr>
      </w:pPr>
      <w:r w:rsidRPr="002443AA">
        <w:rPr>
          <w:bCs/>
          <w:i/>
          <w:spacing w:val="8"/>
          <w:lang w:val="pt-BR"/>
        </w:rPr>
        <w:t>(</w:t>
      </w:r>
      <w:r w:rsidR="002615A9" w:rsidRPr="002443AA">
        <w:rPr>
          <w:bCs/>
          <w:i/>
          <w:spacing w:val="8"/>
          <w:lang w:val="pt-BR"/>
        </w:rPr>
        <w:t>Đề nghị các Bộ, địa phương liên quan</w:t>
      </w:r>
      <w:r w:rsidR="00931A58">
        <w:rPr>
          <w:bCs/>
          <w:i/>
          <w:spacing w:val="8"/>
          <w:lang w:val="pt-BR"/>
        </w:rPr>
        <w:t xml:space="preserve"> rà soát</w:t>
      </w:r>
      <w:r w:rsidR="002615A9" w:rsidRPr="002443AA">
        <w:rPr>
          <w:bCs/>
          <w:i/>
          <w:spacing w:val="8"/>
          <w:lang w:val="pt-BR"/>
        </w:rPr>
        <w:t xml:space="preserve"> có thêm ý kiến về nội dung này</w:t>
      </w:r>
      <w:r w:rsidRPr="002443AA">
        <w:rPr>
          <w:bCs/>
          <w:i/>
          <w:spacing w:val="8"/>
          <w:lang w:val="pt-BR"/>
        </w:rPr>
        <w:t>)</w:t>
      </w:r>
      <w:r w:rsidR="002615A9" w:rsidRPr="002443AA">
        <w:rPr>
          <w:bCs/>
          <w:i/>
          <w:spacing w:val="8"/>
          <w:lang w:val="pt-BR"/>
        </w:rPr>
        <w:t>.</w:t>
      </w:r>
    </w:p>
    <w:p w:rsidR="00630D3B" w:rsidRPr="00211773" w:rsidRDefault="00ED0AC3" w:rsidP="00304A15">
      <w:pPr>
        <w:spacing w:before="120" w:after="120" w:line="264" w:lineRule="auto"/>
        <w:ind w:firstLine="720"/>
        <w:jc w:val="both"/>
        <w:outlineLvl w:val="0"/>
        <w:rPr>
          <w:b/>
          <w:bCs/>
          <w:spacing w:val="8"/>
          <w:lang w:val="pt-BR"/>
        </w:rPr>
      </w:pPr>
      <w:r w:rsidRPr="00211773">
        <w:rPr>
          <w:b/>
          <w:bCs/>
          <w:spacing w:val="8"/>
          <w:lang w:val="pt-BR"/>
        </w:rPr>
        <w:t xml:space="preserve">2.6. Về xử </w:t>
      </w:r>
      <w:r w:rsidR="003138B4" w:rsidRPr="00211773">
        <w:rPr>
          <w:b/>
          <w:bCs/>
          <w:spacing w:val="8"/>
          <w:lang w:val="pt-BR"/>
        </w:rPr>
        <w:t xml:space="preserve">lý chuyển tiếp đối với trường hợp </w:t>
      </w:r>
      <w:r w:rsidR="003138B4" w:rsidRPr="00211773">
        <w:rPr>
          <w:b/>
          <w:iCs/>
          <w:lang w:val="vi-VN"/>
        </w:rPr>
        <w:t xml:space="preserve">người sử dụng đất </w:t>
      </w:r>
      <w:r w:rsidR="003138B4" w:rsidRPr="00211773">
        <w:rPr>
          <w:b/>
          <w:iCs/>
          <w:lang w:val="pt-BR"/>
        </w:rPr>
        <w:t>đư</w:t>
      </w:r>
      <w:r w:rsidR="003138B4" w:rsidRPr="00211773">
        <w:rPr>
          <w:b/>
          <w:iCs/>
          <w:lang w:val="vi-VN"/>
        </w:rPr>
        <w:t>ợc giao đất</w:t>
      </w:r>
      <w:r w:rsidR="003138B4" w:rsidRPr="00211773">
        <w:rPr>
          <w:b/>
          <w:iCs/>
          <w:lang w:val="pt-BR"/>
        </w:rPr>
        <w:t>, cho thuê đất</w:t>
      </w:r>
      <w:r w:rsidR="003138B4" w:rsidRPr="00211773">
        <w:rPr>
          <w:b/>
          <w:iCs/>
          <w:lang w:val="vi-VN"/>
        </w:rPr>
        <w:t>, cho ph</w:t>
      </w:r>
      <w:r w:rsidR="003138B4" w:rsidRPr="00211773">
        <w:rPr>
          <w:b/>
          <w:iCs/>
          <w:lang w:val="pt-BR"/>
        </w:rPr>
        <w:t>ép chuy</w:t>
      </w:r>
      <w:r w:rsidR="003138B4" w:rsidRPr="00211773">
        <w:rPr>
          <w:b/>
          <w:iCs/>
          <w:lang w:val="vi-VN"/>
        </w:rPr>
        <w:t>ển mục đ</w:t>
      </w:r>
      <w:r w:rsidR="003138B4" w:rsidRPr="00211773">
        <w:rPr>
          <w:b/>
          <w:iCs/>
          <w:lang w:val="pt-BR"/>
        </w:rPr>
        <w:t>ích s</w:t>
      </w:r>
      <w:r w:rsidR="003138B4" w:rsidRPr="00211773">
        <w:rPr>
          <w:b/>
          <w:iCs/>
          <w:lang w:val="vi-VN"/>
        </w:rPr>
        <w:t>ử dụng đất, c</w:t>
      </w:r>
      <w:r w:rsidR="003138B4" w:rsidRPr="00211773">
        <w:rPr>
          <w:b/>
          <w:iCs/>
          <w:lang w:val="pt-BR"/>
        </w:rPr>
        <w:t>ông nh</w:t>
      </w:r>
      <w:r w:rsidR="003138B4" w:rsidRPr="00211773">
        <w:rPr>
          <w:b/>
          <w:iCs/>
          <w:lang w:val="vi-VN"/>
        </w:rPr>
        <w:t>ận quyền sử dụng đất, điều chỉnh quyết định giao đất, cho ph</w:t>
      </w:r>
      <w:r w:rsidR="003138B4" w:rsidRPr="00211773">
        <w:rPr>
          <w:b/>
          <w:iCs/>
          <w:lang w:val="pt-BR"/>
        </w:rPr>
        <w:t>ép điều</w:t>
      </w:r>
      <w:r w:rsidR="003138B4" w:rsidRPr="00211773">
        <w:rPr>
          <w:b/>
          <w:iCs/>
          <w:lang w:val="vi-VN"/>
        </w:rPr>
        <w:t> chỉnh quy hoạch chi tiết</w:t>
      </w:r>
      <w:r w:rsidR="003138B4" w:rsidRPr="00211773">
        <w:rPr>
          <w:b/>
          <w:iCs/>
          <w:lang w:val="pt-BR"/>
        </w:rPr>
        <w:t xml:space="preserve"> theo quy định </w:t>
      </w:r>
      <w:r w:rsidR="003138B4" w:rsidRPr="00211773">
        <w:rPr>
          <w:b/>
          <w:iCs/>
          <w:lang w:val="vi-VN"/>
        </w:rPr>
        <w:t>của ph</w:t>
      </w:r>
      <w:r w:rsidR="003138B4" w:rsidRPr="00211773">
        <w:rPr>
          <w:b/>
          <w:iCs/>
          <w:lang w:val="pt-BR"/>
        </w:rPr>
        <w:t>áp luật</w:t>
      </w:r>
      <w:r w:rsidR="003138B4" w:rsidRPr="00211773">
        <w:rPr>
          <w:b/>
          <w:iCs/>
          <w:lang w:val="vi-VN"/>
        </w:rPr>
        <w:t> trước ng</w:t>
      </w:r>
      <w:r w:rsidR="003138B4" w:rsidRPr="00211773">
        <w:rPr>
          <w:b/>
          <w:iCs/>
          <w:lang w:val="pt-BR"/>
        </w:rPr>
        <w:t>ày Luật</w:t>
      </w:r>
      <w:r w:rsidR="003138B4" w:rsidRPr="00211773">
        <w:rPr>
          <w:b/>
          <w:iCs/>
          <w:lang w:val="vi-VN"/>
        </w:rPr>
        <w:t> Đất đai năm 2024 c</w:t>
      </w:r>
      <w:r w:rsidR="003138B4" w:rsidRPr="00211773">
        <w:rPr>
          <w:b/>
          <w:iCs/>
          <w:lang w:val="pt-BR"/>
        </w:rPr>
        <w:t>ó hi</w:t>
      </w:r>
      <w:r w:rsidR="003138B4" w:rsidRPr="00211773">
        <w:rPr>
          <w:b/>
          <w:iCs/>
          <w:lang w:val="vi-VN"/>
        </w:rPr>
        <w:t>ệu lực thi h</w:t>
      </w:r>
      <w:r w:rsidR="003138B4" w:rsidRPr="00211773">
        <w:rPr>
          <w:b/>
          <w:iCs/>
          <w:lang w:val="pt-BR"/>
        </w:rPr>
        <w:t>ành</w:t>
      </w:r>
    </w:p>
    <w:p w:rsidR="003138B4" w:rsidRPr="00211773" w:rsidRDefault="003138B4" w:rsidP="00304A15">
      <w:pPr>
        <w:spacing w:before="120" w:after="120" w:line="264" w:lineRule="auto"/>
        <w:ind w:firstLine="720"/>
        <w:jc w:val="both"/>
        <w:outlineLvl w:val="0"/>
        <w:rPr>
          <w:color w:val="000000"/>
          <w:shd w:val="clear" w:color="auto" w:fill="FFFFFF"/>
          <w:lang w:val="pt-BR"/>
        </w:rPr>
      </w:pPr>
      <w:r w:rsidRPr="00211773">
        <w:rPr>
          <w:bCs/>
          <w:spacing w:val="8"/>
          <w:lang w:val="pt-BR"/>
        </w:rPr>
        <w:t>Tại khoản 1 Điều 50, khoản 7 Điều 51 Nghị định số 103/2024/NĐ-CP quy định xử lý chuyển tiếp đối với trường hợp được giao đất, cho thuê đất</w:t>
      </w:r>
      <w:r w:rsidRPr="00211773">
        <w:rPr>
          <w:iCs/>
          <w:lang w:val="vi-VN"/>
        </w:rPr>
        <w:t>, cho ph</w:t>
      </w:r>
      <w:r w:rsidRPr="00211773">
        <w:rPr>
          <w:iCs/>
          <w:lang w:val="pt-BR"/>
        </w:rPr>
        <w:t>ép chuy</w:t>
      </w:r>
      <w:r w:rsidRPr="00211773">
        <w:rPr>
          <w:iCs/>
          <w:lang w:val="vi-VN"/>
        </w:rPr>
        <w:t>ển mục đ</w:t>
      </w:r>
      <w:r w:rsidRPr="00211773">
        <w:rPr>
          <w:iCs/>
          <w:lang w:val="pt-BR"/>
        </w:rPr>
        <w:t>ích s</w:t>
      </w:r>
      <w:r w:rsidRPr="00211773">
        <w:rPr>
          <w:iCs/>
          <w:lang w:val="vi-VN"/>
        </w:rPr>
        <w:t>ử dụng đất, c</w:t>
      </w:r>
      <w:r w:rsidRPr="00211773">
        <w:rPr>
          <w:iCs/>
          <w:lang w:val="pt-BR"/>
        </w:rPr>
        <w:t>ông nh</w:t>
      </w:r>
      <w:r w:rsidRPr="00211773">
        <w:rPr>
          <w:iCs/>
          <w:lang w:val="vi-VN"/>
        </w:rPr>
        <w:t>ận quyền sử dụng đất, điều chỉnh quyết định giao đất, cho ph</w:t>
      </w:r>
      <w:r w:rsidRPr="00211773">
        <w:rPr>
          <w:iCs/>
          <w:lang w:val="pt-BR"/>
        </w:rPr>
        <w:t>ép điều</w:t>
      </w:r>
      <w:r w:rsidRPr="00211773">
        <w:rPr>
          <w:iCs/>
          <w:lang w:val="vi-VN"/>
        </w:rPr>
        <w:t> chỉnh quy hoạch chi tiết</w:t>
      </w:r>
      <w:r w:rsidRPr="00211773">
        <w:rPr>
          <w:iCs/>
          <w:lang w:val="pt-BR"/>
        </w:rPr>
        <w:t xml:space="preserve"> và đã được cơ quan nhà nước có thẩm quyền </w:t>
      </w:r>
      <w:r w:rsidRPr="00211773">
        <w:rPr>
          <w:iCs/>
          <w:lang w:val="vi-VN"/>
        </w:rPr>
        <w:t>t</w:t>
      </w:r>
      <w:r w:rsidRPr="00211773">
        <w:rPr>
          <w:iCs/>
          <w:lang w:val="pt-BR"/>
        </w:rPr>
        <w:t>ính, thông báo ti</w:t>
      </w:r>
      <w:r w:rsidRPr="00211773">
        <w:rPr>
          <w:iCs/>
          <w:lang w:val="vi-VN"/>
        </w:rPr>
        <w:t>ền sử dụng đất</w:t>
      </w:r>
      <w:r w:rsidRPr="00211773">
        <w:rPr>
          <w:iCs/>
          <w:lang w:val="pt-BR"/>
        </w:rPr>
        <w:t>, tiền thuê đất</w:t>
      </w:r>
      <w:r w:rsidRPr="00211773">
        <w:rPr>
          <w:iCs/>
          <w:lang w:val="vi-VN"/>
        </w:rPr>
        <w:t xml:space="preserve"> phải nộp</w:t>
      </w:r>
      <w:r w:rsidRPr="00211773">
        <w:rPr>
          <w:iCs/>
          <w:lang w:val="pt-BR"/>
        </w:rPr>
        <w:t xml:space="preserve"> theo quy định </w:t>
      </w:r>
      <w:r w:rsidRPr="00211773">
        <w:rPr>
          <w:iCs/>
          <w:lang w:val="vi-VN"/>
        </w:rPr>
        <w:t>của ph</w:t>
      </w:r>
      <w:r w:rsidRPr="00211773">
        <w:rPr>
          <w:iCs/>
          <w:lang w:val="pt-BR"/>
        </w:rPr>
        <w:t>áp luật</w:t>
      </w:r>
      <w:r w:rsidRPr="00211773">
        <w:rPr>
          <w:iCs/>
          <w:lang w:val="vi-VN"/>
        </w:rPr>
        <w:t> trước ng</w:t>
      </w:r>
      <w:r w:rsidRPr="00211773">
        <w:rPr>
          <w:iCs/>
          <w:lang w:val="pt-BR"/>
        </w:rPr>
        <w:t>ày Luật</w:t>
      </w:r>
      <w:r w:rsidRPr="00211773">
        <w:rPr>
          <w:iCs/>
          <w:lang w:val="vi-VN"/>
        </w:rPr>
        <w:t> Đất đai năm 2024 c</w:t>
      </w:r>
      <w:r w:rsidRPr="00211773">
        <w:rPr>
          <w:iCs/>
          <w:lang w:val="pt-BR"/>
        </w:rPr>
        <w:t>ó hi</w:t>
      </w:r>
      <w:r w:rsidRPr="00211773">
        <w:rPr>
          <w:iCs/>
          <w:lang w:val="vi-VN"/>
        </w:rPr>
        <w:t>ệu lực thi h</w:t>
      </w:r>
      <w:r w:rsidRPr="00211773">
        <w:rPr>
          <w:iCs/>
          <w:lang w:val="pt-BR"/>
        </w:rPr>
        <w:t xml:space="preserve">ành, đã hoàn thành hoặc chưa hoàn thành nghĩa vụ về tiền sử dụng đất, tiền </w:t>
      </w:r>
      <w:r w:rsidRPr="00211773">
        <w:rPr>
          <w:iCs/>
          <w:lang w:val="pt-BR"/>
        </w:rPr>
        <w:lastRenderedPageBreak/>
        <w:t xml:space="preserve">thuê đất và trường hợp cơ quan nhà nước có thẩm quyền tính lại mà phát sinh khoản tiền sử dụng đất, tiền thuê đất tăng thêm so với số tiền đã được thông báo. Tuy nhiên, có ý kiến cho rằng cần tách bạch quy định nêu trên với quy định tại khoản 4 Điều 52 Nghị định số 103/2024/NĐ-CP (xử lý chuyển tiếp đối với trường hợp </w:t>
      </w:r>
      <w:bookmarkStart w:id="6" w:name="khoan_4_52"/>
      <w:r w:rsidRPr="00211773">
        <w:rPr>
          <w:color w:val="000000"/>
          <w:shd w:val="clear" w:color="auto" w:fill="FFFFFF"/>
          <w:lang w:val="pt-BR"/>
        </w:rPr>
        <w:t>chuyển mục đích sử dụng đất trước ngày Nghị định</w:t>
      </w:r>
      <w:r w:rsidR="00381A53">
        <w:rPr>
          <w:color w:val="000000"/>
          <w:shd w:val="clear" w:color="auto" w:fill="FFFFFF"/>
          <w:lang w:val="pt-BR"/>
        </w:rPr>
        <w:t xml:space="preserve"> số</w:t>
      </w:r>
      <w:r w:rsidRPr="00211773">
        <w:rPr>
          <w:color w:val="000000"/>
          <w:shd w:val="clear" w:color="auto" w:fill="FFFFFF"/>
          <w:lang w:val="pt-BR"/>
        </w:rPr>
        <w:t xml:space="preserve"> </w:t>
      </w:r>
      <w:r w:rsidRPr="00211773">
        <w:rPr>
          <w:iCs/>
          <w:lang w:val="pt-BR"/>
        </w:rPr>
        <w:t>103/2024/NĐ-CP</w:t>
      </w:r>
      <w:r w:rsidRPr="00211773">
        <w:rPr>
          <w:color w:val="000000"/>
          <w:shd w:val="clear" w:color="auto" w:fill="FFFFFF"/>
          <w:lang w:val="pt-BR"/>
        </w:rPr>
        <w:t xml:space="preserve"> có hiệu lực thi hành nhưng đến ngày Nghị định </w:t>
      </w:r>
      <w:r w:rsidRPr="00211773">
        <w:rPr>
          <w:iCs/>
          <w:lang w:val="pt-BR"/>
        </w:rPr>
        <w:t>103/2024/NĐ-CP</w:t>
      </w:r>
      <w:r w:rsidRPr="00211773">
        <w:rPr>
          <w:color w:val="000000"/>
          <w:shd w:val="clear" w:color="auto" w:fill="FFFFFF"/>
          <w:lang w:val="pt-BR"/>
        </w:rPr>
        <w:t xml:space="preserve"> có hiệu lực thi hành chưa hoàn thành nghĩa vụ về tiền sử dụng đất, tiền thuê đất mà đất trước khi chuyển mục đích sử dụng đất có nhiều hình thức sử dụng đất </w:t>
      </w:r>
      <w:bookmarkEnd w:id="6"/>
      <w:r w:rsidRPr="00211773">
        <w:rPr>
          <w:color w:val="000000"/>
          <w:shd w:val="clear" w:color="auto" w:fill="FFFFFF"/>
          <w:lang w:val="pt-BR"/>
        </w:rPr>
        <w:t>ho</w:t>
      </w:r>
      <w:r w:rsidRPr="00211773">
        <w:rPr>
          <w:color w:val="000000"/>
          <w:shd w:val="clear" w:color="auto" w:fill="FFFFFF"/>
          <w:lang w:val="vi-VN"/>
        </w:rPr>
        <w:t>ặc dự </w:t>
      </w:r>
      <w:r w:rsidRPr="00211773">
        <w:rPr>
          <w:color w:val="000000"/>
          <w:shd w:val="clear" w:color="auto" w:fill="FFFFFF"/>
          <w:lang w:val="pt-BR"/>
        </w:rPr>
        <w:t>án sau khi chuy</w:t>
      </w:r>
      <w:r w:rsidRPr="00211773">
        <w:rPr>
          <w:color w:val="000000"/>
          <w:shd w:val="clear" w:color="auto" w:fill="FFFFFF"/>
          <w:lang w:val="vi-VN"/>
        </w:rPr>
        <w:t>ển mục đ</w:t>
      </w:r>
      <w:r w:rsidRPr="00211773">
        <w:rPr>
          <w:color w:val="000000"/>
          <w:shd w:val="clear" w:color="auto" w:fill="FFFFFF"/>
          <w:lang w:val="pt-BR"/>
        </w:rPr>
        <w:t>ích có nhi</w:t>
      </w:r>
      <w:r w:rsidRPr="00211773">
        <w:rPr>
          <w:color w:val="000000"/>
          <w:shd w:val="clear" w:color="auto" w:fill="FFFFFF"/>
          <w:lang w:val="vi-VN"/>
        </w:rPr>
        <w:t>ều h</w:t>
      </w:r>
      <w:r w:rsidRPr="00211773">
        <w:rPr>
          <w:color w:val="000000"/>
          <w:shd w:val="clear" w:color="auto" w:fill="FFFFFF"/>
          <w:lang w:val="pt-BR"/>
        </w:rPr>
        <w:t>ình th</w:t>
      </w:r>
      <w:r w:rsidRPr="00211773">
        <w:rPr>
          <w:color w:val="000000"/>
          <w:shd w:val="clear" w:color="auto" w:fill="FFFFFF"/>
          <w:lang w:val="vi-VN"/>
        </w:rPr>
        <w:t>ức sử dụng đất</w:t>
      </w:r>
      <w:r w:rsidR="00C25EE9" w:rsidRPr="009756E6">
        <w:rPr>
          <w:color w:val="000000"/>
          <w:shd w:val="clear" w:color="auto" w:fill="FFFFFF"/>
          <w:lang w:val="pt-BR"/>
        </w:rPr>
        <w:t>)</w:t>
      </w:r>
      <w:r w:rsidRPr="00211773">
        <w:rPr>
          <w:color w:val="000000"/>
          <w:shd w:val="clear" w:color="auto" w:fill="FFFFFF"/>
          <w:lang w:val="pt-BR"/>
        </w:rPr>
        <w:t>.</w:t>
      </w:r>
    </w:p>
    <w:p w:rsidR="003138B4" w:rsidRPr="00F054C0" w:rsidRDefault="003138B4" w:rsidP="00304A15">
      <w:pPr>
        <w:spacing w:before="120" w:after="120" w:line="264" w:lineRule="auto"/>
        <w:ind w:firstLine="720"/>
        <w:jc w:val="both"/>
        <w:outlineLvl w:val="0"/>
        <w:rPr>
          <w:bCs/>
          <w:spacing w:val="8"/>
          <w:lang w:val="pt-BR"/>
        </w:rPr>
      </w:pPr>
      <w:r w:rsidRPr="00211773">
        <w:rPr>
          <w:color w:val="000000"/>
          <w:shd w:val="clear" w:color="auto" w:fill="FFFFFF"/>
          <w:lang w:val="pt-BR"/>
        </w:rPr>
        <w:t xml:space="preserve">Do đó, để rõ ràng trong tổ chức thực hiện, Bộ Tài chính trình Chính phủ bổ sung quy định tại </w:t>
      </w:r>
      <w:r w:rsidRPr="00211773">
        <w:rPr>
          <w:bCs/>
          <w:spacing w:val="8"/>
          <w:lang w:val="pt-BR"/>
        </w:rPr>
        <w:t>khoản 1 Điều 50, khoản 7 Điều 51 Nghị định số 103/</w:t>
      </w:r>
      <w:r w:rsidRPr="002443AA">
        <w:rPr>
          <w:bCs/>
          <w:spacing w:val="8"/>
          <w:lang w:val="pt-BR"/>
        </w:rPr>
        <w:t>2024/NĐ-CP nội dung: “</w:t>
      </w:r>
      <w:r w:rsidR="009C5DA7" w:rsidRPr="002443AA">
        <w:rPr>
          <w:i/>
          <w:iCs/>
          <w:lang w:val="pt-BR"/>
        </w:rPr>
        <w:t>Riêng đối với trường hợp chuyển mục đích sử dụng đất</w:t>
      </w:r>
      <w:r w:rsidR="009C5DA7" w:rsidRPr="002443AA">
        <w:rPr>
          <w:i/>
          <w:shd w:val="clear" w:color="auto" w:fill="FFFFFF"/>
          <w:lang w:val="pt-BR"/>
        </w:rPr>
        <w:t xml:space="preserve"> trước ngày Nghị định </w:t>
      </w:r>
      <w:r w:rsidR="009C5DA7" w:rsidRPr="002443AA">
        <w:rPr>
          <w:i/>
          <w:iCs/>
          <w:lang w:val="pt-BR"/>
        </w:rPr>
        <w:t>này</w:t>
      </w:r>
      <w:r w:rsidR="009C5DA7" w:rsidRPr="002443AA">
        <w:rPr>
          <w:i/>
          <w:shd w:val="clear" w:color="auto" w:fill="FFFFFF"/>
          <w:lang w:val="pt-BR"/>
        </w:rPr>
        <w:t xml:space="preserve"> có hiệu lực thi hành</w:t>
      </w:r>
      <w:r w:rsidR="009C5DA7" w:rsidRPr="002443AA">
        <w:rPr>
          <w:i/>
          <w:iCs/>
          <w:lang w:val="pt-BR"/>
        </w:rPr>
        <w:t xml:space="preserve"> mà đất trước khi chuyển mục đích sử dụng đất có nhiều hình thức sử dụng đất ho</w:t>
      </w:r>
      <w:r w:rsidR="009C5DA7" w:rsidRPr="002443AA">
        <w:rPr>
          <w:i/>
          <w:iCs/>
          <w:lang w:val="vi-VN"/>
        </w:rPr>
        <w:t>ặc dự </w:t>
      </w:r>
      <w:r w:rsidR="009C5DA7" w:rsidRPr="002443AA">
        <w:rPr>
          <w:i/>
          <w:iCs/>
          <w:lang w:val="pt-BR"/>
        </w:rPr>
        <w:t>án sau khi chuy</w:t>
      </w:r>
      <w:r w:rsidR="009C5DA7" w:rsidRPr="002443AA">
        <w:rPr>
          <w:i/>
          <w:iCs/>
          <w:lang w:val="vi-VN"/>
        </w:rPr>
        <w:t>ển mục đ</w:t>
      </w:r>
      <w:r w:rsidR="009C5DA7" w:rsidRPr="002443AA">
        <w:rPr>
          <w:i/>
          <w:iCs/>
          <w:lang w:val="pt-BR"/>
        </w:rPr>
        <w:t>ích có nhi</w:t>
      </w:r>
      <w:r w:rsidR="009C5DA7" w:rsidRPr="002443AA">
        <w:rPr>
          <w:i/>
          <w:iCs/>
          <w:lang w:val="vi-VN"/>
        </w:rPr>
        <w:t>ều h</w:t>
      </w:r>
      <w:r w:rsidR="009C5DA7" w:rsidRPr="002443AA">
        <w:rPr>
          <w:i/>
          <w:iCs/>
          <w:lang w:val="pt-BR"/>
        </w:rPr>
        <w:t>ình th</w:t>
      </w:r>
      <w:r w:rsidR="009C5DA7" w:rsidRPr="002443AA">
        <w:rPr>
          <w:i/>
          <w:iCs/>
          <w:lang w:val="vi-VN"/>
        </w:rPr>
        <w:t>ức sử dụng đất</w:t>
      </w:r>
      <w:r w:rsidR="00724333" w:rsidRPr="002443AA">
        <w:rPr>
          <w:i/>
          <w:iCs/>
          <w:lang w:val="pt-BR"/>
        </w:rPr>
        <w:t xml:space="preserve"> nhưng đến này Nghị định số 103/2024/NĐ-CP</w:t>
      </w:r>
      <w:r w:rsidR="009C5DA7" w:rsidRPr="002443AA">
        <w:rPr>
          <w:i/>
          <w:iCs/>
          <w:lang w:val="pt-BR"/>
        </w:rPr>
        <w:t xml:space="preserve"> có hiệu lực thi hành người sử dụng đất chưa hoàn thành nghĩa </w:t>
      </w:r>
      <w:r w:rsidR="009C5DA7" w:rsidRPr="00F054C0">
        <w:rPr>
          <w:i/>
          <w:iCs/>
          <w:lang w:val="pt-BR"/>
        </w:rPr>
        <w:t xml:space="preserve">vụ về tiền sử dụng đất, tiền thuê đất thì thực hiện theo quy định tại </w:t>
      </w:r>
      <w:r w:rsidR="009C5DA7" w:rsidRPr="00F054C0">
        <w:rPr>
          <w:bCs/>
          <w:i/>
          <w:iCs/>
          <w:lang w:val="pt-BR"/>
        </w:rPr>
        <w:t>khoản 4 Điều 52 Nghị định này</w:t>
      </w:r>
      <w:r w:rsidRPr="00F054C0">
        <w:rPr>
          <w:bCs/>
          <w:i/>
          <w:iCs/>
          <w:lang w:val="pt-BR"/>
        </w:rPr>
        <w:t>.</w:t>
      </w:r>
      <w:r w:rsidRPr="00F054C0">
        <w:rPr>
          <w:bCs/>
          <w:spacing w:val="8"/>
          <w:lang w:val="pt-BR"/>
        </w:rPr>
        <w:t>”</w:t>
      </w:r>
    </w:p>
    <w:p w:rsidR="00FE1524" w:rsidRPr="00F054C0" w:rsidRDefault="00FE1524" w:rsidP="00FE1524">
      <w:pPr>
        <w:spacing w:before="120" w:after="120" w:line="264" w:lineRule="auto"/>
        <w:ind w:firstLine="720"/>
        <w:jc w:val="both"/>
        <w:rPr>
          <w:b/>
          <w:bCs/>
          <w:lang w:val="it-IT"/>
        </w:rPr>
      </w:pPr>
      <w:r w:rsidRPr="00F054C0">
        <w:rPr>
          <w:b/>
          <w:bCs/>
          <w:lang w:val="it-IT"/>
        </w:rPr>
        <w:t>2.7. Về xử lý chuyển tiếp đối với trường hợp hộ gia đình, cá nhân chuyển mục đích sử dụng đất sử dụng đất từ đất vườn, ao trong cùng thửa đất có nhà ở không được công nhận là đất ở theo pháp luật về đất đai trước Luật Đất đai năm 2024 (nay là đất nông nghiệp trong cùng thửa đất có nhà ở theo Luật Đất đai năm 2024) sang đất ở.</w:t>
      </w:r>
    </w:p>
    <w:p w:rsidR="00FE1524" w:rsidRPr="00F054C0" w:rsidRDefault="00FE1524" w:rsidP="00FE1524">
      <w:pPr>
        <w:spacing w:before="120" w:after="120" w:line="264" w:lineRule="auto"/>
        <w:ind w:firstLine="720"/>
        <w:jc w:val="both"/>
        <w:rPr>
          <w:bCs/>
          <w:lang w:val="it-IT"/>
        </w:rPr>
      </w:pPr>
      <w:r w:rsidRPr="00F054C0">
        <w:rPr>
          <w:bCs/>
          <w:lang w:val="it-IT"/>
        </w:rPr>
        <w:t>Theo quy định tại pháp luật về thu tiền sử dụng đất theo Luật Đất đai năm 2013 (điểm a khoản 2 Điều 5 Nghị định số 45/2014/NĐ-CP ngày 15/5/2014 của Chính phủ) thì:</w:t>
      </w:r>
      <w:r w:rsidRPr="00F054C0">
        <w:rPr>
          <w:bCs/>
          <w:i/>
          <w:lang w:val="it-IT"/>
        </w:rPr>
        <w:t xml:space="preserve"> Trường hợp hộ gia đình, cá nhân chuyển từ đất vườn, ao trong cùng thửa đất có nhà ở thuộc khu dân cư không được công nhận là đất ở theo quy định tại Khoản 6 Điều 103 Luật Đất đai sang làm đất ở; chuyển từ đất có nguồn gốc là đất vườn, ao gắn liền nhà ở nhưng người sử dụng đất tách ra để chuyển quyền hoặc do đơn vị đo đạc khi đo vẽ bản đồ địa chính từ trước ngày 01 tháng 7 năm 2004 đã tự đo đạc tách thành các thửa riêng sang đất ở thì thu tiền sử dụng đất bằng 50% chênh lệch giữa tiền sử dụng đất tính theo giá đất ở với tiền sử dụng đất tính theo giá đất nông nghiệp tại thời điểm có quyết định chuyển mục đích của cơ quan nhà nước có thẩm quyền.</w:t>
      </w:r>
      <w:r w:rsidRPr="00F054C0">
        <w:rPr>
          <w:bCs/>
          <w:lang w:val="it-IT"/>
        </w:rPr>
        <w:t xml:space="preserve"> Nay, Luật Đất đai năm 2024 không còn quy định về “đất vườn, ao trong cùng thửa đất có nhà ở” mà gọi là “đất nông nghiệp trong cùng thửa đất có nhà ở”.</w:t>
      </w:r>
    </w:p>
    <w:p w:rsidR="00FE1524" w:rsidRPr="00F054C0" w:rsidRDefault="00FE1524" w:rsidP="00FE1524">
      <w:pPr>
        <w:spacing w:before="120" w:after="120" w:line="264" w:lineRule="auto"/>
        <w:ind w:firstLine="720"/>
        <w:jc w:val="both"/>
        <w:outlineLvl w:val="0"/>
        <w:rPr>
          <w:bCs/>
          <w:lang w:val="it-IT"/>
        </w:rPr>
      </w:pPr>
      <w:r w:rsidRPr="00F054C0">
        <w:rPr>
          <w:bCs/>
          <w:lang w:val="it-IT"/>
        </w:rPr>
        <w:t xml:space="preserve">Tuy nhiên, tại Nghị định số 103/2014/NĐ-CP không có quy định riêng cho trường hợp nêu trên mà chỉ có quy định chung chuyển từ đất nông nghiệp sang đất ở thì nộp 100% tiền sử dụng đất của đất ở trừ tiền sử dụng đất, tiền thuê </w:t>
      </w:r>
      <w:r w:rsidRPr="00F054C0">
        <w:rPr>
          <w:bCs/>
          <w:lang w:val="it-IT"/>
        </w:rPr>
        <w:lastRenderedPageBreak/>
        <w:t xml:space="preserve">đất của đất nông nghiệp. Vì vậy, thời gian qua có một số ý kiến cho rằng mức thu tiền sử dụng đất khi hộ gia đình, cá nhân chuyển mục đích sử dụng đất từ đất nông nghiệp trong cùng thửa đất có nhà ở (đất vườn ao liền kề thửa đất có nhà ở) sang đất ở là cao so với quy định trước đây. Vì vậy, Bộ Tài chính trình Chính phủ bổ sung khoản </w:t>
      </w:r>
      <w:r w:rsidR="00D55419" w:rsidRPr="00F054C0">
        <w:rPr>
          <w:bCs/>
          <w:lang w:val="it-IT"/>
        </w:rPr>
        <w:t>6</w:t>
      </w:r>
      <w:r w:rsidRPr="00F054C0">
        <w:rPr>
          <w:bCs/>
          <w:lang w:val="it-IT"/>
        </w:rPr>
        <w:t xml:space="preserve"> vào Điều 52 Nghị định số 103/2024/NĐ-CP theo hướng quy định cụ thể trường hợp nêu trên thì tiền sử dụng đất tính bằng 50% chênh lệch giữa tiền sử dụng đất tính theo giá đất ở với tiền sử dụng đất, tiền thuê đất tính theo giá đất nông nghiệp tại thời điểm có quyết định chuyển mục đích của cơ quan nhà nước có thẩm quyền.</w:t>
      </w:r>
    </w:p>
    <w:p w:rsidR="00FE1524" w:rsidRPr="00F054C0" w:rsidRDefault="00D55419" w:rsidP="00FE1524">
      <w:pPr>
        <w:spacing w:before="120" w:after="120" w:line="264" w:lineRule="auto"/>
        <w:ind w:firstLine="720"/>
        <w:jc w:val="both"/>
        <w:outlineLvl w:val="0"/>
        <w:rPr>
          <w:b/>
          <w:shd w:val="clear" w:color="auto" w:fill="FFFFFF"/>
        </w:rPr>
      </w:pPr>
      <w:r w:rsidRPr="00F054C0">
        <w:rPr>
          <w:b/>
          <w:bCs/>
          <w:spacing w:val="8"/>
          <w:lang w:val="pt-BR"/>
        </w:rPr>
        <w:t xml:space="preserve">2.8. Về trách nhiệm </w:t>
      </w:r>
      <w:r w:rsidR="00DD5B67" w:rsidRPr="00F054C0">
        <w:rPr>
          <w:b/>
          <w:bCs/>
          <w:spacing w:val="8"/>
          <w:lang w:val="pt-BR"/>
        </w:rPr>
        <w:t xml:space="preserve">kê khai nộp tiền thuê đất trong trường hợp người sử dụng đất được Nhà nước cho thuê đất trả tiền thuê đất hằng năm và được miễn tiền thuê đất một số năm hoặc trường hợp </w:t>
      </w:r>
      <w:r w:rsidR="00DD5B67" w:rsidRPr="00F054C0">
        <w:rPr>
          <w:b/>
          <w:shd w:val="clear" w:color="auto" w:fill="FFFFFF"/>
        </w:rPr>
        <w:t>được trừ kinh phí bồi thường, giải phóng mặt bằng theo hình thức tính thành số năm, tháng hoàn thành nghĩa vụ tài chính về tiền thuê đất</w:t>
      </w:r>
      <w:r w:rsidR="00DD5B67" w:rsidRPr="00F054C0">
        <w:rPr>
          <w:b/>
          <w:shd w:val="clear" w:color="auto" w:fill="FFFFFF"/>
        </w:rPr>
        <w:t>.</w:t>
      </w:r>
    </w:p>
    <w:p w:rsidR="00DD5B67" w:rsidRPr="007B0631" w:rsidRDefault="00DD5B67" w:rsidP="00FE1524">
      <w:pPr>
        <w:spacing w:before="120" w:after="120" w:line="264" w:lineRule="auto"/>
        <w:ind w:firstLine="720"/>
        <w:jc w:val="both"/>
        <w:outlineLvl w:val="0"/>
        <w:rPr>
          <w:bCs/>
          <w:spacing w:val="8"/>
        </w:rPr>
      </w:pPr>
      <w:r w:rsidRPr="00F054C0">
        <w:rPr>
          <w:bCs/>
          <w:spacing w:val="8"/>
          <w:lang w:val="pt-BR"/>
        </w:rPr>
        <w:t>Tại khoản 6 Điều 44 Nghị định số 103/20</w:t>
      </w:r>
      <w:r>
        <w:rPr>
          <w:bCs/>
          <w:spacing w:val="8"/>
          <w:lang w:val="pt-BR"/>
        </w:rPr>
        <w:t>24/NĐ-CP q</w:t>
      </w:r>
      <w:r>
        <w:rPr>
          <w:bCs/>
          <w:spacing w:val="8"/>
          <w:lang w:val="pt-BR"/>
        </w:rPr>
        <w:tab/>
        <w:t xml:space="preserve">uy định trách nhiệm của người sử dụng đất trong việc kê khai </w:t>
      </w:r>
      <w:r w:rsidRPr="00DD5B67">
        <w:rPr>
          <w:bCs/>
          <w:spacing w:val="8"/>
          <w:lang w:val="pt-BR"/>
        </w:rPr>
        <w:t xml:space="preserve">nộp tiền sử dụng đất, tiền thuê đất theo quy định tại Nghị định số 103/2024/NĐ-CP và quy định của Luật </w:t>
      </w:r>
      <w:r w:rsidRPr="007B0631">
        <w:rPr>
          <w:bCs/>
          <w:spacing w:val="8"/>
          <w:lang w:val="pt-BR"/>
        </w:rPr>
        <w:t xml:space="preserve">Quản lý thuế và các văn bản hướng dẫn thi hành; đồng thời, tại khoản 7 Điều 39 Nghị </w:t>
      </w:r>
      <w:r w:rsidR="007B0631" w:rsidRPr="007B0631">
        <w:rPr>
          <w:bCs/>
          <w:spacing w:val="8"/>
          <w:lang w:val="pt-BR"/>
        </w:rPr>
        <w:t>định số 103/2024/NĐ-CP quy định</w:t>
      </w:r>
      <w:r w:rsidRPr="007B0631">
        <w:rPr>
          <w:bCs/>
          <w:spacing w:val="8"/>
          <w:lang w:val="pt-BR"/>
        </w:rPr>
        <w:t xml:space="preserve"> trường hợp </w:t>
      </w:r>
      <w:r w:rsidRPr="007B0631">
        <w:rPr>
          <w:color w:val="000000"/>
          <w:shd w:val="clear" w:color="auto" w:fill="FFFFFF"/>
          <w:lang w:val="vi-VN"/>
        </w:rPr>
        <w:t>được Nh</w:t>
      </w:r>
      <w:r w:rsidRPr="007B0631">
        <w:rPr>
          <w:color w:val="000000"/>
          <w:shd w:val="clear" w:color="auto" w:fill="FFFFFF"/>
        </w:rPr>
        <w:t>à nư</w:t>
      </w:r>
      <w:r w:rsidRPr="007B0631">
        <w:rPr>
          <w:color w:val="000000"/>
          <w:shd w:val="clear" w:color="auto" w:fill="FFFFFF"/>
          <w:lang w:val="vi-VN"/>
        </w:rPr>
        <w:t>ớc cho thu</w:t>
      </w:r>
      <w:r w:rsidRPr="007B0631">
        <w:rPr>
          <w:color w:val="000000"/>
          <w:shd w:val="clear" w:color="auto" w:fill="FFFFFF"/>
        </w:rPr>
        <w:t>ê đ</w:t>
      </w:r>
      <w:r w:rsidRPr="007B0631">
        <w:rPr>
          <w:color w:val="000000"/>
          <w:shd w:val="clear" w:color="auto" w:fill="FFFFFF"/>
          <w:lang w:val="vi-VN"/>
        </w:rPr>
        <w:t>ất trả tiền thu</w:t>
      </w:r>
      <w:r w:rsidRPr="007B0631">
        <w:rPr>
          <w:color w:val="000000"/>
          <w:shd w:val="clear" w:color="auto" w:fill="FFFFFF"/>
        </w:rPr>
        <w:t>ê đ</w:t>
      </w:r>
      <w:r w:rsidRPr="007B0631">
        <w:rPr>
          <w:color w:val="000000"/>
          <w:shd w:val="clear" w:color="auto" w:fill="FFFFFF"/>
          <w:lang w:val="vi-VN"/>
        </w:rPr>
        <w:t>ất hằng năm v</w:t>
      </w:r>
      <w:r w:rsidRPr="007B0631">
        <w:rPr>
          <w:color w:val="000000"/>
          <w:shd w:val="clear" w:color="auto" w:fill="FFFFFF"/>
        </w:rPr>
        <w:t>à đư</w:t>
      </w:r>
      <w:r w:rsidRPr="007B0631">
        <w:rPr>
          <w:color w:val="000000"/>
          <w:shd w:val="clear" w:color="auto" w:fill="FFFFFF"/>
          <w:lang w:val="vi-VN"/>
        </w:rPr>
        <w:t>ợc miễn tiền thu</w:t>
      </w:r>
      <w:r w:rsidRPr="007B0631">
        <w:rPr>
          <w:color w:val="000000"/>
          <w:shd w:val="clear" w:color="auto" w:fill="FFFFFF"/>
        </w:rPr>
        <w:t>ê đ</w:t>
      </w:r>
      <w:r w:rsidRPr="007B0631">
        <w:rPr>
          <w:color w:val="000000"/>
          <w:shd w:val="clear" w:color="auto" w:fill="FFFFFF"/>
          <w:lang w:val="vi-VN"/>
        </w:rPr>
        <w:t>ất một số năm</w:t>
      </w:r>
      <w:r w:rsidR="007B0631" w:rsidRPr="007B0631">
        <w:rPr>
          <w:color w:val="000000"/>
          <w:shd w:val="clear" w:color="auto" w:fill="FFFFFF"/>
        </w:rPr>
        <w:t xml:space="preserve"> thì trư</w:t>
      </w:r>
      <w:r w:rsidR="007B0631" w:rsidRPr="007B0631">
        <w:rPr>
          <w:color w:val="000000"/>
          <w:shd w:val="clear" w:color="auto" w:fill="FFFFFF"/>
          <w:lang w:val="vi-VN"/>
        </w:rPr>
        <w:t>ớc thời điểm hết thời hạn 06 th</w:t>
      </w:r>
      <w:r w:rsidR="007B0631" w:rsidRPr="007B0631">
        <w:rPr>
          <w:color w:val="000000"/>
          <w:shd w:val="clear" w:color="auto" w:fill="FFFFFF"/>
        </w:rPr>
        <w:t>áng đư</w:t>
      </w:r>
      <w:r w:rsidR="007B0631" w:rsidRPr="007B0631">
        <w:rPr>
          <w:color w:val="000000"/>
          <w:shd w:val="clear" w:color="auto" w:fill="FFFFFF"/>
          <w:lang w:val="vi-VN"/>
        </w:rPr>
        <w:t>ợc miễn tiền thu</w:t>
      </w:r>
      <w:r w:rsidR="007B0631" w:rsidRPr="007B0631">
        <w:rPr>
          <w:color w:val="000000"/>
          <w:shd w:val="clear" w:color="auto" w:fill="FFFFFF"/>
        </w:rPr>
        <w:t>ê đ</w:t>
      </w:r>
      <w:r w:rsidR="007B0631" w:rsidRPr="007B0631">
        <w:rPr>
          <w:color w:val="000000"/>
          <w:shd w:val="clear" w:color="auto" w:fill="FFFFFF"/>
          <w:lang w:val="vi-VN"/>
        </w:rPr>
        <w:t>ất, người sử dụng đất phải đi l</w:t>
      </w:r>
      <w:r w:rsidR="007B0631" w:rsidRPr="007B0631">
        <w:rPr>
          <w:color w:val="000000"/>
          <w:shd w:val="clear" w:color="auto" w:fill="FFFFFF"/>
        </w:rPr>
        <w:t>àm th</w:t>
      </w:r>
      <w:r w:rsidR="007B0631" w:rsidRPr="007B0631">
        <w:rPr>
          <w:color w:val="000000"/>
          <w:shd w:val="clear" w:color="auto" w:fill="FFFFFF"/>
          <w:lang w:val="vi-VN"/>
        </w:rPr>
        <w:t>ủ tục để x</w:t>
      </w:r>
      <w:r w:rsidR="007B0631" w:rsidRPr="007B0631">
        <w:rPr>
          <w:color w:val="000000"/>
          <w:shd w:val="clear" w:color="auto" w:fill="FFFFFF"/>
        </w:rPr>
        <w:t>ác đ</w:t>
      </w:r>
      <w:r w:rsidR="007B0631" w:rsidRPr="007B0631">
        <w:rPr>
          <w:color w:val="000000"/>
          <w:shd w:val="clear" w:color="auto" w:fill="FFFFFF"/>
          <w:lang w:val="vi-VN"/>
        </w:rPr>
        <w:t>ịnh v</w:t>
      </w:r>
      <w:r w:rsidR="007B0631" w:rsidRPr="007B0631">
        <w:rPr>
          <w:color w:val="000000"/>
          <w:shd w:val="clear" w:color="auto" w:fill="FFFFFF"/>
        </w:rPr>
        <w:t>à thu, n</w:t>
      </w:r>
      <w:r w:rsidR="007B0631" w:rsidRPr="007B0631">
        <w:rPr>
          <w:color w:val="000000"/>
          <w:shd w:val="clear" w:color="auto" w:fill="FFFFFF"/>
          <w:lang w:val="vi-VN"/>
        </w:rPr>
        <w:t>ộp tiền thu</w:t>
      </w:r>
      <w:r w:rsidR="007B0631" w:rsidRPr="007B0631">
        <w:rPr>
          <w:color w:val="000000"/>
          <w:shd w:val="clear" w:color="auto" w:fill="FFFFFF"/>
        </w:rPr>
        <w:t>ê đ</w:t>
      </w:r>
      <w:r w:rsidR="007B0631" w:rsidRPr="007B0631">
        <w:rPr>
          <w:color w:val="000000"/>
          <w:shd w:val="clear" w:color="auto" w:fill="FFFFFF"/>
          <w:lang w:val="vi-VN"/>
        </w:rPr>
        <w:t>ất theo quy định</w:t>
      </w:r>
    </w:p>
    <w:p w:rsidR="00DD5B67" w:rsidRDefault="007B0631" w:rsidP="00FE1524">
      <w:pPr>
        <w:spacing w:before="120" w:after="120" w:line="264" w:lineRule="auto"/>
        <w:ind w:firstLine="720"/>
        <w:jc w:val="both"/>
        <w:outlineLvl w:val="0"/>
        <w:rPr>
          <w:bCs/>
          <w:spacing w:val="8"/>
          <w:lang w:val="pt-BR"/>
        </w:rPr>
      </w:pPr>
      <w:r>
        <w:rPr>
          <w:bCs/>
          <w:spacing w:val="8"/>
          <w:lang w:val="pt-BR"/>
        </w:rPr>
        <w:t xml:space="preserve">Tuy nhiên, có ý kiến cho rằng cần bổ sung chế tài xử lý đối với trường hợp nêu trên nhưng người sử dụng đất cố tình không kê khai nộp tiền thuê đất khi kết thúc thời gian được miễn tiền thuê đất một số năm, gây khó khăn cho cơ quan chức năng trong việc theo dõi tính, thu, nộp nghĩa vụ về tiền thuê đất theo quy định. Do vậy, Bộ Tài chính trình Chính phủ hoàn thiện quy định về trách nhiệm của người sử dụng đất trong trường hợp nêu trên theo hướng sửa đổi quy định tại </w:t>
      </w:r>
      <w:r w:rsidRPr="007B0631">
        <w:rPr>
          <w:bCs/>
          <w:spacing w:val="8"/>
          <w:lang w:val="pt-BR"/>
        </w:rPr>
        <w:t>khoản 7 Điều 39</w:t>
      </w:r>
      <w:r>
        <w:rPr>
          <w:bCs/>
          <w:spacing w:val="8"/>
          <w:lang w:val="pt-BR"/>
        </w:rPr>
        <w:t>, khoản 1 Điều 41</w:t>
      </w:r>
      <w:r w:rsidRPr="007B0631">
        <w:rPr>
          <w:bCs/>
          <w:spacing w:val="8"/>
          <w:lang w:val="pt-BR"/>
        </w:rPr>
        <w:t xml:space="preserve"> Nghị định số 103/2024/NĐ-CP</w:t>
      </w:r>
      <w:r>
        <w:rPr>
          <w:bCs/>
          <w:spacing w:val="8"/>
          <w:lang w:val="pt-BR"/>
        </w:rPr>
        <w:t xml:space="preserve"> như sau:</w:t>
      </w:r>
    </w:p>
    <w:p w:rsidR="007B0631" w:rsidRPr="007B0631" w:rsidRDefault="007B0631" w:rsidP="00FE1524">
      <w:pPr>
        <w:spacing w:before="120" w:after="120" w:line="264" w:lineRule="auto"/>
        <w:ind w:firstLine="720"/>
        <w:jc w:val="both"/>
        <w:outlineLvl w:val="0"/>
        <w:rPr>
          <w:bCs/>
          <w:spacing w:val="8"/>
          <w:lang w:val="pt-BR"/>
        </w:rPr>
      </w:pPr>
      <w:r w:rsidRPr="007B0631">
        <w:rPr>
          <w:bCs/>
          <w:spacing w:val="8"/>
          <w:lang w:val="pt-BR"/>
        </w:rPr>
        <w:t>“</w:t>
      </w:r>
      <w:r w:rsidRPr="007B0631">
        <w:rPr>
          <w:i/>
          <w:shd w:val="clear" w:color="auto" w:fill="FFFFFF"/>
        </w:rPr>
        <w:t>T</w:t>
      </w:r>
      <w:r w:rsidRPr="007B0631">
        <w:rPr>
          <w:i/>
          <w:shd w:val="clear" w:color="auto" w:fill="FFFFFF"/>
          <w:lang w:val="vi-VN"/>
        </w:rPr>
        <w:t>rường hợp được Nh</w:t>
      </w:r>
      <w:r w:rsidRPr="007B0631">
        <w:rPr>
          <w:i/>
          <w:shd w:val="clear" w:color="auto" w:fill="FFFFFF"/>
        </w:rPr>
        <w:t>à nư</w:t>
      </w:r>
      <w:r w:rsidRPr="007B0631">
        <w:rPr>
          <w:i/>
          <w:shd w:val="clear" w:color="auto" w:fill="FFFFFF"/>
          <w:lang w:val="vi-VN"/>
        </w:rPr>
        <w:t>ớc cho thu</w:t>
      </w:r>
      <w:r w:rsidRPr="007B0631">
        <w:rPr>
          <w:i/>
          <w:shd w:val="clear" w:color="auto" w:fill="FFFFFF"/>
        </w:rPr>
        <w:t>ê đ</w:t>
      </w:r>
      <w:r w:rsidRPr="007B0631">
        <w:rPr>
          <w:i/>
          <w:shd w:val="clear" w:color="auto" w:fill="FFFFFF"/>
          <w:lang w:val="vi-VN"/>
        </w:rPr>
        <w:t>ất trả tiền thu</w:t>
      </w:r>
      <w:r w:rsidRPr="007B0631">
        <w:rPr>
          <w:i/>
          <w:shd w:val="clear" w:color="auto" w:fill="FFFFFF"/>
        </w:rPr>
        <w:t>ê đ</w:t>
      </w:r>
      <w:r w:rsidRPr="007B0631">
        <w:rPr>
          <w:i/>
          <w:shd w:val="clear" w:color="auto" w:fill="FFFFFF"/>
          <w:lang w:val="vi-VN"/>
        </w:rPr>
        <w:t>ất hằng năm v</w:t>
      </w:r>
      <w:r w:rsidRPr="007B0631">
        <w:rPr>
          <w:i/>
          <w:shd w:val="clear" w:color="auto" w:fill="FFFFFF"/>
        </w:rPr>
        <w:t>à đư</w:t>
      </w:r>
      <w:r w:rsidRPr="007B0631">
        <w:rPr>
          <w:i/>
          <w:shd w:val="clear" w:color="auto" w:fill="FFFFFF"/>
          <w:lang w:val="vi-VN"/>
        </w:rPr>
        <w:t>ợc miễn tiền thu</w:t>
      </w:r>
      <w:r w:rsidRPr="007B0631">
        <w:rPr>
          <w:i/>
          <w:shd w:val="clear" w:color="auto" w:fill="FFFFFF"/>
        </w:rPr>
        <w:t>ê đ</w:t>
      </w:r>
      <w:r w:rsidRPr="007B0631">
        <w:rPr>
          <w:i/>
          <w:shd w:val="clear" w:color="auto" w:fill="FFFFFF"/>
          <w:lang w:val="vi-VN"/>
        </w:rPr>
        <w:t>ất một số năm theo quy định tại khoản 2 Điều</w:t>
      </w:r>
      <w:r w:rsidRPr="007B0631">
        <w:rPr>
          <w:i/>
          <w:shd w:val="clear" w:color="auto" w:fill="FFFFFF"/>
        </w:rPr>
        <w:t xml:space="preserve"> 39 Nghị định</w:t>
      </w:r>
      <w:r w:rsidRPr="007B0631">
        <w:rPr>
          <w:i/>
          <w:shd w:val="clear" w:color="auto" w:fill="FFFFFF"/>
          <w:lang w:val="vi-VN"/>
        </w:rPr>
        <w:t xml:space="preserve"> này</w:t>
      </w:r>
      <w:r w:rsidRPr="007B0631">
        <w:rPr>
          <w:i/>
          <w:shd w:val="clear" w:color="auto" w:fill="FFFFFF"/>
        </w:rPr>
        <w:t xml:space="preserve"> (hoặc được trừ kinh phí bồi thường, giải phóng mặt bằng theo hình thức tính thành số năm, tháng hoàn thành nghĩa vụ tài chính về tiền thuê đất) thì trư</w:t>
      </w:r>
      <w:r w:rsidRPr="007B0631">
        <w:rPr>
          <w:i/>
          <w:shd w:val="clear" w:color="auto" w:fill="FFFFFF"/>
          <w:lang w:val="vi-VN"/>
        </w:rPr>
        <w:t>ớc</w:t>
      </w:r>
      <w:r w:rsidRPr="007B0631">
        <w:rPr>
          <w:i/>
          <w:shd w:val="clear" w:color="auto" w:fill="FFFFFF"/>
        </w:rPr>
        <w:t xml:space="preserve"> </w:t>
      </w:r>
      <w:r w:rsidRPr="007B0631">
        <w:rPr>
          <w:i/>
          <w:shd w:val="clear" w:color="auto" w:fill="FFFFFF"/>
          <w:lang w:val="vi-VN"/>
        </w:rPr>
        <w:t xml:space="preserve">thời điểm hết thời hạn </w:t>
      </w:r>
      <w:r w:rsidRPr="007B0631">
        <w:rPr>
          <w:i/>
          <w:shd w:val="clear" w:color="auto" w:fill="FFFFFF"/>
        </w:rPr>
        <w:t>đư</w:t>
      </w:r>
      <w:r w:rsidRPr="007B0631">
        <w:rPr>
          <w:i/>
          <w:shd w:val="clear" w:color="auto" w:fill="FFFFFF"/>
          <w:lang w:val="vi-VN"/>
        </w:rPr>
        <w:t>ợc miễn tiền thu</w:t>
      </w:r>
      <w:r w:rsidRPr="007B0631">
        <w:rPr>
          <w:i/>
          <w:shd w:val="clear" w:color="auto" w:fill="FFFFFF"/>
        </w:rPr>
        <w:t>ê đ</w:t>
      </w:r>
      <w:r w:rsidRPr="007B0631">
        <w:rPr>
          <w:i/>
          <w:shd w:val="clear" w:color="auto" w:fill="FFFFFF"/>
          <w:lang w:val="vi-VN"/>
        </w:rPr>
        <w:t>ất</w:t>
      </w:r>
      <w:r w:rsidRPr="007B0631">
        <w:rPr>
          <w:i/>
          <w:shd w:val="clear" w:color="auto" w:fill="FFFFFF"/>
        </w:rPr>
        <w:t xml:space="preserve"> (hoặc thời điểm kết thúc thời gian hoàn thành nghĩa vụ tài chính do được trừ trừ kinh phí bồi thường, giải phóng mặt bằng) 06 tháng</w:t>
      </w:r>
      <w:r w:rsidRPr="007B0631">
        <w:rPr>
          <w:i/>
          <w:shd w:val="clear" w:color="auto" w:fill="FFFFFF"/>
          <w:lang w:val="vi-VN"/>
        </w:rPr>
        <w:t>, người sử dụng đất phải đi l</w:t>
      </w:r>
      <w:r w:rsidRPr="007B0631">
        <w:rPr>
          <w:i/>
          <w:shd w:val="clear" w:color="auto" w:fill="FFFFFF"/>
        </w:rPr>
        <w:t>àm th</w:t>
      </w:r>
      <w:r w:rsidRPr="007B0631">
        <w:rPr>
          <w:i/>
          <w:shd w:val="clear" w:color="auto" w:fill="FFFFFF"/>
          <w:lang w:val="vi-VN"/>
        </w:rPr>
        <w:t xml:space="preserve">ủ tục </w:t>
      </w:r>
      <w:r w:rsidRPr="007B0631">
        <w:rPr>
          <w:i/>
          <w:shd w:val="clear" w:color="auto" w:fill="FFFFFF"/>
        </w:rPr>
        <w:t>kê khai n</w:t>
      </w:r>
      <w:r w:rsidRPr="007B0631">
        <w:rPr>
          <w:i/>
          <w:shd w:val="clear" w:color="auto" w:fill="FFFFFF"/>
          <w:lang w:val="vi-VN"/>
        </w:rPr>
        <w:t>ộp tiền thu</w:t>
      </w:r>
      <w:r w:rsidRPr="007B0631">
        <w:rPr>
          <w:i/>
          <w:shd w:val="clear" w:color="auto" w:fill="FFFFFF"/>
        </w:rPr>
        <w:t>ê đ</w:t>
      </w:r>
      <w:r w:rsidRPr="007B0631">
        <w:rPr>
          <w:i/>
          <w:shd w:val="clear" w:color="auto" w:fill="FFFFFF"/>
          <w:lang w:val="vi-VN"/>
        </w:rPr>
        <w:t>ất theo quy định tại Nghị định này</w:t>
      </w:r>
      <w:r w:rsidRPr="007B0631">
        <w:rPr>
          <w:i/>
          <w:shd w:val="clear" w:color="auto" w:fill="FFFFFF"/>
        </w:rPr>
        <w:t xml:space="preserve">. </w:t>
      </w:r>
      <w:r w:rsidRPr="007B0631">
        <w:rPr>
          <w:i/>
        </w:rPr>
        <w:t xml:space="preserve">Trường hợp người sử dụng đất chậm làm thủ tục kê khai nộp tiền thuê đất theo quy định thì phải nộp số tiền </w:t>
      </w:r>
      <w:r w:rsidRPr="007B0631">
        <w:rPr>
          <w:i/>
        </w:rPr>
        <w:lastRenderedPageBreak/>
        <w:t>thuê đất truy thu và không được ổn định tiền thuê đất; đồng thời, phải nộp tiền chậm nộp tiền thuê đất theo quy định tính trên số tiền thuê đất phải nộp đối với thời gian chậm làm thủ tục kê khai nộp tiền thuê đất.</w:t>
      </w:r>
      <w:r w:rsidRPr="007B0631">
        <w:rPr>
          <w:bCs/>
          <w:spacing w:val="8"/>
          <w:lang w:val="pt-BR"/>
        </w:rPr>
        <w:t>”</w:t>
      </w:r>
    </w:p>
    <w:p w:rsidR="00D0116C" w:rsidRPr="00211773" w:rsidRDefault="00D0116C" w:rsidP="00D0116C">
      <w:pPr>
        <w:spacing w:before="120" w:after="120" w:line="264" w:lineRule="auto"/>
        <w:ind w:firstLine="720"/>
        <w:jc w:val="both"/>
        <w:rPr>
          <w:b/>
          <w:bCs/>
          <w:spacing w:val="8"/>
          <w:lang w:val="pt-BR"/>
        </w:rPr>
      </w:pPr>
      <w:r w:rsidRPr="00211773">
        <w:rPr>
          <w:b/>
          <w:bCs/>
          <w:lang w:val="it-IT"/>
        </w:rPr>
        <w:t xml:space="preserve">3. </w:t>
      </w:r>
      <w:r>
        <w:rPr>
          <w:b/>
          <w:bCs/>
          <w:lang w:val="it-IT"/>
        </w:rPr>
        <w:t>S</w:t>
      </w:r>
      <w:r w:rsidRPr="00211773">
        <w:rPr>
          <w:b/>
          <w:bCs/>
          <w:spacing w:val="8"/>
          <w:lang w:val="pt-BR"/>
        </w:rPr>
        <w:t xml:space="preserve">ửa đổi, bổ sung </w:t>
      </w:r>
      <w:r>
        <w:rPr>
          <w:b/>
          <w:bCs/>
          <w:spacing w:val="8"/>
          <w:lang w:val="pt-BR"/>
        </w:rPr>
        <w:t xml:space="preserve">một số điều của </w:t>
      </w:r>
      <w:r w:rsidRPr="00211773">
        <w:rPr>
          <w:b/>
          <w:bCs/>
          <w:spacing w:val="8"/>
          <w:lang w:val="pt-BR"/>
        </w:rPr>
        <w:t>Nghị định số 104/2024/NĐ-CP ngày 31/7/2024 của Chính phủ</w:t>
      </w:r>
      <w:r>
        <w:rPr>
          <w:b/>
          <w:bCs/>
          <w:spacing w:val="8"/>
          <w:lang w:val="pt-BR"/>
        </w:rPr>
        <w:t xml:space="preserve"> quy định về Quỹ phát triển đất (Điều 4 dự thảo)</w:t>
      </w:r>
    </w:p>
    <w:p w:rsidR="00D0116C" w:rsidRPr="00211773" w:rsidRDefault="00D0116C" w:rsidP="00D0116C">
      <w:pPr>
        <w:spacing w:before="120" w:after="120" w:line="264" w:lineRule="auto"/>
        <w:ind w:firstLine="720"/>
        <w:jc w:val="both"/>
        <w:outlineLvl w:val="0"/>
        <w:rPr>
          <w:bCs/>
          <w:spacing w:val="8"/>
          <w:lang w:val="pt-BR"/>
        </w:rPr>
      </w:pPr>
      <w:r w:rsidRPr="00211773">
        <w:rPr>
          <w:bCs/>
          <w:spacing w:val="8"/>
          <w:lang w:val="pt-BR"/>
        </w:rPr>
        <w:t xml:space="preserve">3.1. Về </w:t>
      </w:r>
      <w:r>
        <w:rPr>
          <w:bCs/>
          <w:spacing w:val="8"/>
          <w:lang w:val="pt-BR"/>
        </w:rPr>
        <w:t>quản lý nguồn vốn hoạt động của</w:t>
      </w:r>
      <w:r w:rsidRPr="00211773">
        <w:rPr>
          <w:bCs/>
          <w:spacing w:val="8"/>
          <w:lang w:val="pt-BR"/>
        </w:rPr>
        <w:t xml:space="preserve"> Quỹ phát triển đất</w:t>
      </w:r>
    </w:p>
    <w:p w:rsidR="00D0116C" w:rsidRPr="009756E6" w:rsidRDefault="00D0116C" w:rsidP="00D0116C">
      <w:pPr>
        <w:spacing w:before="120" w:after="120" w:line="264" w:lineRule="auto"/>
        <w:ind w:firstLine="720"/>
        <w:jc w:val="both"/>
        <w:outlineLvl w:val="0"/>
        <w:rPr>
          <w:bCs/>
          <w:i/>
          <w:iCs/>
          <w:lang w:val="pt-BR"/>
        </w:rPr>
      </w:pPr>
      <w:r w:rsidRPr="009756E6">
        <w:rPr>
          <w:lang w:val="pt-BR"/>
        </w:rPr>
        <w:t>- Tại khoản 3 Điều 12 Nghị định số 104/2024/NĐ-CP “</w:t>
      </w:r>
      <w:r w:rsidRPr="00211773">
        <w:rPr>
          <w:bCs/>
          <w:iCs/>
          <w:lang w:val="vi-VN"/>
        </w:rPr>
        <w:t>Quỹ phát triển đất thực hiện hạch toán và theo dõi toàn bộ vốn hoạt động của Quỹ phát triển đất theo quy định tại Nghị định này</w:t>
      </w:r>
      <w:r w:rsidRPr="009756E6">
        <w:rPr>
          <w:bCs/>
          <w:iCs/>
          <w:lang w:val="pt-BR"/>
        </w:rPr>
        <w:t xml:space="preserve">”; tuy nhiên, quá trình tổ chức thực hiện cho thấy </w:t>
      </w:r>
      <w:r w:rsidRPr="009756E6">
        <w:rPr>
          <w:lang w:val="pt-BR"/>
        </w:rPr>
        <w:t xml:space="preserve">chưa rõ có hay không phải chuyển nguồn vốn hoạt động của Quỹ phát triển đất sang Quỹ nhận ủy thác; do đó để thống nhất và rõ trong tổ chức thực hiện, dự thảo bổ sung quy định </w:t>
      </w:r>
      <w:r w:rsidRPr="009756E6">
        <w:rPr>
          <w:i/>
          <w:lang w:val="pt-BR"/>
        </w:rPr>
        <w:t>“</w:t>
      </w:r>
      <w:r w:rsidRPr="009756E6">
        <w:rPr>
          <w:bCs/>
          <w:i/>
          <w:iCs/>
          <w:lang w:val="pt-BR"/>
        </w:rPr>
        <w:t>không thực hiện chuyển nguồn vốn hoạt động của Quỹ phát triển đất sang Quỹ nhận ủy thác</w:t>
      </w:r>
      <w:r w:rsidRPr="00211773">
        <w:rPr>
          <w:bCs/>
          <w:iCs/>
          <w:lang w:val="vi-VN"/>
        </w:rPr>
        <w:t>”</w:t>
      </w:r>
      <w:r w:rsidRPr="009756E6">
        <w:rPr>
          <w:bCs/>
          <w:iCs/>
          <w:lang w:val="pt-BR"/>
        </w:rPr>
        <w:t xml:space="preserve"> (khoản 2 Điều 4 dự thảo Nghị định)</w:t>
      </w:r>
      <w:r w:rsidRPr="009756E6">
        <w:rPr>
          <w:bCs/>
          <w:i/>
          <w:iCs/>
          <w:lang w:val="pt-BR"/>
        </w:rPr>
        <w:t>.</w:t>
      </w:r>
    </w:p>
    <w:p w:rsidR="00D0116C" w:rsidRPr="00211773" w:rsidRDefault="00D0116C" w:rsidP="00D0116C">
      <w:pPr>
        <w:spacing w:before="120" w:after="120" w:line="264" w:lineRule="auto"/>
        <w:ind w:firstLine="720"/>
        <w:jc w:val="both"/>
        <w:outlineLvl w:val="0"/>
        <w:rPr>
          <w:spacing w:val="-2"/>
          <w:lang w:val="pt-BR"/>
        </w:rPr>
      </w:pPr>
      <w:r>
        <w:rPr>
          <w:bCs/>
          <w:spacing w:val="8"/>
          <w:lang w:val="pt-BR"/>
        </w:rPr>
        <w:t xml:space="preserve">- </w:t>
      </w:r>
      <w:r w:rsidRPr="009756E6">
        <w:rPr>
          <w:spacing w:val="-2"/>
          <w:lang w:val="pt-BR"/>
        </w:rPr>
        <w:t xml:space="preserve">Để </w:t>
      </w:r>
      <w:r w:rsidRPr="00211773">
        <w:rPr>
          <w:spacing w:val="-2"/>
          <w:lang w:val="pt-BR"/>
        </w:rPr>
        <w:t>các Quỹ có thêm nguồn thu đảm bảo hoạt động của Quỹ, phù hợp với nguyên tắc “</w:t>
      </w:r>
      <w:r w:rsidRPr="00211773">
        <w:rPr>
          <w:i/>
          <w:spacing w:val="-2"/>
          <w:lang w:val="pt-BR"/>
        </w:rPr>
        <w:t>Quỹ phát triển đất có trách nhiệm bảo toàn và phát triển vốn”</w:t>
      </w:r>
      <w:r w:rsidRPr="00211773">
        <w:rPr>
          <w:spacing w:val="-2"/>
          <w:lang w:val="pt-BR"/>
        </w:rPr>
        <w:t xml:space="preserve"> quy định tại khoản 2 Điều 114 Luật Đất đai năm 2024, khoản 1 Điều 5 </w:t>
      </w:r>
      <w:r w:rsidRPr="00211773">
        <w:rPr>
          <w:spacing w:val="-2"/>
          <w:shd w:val="clear" w:color="auto" w:fill="FFFFFF"/>
          <w:lang w:val="pt-BR"/>
        </w:rPr>
        <w:t xml:space="preserve">Nghị định </w:t>
      </w:r>
      <w:r w:rsidRPr="00211773">
        <w:rPr>
          <w:spacing w:val="-2"/>
          <w:lang w:val="pt-BR"/>
        </w:rPr>
        <w:t>số 104/2024/NĐ-CP; đồng thời đ</w:t>
      </w:r>
      <w:r w:rsidRPr="009756E6">
        <w:rPr>
          <w:spacing w:val="-2"/>
          <w:lang w:val="pt-BR"/>
        </w:rPr>
        <w:t xml:space="preserve">ể có sự thống nhất </w:t>
      </w:r>
      <w:r w:rsidRPr="00211773">
        <w:rPr>
          <w:spacing w:val="-2"/>
          <w:lang w:val="pt-BR"/>
        </w:rPr>
        <w:t>trong cách quản lý về nguồn tiền có nguồn gốc như nhau (“Vốn điều lệ của Quỹ” và “Ngân quỹ Nhà nước” đều có nguồn gốc từ ngân sách nhà nước; theo Điều 7 Nghị định số 24/2016/NĐ-CP ngày 05/4/20216 của Chính phủ quy định chế độ quản lý Ngân quỹ Nhà nước, vốn nhàn rỗi của Ngân quỹ Nhà nước được gửi có kỳ hạn); dự thảo Nghị định quy định “</w:t>
      </w:r>
      <w:r w:rsidRPr="00211773">
        <w:rPr>
          <w:i/>
          <w:spacing w:val="-2"/>
          <w:lang w:val="pt-BR"/>
        </w:rPr>
        <w:t xml:space="preserve">Trong thời gian tạm thời nhàn rỗi, vốn điều lệ của Quỹ được gửi có kỳ hạn tại các ngân hàng thương mại có vốn chi phối của Nhà nước trên địa bàn </w:t>
      </w:r>
      <w:r w:rsidRPr="009756E6">
        <w:rPr>
          <w:bCs/>
          <w:i/>
          <w:spacing w:val="-2"/>
          <w:lang w:val="pt-BR"/>
        </w:rPr>
        <w:t>và được quy định tại Điều lệ tổ chức và hoạt động của Quỹ phát triển đất</w:t>
      </w:r>
      <w:r w:rsidRPr="00211773">
        <w:rPr>
          <w:bCs/>
          <w:i/>
          <w:spacing w:val="-2"/>
          <w:lang w:val="vi-VN"/>
        </w:rPr>
        <w:t xml:space="preserve">, </w:t>
      </w:r>
      <w:r w:rsidRPr="00211773">
        <w:rPr>
          <w:bCs/>
          <w:i/>
          <w:spacing w:val="-2"/>
          <w:lang w:val="pt-BR"/>
        </w:rPr>
        <w:t>bảo</w:t>
      </w:r>
      <w:r w:rsidRPr="00211773">
        <w:rPr>
          <w:i/>
          <w:spacing w:val="-2"/>
          <w:lang w:val="pt-BR"/>
        </w:rPr>
        <w:t xml:space="preserve"> đảm an toàn, hiệu quả và không làm ảnh hưởng đến việc thực hiện nhiệm vụ của Quỹ” </w:t>
      </w:r>
      <w:r w:rsidRPr="009756E6">
        <w:rPr>
          <w:bCs/>
          <w:iCs/>
          <w:lang w:val="pt-BR"/>
        </w:rPr>
        <w:t>(khoản 3 Điều 4 dự thảo Nghị định)</w:t>
      </w:r>
      <w:r w:rsidRPr="009756E6">
        <w:rPr>
          <w:bCs/>
          <w:i/>
          <w:iCs/>
          <w:lang w:val="pt-BR"/>
        </w:rPr>
        <w:t>.</w:t>
      </w:r>
    </w:p>
    <w:p w:rsidR="00D0116C" w:rsidRPr="00211773" w:rsidRDefault="00D0116C" w:rsidP="00D0116C">
      <w:pPr>
        <w:spacing w:before="120" w:after="120" w:line="264" w:lineRule="auto"/>
        <w:ind w:firstLine="720"/>
        <w:jc w:val="both"/>
        <w:outlineLvl w:val="0"/>
        <w:rPr>
          <w:bCs/>
          <w:lang w:val="pt-BR"/>
        </w:rPr>
      </w:pPr>
      <w:r w:rsidRPr="009756E6">
        <w:rPr>
          <w:lang w:val="pt-BR"/>
        </w:rPr>
        <w:t>3.2. Về m</w:t>
      </w:r>
      <w:r w:rsidRPr="00211773">
        <w:rPr>
          <w:bCs/>
          <w:lang w:val="pt-BR"/>
        </w:rPr>
        <w:t>ức chi phí quản lý vốn ứng từ Quỹ phát triển đất</w:t>
      </w:r>
    </w:p>
    <w:p w:rsidR="00D0116C" w:rsidRPr="009756E6" w:rsidRDefault="00D0116C" w:rsidP="00D0116C">
      <w:pPr>
        <w:spacing w:before="60" w:line="276" w:lineRule="auto"/>
        <w:ind w:firstLine="709"/>
        <w:jc w:val="both"/>
        <w:rPr>
          <w:lang w:val="pt-BR"/>
        </w:rPr>
      </w:pPr>
      <w:r w:rsidRPr="00211773">
        <w:rPr>
          <w:bCs/>
          <w:lang w:val="pt-BR"/>
        </w:rPr>
        <w:t xml:space="preserve">Tại khoản 1 Điều 17 Nghị định số 104/2024/NĐ-CP quy định </w:t>
      </w:r>
      <w:r w:rsidRPr="00211773">
        <w:rPr>
          <w:bCs/>
          <w:i/>
          <w:lang w:val="pt-BR"/>
        </w:rPr>
        <w:t xml:space="preserve">“Mức chi phí quản lý vốn ứng từ Quỹ </w:t>
      </w:r>
      <w:r w:rsidRPr="00211773">
        <w:rPr>
          <w:i/>
          <w:shd w:val="clear" w:color="auto" w:fill="FFFFFF"/>
          <w:lang w:val="pt-BR"/>
        </w:rPr>
        <w:t>bằng mức lãi suất áp dụng đối với tiền gửi bằng đồng Việt Nam của Kho bạc Nhà nước tại Ngân hàng Nhà nước Việt Nam theo quyết định của Thống đốc Ngân hàng Nhà nước Việt Nam trong cùng thời kỳ</w:t>
      </w:r>
      <w:r w:rsidRPr="00211773">
        <w:rPr>
          <w:bCs/>
          <w:i/>
          <w:lang w:val="pt-BR"/>
        </w:rPr>
        <w:t>”</w:t>
      </w:r>
      <w:r w:rsidRPr="00211773">
        <w:rPr>
          <w:bCs/>
          <w:lang w:val="pt-BR"/>
        </w:rPr>
        <w:t>; tuy nhiên, để rõ và thống nhất trong tổ chức thực hiện dự thảo quy định “</w:t>
      </w:r>
      <w:r w:rsidRPr="00211773">
        <w:rPr>
          <w:i/>
          <w:lang w:val="pt-BR"/>
        </w:rPr>
        <w:t xml:space="preserve">Mức chi phí quản lý vốn ứng từ Quỹ phát triển đất xác định theo mức tại thời điểm </w:t>
      </w:r>
      <w:r w:rsidRPr="009756E6">
        <w:rPr>
          <w:i/>
          <w:lang w:val="pt-BR"/>
        </w:rPr>
        <w:t xml:space="preserve">ban hành Quyết định ứng vốn lần đầu </w:t>
      </w:r>
      <w:r w:rsidRPr="00211773">
        <w:rPr>
          <w:i/>
          <w:lang w:val="pt-BR"/>
        </w:rPr>
        <w:t>của dự án, nhiệm vụ, tính trên tổng số tiền ứng vốn và được cố định trong cả quá trình ứng vốn”</w:t>
      </w:r>
      <w:r w:rsidRPr="00211773">
        <w:rPr>
          <w:lang w:val="pt-BR"/>
        </w:rPr>
        <w:t>. Đồng thời t</w:t>
      </w:r>
      <w:r w:rsidRPr="009756E6">
        <w:rPr>
          <w:lang w:val="pt-BR"/>
        </w:rPr>
        <w:t xml:space="preserve">heo phản ánh của một số địa phương thì tùy vào thực tế từng địa phương, vẫn nên có quy định </w:t>
      </w:r>
      <w:r w:rsidRPr="009756E6">
        <w:rPr>
          <w:lang w:val="pt-BR"/>
        </w:rPr>
        <w:lastRenderedPageBreak/>
        <w:t xml:space="preserve">mức chi phí quản lý vốn ứng có thể thấp hơn mức quy định tại Nghị định (như ứng vốn để thực hiện bồi thường, giải phóng mặt bằng), phù hợp với nguyên tắc hoạt động của Quỹ phát triển đất </w:t>
      </w:r>
      <w:r w:rsidRPr="009756E6">
        <w:rPr>
          <w:i/>
          <w:lang w:val="pt-BR"/>
        </w:rPr>
        <w:t>“không vì mục đích lợi nhuận, bảo toàn và phát triển vốn”</w:t>
      </w:r>
      <w:r w:rsidRPr="009756E6">
        <w:rPr>
          <w:lang w:val="pt-BR"/>
        </w:rPr>
        <w:t>; do đó, tại khoản 4 Điều 4 dự thảo Nghị định hoàn thiện như sau: “</w:t>
      </w:r>
      <w:r w:rsidRPr="00211773">
        <w:rPr>
          <w:bCs/>
          <w:i/>
          <w:lang w:val="pt-BR"/>
        </w:rPr>
        <w:t xml:space="preserve">Mức chi phí quản lý vốn ứng từ Quỹ </w:t>
      </w:r>
      <w:r>
        <w:rPr>
          <w:i/>
          <w:shd w:val="clear" w:color="auto" w:fill="FFFFFF"/>
          <w:lang w:val="pt-BR"/>
        </w:rPr>
        <w:t xml:space="preserve">không vượt quá </w:t>
      </w:r>
      <w:r w:rsidRPr="00211773">
        <w:rPr>
          <w:i/>
          <w:shd w:val="clear" w:color="auto" w:fill="FFFFFF"/>
          <w:lang w:val="pt-BR"/>
        </w:rPr>
        <w:t>mức lãi suất áp dụng</w:t>
      </w:r>
      <w:r>
        <w:rPr>
          <w:i/>
          <w:shd w:val="clear" w:color="auto" w:fill="FFFFFF"/>
          <w:lang w:val="pt-BR"/>
        </w:rPr>
        <w:t xml:space="preserve"> đối với... </w:t>
      </w:r>
      <w:r w:rsidRPr="009756E6">
        <w:rPr>
          <w:bCs/>
          <w:i/>
          <w:szCs w:val="20"/>
          <w:lang w:val="pt-BR"/>
        </w:rPr>
        <w:t>Căn cứ tình hình thực tế tại địa phương, Ủy ban nhân dân cấp tỉnh quyết định mức chi phí quản lý vốn ứng cho phù hợp và được quy định tại Điều lệ tổ chức và hoạt động của Quỹ”.</w:t>
      </w:r>
    </w:p>
    <w:p w:rsidR="00D0116C" w:rsidRPr="00211773" w:rsidRDefault="00D0116C" w:rsidP="00D0116C">
      <w:pPr>
        <w:widowControl w:val="0"/>
        <w:spacing w:before="120" w:after="120"/>
        <w:ind w:firstLine="720"/>
        <w:jc w:val="both"/>
        <w:rPr>
          <w:bCs/>
          <w:iCs/>
          <w:spacing w:val="-2"/>
          <w:lang w:val="pt-BR"/>
        </w:rPr>
      </w:pPr>
      <w:r>
        <w:rPr>
          <w:spacing w:val="-2"/>
          <w:lang w:val="pt-BR"/>
        </w:rPr>
        <w:t>3.3</w:t>
      </w:r>
      <w:r w:rsidRPr="00211773">
        <w:rPr>
          <w:spacing w:val="-2"/>
          <w:lang w:val="pt-BR"/>
        </w:rPr>
        <w:t>. Về các khoản thu- chi của Quỹ phát triển đất</w:t>
      </w:r>
    </w:p>
    <w:p w:rsidR="00D0116C" w:rsidRPr="009756E6" w:rsidRDefault="00D0116C" w:rsidP="00D0116C">
      <w:pPr>
        <w:spacing w:before="120" w:after="120"/>
        <w:ind w:right="113" w:firstLine="720"/>
        <w:jc w:val="both"/>
        <w:rPr>
          <w:iCs/>
          <w:lang w:val="pt-BR"/>
        </w:rPr>
      </w:pPr>
      <w:r w:rsidRPr="009756E6">
        <w:rPr>
          <w:iCs/>
          <w:lang w:val="pt-BR"/>
        </w:rPr>
        <w:t xml:space="preserve">Theo quy định tại Điều 21 Nghị định số 104/2024/NĐ-CP thì chi phí ủy thác quản lý Quỹ là </w:t>
      </w:r>
      <w:r w:rsidRPr="009756E6">
        <w:rPr>
          <w:i/>
          <w:iCs/>
          <w:lang w:val="pt-BR"/>
        </w:rPr>
        <w:t>“toàn bộ các khoản thu của Quỹ quy định tại khoản 1 Điều 21 Nghị định số 104/2024/NĐ-CP”</w:t>
      </w:r>
      <w:r w:rsidRPr="009756E6">
        <w:rPr>
          <w:iCs/>
          <w:lang w:val="pt-BR"/>
        </w:rPr>
        <w:t>; theo đó, trong không phát sinh chênh lệch thu-chi từ Quỹ trong trường hợp Quỹ hoạt động theo mô hình ủy thác.</w:t>
      </w:r>
    </w:p>
    <w:p w:rsidR="00D0116C" w:rsidRPr="009756E6" w:rsidRDefault="00D0116C" w:rsidP="00D0116C">
      <w:pPr>
        <w:spacing w:before="120" w:after="120"/>
        <w:ind w:right="113" w:firstLine="720"/>
        <w:jc w:val="both"/>
        <w:rPr>
          <w:iCs/>
          <w:lang w:val="pt-BR"/>
        </w:rPr>
      </w:pPr>
      <w:r w:rsidRPr="009756E6">
        <w:rPr>
          <w:iCs/>
          <w:lang w:val="pt-BR"/>
        </w:rPr>
        <w:t xml:space="preserve">Nay, tại khoản 5 Điều 4 dự thảo Nghị định quy định các khoản chi của Quỹ trong trường hợp ủy thác gồm: (i) Chi phí ủy thác quản lý Quỹ; (ii) Chi các khoản phụ cấp và các khoản chi khác </w:t>
      </w:r>
      <w:r w:rsidRPr="009756E6">
        <w:rPr>
          <w:lang w:val="pt-BR"/>
        </w:rPr>
        <w:t xml:space="preserve">cho các thành viên Hội đồng quản lý, Ban kiểm soát, Cơ quan điều hành nghiệp vụ Quỹ; (iii) Các khoản nộp ngân sách nhà nước và các khoản chi khác theo quy định của pháp luật. Trong đó nội dung chi (ii) dự kiến tối đa 20%, nội dung chi (iii) dự kiến tối đa 15% so với các khoản thu của Quỹ nêu trên; nếu không khống chế nội dung chi (i) thì về cơ bản sẽ không phát sinh chênh lệch thu - chi, thậm chí có thể vượt thu; theo đó, dự thảo quy định </w:t>
      </w:r>
      <w:r w:rsidRPr="00211773">
        <w:rPr>
          <w:iCs/>
          <w:lang w:val="pt-BR"/>
        </w:rPr>
        <w:t xml:space="preserve">chi phí ủy thác quản lý Quỹ </w:t>
      </w:r>
      <w:r w:rsidRPr="009756E6">
        <w:rPr>
          <w:iCs/>
          <w:lang w:val="pt-BR"/>
        </w:rPr>
        <w:t>không quá 50% khoản thu của Quỹ để đảm bảo</w:t>
      </w:r>
      <w:r w:rsidRPr="009756E6">
        <w:rPr>
          <w:lang w:val="pt-BR"/>
        </w:rPr>
        <w:t xml:space="preserve"> nguyên tắc hoạt động của Quỹ là bảo toàn và phát triển vốn</w:t>
      </w:r>
      <w:r w:rsidRPr="009756E6">
        <w:rPr>
          <w:iCs/>
          <w:lang w:val="pt-BR"/>
        </w:rPr>
        <w:t>.</w:t>
      </w:r>
      <w:r w:rsidRPr="009756E6">
        <w:rPr>
          <w:lang w:val="pt-BR"/>
        </w:rPr>
        <w:t xml:space="preserve"> </w:t>
      </w:r>
    </w:p>
    <w:p w:rsidR="00D0116C" w:rsidRPr="00211773" w:rsidRDefault="00D0116C" w:rsidP="00D0116C">
      <w:pPr>
        <w:widowControl w:val="0"/>
        <w:spacing w:before="120" w:after="120"/>
        <w:ind w:firstLine="720"/>
        <w:jc w:val="both"/>
        <w:rPr>
          <w:bCs/>
          <w:spacing w:val="8"/>
          <w:lang w:val="pt-BR"/>
        </w:rPr>
      </w:pPr>
      <w:r>
        <w:rPr>
          <w:bCs/>
          <w:spacing w:val="8"/>
          <w:lang w:val="pt-BR"/>
        </w:rPr>
        <w:t>3.4. Về xử lý chuyển tiếp</w:t>
      </w:r>
    </w:p>
    <w:p w:rsidR="0098424B" w:rsidRPr="00211773" w:rsidRDefault="00D0116C" w:rsidP="00D0116C">
      <w:pPr>
        <w:spacing w:before="120" w:after="120" w:line="264" w:lineRule="auto"/>
        <w:ind w:firstLine="720"/>
        <w:jc w:val="both"/>
        <w:outlineLvl w:val="0"/>
        <w:rPr>
          <w:bCs/>
          <w:i/>
          <w:color w:val="FF0000"/>
          <w:spacing w:val="8"/>
          <w:lang w:val="pt-BR"/>
        </w:rPr>
      </w:pPr>
      <w:r w:rsidRPr="009756E6">
        <w:rPr>
          <w:bCs/>
          <w:iCs/>
          <w:lang w:val="pt-BR"/>
        </w:rPr>
        <w:t xml:space="preserve">Để bao quát các trường hợp phát sinh trong thực tế và tránh vướng mắc trong quá trình tổ chức thực hiện, tại khoản 5 Điều 4 dự thảo Nghị định bổ sung quy định: (i) đối với trường hợp </w:t>
      </w:r>
      <w:r w:rsidRPr="00211773">
        <w:rPr>
          <w:lang w:val="sv-SE"/>
        </w:rPr>
        <w:t>đã ứng vốn theo đúng quy định của pháp luật trước ngày Nghị định này có hiệu lực thi hành thì tiếp tục thực hiện ứng vốn theo quyết định của cơ quan, người có thẩm quyền ban hành và việc hoàn trả vốn ứng cho Quỹ</w:t>
      </w:r>
      <w:r w:rsidRPr="009756E6">
        <w:rPr>
          <w:lang w:val="pt-BR"/>
        </w:rPr>
        <w:t xml:space="preserve">; (ii) quy định </w:t>
      </w:r>
      <w:r w:rsidRPr="00211773">
        <w:rPr>
          <w:lang w:val="sv-SE"/>
        </w:rPr>
        <w:t xml:space="preserve">nguồn vốn hiện có của Quỹ phát triển đất đến thời điểm Nghị định này có hiệu lực thi hành được tính vào vốn điều lệ ban đầu của Quỹ được xác định theo quy định tại Điều 13 Nghị định 104/2024/NĐ-CP; </w:t>
      </w:r>
      <w:r w:rsidRPr="009756E6">
        <w:rPr>
          <w:lang w:val="pt-BR"/>
        </w:rPr>
        <w:t xml:space="preserve">việc xử lý chênh lệch thừa thiếu giữa nguồn vốn hiện có và mức vốn điều lệ ban đầu của Quỹ (Lý do: </w:t>
      </w:r>
      <w:r w:rsidR="00C25EE9" w:rsidRPr="009756E6">
        <w:rPr>
          <w:bCs/>
          <w:iCs/>
          <w:spacing w:val="-2"/>
          <w:lang w:val="pt-BR"/>
        </w:rPr>
        <w:t>Kể từ ngày 01/8/2024 - ngày</w:t>
      </w:r>
      <w:r w:rsidRPr="009756E6">
        <w:rPr>
          <w:bCs/>
          <w:iCs/>
          <w:spacing w:val="-2"/>
          <w:lang w:val="pt-BR"/>
        </w:rPr>
        <w:t xml:space="preserve"> Nghị định số 104</w:t>
      </w:r>
      <w:r w:rsidRPr="009756E6">
        <w:rPr>
          <w:lang w:val="pt-BR"/>
        </w:rPr>
        <w:t>/2024/NĐ-CP có hiệu lực thi hành thì việc cấp vốn điều lệ cho Quỹ thực hiện theo quy định tại Điều 13 Nghị định này; theo đó tại dự thảo Nghị định quy định việc xử lý chuyển tiếp đối với các Quỹ đã thành lập, đang hoạt động có nguồn vốn hiện có của Quỹ đến thời điểm ngày 01/8/2024).</w:t>
      </w:r>
    </w:p>
    <w:p w:rsidR="00182BAD" w:rsidRPr="00211773" w:rsidRDefault="005F516C" w:rsidP="00304A15">
      <w:pPr>
        <w:spacing w:before="120" w:after="120" w:line="264" w:lineRule="auto"/>
        <w:ind w:firstLine="720"/>
        <w:jc w:val="both"/>
        <w:outlineLvl w:val="0"/>
        <w:rPr>
          <w:b/>
          <w:bCs/>
          <w:spacing w:val="8"/>
          <w:lang w:val="pt-BR"/>
        </w:rPr>
      </w:pPr>
      <w:r w:rsidRPr="002443AA">
        <w:rPr>
          <w:b/>
          <w:bCs/>
          <w:spacing w:val="8"/>
          <w:sz w:val="24"/>
          <w:lang w:val="pt-BR"/>
        </w:rPr>
        <w:t>VI</w:t>
      </w:r>
      <w:r w:rsidR="00182BAD" w:rsidRPr="002443AA">
        <w:rPr>
          <w:b/>
          <w:bCs/>
          <w:spacing w:val="8"/>
          <w:sz w:val="24"/>
          <w:lang w:val="pt-BR"/>
        </w:rPr>
        <w:t xml:space="preserve">. </w:t>
      </w:r>
      <w:r w:rsidRPr="002443AA">
        <w:rPr>
          <w:b/>
          <w:bCs/>
          <w:spacing w:val="8"/>
          <w:sz w:val="24"/>
          <w:lang w:val="pt-BR"/>
        </w:rPr>
        <w:t>VỀ ĐÁNH GIÁ TÁC ĐỘNG</w:t>
      </w:r>
    </w:p>
    <w:p w:rsidR="001D48E3" w:rsidRPr="00211773" w:rsidRDefault="00190175" w:rsidP="00304A15">
      <w:pPr>
        <w:shd w:val="clear" w:color="auto" w:fill="FFFFFF"/>
        <w:spacing w:before="120" w:after="120" w:line="264" w:lineRule="auto"/>
        <w:ind w:firstLine="720"/>
        <w:jc w:val="both"/>
        <w:rPr>
          <w:lang w:val="pt-BR"/>
        </w:rPr>
      </w:pPr>
      <w:r w:rsidRPr="00211773">
        <w:rPr>
          <w:lang w:val="pt-BR"/>
        </w:rPr>
        <w:lastRenderedPageBreak/>
        <w:t>1.</w:t>
      </w:r>
      <w:r w:rsidR="00F20C75" w:rsidRPr="00211773">
        <w:rPr>
          <w:lang w:val="pt-BR"/>
        </w:rPr>
        <w:t xml:space="preserve"> </w:t>
      </w:r>
      <w:r w:rsidR="001005BB" w:rsidRPr="00211773">
        <w:rPr>
          <w:lang w:val="pt-BR"/>
        </w:rPr>
        <w:t>Quy định tại dự thảo Nghị định này với mục tiêu</w:t>
      </w:r>
      <w:r w:rsidR="00C96914" w:rsidRPr="00211773">
        <w:rPr>
          <w:lang w:val="pt-BR"/>
        </w:rPr>
        <w:t>: B</w:t>
      </w:r>
      <w:r w:rsidR="00C96914" w:rsidRPr="00211773">
        <w:rPr>
          <w:lang w:val="vi-VN"/>
        </w:rPr>
        <w:t>ổ sung</w:t>
      </w:r>
      <w:r w:rsidR="00C96914" w:rsidRPr="00211773">
        <w:rPr>
          <w:lang w:val="pt-BR"/>
        </w:rPr>
        <w:t>, hoàn thiện</w:t>
      </w:r>
      <w:r w:rsidR="00C96914" w:rsidRPr="00211773">
        <w:rPr>
          <w:lang w:val="vi-VN"/>
        </w:rPr>
        <w:t xml:space="preserve"> một số nội dung về tiền sử dụng đất, tiền thuê đất</w:t>
      </w:r>
      <w:r w:rsidR="00C96914" w:rsidRPr="00211773">
        <w:rPr>
          <w:lang w:val="pt-BR"/>
        </w:rPr>
        <w:t>,</w:t>
      </w:r>
      <w:r w:rsidR="00C96914" w:rsidRPr="00211773">
        <w:rPr>
          <w:lang w:val="vi-VN"/>
        </w:rPr>
        <w:t xml:space="preserve"> </w:t>
      </w:r>
      <w:r w:rsidR="00887B0E">
        <w:rPr>
          <w:lang w:val="pt-BR"/>
        </w:rPr>
        <w:t>Q</w:t>
      </w:r>
      <w:r w:rsidR="00C96914" w:rsidRPr="00211773">
        <w:rPr>
          <w:lang w:val="vi-VN"/>
        </w:rPr>
        <w:t>uỹ phát triển đất</w:t>
      </w:r>
      <w:r w:rsidR="00C96914" w:rsidRPr="00211773">
        <w:rPr>
          <w:lang w:val="pt-BR"/>
        </w:rPr>
        <w:t xml:space="preserve"> để làm rõ hơn, cụ thể hơn và </w:t>
      </w:r>
      <w:r w:rsidR="00C96914" w:rsidRPr="00211773">
        <w:rPr>
          <w:bCs/>
          <w:lang w:val="pt-BR"/>
        </w:rPr>
        <w:t>g</w:t>
      </w:r>
      <w:r w:rsidR="00C96914" w:rsidRPr="00211773">
        <w:rPr>
          <w:bCs/>
          <w:lang w:val="vi-VN"/>
        </w:rPr>
        <w:t>iải quyết các vấn đề do thực tiễn đặt ra</w:t>
      </w:r>
      <w:r w:rsidR="00C96914" w:rsidRPr="00211773">
        <w:rPr>
          <w:bCs/>
          <w:lang w:val="pt-BR"/>
        </w:rPr>
        <w:t xml:space="preserve"> trong quá trình</w:t>
      </w:r>
      <w:r w:rsidR="00C96914" w:rsidRPr="00211773">
        <w:rPr>
          <w:bCs/>
          <w:lang w:val="vi-VN"/>
        </w:rPr>
        <w:t xml:space="preserve"> triển khai thực hiện</w:t>
      </w:r>
      <w:r w:rsidR="00C96914" w:rsidRPr="00211773">
        <w:rPr>
          <w:bCs/>
          <w:lang w:val="pt-BR"/>
        </w:rPr>
        <w:t xml:space="preserve"> </w:t>
      </w:r>
      <w:r w:rsidR="00C96914" w:rsidRPr="00211773">
        <w:rPr>
          <w:lang w:val="pt-BR"/>
        </w:rPr>
        <w:t>quy định tại Nghị định số 103/2024/NĐ-CP, Nghị định số 104/2024/NĐ-CP</w:t>
      </w:r>
      <w:r w:rsidR="001005BB" w:rsidRPr="00211773">
        <w:rPr>
          <w:lang w:val="pt-BR"/>
        </w:rPr>
        <w:t xml:space="preserve"> để các cơ quan chức năng thuộc địa phương th</w:t>
      </w:r>
      <w:r w:rsidR="0072292C" w:rsidRPr="00211773">
        <w:rPr>
          <w:lang w:val="pt-BR"/>
        </w:rPr>
        <w:t>uận lợi trong tổ chức thực hiện.</w:t>
      </w:r>
      <w:r w:rsidR="001005BB" w:rsidRPr="00211773">
        <w:rPr>
          <w:lang w:val="pt-BR"/>
        </w:rPr>
        <w:t xml:space="preserve"> </w:t>
      </w:r>
    </w:p>
    <w:p w:rsidR="001005BB" w:rsidRPr="00211773" w:rsidRDefault="00190175" w:rsidP="00304A15">
      <w:pPr>
        <w:shd w:val="clear" w:color="auto" w:fill="FFFFFF"/>
        <w:spacing w:before="120" w:after="120" w:line="264" w:lineRule="auto"/>
        <w:ind w:firstLine="720"/>
        <w:jc w:val="both"/>
        <w:rPr>
          <w:lang w:val="pt-BR"/>
        </w:rPr>
      </w:pPr>
      <w:r w:rsidRPr="00211773">
        <w:rPr>
          <w:lang w:val="pt-BR"/>
        </w:rPr>
        <w:t>2.</w:t>
      </w:r>
      <w:r w:rsidR="007C3765" w:rsidRPr="00211773">
        <w:rPr>
          <w:lang w:val="pt-BR"/>
        </w:rPr>
        <w:t xml:space="preserve"> Về thủ tục hành chính: </w:t>
      </w:r>
      <w:r w:rsidR="001005BB" w:rsidRPr="00211773">
        <w:rPr>
          <w:lang w:val="pt-BR"/>
        </w:rPr>
        <w:t>Tại</w:t>
      </w:r>
      <w:r w:rsidR="00C12DC3" w:rsidRPr="00211773">
        <w:rPr>
          <w:lang w:val="pt-BR"/>
        </w:rPr>
        <w:t xml:space="preserve"> dự thảo Nghị định này </w:t>
      </w:r>
      <w:r w:rsidR="00C96914" w:rsidRPr="00211773">
        <w:rPr>
          <w:lang w:val="pt-BR"/>
        </w:rPr>
        <w:t>không quy định thêm thủ tục hành chính so với quy định hiện hành tại Nghị định số 103/2024/NĐ-CP ngày 30/7/2024, Nghị định số 104/2024/NĐ-CP ngày 31/7/2024 của Chính phủ</w:t>
      </w:r>
      <w:r w:rsidR="00C12DC3" w:rsidRPr="00211773">
        <w:rPr>
          <w:lang w:val="pt-BR"/>
        </w:rPr>
        <w:t>.</w:t>
      </w:r>
    </w:p>
    <w:p w:rsidR="009D0A23" w:rsidRPr="00211773" w:rsidRDefault="00190175" w:rsidP="00304A15">
      <w:pPr>
        <w:shd w:val="clear" w:color="auto" w:fill="FFFFFF"/>
        <w:spacing w:before="120" w:after="120" w:line="264" w:lineRule="auto"/>
        <w:ind w:firstLine="720"/>
        <w:jc w:val="both"/>
        <w:rPr>
          <w:lang w:val="pt-BR"/>
        </w:rPr>
      </w:pPr>
      <w:r w:rsidRPr="00211773">
        <w:rPr>
          <w:lang w:val="pt-BR"/>
        </w:rPr>
        <w:t>3.</w:t>
      </w:r>
      <w:r w:rsidR="009D0A23" w:rsidRPr="00211773">
        <w:rPr>
          <w:lang w:val="pt-BR"/>
        </w:rPr>
        <w:t xml:space="preserve"> Nguồn nhân lực, tài chính để đảm bảo thi hành </w:t>
      </w:r>
      <w:r w:rsidR="001005BB" w:rsidRPr="00211773">
        <w:rPr>
          <w:lang w:val="pt-BR"/>
        </w:rPr>
        <w:t xml:space="preserve">Nghị </w:t>
      </w:r>
      <w:r w:rsidR="009D0A23" w:rsidRPr="00211773">
        <w:rPr>
          <w:lang w:val="pt-BR"/>
        </w:rPr>
        <w:t xml:space="preserve">định này là đội ngũ cán bộ, công chức của </w:t>
      </w:r>
      <w:r w:rsidR="001005BB" w:rsidRPr="00211773">
        <w:rPr>
          <w:lang w:val="pt-BR"/>
        </w:rPr>
        <w:t xml:space="preserve">các cơ quan chức năng thuộc địa phương </w:t>
      </w:r>
      <w:r w:rsidR="009D0A23" w:rsidRPr="00211773">
        <w:rPr>
          <w:lang w:val="pt-BR"/>
        </w:rPr>
        <w:t xml:space="preserve">thực hiện nhiệm vụ </w:t>
      </w:r>
      <w:r w:rsidR="001005BB" w:rsidRPr="00211773">
        <w:rPr>
          <w:lang w:val="pt-BR"/>
        </w:rPr>
        <w:t>về xác định, tính, thu tiền sử dụng đất, tiền thuê đất</w:t>
      </w:r>
      <w:r w:rsidR="009D0A23" w:rsidRPr="00211773">
        <w:rPr>
          <w:lang w:val="pt-BR"/>
        </w:rPr>
        <w:t xml:space="preserve">, kinh phí chi trả từ nguồn </w:t>
      </w:r>
      <w:r w:rsidR="001005BB" w:rsidRPr="00211773">
        <w:rPr>
          <w:lang w:val="pt-BR"/>
        </w:rPr>
        <w:t>ngân sách nhà nước</w:t>
      </w:r>
      <w:r w:rsidR="009D0A23" w:rsidRPr="00211773">
        <w:rPr>
          <w:lang w:val="pt-BR"/>
        </w:rPr>
        <w:t xml:space="preserve"> chi lương, làm thêm giờ theo chế độ quy định. </w:t>
      </w:r>
    </w:p>
    <w:p w:rsidR="00190175" w:rsidRPr="002443AA" w:rsidRDefault="005F516C" w:rsidP="00304A15">
      <w:pPr>
        <w:spacing w:before="120" w:after="120" w:line="264" w:lineRule="auto"/>
        <w:ind w:firstLine="720"/>
        <w:jc w:val="both"/>
        <w:outlineLvl w:val="0"/>
        <w:rPr>
          <w:b/>
          <w:bCs/>
          <w:spacing w:val="8"/>
          <w:sz w:val="24"/>
          <w:lang w:val="pt-BR"/>
        </w:rPr>
      </w:pPr>
      <w:r w:rsidRPr="002443AA">
        <w:rPr>
          <w:b/>
          <w:bCs/>
          <w:spacing w:val="8"/>
          <w:sz w:val="24"/>
          <w:lang w:val="pt-BR"/>
        </w:rPr>
        <w:t>VII</w:t>
      </w:r>
      <w:r w:rsidR="00190175" w:rsidRPr="002443AA">
        <w:rPr>
          <w:b/>
          <w:bCs/>
          <w:spacing w:val="8"/>
          <w:sz w:val="24"/>
          <w:lang w:val="pt-BR"/>
        </w:rPr>
        <w:t xml:space="preserve">. </w:t>
      </w:r>
      <w:r w:rsidRPr="002443AA">
        <w:rPr>
          <w:b/>
          <w:bCs/>
          <w:spacing w:val="8"/>
          <w:sz w:val="24"/>
          <w:lang w:val="pt-BR"/>
        </w:rPr>
        <w:t>VỀ Ý KIẾN CỦA CÁC BỘ NGÀNH, ĐỊA PHƯƠNG</w:t>
      </w:r>
    </w:p>
    <w:p w:rsidR="001005BB" w:rsidRPr="00211773" w:rsidRDefault="009D47D9" w:rsidP="00390EDB">
      <w:pPr>
        <w:shd w:val="clear" w:color="auto" w:fill="FFFFFF"/>
        <w:spacing w:before="120" w:after="120" w:line="264" w:lineRule="auto"/>
        <w:ind w:firstLine="720"/>
        <w:jc w:val="both"/>
        <w:rPr>
          <w:lang w:val="pt-BR"/>
        </w:rPr>
      </w:pPr>
      <w:r w:rsidRPr="00211773">
        <w:rPr>
          <w:lang w:val="pt-BR"/>
        </w:rPr>
        <w:t xml:space="preserve">Bộ Tài chính đã có </w:t>
      </w:r>
      <w:r w:rsidR="00D33BDD" w:rsidRPr="00211773">
        <w:rPr>
          <w:lang w:val="pt-BR"/>
        </w:rPr>
        <w:t>Công v</w:t>
      </w:r>
      <w:r w:rsidRPr="00211773">
        <w:rPr>
          <w:lang w:val="pt-BR"/>
        </w:rPr>
        <w:t xml:space="preserve">ăn số </w:t>
      </w:r>
      <w:r w:rsidR="001005BB" w:rsidRPr="00211773">
        <w:rPr>
          <w:lang w:val="pt-BR"/>
        </w:rPr>
        <w:t>…..</w:t>
      </w:r>
      <w:r w:rsidRPr="00211773">
        <w:rPr>
          <w:lang w:val="pt-BR"/>
        </w:rPr>
        <w:t xml:space="preserve">/BTC-QLCS ngày </w:t>
      </w:r>
      <w:r w:rsidR="001005BB" w:rsidRPr="00211773">
        <w:rPr>
          <w:lang w:val="pt-BR"/>
        </w:rPr>
        <w:t>….</w:t>
      </w:r>
      <w:r w:rsidR="00CC1551" w:rsidRPr="00211773">
        <w:rPr>
          <w:lang w:val="pt-BR"/>
        </w:rPr>
        <w:t>/01</w:t>
      </w:r>
      <w:r w:rsidRPr="00211773">
        <w:rPr>
          <w:lang w:val="pt-BR"/>
        </w:rPr>
        <w:t>/202</w:t>
      </w:r>
      <w:r w:rsidR="00CC1551" w:rsidRPr="00211773">
        <w:rPr>
          <w:lang w:val="pt-BR"/>
        </w:rPr>
        <w:t>5</w:t>
      </w:r>
      <w:r w:rsidRPr="00211773">
        <w:rPr>
          <w:lang w:val="pt-BR"/>
        </w:rPr>
        <w:t xml:space="preserve"> gửi xin ý kiến </w:t>
      </w:r>
      <w:r w:rsidR="001005BB" w:rsidRPr="00211773">
        <w:rPr>
          <w:lang w:val="pt-BR"/>
        </w:rPr>
        <w:t xml:space="preserve">các </w:t>
      </w:r>
      <w:r w:rsidRPr="00211773">
        <w:rPr>
          <w:lang w:val="pt-BR"/>
        </w:rPr>
        <w:t xml:space="preserve">Bộ, </w:t>
      </w:r>
      <w:r w:rsidR="00390EDB" w:rsidRPr="009756E6">
        <w:rPr>
          <w:spacing w:val="-4"/>
          <w:lang w:val="pt-BR"/>
        </w:rPr>
        <w:t xml:space="preserve">cơ quan ngang Bộ, cơ quan thuộc Chính phủ, cơ quan khác ở Trung ương, </w:t>
      </w:r>
      <w:r w:rsidR="00390EDB" w:rsidRPr="009756E6">
        <w:rPr>
          <w:lang w:val="pt-BR"/>
        </w:rPr>
        <w:t xml:space="preserve">Ủy ban Trung ương Mặt trận tổ quốc Việt Nam; Hội đồng Dân tộc của Quốc hội; Liên đoàn Thương mại và Công nghiệp Việt Nam UBND các tỉnh, thành phố </w:t>
      </w:r>
      <w:r w:rsidR="00390EDB" w:rsidRPr="009756E6">
        <w:rPr>
          <w:spacing w:val="-4"/>
          <w:lang w:val="pt-BR"/>
        </w:rPr>
        <w:t>trực thuộc Trung ương</w:t>
      </w:r>
      <w:r w:rsidR="00390EDB" w:rsidRPr="00211773">
        <w:rPr>
          <w:lang w:val="vi-VN"/>
        </w:rPr>
        <w:t xml:space="preserve"> và các Tập đoàn, Tổng công ty do Thủ tướng Chính phủ quyết định thành lập</w:t>
      </w:r>
      <w:r w:rsidR="001005BB" w:rsidRPr="00211773">
        <w:rPr>
          <w:lang w:val="pt-BR"/>
        </w:rPr>
        <w:t xml:space="preserve"> về dự thảo Tờ trình Chính phủ, dự thảo Nghị định.</w:t>
      </w:r>
    </w:p>
    <w:p w:rsidR="00C96914" w:rsidRPr="00211773" w:rsidRDefault="001005BB" w:rsidP="00304A15">
      <w:pPr>
        <w:shd w:val="clear" w:color="auto" w:fill="FFFFFF"/>
        <w:spacing w:before="120" w:after="120" w:line="264" w:lineRule="auto"/>
        <w:ind w:firstLine="720"/>
        <w:jc w:val="both"/>
        <w:rPr>
          <w:lang w:val="pt-BR"/>
        </w:rPr>
      </w:pPr>
      <w:r w:rsidRPr="00211773">
        <w:rPr>
          <w:lang w:val="pt-BR"/>
        </w:rPr>
        <w:t>Đến nay</w:t>
      </w:r>
      <w:r w:rsidR="00390EDB" w:rsidRPr="00211773">
        <w:rPr>
          <w:lang w:val="pt-BR"/>
        </w:rPr>
        <w:t>,</w:t>
      </w:r>
      <w:r w:rsidRPr="00211773">
        <w:rPr>
          <w:lang w:val="pt-BR"/>
        </w:rPr>
        <w:t xml:space="preserve"> tổng hợp ý kiến của các Bộ, ngành, địa phương, Bộ Tài chính xin báo cáo tiếp thu, giải trình </w:t>
      </w:r>
      <w:r w:rsidR="00CC1551" w:rsidRPr="00211773">
        <w:rPr>
          <w:lang w:val="pt-BR"/>
        </w:rPr>
        <w:t>theo Bản tổng hợp tiếp thu, giải trình ý kiến tham gia (đính kèm).</w:t>
      </w:r>
    </w:p>
    <w:p w:rsidR="00767ABC" w:rsidRPr="002443AA" w:rsidRDefault="005F516C" w:rsidP="00304A15">
      <w:pPr>
        <w:spacing w:before="120" w:after="120" w:line="264" w:lineRule="auto"/>
        <w:ind w:firstLine="720"/>
        <w:jc w:val="both"/>
        <w:outlineLvl w:val="0"/>
        <w:rPr>
          <w:b/>
          <w:bCs/>
          <w:spacing w:val="8"/>
          <w:sz w:val="24"/>
          <w:lang w:val="pt-BR"/>
        </w:rPr>
      </w:pPr>
      <w:r w:rsidRPr="002443AA">
        <w:rPr>
          <w:b/>
          <w:bCs/>
          <w:spacing w:val="8"/>
          <w:sz w:val="24"/>
          <w:lang w:val="pt-BR"/>
        </w:rPr>
        <w:t>VI</w:t>
      </w:r>
      <w:r w:rsidR="002443AA" w:rsidRPr="002443AA">
        <w:rPr>
          <w:b/>
          <w:bCs/>
          <w:spacing w:val="8"/>
          <w:sz w:val="24"/>
          <w:lang w:val="pt-BR"/>
        </w:rPr>
        <w:t>I</w:t>
      </w:r>
      <w:r w:rsidRPr="002443AA">
        <w:rPr>
          <w:b/>
          <w:bCs/>
          <w:spacing w:val="8"/>
          <w:sz w:val="24"/>
          <w:lang w:val="pt-BR"/>
        </w:rPr>
        <w:t>I</w:t>
      </w:r>
      <w:r w:rsidR="00767ABC" w:rsidRPr="002443AA">
        <w:rPr>
          <w:b/>
          <w:bCs/>
          <w:spacing w:val="8"/>
          <w:sz w:val="24"/>
          <w:lang w:val="pt-BR"/>
        </w:rPr>
        <w:t xml:space="preserve">. </w:t>
      </w:r>
      <w:r w:rsidRPr="002443AA">
        <w:rPr>
          <w:b/>
          <w:bCs/>
          <w:spacing w:val="8"/>
          <w:sz w:val="24"/>
          <w:lang w:val="pt-BR"/>
        </w:rPr>
        <w:t>VỀ Ý KIẾN THẨM ĐỊNH CỦA BỘ TƯ PHÁP</w:t>
      </w:r>
    </w:p>
    <w:p w:rsidR="00D33BDD" w:rsidRPr="00211773" w:rsidRDefault="00284EEF" w:rsidP="00304A15">
      <w:pPr>
        <w:shd w:val="clear" w:color="auto" w:fill="FFFFFF"/>
        <w:spacing w:before="120" w:after="120" w:line="264" w:lineRule="auto"/>
        <w:ind w:firstLine="720"/>
        <w:jc w:val="both"/>
        <w:rPr>
          <w:lang w:val="pt-BR"/>
        </w:rPr>
      </w:pPr>
      <w:r w:rsidRPr="00211773">
        <w:rPr>
          <w:lang w:val="pt-BR"/>
        </w:rPr>
        <w:t xml:space="preserve">Thực hiện Luật </w:t>
      </w:r>
      <w:r w:rsidR="00C31625" w:rsidRPr="00211773">
        <w:rPr>
          <w:lang w:val="pt-BR"/>
        </w:rPr>
        <w:t>B</w:t>
      </w:r>
      <w:r w:rsidRPr="00211773">
        <w:rPr>
          <w:lang w:val="pt-BR"/>
        </w:rPr>
        <w:t xml:space="preserve">an hành văn bản quy phạm pháp luật, Bộ Tài chính đã có </w:t>
      </w:r>
      <w:r w:rsidR="001005BB" w:rsidRPr="00211773">
        <w:rPr>
          <w:lang w:val="pt-BR"/>
        </w:rPr>
        <w:t>Công văn số …../BTC-QLCS ngày …./…/202</w:t>
      </w:r>
      <w:r w:rsidR="00C96914" w:rsidRPr="00211773">
        <w:rPr>
          <w:lang w:val="pt-BR"/>
        </w:rPr>
        <w:t>5</w:t>
      </w:r>
      <w:r w:rsidR="001005BB" w:rsidRPr="00211773">
        <w:rPr>
          <w:lang w:val="pt-BR"/>
        </w:rPr>
        <w:t xml:space="preserve"> </w:t>
      </w:r>
      <w:r w:rsidRPr="00211773">
        <w:rPr>
          <w:lang w:val="pt-BR"/>
        </w:rPr>
        <w:t xml:space="preserve">gửi Bộ Tư pháp đề nghị thẩm định đối với hồ sơ dự thảo </w:t>
      </w:r>
      <w:r w:rsidR="001005BB" w:rsidRPr="00211773">
        <w:rPr>
          <w:lang w:val="pt-BR"/>
        </w:rPr>
        <w:t>Nghị định</w:t>
      </w:r>
      <w:r w:rsidR="00D33BDD" w:rsidRPr="00211773">
        <w:rPr>
          <w:lang w:val="pt-BR"/>
        </w:rPr>
        <w:t>.</w:t>
      </w:r>
    </w:p>
    <w:p w:rsidR="00B14E46" w:rsidRPr="00211773" w:rsidRDefault="001005BB" w:rsidP="00304A15">
      <w:pPr>
        <w:shd w:val="clear" w:color="auto" w:fill="FFFFFF"/>
        <w:spacing w:before="120" w:after="120" w:line="264" w:lineRule="auto"/>
        <w:ind w:firstLine="720"/>
        <w:jc w:val="both"/>
        <w:rPr>
          <w:lang w:val="pt-BR"/>
        </w:rPr>
      </w:pPr>
      <w:r w:rsidRPr="00211773">
        <w:rPr>
          <w:lang w:val="pt-BR"/>
        </w:rPr>
        <w:t>Ngày</w:t>
      </w:r>
      <w:r w:rsidR="00C96914" w:rsidRPr="00211773">
        <w:rPr>
          <w:lang w:val="pt-BR"/>
        </w:rPr>
        <w:t xml:space="preserve"> </w:t>
      </w:r>
      <w:r w:rsidRPr="00211773">
        <w:rPr>
          <w:lang w:val="pt-BR"/>
        </w:rPr>
        <w:t>....</w:t>
      </w:r>
      <w:r w:rsidR="00C96914" w:rsidRPr="00211773">
        <w:rPr>
          <w:lang w:val="pt-BR"/>
        </w:rPr>
        <w:t>/..../2025</w:t>
      </w:r>
      <w:r w:rsidRPr="00211773">
        <w:rPr>
          <w:lang w:val="pt-BR"/>
        </w:rPr>
        <w:t xml:space="preserve"> , </w:t>
      </w:r>
      <w:r w:rsidR="00B14E46" w:rsidRPr="00211773">
        <w:rPr>
          <w:lang w:val="pt-BR"/>
        </w:rPr>
        <w:t xml:space="preserve">Bộ Tư pháp có Văn bản số </w:t>
      </w:r>
      <w:r w:rsidRPr="00211773">
        <w:rPr>
          <w:lang w:val="pt-BR"/>
        </w:rPr>
        <w:t>......</w:t>
      </w:r>
      <w:r w:rsidR="00C96914" w:rsidRPr="00211773">
        <w:rPr>
          <w:lang w:val="pt-BR"/>
        </w:rPr>
        <w:t>/BCTĐ-BTP ngày ..../..../2025</w:t>
      </w:r>
      <w:r w:rsidR="00B14E46" w:rsidRPr="00211773">
        <w:rPr>
          <w:lang w:val="pt-BR"/>
        </w:rPr>
        <w:t xml:space="preserve"> về báo cáo thẩm định đối với dự thảo </w:t>
      </w:r>
      <w:r w:rsidRPr="00211773">
        <w:rPr>
          <w:lang w:val="pt-BR"/>
        </w:rPr>
        <w:t>Nghị định</w:t>
      </w:r>
      <w:r w:rsidR="00B14E46" w:rsidRPr="00211773">
        <w:rPr>
          <w:lang w:val="pt-BR"/>
        </w:rPr>
        <w:t xml:space="preserve">. Bộ Tài chính tổng hợp và tiếp thu, giải trình ý kiến thẩm định của Bộ Tư pháp </w:t>
      </w:r>
      <w:r w:rsidR="00381A53">
        <w:rPr>
          <w:lang w:val="pt-BR"/>
        </w:rPr>
        <w:t>(có Báo cáo riêng về nội dung này).</w:t>
      </w:r>
    </w:p>
    <w:p w:rsidR="00381A53" w:rsidRPr="004D48CF" w:rsidRDefault="00381A53" w:rsidP="00304A15">
      <w:pPr>
        <w:shd w:val="clear" w:color="auto" w:fill="FFFFFF"/>
        <w:spacing w:before="120" w:after="120" w:line="264" w:lineRule="auto"/>
        <w:ind w:firstLine="720"/>
        <w:jc w:val="both"/>
        <w:rPr>
          <w:i/>
          <w:iCs/>
          <w:lang w:val="pt-BR"/>
        </w:rPr>
      </w:pPr>
      <w:r w:rsidRPr="004D48CF">
        <w:rPr>
          <w:i/>
          <w:iCs/>
          <w:lang w:val="pt-BR"/>
        </w:rPr>
        <w:t>Hồ sơ trình gồm:</w:t>
      </w:r>
    </w:p>
    <w:p w:rsidR="00B76BC4" w:rsidRDefault="00381A53" w:rsidP="00381A53">
      <w:pPr>
        <w:shd w:val="clear" w:color="auto" w:fill="FFFFFF"/>
        <w:spacing w:before="120" w:after="120" w:line="264" w:lineRule="auto"/>
        <w:ind w:firstLine="720"/>
        <w:jc w:val="both"/>
        <w:rPr>
          <w:iCs/>
          <w:spacing w:val="-4"/>
          <w:lang w:val="pt-BR"/>
        </w:rPr>
      </w:pPr>
      <w:r>
        <w:rPr>
          <w:lang w:val="pt-BR"/>
        </w:rPr>
        <w:t>- D</w:t>
      </w:r>
      <w:r w:rsidR="00B76BC4" w:rsidRPr="00211773">
        <w:rPr>
          <w:lang w:val="pt-BR"/>
        </w:rPr>
        <w:t>ự thảo</w:t>
      </w:r>
      <w:r w:rsidR="00C96914" w:rsidRPr="00211773">
        <w:rPr>
          <w:lang w:val="pt-BR"/>
        </w:rPr>
        <w:t xml:space="preserve"> Nghị định</w:t>
      </w:r>
      <w:r w:rsidR="00B76BC4" w:rsidRPr="00211773">
        <w:rPr>
          <w:lang w:val="pt-BR"/>
        </w:rPr>
        <w:t xml:space="preserve"> </w:t>
      </w:r>
      <w:r w:rsidR="00C96914" w:rsidRPr="00211773">
        <w:rPr>
          <w:lang w:val="pt-BR"/>
        </w:rPr>
        <w:t xml:space="preserve">của Chính phủ </w:t>
      </w:r>
      <w:r w:rsidR="00EC2E23" w:rsidRPr="009756E6">
        <w:rPr>
          <w:spacing w:val="-4"/>
          <w:lang w:val="pt-BR"/>
        </w:rPr>
        <w:t>sửa đổi,</w:t>
      </w:r>
      <w:r w:rsidR="00EC2E23" w:rsidRPr="00211773">
        <w:rPr>
          <w:spacing w:val="-4"/>
          <w:lang w:val="vi-VN"/>
        </w:rPr>
        <w:t xml:space="preserve"> bổ sung một số </w:t>
      </w:r>
      <w:r w:rsidR="00EC2E23" w:rsidRPr="009756E6">
        <w:rPr>
          <w:spacing w:val="-4"/>
          <w:lang w:val="pt-BR"/>
        </w:rPr>
        <w:t>điều của</w:t>
      </w:r>
      <w:r w:rsidR="00EC2E23" w:rsidRPr="00211773">
        <w:rPr>
          <w:spacing w:val="-4"/>
          <w:lang w:val="vi-VN"/>
        </w:rPr>
        <w:t xml:space="preserve"> Nghị định số 103/2024/NĐ-CP</w:t>
      </w:r>
      <w:r w:rsidR="00EC2E23" w:rsidRPr="00211773">
        <w:rPr>
          <w:spacing w:val="-4"/>
          <w:lang w:val="it-IT"/>
        </w:rPr>
        <w:t xml:space="preserve"> </w:t>
      </w:r>
      <w:r w:rsidR="00EC2E23" w:rsidRPr="00211773">
        <w:rPr>
          <w:bCs/>
          <w:lang w:val="pt-BR"/>
        </w:rPr>
        <w:t xml:space="preserve">ngày 30 tháng 7 năm 2024 </w:t>
      </w:r>
      <w:r w:rsidR="00EC2E23" w:rsidRPr="00211773">
        <w:rPr>
          <w:spacing w:val="-4"/>
          <w:lang w:val="vi-VN"/>
        </w:rPr>
        <w:t>và Nghị định số 104/2024/NĐ-CP</w:t>
      </w:r>
      <w:r w:rsidR="00EC2E23" w:rsidRPr="00211773">
        <w:rPr>
          <w:spacing w:val="-4"/>
          <w:lang w:val="it-IT"/>
        </w:rPr>
        <w:t xml:space="preserve"> </w:t>
      </w:r>
      <w:r w:rsidR="00EC2E23" w:rsidRPr="00211773">
        <w:rPr>
          <w:bCs/>
          <w:lang w:val="pt-BR"/>
        </w:rPr>
        <w:t>ngày 31 tháng 7 năm 2024</w:t>
      </w:r>
      <w:r w:rsidR="004D48CF">
        <w:rPr>
          <w:iCs/>
          <w:spacing w:val="-4"/>
          <w:lang w:val="pt-BR"/>
        </w:rPr>
        <w:t>;</w:t>
      </w:r>
    </w:p>
    <w:p w:rsidR="00381A53" w:rsidRDefault="00381A53" w:rsidP="00381A53">
      <w:pPr>
        <w:shd w:val="clear" w:color="auto" w:fill="FFFFFF"/>
        <w:spacing w:before="120" w:after="120" w:line="264" w:lineRule="auto"/>
        <w:ind w:firstLine="720"/>
        <w:jc w:val="both"/>
        <w:rPr>
          <w:iCs/>
          <w:spacing w:val="-4"/>
        </w:rPr>
      </w:pPr>
      <w:r>
        <w:rPr>
          <w:iCs/>
          <w:spacing w:val="-4"/>
          <w:lang w:val="pt-BR"/>
        </w:rPr>
        <w:lastRenderedPageBreak/>
        <w:t>-</w:t>
      </w:r>
      <w:r w:rsidR="004D48CF">
        <w:rPr>
          <w:iCs/>
          <w:spacing w:val="-4"/>
          <w:lang w:val="pt-BR"/>
        </w:rPr>
        <w:t xml:space="preserve"> </w:t>
      </w:r>
      <w:r w:rsidR="004D48CF" w:rsidRPr="004D48CF">
        <w:rPr>
          <w:iCs/>
          <w:spacing w:val="-4"/>
        </w:rPr>
        <w:t>Bản so sánh, thuyết minh nội dung dự thảo</w:t>
      </w:r>
      <w:r w:rsidR="004D48CF">
        <w:rPr>
          <w:iCs/>
          <w:spacing w:val="-4"/>
        </w:rPr>
        <w:t>;</w:t>
      </w:r>
    </w:p>
    <w:p w:rsidR="004D48CF" w:rsidRDefault="004D48CF" w:rsidP="00381A53">
      <w:pPr>
        <w:shd w:val="clear" w:color="auto" w:fill="FFFFFF"/>
        <w:spacing w:before="120" w:after="120" w:line="264" w:lineRule="auto"/>
        <w:ind w:firstLine="720"/>
        <w:jc w:val="both"/>
        <w:rPr>
          <w:iCs/>
          <w:spacing w:val="-4"/>
          <w:lang w:val="pt-BR"/>
        </w:rPr>
      </w:pPr>
      <w:r>
        <w:rPr>
          <w:iCs/>
          <w:spacing w:val="-4"/>
        </w:rPr>
        <w:t xml:space="preserve">- </w:t>
      </w:r>
      <w:r w:rsidRPr="004D48CF">
        <w:rPr>
          <w:iCs/>
          <w:spacing w:val="-4"/>
        </w:rPr>
        <w:t>Bản tổng hợp ý kiến, tiếp thu giải trình ý kiến góp ý, phản biện xã hội.</w:t>
      </w:r>
    </w:p>
    <w:p w:rsidR="004D48CF" w:rsidRPr="009756E6" w:rsidRDefault="00381A53" w:rsidP="00381A53">
      <w:pPr>
        <w:shd w:val="clear" w:color="auto" w:fill="FFFFFF"/>
        <w:spacing w:before="120" w:after="120" w:line="264" w:lineRule="auto"/>
        <w:ind w:firstLine="720"/>
        <w:jc w:val="both"/>
        <w:rPr>
          <w:iCs/>
          <w:spacing w:val="-4"/>
          <w:lang w:val="pt-BR"/>
        </w:rPr>
      </w:pPr>
      <w:r>
        <w:rPr>
          <w:iCs/>
          <w:spacing w:val="-4"/>
          <w:lang w:val="pt-BR"/>
        </w:rPr>
        <w:t>-</w:t>
      </w:r>
      <w:r w:rsidR="004D48CF">
        <w:rPr>
          <w:iCs/>
          <w:spacing w:val="-4"/>
          <w:lang w:val="pt-BR"/>
        </w:rPr>
        <w:t xml:space="preserve"> </w:t>
      </w:r>
      <w:r w:rsidR="004D48CF" w:rsidRPr="009756E6">
        <w:rPr>
          <w:iCs/>
          <w:spacing w:val="-4"/>
          <w:lang w:val="pt-BR"/>
        </w:rPr>
        <w:t xml:space="preserve">Báo cáo thẩm định số </w:t>
      </w:r>
      <w:r w:rsidR="004D48CF" w:rsidRPr="00211773">
        <w:rPr>
          <w:lang w:val="pt-BR"/>
        </w:rPr>
        <w:t>....../BCTĐ-BTP ngày ..../..../2025</w:t>
      </w:r>
      <w:r w:rsidR="004D48CF">
        <w:rPr>
          <w:lang w:val="pt-BR"/>
        </w:rPr>
        <w:t xml:space="preserve"> của Bộ Tư pháp</w:t>
      </w:r>
      <w:r w:rsidR="004D48CF" w:rsidRPr="009756E6">
        <w:rPr>
          <w:iCs/>
          <w:spacing w:val="-4"/>
          <w:lang w:val="pt-BR"/>
        </w:rPr>
        <w:t xml:space="preserve">; </w:t>
      </w:r>
    </w:p>
    <w:p w:rsidR="00381A53" w:rsidRDefault="004D48CF" w:rsidP="00381A53">
      <w:pPr>
        <w:shd w:val="clear" w:color="auto" w:fill="FFFFFF"/>
        <w:spacing w:before="120" w:after="120" w:line="264" w:lineRule="auto"/>
        <w:ind w:firstLine="720"/>
        <w:jc w:val="both"/>
        <w:rPr>
          <w:iCs/>
          <w:spacing w:val="-4"/>
          <w:lang w:val="pt-BR"/>
        </w:rPr>
      </w:pPr>
      <w:r w:rsidRPr="00EF3E7F">
        <w:rPr>
          <w:iCs/>
          <w:spacing w:val="-4"/>
          <w:lang w:val="pt-BR"/>
        </w:rPr>
        <w:t>- Báo cáo tiếp thu, giải trình ý kiến thẩm định.</w:t>
      </w:r>
    </w:p>
    <w:p w:rsidR="00602248" w:rsidRPr="00211773" w:rsidRDefault="00B76BC4" w:rsidP="00EC2E23">
      <w:pPr>
        <w:shd w:val="clear" w:color="auto" w:fill="FFFFFF"/>
        <w:spacing w:before="120" w:after="240" w:line="264" w:lineRule="auto"/>
        <w:ind w:firstLine="720"/>
        <w:jc w:val="both"/>
        <w:rPr>
          <w:lang w:val="pt-BR"/>
        </w:rPr>
      </w:pPr>
      <w:r w:rsidRPr="00211773">
        <w:rPr>
          <w:lang w:val="pt-BR"/>
        </w:rPr>
        <w:t>K</w:t>
      </w:r>
      <w:r w:rsidR="00602248" w:rsidRPr="00211773">
        <w:rPr>
          <w:lang w:val="pt-BR"/>
        </w:rPr>
        <w:t>ính trình Chính phủ xem xét, quyết định./.</w:t>
      </w:r>
    </w:p>
    <w:tbl>
      <w:tblPr>
        <w:tblW w:w="9235" w:type="dxa"/>
        <w:tblInd w:w="-34" w:type="dxa"/>
        <w:tblLayout w:type="fixed"/>
        <w:tblLook w:val="0000"/>
      </w:tblPr>
      <w:tblGrid>
        <w:gridCol w:w="4253"/>
        <w:gridCol w:w="4982"/>
      </w:tblGrid>
      <w:tr w:rsidR="00602248" w:rsidRPr="00EF3E7F" w:rsidTr="002F6200">
        <w:trPr>
          <w:trHeight w:val="2880"/>
        </w:trPr>
        <w:tc>
          <w:tcPr>
            <w:tcW w:w="4253" w:type="dxa"/>
            <w:shd w:val="clear" w:color="auto" w:fill="auto"/>
          </w:tcPr>
          <w:p w:rsidR="00602248" w:rsidRPr="00211773" w:rsidRDefault="00602248" w:rsidP="00E91910">
            <w:pPr>
              <w:jc w:val="both"/>
              <w:rPr>
                <w:b/>
                <w:i/>
                <w:sz w:val="24"/>
                <w:szCs w:val="24"/>
                <w:lang w:val="fr-FR"/>
              </w:rPr>
            </w:pPr>
            <w:r w:rsidRPr="00211773">
              <w:rPr>
                <w:b/>
                <w:i/>
                <w:sz w:val="24"/>
                <w:szCs w:val="24"/>
                <w:lang w:val="fr-FR"/>
              </w:rPr>
              <w:t>Nơi nhận:</w:t>
            </w:r>
          </w:p>
          <w:p w:rsidR="00602248" w:rsidRPr="00211773" w:rsidRDefault="00602248" w:rsidP="00E91910">
            <w:pPr>
              <w:jc w:val="both"/>
              <w:rPr>
                <w:sz w:val="22"/>
                <w:szCs w:val="22"/>
                <w:lang w:val="fr-FR"/>
              </w:rPr>
            </w:pPr>
            <w:r w:rsidRPr="00211773">
              <w:rPr>
                <w:sz w:val="22"/>
                <w:szCs w:val="22"/>
                <w:lang w:val="fr-FR"/>
              </w:rPr>
              <w:t>- Như trên;</w:t>
            </w:r>
          </w:p>
          <w:p w:rsidR="00840416" w:rsidRPr="00211773" w:rsidRDefault="00840416" w:rsidP="00E91910">
            <w:pPr>
              <w:jc w:val="both"/>
              <w:rPr>
                <w:sz w:val="22"/>
                <w:szCs w:val="22"/>
                <w:lang w:val="fr-FR"/>
              </w:rPr>
            </w:pPr>
            <w:r w:rsidRPr="00211773">
              <w:rPr>
                <w:sz w:val="22"/>
                <w:szCs w:val="22"/>
                <w:lang w:val="fr-FR"/>
              </w:rPr>
              <w:t>- Văn phòng Chính phủ;</w:t>
            </w:r>
          </w:p>
          <w:p w:rsidR="002F6200" w:rsidRPr="00211773" w:rsidRDefault="002F6200" w:rsidP="00E91910">
            <w:pPr>
              <w:jc w:val="both"/>
              <w:rPr>
                <w:sz w:val="22"/>
                <w:szCs w:val="22"/>
                <w:lang w:val="fr-FR"/>
              </w:rPr>
            </w:pPr>
            <w:r w:rsidRPr="00211773">
              <w:rPr>
                <w:sz w:val="22"/>
                <w:szCs w:val="22"/>
                <w:lang w:val="fr-FR"/>
              </w:rPr>
              <w:t>- Bộ Tư pháp;</w:t>
            </w:r>
          </w:p>
          <w:p w:rsidR="00602248" w:rsidRPr="00211773" w:rsidRDefault="00602248" w:rsidP="00E91910">
            <w:pPr>
              <w:jc w:val="both"/>
              <w:rPr>
                <w:lang w:val="fr-FR"/>
              </w:rPr>
            </w:pPr>
            <w:r w:rsidRPr="00211773">
              <w:rPr>
                <w:sz w:val="22"/>
                <w:szCs w:val="22"/>
                <w:lang w:val="fr-FR"/>
              </w:rPr>
              <w:t>- Lưu: VT, QLCS.</w:t>
            </w:r>
            <w:r w:rsidRPr="00211773">
              <w:rPr>
                <w:lang w:val="fr-FR"/>
              </w:rPr>
              <w:t xml:space="preserve"> </w:t>
            </w:r>
          </w:p>
        </w:tc>
        <w:tc>
          <w:tcPr>
            <w:tcW w:w="4982" w:type="dxa"/>
            <w:shd w:val="clear" w:color="auto" w:fill="auto"/>
          </w:tcPr>
          <w:p w:rsidR="00602248" w:rsidRPr="00211773" w:rsidRDefault="00602248" w:rsidP="00E91910">
            <w:pPr>
              <w:rPr>
                <w:b/>
                <w:sz w:val="26"/>
                <w:szCs w:val="26"/>
                <w:lang w:val="fr-FR"/>
              </w:rPr>
            </w:pPr>
            <w:r w:rsidRPr="00211773">
              <w:rPr>
                <w:b/>
                <w:sz w:val="26"/>
                <w:szCs w:val="26"/>
                <w:lang w:val="fr-FR"/>
              </w:rPr>
              <w:t xml:space="preserve">                      </w:t>
            </w:r>
            <w:r w:rsidR="002F6200" w:rsidRPr="00211773">
              <w:rPr>
                <w:b/>
                <w:sz w:val="26"/>
                <w:szCs w:val="26"/>
                <w:lang w:val="fr-FR"/>
              </w:rPr>
              <w:t xml:space="preserve">   </w:t>
            </w:r>
            <w:r w:rsidRPr="00211773">
              <w:rPr>
                <w:b/>
                <w:sz w:val="26"/>
                <w:szCs w:val="26"/>
                <w:lang w:val="fr-FR"/>
              </w:rPr>
              <w:t>BỘ TRƯỞNG</w:t>
            </w:r>
          </w:p>
          <w:p w:rsidR="00602248" w:rsidRPr="00211773" w:rsidRDefault="00602248" w:rsidP="002F6200">
            <w:pPr>
              <w:ind w:hanging="680"/>
              <w:jc w:val="center"/>
              <w:rPr>
                <w:b/>
                <w:sz w:val="52"/>
                <w:lang w:val="fr-FR"/>
              </w:rPr>
            </w:pPr>
            <w:r w:rsidRPr="00211773">
              <w:rPr>
                <w:b/>
                <w:sz w:val="26"/>
                <w:szCs w:val="26"/>
                <w:lang w:val="fr-FR"/>
              </w:rPr>
              <w:t xml:space="preserve">              </w:t>
            </w:r>
          </w:p>
          <w:p w:rsidR="001415D5" w:rsidRPr="00211773" w:rsidRDefault="00840416" w:rsidP="00E91910">
            <w:pPr>
              <w:tabs>
                <w:tab w:val="left" w:pos="720"/>
              </w:tabs>
              <w:jc w:val="center"/>
              <w:rPr>
                <w:b/>
                <w:lang w:val="fr-FR"/>
              </w:rPr>
            </w:pPr>
            <w:r w:rsidRPr="00211773">
              <w:rPr>
                <w:b/>
                <w:lang w:val="fr-FR"/>
              </w:rPr>
              <w:t xml:space="preserve">       </w:t>
            </w:r>
          </w:p>
          <w:p w:rsidR="000B1E65" w:rsidRPr="00211773" w:rsidRDefault="001415D5" w:rsidP="00E91910">
            <w:pPr>
              <w:tabs>
                <w:tab w:val="left" w:pos="720"/>
              </w:tabs>
              <w:jc w:val="center"/>
              <w:rPr>
                <w:b/>
                <w:lang w:val="fr-FR"/>
              </w:rPr>
            </w:pPr>
            <w:r w:rsidRPr="00211773">
              <w:rPr>
                <w:b/>
                <w:lang w:val="fr-FR"/>
              </w:rPr>
              <w:t xml:space="preserve">            </w:t>
            </w:r>
          </w:p>
          <w:p w:rsidR="00260764" w:rsidRPr="00211773" w:rsidRDefault="00260764" w:rsidP="002F6200">
            <w:pPr>
              <w:tabs>
                <w:tab w:val="left" w:pos="720"/>
              </w:tabs>
              <w:jc w:val="center"/>
              <w:rPr>
                <w:b/>
                <w:lang w:val="fr-FR"/>
              </w:rPr>
            </w:pPr>
          </w:p>
          <w:p w:rsidR="00C069E6" w:rsidRPr="00211773" w:rsidRDefault="001415D5" w:rsidP="00C96914">
            <w:pPr>
              <w:tabs>
                <w:tab w:val="left" w:pos="720"/>
              </w:tabs>
              <w:jc w:val="center"/>
              <w:rPr>
                <w:b/>
                <w:lang w:val="fr-FR"/>
              </w:rPr>
            </w:pPr>
            <w:r w:rsidRPr="00211773">
              <w:rPr>
                <w:b/>
                <w:lang w:val="fr-FR"/>
              </w:rPr>
              <w:t xml:space="preserve"> </w:t>
            </w:r>
            <w:r w:rsidR="00C96914" w:rsidRPr="00211773">
              <w:rPr>
                <w:b/>
                <w:lang w:val="fr-FR"/>
              </w:rPr>
              <w:t>Nguyễn Văn Thắng</w:t>
            </w:r>
          </w:p>
        </w:tc>
      </w:tr>
    </w:tbl>
    <w:p w:rsidR="0027088D" w:rsidRPr="00AF550F" w:rsidRDefault="0027088D" w:rsidP="0027088D">
      <w:pPr>
        <w:rPr>
          <w:lang w:val="fr-FR"/>
        </w:rPr>
      </w:pPr>
    </w:p>
    <w:sectPr w:rsidR="0027088D" w:rsidRPr="00AF550F" w:rsidSect="001C1CC3">
      <w:headerReference w:type="default" r:id="rId11"/>
      <w:pgSz w:w="11907" w:h="16840" w:code="9"/>
      <w:pgMar w:top="1418" w:right="1134" w:bottom="1134" w:left="1701" w:header="624" w:footer="62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436" w:rsidRDefault="00655436">
      <w:r>
        <w:separator/>
      </w:r>
    </w:p>
  </w:endnote>
  <w:endnote w:type="continuationSeparator" w:id="1">
    <w:p w:rsidR="00655436" w:rsidRDefault="006554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436" w:rsidRDefault="00655436">
      <w:r>
        <w:separator/>
      </w:r>
    </w:p>
  </w:footnote>
  <w:footnote w:type="continuationSeparator" w:id="1">
    <w:p w:rsidR="00655436" w:rsidRDefault="00655436">
      <w:r>
        <w:continuationSeparator/>
      </w:r>
    </w:p>
  </w:footnote>
  <w:footnote w:id="2">
    <w:p w:rsidR="00C25EE9" w:rsidRPr="006870C6" w:rsidRDefault="00C25EE9" w:rsidP="007D62BF">
      <w:pPr>
        <w:pStyle w:val="FootnoteText"/>
        <w:jc w:val="both"/>
      </w:pPr>
      <w:r w:rsidRPr="006870C6">
        <w:rPr>
          <w:rStyle w:val="FootnoteReference"/>
        </w:rPr>
        <w:footnoteRef/>
      </w:r>
      <w:r w:rsidRPr="006870C6">
        <w:t xml:space="preserve"> Theo Luật số 43/2024/QH15 ngày 29/6/2024 về sửa đổi, bổ sung một số điều của Luật Đất đai số 31/2024/QH15, Luật Nhà ở số 27/2023/QH15, Luật Kinh doanh Bất động sản số 29/2023/QH15 và Luật các Tổ chức tín dụng số 32/2024/QH15.</w:t>
      </w:r>
    </w:p>
  </w:footnote>
  <w:footnote w:id="3">
    <w:p w:rsidR="00C25EE9" w:rsidRPr="00F24A25" w:rsidRDefault="00C25EE9" w:rsidP="00976FAD">
      <w:pPr>
        <w:pStyle w:val="FootnoteText"/>
        <w:jc w:val="both"/>
        <w:rPr>
          <w:bCs/>
          <w:i/>
          <w:iCs/>
        </w:rPr>
      </w:pPr>
      <w:r w:rsidRPr="00F24A25">
        <w:rPr>
          <w:rStyle w:val="FootnoteReference"/>
          <w:bCs/>
          <w:i/>
          <w:iCs/>
        </w:rPr>
        <w:footnoteRef/>
      </w:r>
      <w:r w:rsidRPr="00F24A25">
        <w:rPr>
          <w:bCs/>
          <w:i/>
          <w:iCs/>
        </w:rPr>
        <w:t xml:space="preserve"> Ngoài tiền sử dụng đất, tiền thuê đất được miễn, giảm phải thu hồi, người sử dụng đất phải nộp thêm </w:t>
      </w:r>
      <w:r w:rsidRPr="00F24A25">
        <w:rPr>
          <w:bCs/>
          <w:i/>
          <w:iCs/>
          <w:lang w:val="vi-VN"/>
        </w:rPr>
        <w:t>khoản tiền tương đương với tiền chậm nộp tiền sử dụng đất theo quy định của ph</w:t>
      </w:r>
      <w:r w:rsidRPr="00F24A25">
        <w:rPr>
          <w:bCs/>
          <w:i/>
          <w:iCs/>
        </w:rPr>
        <w:t>áp luật</w:t>
      </w:r>
      <w:r w:rsidRPr="00F24A25">
        <w:rPr>
          <w:bCs/>
          <w:i/>
          <w:iCs/>
          <w:lang w:val="vi-VN"/>
        </w:rPr>
        <w:t> về quản l</w:t>
      </w:r>
      <w:r w:rsidRPr="00F24A25">
        <w:rPr>
          <w:bCs/>
          <w:i/>
          <w:iCs/>
        </w:rPr>
        <w:t>ý thu</w:t>
      </w:r>
      <w:r w:rsidRPr="00F24A25">
        <w:rPr>
          <w:bCs/>
          <w:i/>
          <w:iCs/>
          <w:lang w:val="vi-VN"/>
        </w:rPr>
        <w:t>ế từng thời kỳ</w:t>
      </w:r>
    </w:p>
  </w:footnote>
  <w:footnote w:id="4">
    <w:p w:rsidR="00C25EE9" w:rsidRPr="00F24A25" w:rsidRDefault="00C25EE9" w:rsidP="00976FAD">
      <w:pPr>
        <w:pStyle w:val="FootnoteText"/>
        <w:jc w:val="both"/>
        <w:rPr>
          <w:bCs/>
          <w:i/>
          <w:iCs/>
        </w:rPr>
      </w:pPr>
      <w:r w:rsidRPr="00F24A25">
        <w:rPr>
          <w:rStyle w:val="FootnoteReference"/>
          <w:bCs/>
          <w:i/>
          <w:iCs/>
        </w:rPr>
        <w:footnoteRef/>
      </w:r>
      <w:r w:rsidRPr="00F24A25">
        <w:rPr>
          <w:bCs/>
          <w:i/>
          <w:iCs/>
        </w:rPr>
        <w:t xml:space="preserve"> Ngoài tiền sử dụng đất, tiền thuê đất được miễn, giảm phải thu hồi, người sử dụng đất phải nộp thêm </w:t>
      </w:r>
      <w:r w:rsidRPr="00F24A25">
        <w:rPr>
          <w:rFonts w:eastAsia="MS Mincho"/>
          <w:bCs/>
          <w:i/>
          <w:iCs/>
          <w:lang w:val="vi-VN"/>
        </w:rPr>
        <w:t>khoản thu bổ sung t</w:t>
      </w:r>
      <w:r w:rsidRPr="00F24A25">
        <w:rPr>
          <w:rFonts w:eastAsia="MS Mincho"/>
          <w:bCs/>
          <w:i/>
          <w:iCs/>
        </w:rPr>
        <w:t xml:space="preserve">ính trên </w:t>
      </w:r>
      <w:r w:rsidRPr="00F24A25">
        <w:rPr>
          <w:bCs/>
          <w:i/>
          <w:iCs/>
        </w:rPr>
        <w:t>s</w:t>
      </w:r>
      <w:r w:rsidRPr="00F24A25">
        <w:rPr>
          <w:bCs/>
          <w:i/>
          <w:iCs/>
          <w:lang w:val="vi-VN"/>
        </w:rPr>
        <w:t>ố tiền sử dụng đất được miễn, giảm phải thu hồi</w:t>
      </w:r>
      <w:r w:rsidRPr="00F24A25">
        <w:rPr>
          <w:rFonts w:eastAsia="MS Mincho"/>
          <w:bCs/>
          <w:i/>
          <w:iCs/>
        </w:rPr>
        <w:t xml:space="preserve"> theo như quy đ</w:t>
      </w:r>
      <w:r w:rsidRPr="00F24A25">
        <w:rPr>
          <w:rFonts w:eastAsia="MS Mincho"/>
          <w:bCs/>
          <w:i/>
          <w:iCs/>
          <w:lang w:val="vi-VN"/>
        </w:rPr>
        <w:t>ịnh tại khoản 2 Điều</w:t>
      </w:r>
      <w:r w:rsidRPr="00F24A25">
        <w:rPr>
          <w:bCs/>
          <w:i/>
          <w:iCs/>
        </w:rPr>
        <w:t xml:space="preserve"> 50, khoản 9 Điều 51 Nghị định</w:t>
      </w:r>
      <w:r w:rsidRPr="00F24A25">
        <w:rPr>
          <w:rFonts w:eastAsia="MS Mincho"/>
          <w:bCs/>
          <w:i/>
          <w:iCs/>
          <w:lang w:val="vi-VN"/>
        </w:rPr>
        <w:t xml:space="preserve"> này</w:t>
      </w:r>
      <w:r w:rsidRPr="00F24A25">
        <w:rPr>
          <w:rFonts w:eastAsia="MS Mincho"/>
          <w:bCs/>
          <w:i/>
          <w:iCs/>
        </w:rPr>
        <w:t>, </w:t>
      </w:r>
      <w:bookmarkStart w:id="3" w:name="dc_157"/>
      <w:r w:rsidRPr="00F24A25">
        <w:rPr>
          <w:rFonts w:eastAsia="MS Mincho"/>
          <w:bCs/>
          <w:i/>
          <w:iCs/>
        </w:rPr>
        <w:t>điểm d khoản 2 Điều 257 Luật Đất đai</w:t>
      </w:r>
      <w:bookmarkEnd w:id="3"/>
      <w:r w:rsidRPr="00F24A25">
        <w:rPr>
          <w:rFonts w:eastAsia="MS Mincho"/>
          <w:bCs/>
          <w:i/>
          <w:iCs/>
          <w:lang w:val="vi-VN"/>
        </w:rPr>
        <w:t>.</w:t>
      </w:r>
    </w:p>
  </w:footnote>
  <w:footnote w:id="5">
    <w:p w:rsidR="00C25EE9" w:rsidRDefault="00C25EE9" w:rsidP="002B29BE">
      <w:pPr>
        <w:pStyle w:val="FootnoteText"/>
        <w:jc w:val="both"/>
      </w:pPr>
      <w:r>
        <w:rPr>
          <w:rStyle w:val="FootnoteReference"/>
        </w:rPr>
        <w:footnoteRef/>
      </w:r>
      <w:r>
        <w:t xml:space="preserve"> Quy định: “</w:t>
      </w:r>
      <w:r w:rsidRPr="00E1782F">
        <w:rPr>
          <w:i/>
        </w:rPr>
        <w:t>Trường hợp Khu kinh tế nằm trên phạm vi nhiều huyện thì việc ưu đãi miễn tiền thuê đất được xác định theo diện tích tương ứng ở từng huyện.</w:t>
      </w:r>
      <w:r>
        <w:rPr>
          <w:i/>
        </w:rPr>
        <w:t>”</w:t>
      </w:r>
    </w:p>
  </w:footnote>
  <w:footnote w:id="6">
    <w:p w:rsidR="00C25EE9" w:rsidRDefault="00C25EE9" w:rsidP="002B29BE">
      <w:pPr>
        <w:pStyle w:val="FootnoteText"/>
        <w:jc w:val="both"/>
      </w:pPr>
      <w:r>
        <w:rPr>
          <w:rStyle w:val="FootnoteReference"/>
        </w:rPr>
        <w:footnoteRef/>
      </w:r>
      <w:r>
        <w:t xml:space="preserve"> </w:t>
      </w:r>
      <w:r w:rsidRPr="008B19D3">
        <w:t xml:space="preserve">Tại điểm d khoản 1 Điều 5, điểm b khoản 1 điều 17 Nghị định số 45/2014/NĐ-CP ngày 15/5/2014 của Chính phủ; khoản 4 Điều 12, điểm c khoản 1 Điều 25 Nghị định số 46/2014/NĐ-CP ngày </w:t>
      </w:r>
      <w:r>
        <w:t>15/5/2014 của Chính phủ.</w:t>
      </w:r>
    </w:p>
  </w:footnote>
  <w:footnote w:id="7">
    <w:p w:rsidR="00C25EE9" w:rsidRDefault="00C25EE9">
      <w:pPr>
        <w:pStyle w:val="FootnoteText"/>
      </w:pPr>
      <w:r>
        <w:rPr>
          <w:rStyle w:val="FootnoteReference"/>
        </w:rPr>
        <w:footnoteRef/>
      </w:r>
      <w:r>
        <w:t xml:space="preserve"> Có 23/25 Thành viên Chính phủ lựa chọn phương án 5,4%/năm.</w:t>
      </w:r>
    </w:p>
  </w:footnote>
  <w:footnote w:id="8">
    <w:p w:rsidR="00C25EE9" w:rsidRDefault="00C25EE9">
      <w:pPr>
        <w:pStyle w:val="FootnoteText"/>
      </w:pPr>
      <w:r>
        <w:rPr>
          <w:rStyle w:val="FootnoteReference"/>
        </w:rPr>
        <w:footnoteRef/>
      </w:r>
      <w:r>
        <w:t xml:space="preserve"> Tại </w:t>
      </w:r>
      <w:r w:rsidRPr="00D33A39">
        <w:t>k</w:t>
      </w:r>
      <w:r>
        <w:t>hoản 2 Điều 50, khoản 9 Điều 51 Nghị định số 103/2024/NĐ-CP.</w:t>
      </w:r>
    </w:p>
  </w:footnote>
  <w:footnote w:id="9">
    <w:p w:rsidR="00C25EE9" w:rsidRDefault="00C25EE9" w:rsidP="00021B5D">
      <w:pPr>
        <w:pStyle w:val="FootnoteText"/>
        <w:jc w:val="both"/>
      </w:pPr>
      <w:r>
        <w:rPr>
          <w:rStyle w:val="FootnoteReference"/>
        </w:rPr>
        <w:footnoteRef/>
      </w:r>
      <w:r>
        <w:t xml:space="preserve"> Khoản 5 Điều 17 Nghị định số 45/2014/NĐ-CP, khoản 6 Điều 25 Nghị định số 46/2014/NĐ-CP ngày 15/5/2014 (nay là khoản 6 Điều 44 Nghị định số 103/2024/NĐ-CP ngày 30/7/2024 của Chính phủ)</w:t>
      </w:r>
    </w:p>
  </w:footnote>
  <w:footnote w:id="10">
    <w:p w:rsidR="00C25EE9" w:rsidRDefault="00C25EE9" w:rsidP="009D4F75">
      <w:pPr>
        <w:pStyle w:val="FootnoteText"/>
        <w:jc w:val="both"/>
      </w:pPr>
      <w:r>
        <w:rPr>
          <w:rStyle w:val="FootnoteReference"/>
        </w:rPr>
        <w:footnoteRef/>
      </w:r>
      <w:r>
        <w:t xml:space="preserve"> Đ</w:t>
      </w:r>
      <w:r w:rsidRPr="009D4F75">
        <w:t xml:space="preserve">iểm a khoản 2 Điều 257 Luật Đất đai </w:t>
      </w:r>
      <w:r>
        <w:t xml:space="preserve">quy định: </w:t>
      </w:r>
      <w:r w:rsidRPr="009D4F75">
        <w:rPr>
          <w:i/>
        </w:rPr>
        <w:t>Đối với trường hợp giao đất, cho thuê đất theo quy định của Luật Đất đai năm 1993, Luật Đất đai số 13/2003/QH11 và các văn bản quy định chi tiết, hướng dẫn thi hành mà được bàn giao đất trên thực tế trước ngày 01 tháng 01 năm 2005 thì chính sách thu tiền sử dụng đất, tiền thuê đất và giá đất để tính tiền sử dụng đất, tiền thuê đất áp dụng tại thời điểm bảng giá đất năm 2005 do Ủy ban nhân dân cấp tỉnh ban hành có hiệu lực thi hành.</w:t>
      </w:r>
    </w:p>
  </w:footnote>
  <w:footnote w:id="11">
    <w:p w:rsidR="00C25EE9" w:rsidRPr="00774DA2" w:rsidRDefault="00C25EE9">
      <w:pPr>
        <w:pStyle w:val="FootnoteText"/>
      </w:pPr>
      <w:r w:rsidRPr="00774DA2">
        <w:rPr>
          <w:rStyle w:val="FootnoteReference"/>
        </w:rPr>
        <w:footnoteRef/>
      </w:r>
      <w:r w:rsidRPr="00774DA2">
        <w:t xml:space="preserve"> Công văn số 3801/VPCP-NN ngày 02/5/2025 của Văn phòng Chính phủ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EE9" w:rsidRPr="00D40EE7" w:rsidRDefault="00615889">
    <w:pPr>
      <w:pStyle w:val="Header"/>
      <w:jc w:val="center"/>
      <w:rPr>
        <w:sz w:val="24"/>
        <w:szCs w:val="24"/>
      </w:rPr>
    </w:pPr>
    <w:r w:rsidRPr="00D40EE7">
      <w:rPr>
        <w:sz w:val="24"/>
        <w:szCs w:val="24"/>
      </w:rPr>
      <w:fldChar w:fldCharType="begin"/>
    </w:r>
    <w:r w:rsidR="00C25EE9" w:rsidRPr="00D40EE7">
      <w:rPr>
        <w:sz w:val="24"/>
        <w:szCs w:val="24"/>
      </w:rPr>
      <w:instrText xml:space="preserve"> PAGE   \* MERGEFORMAT </w:instrText>
    </w:r>
    <w:r w:rsidRPr="00D40EE7">
      <w:rPr>
        <w:sz w:val="24"/>
        <w:szCs w:val="24"/>
      </w:rPr>
      <w:fldChar w:fldCharType="separate"/>
    </w:r>
    <w:r w:rsidR="0068187C">
      <w:rPr>
        <w:noProof/>
        <w:sz w:val="24"/>
        <w:szCs w:val="24"/>
      </w:rPr>
      <w:t>15</w:t>
    </w:r>
    <w:r w:rsidRPr="00D40EE7">
      <w:rPr>
        <w:sz w:val="24"/>
        <w:szCs w:val="24"/>
      </w:rPr>
      <w:fldChar w:fldCharType="end"/>
    </w:r>
  </w:p>
  <w:p w:rsidR="00C25EE9" w:rsidRDefault="00C25E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3D2"/>
    <w:multiLevelType w:val="hybridMultilevel"/>
    <w:tmpl w:val="FC9C8722"/>
    <w:lvl w:ilvl="0" w:tplc="DA464A5C">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761A59"/>
    <w:multiLevelType w:val="hybridMultilevel"/>
    <w:tmpl w:val="1A1E4E18"/>
    <w:lvl w:ilvl="0" w:tplc="97A88112">
      <w:start w:val="3"/>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05316B77"/>
    <w:multiLevelType w:val="hybridMultilevel"/>
    <w:tmpl w:val="FF6EAE58"/>
    <w:lvl w:ilvl="0" w:tplc="11B4946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457042"/>
    <w:multiLevelType w:val="hybridMultilevel"/>
    <w:tmpl w:val="392CCCE2"/>
    <w:lvl w:ilvl="0" w:tplc="56F2E4B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E60486"/>
    <w:multiLevelType w:val="hybridMultilevel"/>
    <w:tmpl w:val="033ECF4A"/>
    <w:lvl w:ilvl="0" w:tplc="A1A840D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0569E4"/>
    <w:multiLevelType w:val="hybridMultilevel"/>
    <w:tmpl w:val="FB60214A"/>
    <w:lvl w:ilvl="0" w:tplc="3D0692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6A6BA0"/>
    <w:multiLevelType w:val="hybridMultilevel"/>
    <w:tmpl w:val="3834A128"/>
    <w:lvl w:ilvl="0" w:tplc="4D066E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647102"/>
    <w:multiLevelType w:val="hybridMultilevel"/>
    <w:tmpl w:val="875EA66C"/>
    <w:lvl w:ilvl="0" w:tplc="39282DB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492798"/>
    <w:multiLevelType w:val="multilevel"/>
    <w:tmpl w:val="A4FE579C"/>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18FA7054"/>
    <w:multiLevelType w:val="hybridMultilevel"/>
    <w:tmpl w:val="63CAD97E"/>
    <w:lvl w:ilvl="0" w:tplc="EAFED73A">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E92DF4"/>
    <w:multiLevelType w:val="hybridMultilevel"/>
    <w:tmpl w:val="4FD4F47E"/>
    <w:lvl w:ilvl="0" w:tplc="88F475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8B3A3C"/>
    <w:multiLevelType w:val="hybridMultilevel"/>
    <w:tmpl w:val="D376ED3E"/>
    <w:lvl w:ilvl="0" w:tplc="8D3A69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8B5950"/>
    <w:multiLevelType w:val="hybridMultilevel"/>
    <w:tmpl w:val="B04E0C2A"/>
    <w:lvl w:ilvl="0" w:tplc="30A48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4">
    <w:nsid w:val="2A430F31"/>
    <w:multiLevelType w:val="hybridMultilevel"/>
    <w:tmpl w:val="E916A18E"/>
    <w:lvl w:ilvl="0" w:tplc="7D465644">
      <w:start w:val="2"/>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nsid w:val="320F1498"/>
    <w:multiLevelType w:val="hybridMultilevel"/>
    <w:tmpl w:val="7FE022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41C5A58"/>
    <w:multiLevelType w:val="hybridMultilevel"/>
    <w:tmpl w:val="97727D80"/>
    <w:lvl w:ilvl="0" w:tplc="B76E95C8">
      <w:start w:val="1"/>
      <w:numFmt w:val="lowerLetter"/>
      <w:lvlText w:val="%1)"/>
      <w:lvlJc w:val="left"/>
      <w:pPr>
        <w:ind w:left="720" w:hanging="36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BB013CC"/>
    <w:multiLevelType w:val="hybridMultilevel"/>
    <w:tmpl w:val="7CF64F68"/>
    <w:lvl w:ilvl="0" w:tplc="E03CDB94">
      <w:start w:val="1"/>
      <w:numFmt w:val="decimal"/>
      <w:lvlText w:val="%1."/>
      <w:lvlJc w:val="left"/>
      <w:pPr>
        <w:ind w:left="1710" w:hanging="99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FA6B88"/>
    <w:multiLevelType w:val="hybridMultilevel"/>
    <w:tmpl w:val="6952E352"/>
    <w:lvl w:ilvl="0" w:tplc="8F5C378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D24556"/>
    <w:multiLevelType w:val="hybridMultilevel"/>
    <w:tmpl w:val="4EA6BBEC"/>
    <w:lvl w:ilvl="0" w:tplc="F72A9E3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433D3B8B"/>
    <w:multiLevelType w:val="hybridMultilevel"/>
    <w:tmpl w:val="D6F2B53A"/>
    <w:lvl w:ilvl="0" w:tplc="AFB64F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A23B8E"/>
    <w:multiLevelType w:val="hybridMultilevel"/>
    <w:tmpl w:val="5D46ABBE"/>
    <w:lvl w:ilvl="0" w:tplc="940E6252">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5AD42D2"/>
    <w:multiLevelType w:val="hybridMultilevel"/>
    <w:tmpl w:val="3846248A"/>
    <w:lvl w:ilvl="0" w:tplc="4B0ED322">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7276677"/>
    <w:multiLevelType w:val="hybridMultilevel"/>
    <w:tmpl w:val="058ACC00"/>
    <w:lvl w:ilvl="0" w:tplc="489E58D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C8A121C"/>
    <w:multiLevelType w:val="hybridMultilevel"/>
    <w:tmpl w:val="0D12B848"/>
    <w:lvl w:ilvl="0" w:tplc="D55E2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EC57AB"/>
    <w:multiLevelType w:val="hybridMultilevel"/>
    <w:tmpl w:val="5686D166"/>
    <w:lvl w:ilvl="0" w:tplc="BC8E228A">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03F3972"/>
    <w:multiLevelType w:val="hybridMultilevel"/>
    <w:tmpl w:val="8C5C29FA"/>
    <w:lvl w:ilvl="0" w:tplc="BB789090">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7">
    <w:nsid w:val="536805B1"/>
    <w:multiLevelType w:val="hybridMultilevel"/>
    <w:tmpl w:val="E03620DE"/>
    <w:lvl w:ilvl="0" w:tplc="5B3438F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A326803"/>
    <w:multiLevelType w:val="hybridMultilevel"/>
    <w:tmpl w:val="F6387E46"/>
    <w:lvl w:ilvl="0" w:tplc="82AA41F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A8F7295"/>
    <w:multiLevelType w:val="hybridMultilevel"/>
    <w:tmpl w:val="42DC842C"/>
    <w:lvl w:ilvl="0" w:tplc="D0BC3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104DD9"/>
    <w:multiLevelType w:val="hybridMultilevel"/>
    <w:tmpl w:val="69740EEE"/>
    <w:lvl w:ilvl="0" w:tplc="CEBA582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B7F6025"/>
    <w:multiLevelType w:val="multilevel"/>
    <w:tmpl w:val="F11071F0"/>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nsid w:val="603A6599"/>
    <w:multiLevelType w:val="hybridMultilevel"/>
    <w:tmpl w:val="27AC6988"/>
    <w:lvl w:ilvl="0" w:tplc="44DE55D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E224FF"/>
    <w:multiLevelType w:val="hybridMultilevel"/>
    <w:tmpl w:val="E3CCA06A"/>
    <w:lvl w:ilvl="0" w:tplc="89A27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277EC0"/>
    <w:multiLevelType w:val="hybridMultilevel"/>
    <w:tmpl w:val="1B448152"/>
    <w:lvl w:ilvl="0" w:tplc="EA4E5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493E61"/>
    <w:multiLevelType w:val="hybridMultilevel"/>
    <w:tmpl w:val="01E4E280"/>
    <w:lvl w:ilvl="0" w:tplc="EBA6FD9E">
      <w:start w:val="1"/>
      <w:numFmt w:val="lowerRoman"/>
      <w:lvlText w:val="(%1)"/>
      <w:lvlJc w:val="left"/>
      <w:pPr>
        <w:ind w:left="1495"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0D3DB8"/>
    <w:multiLevelType w:val="hybridMultilevel"/>
    <w:tmpl w:val="228E0D7E"/>
    <w:lvl w:ilvl="0" w:tplc="8FA648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8931A8"/>
    <w:multiLevelType w:val="multilevel"/>
    <w:tmpl w:val="10DC447C"/>
    <w:lvl w:ilvl="0">
      <w:start w:val="1"/>
      <w:numFmt w:val="decimal"/>
      <w:lvlText w:val="%1."/>
      <w:lvlJc w:val="left"/>
      <w:pPr>
        <w:ind w:left="1211" w:hanging="360"/>
      </w:pPr>
      <w:rPr>
        <w:rFonts w:hint="default"/>
        <w:i/>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8">
    <w:nsid w:val="7C31274E"/>
    <w:multiLevelType w:val="hybridMultilevel"/>
    <w:tmpl w:val="5D002144"/>
    <w:lvl w:ilvl="0" w:tplc="0CFA22B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2C64CA"/>
    <w:multiLevelType w:val="hybridMultilevel"/>
    <w:tmpl w:val="99FCFAB2"/>
    <w:lvl w:ilvl="0" w:tplc="7040C4F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2"/>
  </w:num>
  <w:num w:numId="2">
    <w:abstractNumId w:val="23"/>
  </w:num>
  <w:num w:numId="3">
    <w:abstractNumId w:val="21"/>
  </w:num>
  <w:num w:numId="4">
    <w:abstractNumId w:val="15"/>
  </w:num>
  <w:num w:numId="5">
    <w:abstractNumId w:val="1"/>
  </w:num>
  <w:num w:numId="6">
    <w:abstractNumId w:val="39"/>
  </w:num>
  <w:num w:numId="7">
    <w:abstractNumId w:val="5"/>
  </w:num>
  <w:num w:numId="8">
    <w:abstractNumId w:val="20"/>
  </w:num>
  <w:num w:numId="9">
    <w:abstractNumId w:val="30"/>
  </w:num>
  <w:num w:numId="10">
    <w:abstractNumId w:val="34"/>
  </w:num>
  <w:num w:numId="11">
    <w:abstractNumId w:val="29"/>
  </w:num>
  <w:num w:numId="12">
    <w:abstractNumId w:val="0"/>
  </w:num>
  <w:num w:numId="13">
    <w:abstractNumId w:val="24"/>
  </w:num>
  <w:num w:numId="14">
    <w:abstractNumId w:val="7"/>
  </w:num>
  <w:num w:numId="15">
    <w:abstractNumId w:val="4"/>
  </w:num>
  <w:num w:numId="16">
    <w:abstractNumId w:val="2"/>
  </w:num>
  <w:num w:numId="17">
    <w:abstractNumId w:val="9"/>
  </w:num>
  <w:num w:numId="18">
    <w:abstractNumId w:val="12"/>
  </w:num>
  <w:num w:numId="19">
    <w:abstractNumId w:val="6"/>
  </w:num>
  <w:num w:numId="20">
    <w:abstractNumId w:val="11"/>
  </w:num>
  <w:num w:numId="21">
    <w:abstractNumId w:val="3"/>
  </w:num>
  <w:num w:numId="22">
    <w:abstractNumId w:val="10"/>
  </w:num>
  <w:num w:numId="23">
    <w:abstractNumId w:val="18"/>
  </w:num>
  <w:num w:numId="24">
    <w:abstractNumId w:val="27"/>
  </w:num>
  <w:num w:numId="25">
    <w:abstractNumId w:val="33"/>
  </w:num>
  <w:num w:numId="26">
    <w:abstractNumId w:val="36"/>
  </w:num>
  <w:num w:numId="27">
    <w:abstractNumId w:val="8"/>
  </w:num>
  <w:num w:numId="28">
    <w:abstractNumId w:val="37"/>
  </w:num>
  <w:num w:numId="29">
    <w:abstractNumId w:val="25"/>
  </w:num>
  <w:num w:numId="30">
    <w:abstractNumId w:val="16"/>
  </w:num>
  <w:num w:numId="31">
    <w:abstractNumId w:val="13"/>
  </w:num>
  <w:num w:numId="32">
    <w:abstractNumId w:val="17"/>
  </w:num>
  <w:num w:numId="33">
    <w:abstractNumId w:val="31"/>
  </w:num>
  <w:num w:numId="34">
    <w:abstractNumId w:val="19"/>
  </w:num>
  <w:num w:numId="35">
    <w:abstractNumId w:val="38"/>
  </w:num>
  <w:num w:numId="36">
    <w:abstractNumId w:val="26"/>
  </w:num>
  <w:num w:numId="37">
    <w:abstractNumId w:val="28"/>
  </w:num>
  <w:num w:numId="38">
    <w:abstractNumId w:val="35"/>
  </w:num>
  <w:num w:numId="39">
    <w:abstractNumId w:val="32"/>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drawingGridHorizontalSpacing w:val="140"/>
  <w:displayHorizont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EC5D6A"/>
    <w:rsid w:val="000008C3"/>
    <w:rsid w:val="00000A38"/>
    <w:rsid w:val="00001FEC"/>
    <w:rsid w:val="00002776"/>
    <w:rsid w:val="00002914"/>
    <w:rsid w:val="00003091"/>
    <w:rsid w:val="00003465"/>
    <w:rsid w:val="000043E2"/>
    <w:rsid w:val="00004F0F"/>
    <w:rsid w:val="000054B4"/>
    <w:rsid w:val="000058CF"/>
    <w:rsid w:val="0000682A"/>
    <w:rsid w:val="00007C4A"/>
    <w:rsid w:val="00007CD8"/>
    <w:rsid w:val="00010412"/>
    <w:rsid w:val="000104E9"/>
    <w:rsid w:val="0001075D"/>
    <w:rsid w:val="000107CF"/>
    <w:rsid w:val="0001099F"/>
    <w:rsid w:val="00010C24"/>
    <w:rsid w:val="000119E9"/>
    <w:rsid w:val="0001203A"/>
    <w:rsid w:val="00012F37"/>
    <w:rsid w:val="000144B1"/>
    <w:rsid w:val="00014DB7"/>
    <w:rsid w:val="00015089"/>
    <w:rsid w:val="00015219"/>
    <w:rsid w:val="000156BB"/>
    <w:rsid w:val="0001572F"/>
    <w:rsid w:val="000161FE"/>
    <w:rsid w:val="000178AD"/>
    <w:rsid w:val="000179EE"/>
    <w:rsid w:val="00017C36"/>
    <w:rsid w:val="000214BF"/>
    <w:rsid w:val="00021B5D"/>
    <w:rsid w:val="0002239B"/>
    <w:rsid w:val="000236E7"/>
    <w:rsid w:val="00023931"/>
    <w:rsid w:val="00024B44"/>
    <w:rsid w:val="00025D64"/>
    <w:rsid w:val="00030C93"/>
    <w:rsid w:val="000311B2"/>
    <w:rsid w:val="000314BC"/>
    <w:rsid w:val="00031F6B"/>
    <w:rsid w:val="00032550"/>
    <w:rsid w:val="0003373E"/>
    <w:rsid w:val="00035579"/>
    <w:rsid w:val="00035F7A"/>
    <w:rsid w:val="0003603A"/>
    <w:rsid w:val="00036AA4"/>
    <w:rsid w:val="00037C4F"/>
    <w:rsid w:val="000400D1"/>
    <w:rsid w:val="0004016B"/>
    <w:rsid w:val="00040833"/>
    <w:rsid w:val="00040DEC"/>
    <w:rsid w:val="0004232B"/>
    <w:rsid w:val="00042ED7"/>
    <w:rsid w:val="00043A4F"/>
    <w:rsid w:val="00043D09"/>
    <w:rsid w:val="00044B13"/>
    <w:rsid w:val="0004518D"/>
    <w:rsid w:val="000458A3"/>
    <w:rsid w:val="00046E35"/>
    <w:rsid w:val="00047065"/>
    <w:rsid w:val="00047B36"/>
    <w:rsid w:val="00050907"/>
    <w:rsid w:val="00050A75"/>
    <w:rsid w:val="00051417"/>
    <w:rsid w:val="00051C69"/>
    <w:rsid w:val="00051E37"/>
    <w:rsid w:val="00054A57"/>
    <w:rsid w:val="00054FCA"/>
    <w:rsid w:val="00056E7E"/>
    <w:rsid w:val="0005795D"/>
    <w:rsid w:val="00062A28"/>
    <w:rsid w:val="00063091"/>
    <w:rsid w:val="00064528"/>
    <w:rsid w:val="00064541"/>
    <w:rsid w:val="00064DB2"/>
    <w:rsid w:val="00065567"/>
    <w:rsid w:val="000661D9"/>
    <w:rsid w:val="00066394"/>
    <w:rsid w:val="000672AF"/>
    <w:rsid w:val="0006769B"/>
    <w:rsid w:val="00070D2E"/>
    <w:rsid w:val="0007164A"/>
    <w:rsid w:val="00071C04"/>
    <w:rsid w:val="00071DE7"/>
    <w:rsid w:val="00074658"/>
    <w:rsid w:val="000762DE"/>
    <w:rsid w:val="000764E5"/>
    <w:rsid w:val="000770CA"/>
    <w:rsid w:val="000771E9"/>
    <w:rsid w:val="0008107A"/>
    <w:rsid w:val="000815CC"/>
    <w:rsid w:val="00081DC8"/>
    <w:rsid w:val="00083EF4"/>
    <w:rsid w:val="00090ACE"/>
    <w:rsid w:val="00090C48"/>
    <w:rsid w:val="00091C60"/>
    <w:rsid w:val="00092ACC"/>
    <w:rsid w:val="00092C26"/>
    <w:rsid w:val="000935B1"/>
    <w:rsid w:val="00093E08"/>
    <w:rsid w:val="0009522A"/>
    <w:rsid w:val="000952B9"/>
    <w:rsid w:val="00095B22"/>
    <w:rsid w:val="00096669"/>
    <w:rsid w:val="00097EFA"/>
    <w:rsid w:val="000A1079"/>
    <w:rsid w:val="000A10C1"/>
    <w:rsid w:val="000A2146"/>
    <w:rsid w:val="000A21C3"/>
    <w:rsid w:val="000A2967"/>
    <w:rsid w:val="000A32E5"/>
    <w:rsid w:val="000A4150"/>
    <w:rsid w:val="000A436B"/>
    <w:rsid w:val="000A43E0"/>
    <w:rsid w:val="000A529E"/>
    <w:rsid w:val="000A5547"/>
    <w:rsid w:val="000A5E2D"/>
    <w:rsid w:val="000A6932"/>
    <w:rsid w:val="000A7112"/>
    <w:rsid w:val="000A73EA"/>
    <w:rsid w:val="000A76E5"/>
    <w:rsid w:val="000A7E2B"/>
    <w:rsid w:val="000B1E65"/>
    <w:rsid w:val="000B2773"/>
    <w:rsid w:val="000B363C"/>
    <w:rsid w:val="000B40A6"/>
    <w:rsid w:val="000B5C1E"/>
    <w:rsid w:val="000B62D1"/>
    <w:rsid w:val="000B658B"/>
    <w:rsid w:val="000B66D2"/>
    <w:rsid w:val="000B6DC0"/>
    <w:rsid w:val="000C033E"/>
    <w:rsid w:val="000C07B7"/>
    <w:rsid w:val="000C20D4"/>
    <w:rsid w:val="000C2512"/>
    <w:rsid w:val="000C4CFA"/>
    <w:rsid w:val="000C53E7"/>
    <w:rsid w:val="000C584E"/>
    <w:rsid w:val="000C64D7"/>
    <w:rsid w:val="000C7522"/>
    <w:rsid w:val="000C7830"/>
    <w:rsid w:val="000C7B1F"/>
    <w:rsid w:val="000D098C"/>
    <w:rsid w:val="000D0B6F"/>
    <w:rsid w:val="000D1CF3"/>
    <w:rsid w:val="000D31CD"/>
    <w:rsid w:val="000D42CA"/>
    <w:rsid w:val="000D442E"/>
    <w:rsid w:val="000D544B"/>
    <w:rsid w:val="000D672D"/>
    <w:rsid w:val="000D6745"/>
    <w:rsid w:val="000E0B9B"/>
    <w:rsid w:val="000E0DE1"/>
    <w:rsid w:val="000E1212"/>
    <w:rsid w:val="000E1576"/>
    <w:rsid w:val="000E1899"/>
    <w:rsid w:val="000E19EC"/>
    <w:rsid w:val="000E1D97"/>
    <w:rsid w:val="000E1DC4"/>
    <w:rsid w:val="000E218D"/>
    <w:rsid w:val="000E2301"/>
    <w:rsid w:val="000E235A"/>
    <w:rsid w:val="000E27C0"/>
    <w:rsid w:val="000E2AE3"/>
    <w:rsid w:val="000E38D7"/>
    <w:rsid w:val="000E3C2E"/>
    <w:rsid w:val="000E6BBA"/>
    <w:rsid w:val="000F0284"/>
    <w:rsid w:val="000F02F9"/>
    <w:rsid w:val="000F058A"/>
    <w:rsid w:val="000F2064"/>
    <w:rsid w:val="000F21DF"/>
    <w:rsid w:val="000F2ACA"/>
    <w:rsid w:val="000F34EF"/>
    <w:rsid w:val="000F7EE6"/>
    <w:rsid w:val="001005BB"/>
    <w:rsid w:val="001031F3"/>
    <w:rsid w:val="001038E0"/>
    <w:rsid w:val="001039C5"/>
    <w:rsid w:val="0010590E"/>
    <w:rsid w:val="00105949"/>
    <w:rsid w:val="00106570"/>
    <w:rsid w:val="001074EC"/>
    <w:rsid w:val="001077E0"/>
    <w:rsid w:val="001115E3"/>
    <w:rsid w:val="00111633"/>
    <w:rsid w:val="00111CAD"/>
    <w:rsid w:val="00111EC2"/>
    <w:rsid w:val="00112113"/>
    <w:rsid w:val="00112C47"/>
    <w:rsid w:val="00113B08"/>
    <w:rsid w:val="00115550"/>
    <w:rsid w:val="00115777"/>
    <w:rsid w:val="00115E5C"/>
    <w:rsid w:val="001167C9"/>
    <w:rsid w:val="00116A5C"/>
    <w:rsid w:val="00117233"/>
    <w:rsid w:val="00117A43"/>
    <w:rsid w:val="00117BA3"/>
    <w:rsid w:val="0012155C"/>
    <w:rsid w:val="0012282B"/>
    <w:rsid w:val="0012363C"/>
    <w:rsid w:val="00123C44"/>
    <w:rsid w:val="001250B3"/>
    <w:rsid w:val="00125C98"/>
    <w:rsid w:val="00125F56"/>
    <w:rsid w:val="00126124"/>
    <w:rsid w:val="001308D2"/>
    <w:rsid w:val="00131589"/>
    <w:rsid w:val="00131BC2"/>
    <w:rsid w:val="00131EF9"/>
    <w:rsid w:val="0013213E"/>
    <w:rsid w:val="001337B3"/>
    <w:rsid w:val="00133A97"/>
    <w:rsid w:val="001357B1"/>
    <w:rsid w:val="00135D59"/>
    <w:rsid w:val="00135FA9"/>
    <w:rsid w:val="001361B0"/>
    <w:rsid w:val="001363A3"/>
    <w:rsid w:val="001364A8"/>
    <w:rsid w:val="00136775"/>
    <w:rsid w:val="00136D88"/>
    <w:rsid w:val="0014072B"/>
    <w:rsid w:val="0014120F"/>
    <w:rsid w:val="001415D5"/>
    <w:rsid w:val="00142835"/>
    <w:rsid w:val="001439A8"/>
    <w:rsid w:val="00144E21"/>
    <w:rsid w:val="0014511E"/>
    <w:rsid w:val="00145EC2"/>
    <w:rsid w:val="00146161"/>
    <w:rsid w:val="00146201"/>
    <w:rsid w:val="00146B26"/>
    <w:rsid w:val="00152B4B"/>
    <w:rsid w:val="0015403F"/>
    <w:rsid w:val="001543C1"/>
    <w:rsid w:val="00154559"/>
    <w:rsid w:val="0015467B"/>
    <w:rsid w:val="00154A25"/>
    <w:rsid w:val="00154D46"/>
    <w:rsid w:val="00155A1E"/>
    <w:rsid w:val="00155C3C"/>
    <w:rsid w:val="001562A4"/>
    <w:rsid w:val="00157CF0"/>
    <w:rsid w:val="00160028"/>
    <w:rsid w:val="00161698"/>
    <w:rsid w:val="00162F16"/>
    <w:rsid w:val="0016427A"/>
    <w:rsid w:val="001643CD"/>
    <w:rsid w:val="00165393"/>
    <w:rsid w:val="00165DB6"/>
    <w:rsid w:val="00166648"/>
    <w:rsid w:val="001671B5"/>
    <w:rsid w:val="001673CB"/>
    <w:rsid w:val="0016759B"/>
    <w:rsid w:val="001679E1"/>
    <w:rsid w:val="00167D9D"/>
    <w:rsid w:val="00170834"/>
    <w:rsid w:val="0017141D"/>
    <w:rsid w:val="001719A1"/>
    <w:rsid w:val="00171B11"/>
    <w:rsid w:val="00172E3E"/>
    <w:rsid w:val="00173101"/>
    <w:rsid w:val="00173B26"/>
    <w:rsid w:val="001742E0"/>
    <w:rsid w:val="00174CD7"/>
    <w:rsid w:val="00174F55"/>
    <w:rsid w:val="00175538"/>
    <w:rsid w:val="001756A5"/>
    <w:rsid w:val="00175835"/>
    <w:rsid w:val="00176013"/>
    <w:rsid w:val="0017686A"/>
    <w:rsid w:val="0017724C"/>
    <w:rsid w:val="00177426"/>
    <w:rsid w:val="00182363"/>
    <w:rsid w:val="00182551"/>
    <w:rsid w:val="00182BAD"/>
    <w:rsid w:val="00183656"/>
    <w:rsid w:val="0018421F"/>
    <w:rsid w:val="00185E9E"/>
    <w:rsid w:val="00185EDE"/>
    <w:rsid w:val="0018632A"/>
    <w:rsid w:val="001864B9"/>
    <w:rsid w:val="0018696F"/>
    <w:rsid w:val="00190175"/>
    <w:rsid w:val="00190233"/>
    <w:rsid w:val="0019096F"/>
    <w:rsid w:val="0019353F"/>
    <w:rsid w:val="001937B8"/>
    <w:rsid w:val="0019447F"/>
    <w:rsid w:val="001964CB"/>
    <w:rsid w:val="00196C2B"/>
    <w:rsid w:val="00196C67"/>
    <w:rsid w:val="00197363"/>
    <w:rsid w:val="00197397"/>
    <w:rsid w:val="00197E03"/>
    <w:rsid w:val="001A0556"/>
    <w:rsid w:val="001A2AEC"/>
    <w:rsid w:val="001A3350"/>
    <w:rsid w:val="001A33B9"/>
    <w:rsid w:val="001A45DB"/>
    <w:rsid w:val="001A5E63"/>
    <w:rsid w:val="001A7EB0"/>
    <w:rsid w:val="001B091F"/>
    <w:rsid w:val="001B092D"/>
    <w:rsid w:val="001B191B"/>
    <w:rsid w:val="001B2591"/>
    <w:rsid w:val="001B319A"/>
    <w:rsid w:val="001B3AD0"/>
    <w:rsid w:val="001B4647"/>
    <w:rsid w:val="001B58B1"/>
    <w:rsid w:val="001B63E6"/>
    <w:rsid w:val="001B6E43"/>
    <w:rsid w:val="001B7203"/>
    <w:rsid w:val="001B7CE8"/>
    <w:rsid w:val="001C0BBD"/>
    <w:rsid w:val="001C0F93"/>
    <w:rsid w:val="001C12FB"/>
    <w:rsid w:val="001C15A3"/>
    <w:rsid w:val="001C19EA"/>
    <w:rsid w:val="001C1CC3"/>
    <w:rsid w:val="001C2628"/>
    <w:rsid w:val="001C28E3"/>
    <w:rsid w:val="001C2B83"/>
    <w:rsid w:val="001C4E3D"/>
    <w:rsid w:val="001C682D"/>
    <w:rsid w:val="001C777F"/>
    <w:rsid w:val="001C7D90"/>
    <w:rsid w:val="001D00FA"/>
    <w:rsid w:val="001D0200"/>
    <w:rsid w:val="001D07E9"/>
    <w:rsid w:val="001D25C9"/>
    <w:rsid w:val="001D27C6"/>
    <w:rsid w:val="001D2CD9"/>
    <w:rsid w:val="001D37D7"/>
    <w:rsid w:val="001D4014"/>
    <w:rsid w:val="001D4062"/>
    <w:rsid w:val="001D4451"/>
    <w:rsid w:val="001D44C2"/>
    <w:rsid w:val="001D46CC"/>
    <w:rsid w:val="001D48E3"/>
    <w:rsid w:val="001D5BB3"/>
    <w:rsid w:val="001D5BD2"/>
    <w:rsid w:val="001D60EB"/>
    <w:rsid w:val="001D69B9"/>
    <w:rsid w:val="001D77D4"/>
    <w:rsid w:val="001D79BA"/>
    <w:rsid w:val="001D7E64"/>
    <w:rsid w:val="001E06F6"/>
    <w:rsid w:val="001E1F2B"/>
    <w:rsid w:val="001E360C"/>
    <w:rsid w:val="001E4417"/>
    <w:rsid w:val="001E5E0B"/>
    <w:rsid w:val="001E6010"/>
    <w:rsid w:val="001E695E"/>
    <w:rsid w:val="001E6C21"/>
    <w:rsid w:val="001E7832"/>
    <w:rsid w:val="001E7B33"/>
    <w:rsid w:val="001F2356"/>
    <w:rsid w:val="001F28CE"/>
    <w:rsid w:val="001F2E6A"/>
    <w:rsid w:val="001F3B44"/>
    <w:rsid w:val="001F3F85"/>
    <w:rsid w:val="001F404A"/>
    <w:rsid w:val="001F6119"/>
    <w:rsid w:val="001F6772"/>
    <w:rsid w:val="001F786B"/>
    <w:rsid w:val="001F7B93"/>
    <w:rsid w:val="00201888"/>
    <w:rsid w:val="002025EB"/>
    <w:rsid w:val="002027EE"/>
    <w:rsid w:val="00203F8E"/>
    <w:rsid w:val="00204489"/>
    <w:rsid w:val="0020508C"/>
    <w:rsid w:val="002059FE"/>
    <w:rsid w:val="002100A4"/>
    <w:rsid w:val="002109FF"/>
    <w:rsid w:val="00210AC5"/>
    <w:rsid w:val="00211773"/>
    <w:rsid w:val="002124D7"/>
    <w:rsid w:val="00212638"/>
    <w:rsid w:val="0021269A"/>
    <w:rsid w:val="00213764"/>
    <w:rsid w:val="00213E14"/>
    <w:rsid w:val="0021572B"/>
    <w:rsid w:val="00216C8C"/>
    <w:rsid w:val="00217009"/>
    <w:rsid w:val="0021756E"/>
    <w:rsid w:val="00222F9B"/>
    <w:rsid w:val="00223396"/>
    <w:rsid w:val="00223425"/>
    <w:rsid w:val="0022451F"/>
    <w:rsid w:val="00224631"/>
    <w:rsid w:val="00224639"/>
    <w:rsid w:val="00224BFB"/>
    <w:rsid w:val="00224ECC"/>
    <w:rsid w:val="0022509B"/>
    <w:rsid w:val="00225230"/>
    <w:rsid w:val="00225D35"/>
    <w:rsid w:val="00225D94"/>
    <w:rsid w:val="00226819"/>
    <w:rsid w:val="0022719D"/>
    <w:rsid w:val="00230538"/>
    <w:rsid w:val="002307FC"/>
    <w:rsid w:val="00233EA5"/>
    <w:rsid w:val="002348CB"/>
    <w:rsid w:val="00235F09"/>
    <w:rsid w:val="002363F3"/>
    <w:rsid w:val="00241DBC"/>
    <w:rsid w:val="002432F0"/>
    <w:rsid w:val="002443AA"/>
    <w:rsid w:val="00244BEB"/>
    <w:rsid w:val="00244D9C"/>
    <w:rsid w:val="0024563A"/>
    <w:rsid w:val="002461C6"/>
    <w:rsid w:val="002471C8"/>
    <w:rsid w:val="002471D6"/>
    <w:rsid w:val="00250CAC"/>
    <w:rsid w:val="00251C38"/>
    <w:rsid w:val="00251D40"/>
    <w:rsid w:val="00254D8D"/>
    <w:rsid w:val="0025614B"/>
    <w:rsid w:val="0025639D"/>
    <w:rsid w:val="00256422"/>
    <w:rsid w:val="0025657E"/>
    <w:rsid w:val="00256DA3"/>
    <w:rsid w:val="002570D3"/>
    <w:rsid w:val="002572F6"/>
    <w:rsid w:val="00257C40"/>
    <w:rsid w:val="0026043D"/>
    <w:rsid w:val="00260764"/>
    <w:rsid w:val="002608E5"/>
    <w:rsid w:val="002613BF"/>
    <w:rsid w:val="002615A9"/>
    <w:rsid w:val="00261839"/>
    <w:rsid w:val="0026308D"/>
    <w:rsid w:val="00263745"/>
    <w:rsid w:val="002650A6"/>
    <w:rsid w:val="002652A0"/>
    <w:rsid w:val="00265E34"/>
    <w:rsid w:val="002670DB"/>
    <w:rsid w:val="00267BEF"/>
    <w:rsid w:val="002702BA"/>
    <w:rsid w:val="002706D2"/>
    <w:rsid w:val="0027088D"/>
    <w:rsid w:val="00271F4D"/>
    <w:rsid w:val="002732C8"/>
    <w:rsid w:val="0027346D"/>
    <w:rsid w:val="00273622"/>
    <w:rsid w:val="00273946"/>
    <w:rsid w:val="00273E6C"/>
    <w:rsid w:val="00275267"/>
    <w:rsid w:val="002757B6"/>
    <w:rsid w:val="002757F2"/>
    <w:rsid w:val="00276BFE"/>
    <w:rsid w:val="00277708"/>
    <w:rsid w:val="00281249"/>
    <w:rsid w:val="002815C2"/>
    <w:rsid w:val="00281893"/>
    <w:rsid w:val="00282D1B"/>
    <w:rsid w:val="002833B6"/>
    <w:rsid w:val="0028365B"/>
    <w:rsid w:val="00283F02"/>
    <w:rsid w:val="0028473F"/>
    <w:rsid w:val="00284DF9"/>
    <w:rsid w:val="00284EEF"/>
    <w:rsid w:val="00285454"/>
    <w:rsid w:val="0028682D"/>
    <w:rsid w:val="0028697D"/>
    <w:rsid w:val="00287BF8"/>
    <w:rsid w:val="0029154E"/>
    <w:rsid w:val="002918D2"/>
    <w:rsid w:val="00291B18"/>
    <w:rsid w:val="00291ED1"/>
    <w:rsid w:val="0029235E"/>
    <w:rsid w:val="00292B4B"/>
    <w:rsid w:val="00295657"/>
    <w:rsid w:val="00295FFC"/>
    <w:rsid w:val="00296089"/>
    <w:rsid w:val="00296F50"/>
    <w:rsid w:val="00297146"/>
    <w:rsid w:val="002974D1"/>
    <w:rsid w:val="002A04CC"/>
    <w:rsid w:val="002A230D"/>
    <w:rsid w:val="002A241F"/>
    <w:rsid w:val="002A2B5C"/>
    <w:rsid w:val="002A5437"/>
    <w:rsid w:val="002A59B4"/>
    <w:rsid w:val="002A7816"/>
    <w:rsid w:val="002B0341"/>
    <w:rsid w:val="002B0598"/>
    <w:rsid w:val="002B0691"/>
    <w:rsid w:val="002B0EA7"/>
    <w:rsid w:val="002B2368"/>
    <w:rsid w:val="002B29AA"/>
    <w:rsid w:val="002B29BE"/>
    <w:rsid w:val="002B2DF7"/>
    <w:rsid w:val="002B324F"/>
    <w:rsid w:val="002B4569"/>
    <w:rsid w:val="002B53A4"/>
    <w:rsid w:val="002B725D"/>
    <w:rsid w:val="002B78B2"/>
    <w:rsid w:val="002B7B3C"/>
    <w:rsid w:val="002C02E2"/>
    <w:rsid w:val="002C1E9E"/>
    <w:rsid w:val="002C38C3"/>
    <w:rsid w:val="002C3F08"/>
    <w:rsid w:val="002C4157"/>
    <w:rsid w:val="002C4251"/>
    <w:rsid w:val="002C42CE"/>
    <w:rsid w:val="002C42E2"/>
    <w:rsid w:val="002C5098"/>
    <w:rsid w:val="002C519D"/>
    <w:rsid w:val="002C76F9"/>
    <w:rsid w:val="002D16C2"/>
    <w:rsid w:val="002D17DE"/>
    <w:rsid w:val="002D1FB4"/>
    <w:rsid w:val="002D3087"/>
    <w:rsid w:val="002D35DA"/>
    <w:rsid w:val="002D3C4E"/>
    <w:rsid w:val="002D6A59"/>
    <w:rsid w:val="002D6D02"/>
    <w:rsid w:val="002D6DC9"/>
    <w:rsid w:val="002D72E7"/>
    <w:rsid w:val="002E0B85"/>
    <w:rsid w:val="002E2B7F"/>
    <w:rsid w:val="002E32A2"/>
    <w:rsid w:val="002E386D"/>
    <w:rsid w:val="002E3880"/>
    <w:rsid w:val="002E4053"/>
    <w:rsid w:val="002E40F1"/>
    <w:rsid w:val="002E58CB"/>
    <w:rsid w:val="002E672D"/>
    <w:rsid w:val="002E7C36"/>
    <w:rsid w:val="002F031B"/>
    <w:rsid w:val="002F076D"/>
    <w:rsid w:val="002F1E90"/>
    <w:rsid w:val="002F25E9"/>
    <w:rsid w:val="002F2880"/>
    <w:rsid w:val="002F3438"/>
    <w:rsid w:val="002F3638"/>
    <w:rsid w:val="002F36A1"/>
    <w:rsid w:val="002F45B7"/>
    <w:rsid w:val="002F4722"/>
    <w:rsid w:val="002F5035"/>
    <w:rsid w:val="002F53D1"/>
    <w:rsid w:val="002F54AD"/>
    <w:rsid w:val="002F54F8"/>
    <w:rsid w:val="002F614C"/>
    <w:rsid w:val="002F6200"/>
    <w:rsid w:val="002F6379"/>
    <w:rsid w:val="003009BF"/>
    <w:rsid w:val="003011EC"/>
    <w:rsid w:val="003014BA"/>
    <w:rsid w:val="003025A6"/>
    <w:rsid w:val="0030304D"/>
    <w:rsid w:val="0030314C"/>
    <w:rsid w:val="00303AF3"/>
    <w:rsid w:val="00303BD1"/>
    <w:rsid w:val="00304A15"/>
    <w:rsid w:val="00305840"/>
    <w:rsid w:val="003061AA"/>
    <w:rsid w:val="0030709E"/>
    <w:rsid w:val="00307EF2"/>
    <w:rsid w:val="003122BD"/>
    <w:rsid w:val="003137F4"/>
    <w:rsid w:val="003138B4"/>
    <w:rsid w:val="00313D8E"/>
    <w:rsid w:val="003148B5"/>
    <w:rsid w:val="00315120"/>
    <w:rsid w:val="003153FB"/>
    <w:rsid w:val="00315419"/>
    <w:rsid w:val="00315CF9"/>
    <w:rsid w:val="00316757"/>
    <w:rsid w:val="00316F6D"/>
    <w:rsid w:val="00317DB1"/>
    <w:rsid w:val="003203E3"/>
    <w:rsid w:val="0032088F"/>
    <w:rsid w:val="003216D7"/>
    <w:rsid w:val="00321F14"/>
    <w:rsid w:val="00325BD9"/>
    <w:rsid w:val="00325EE6"/>
    <w:rsid w:val="00325FB6"/>
    <w:rsid w:val="00326BF8"/>
    <w:rsid w:val="00330F13"/>
    <w:rsid w:val="003312BF"/>
    <w:rsid w:val="00331A0C"/>
    <w:rsid w:val="00332B32"/>
    <w:rsid w:val="00332DFF"/>
    <w:rsid w:val="00333D76"/>
    <w:rsid w:val="003341EA"/>
    <w:rsid w:val="003356A9"/>
    <w:rsid w:val="003357FD"/>
    <w:rsid w:val="003358A4"/>
    <w:rsid w:val="00335FF0"/>
    <w:rsid w:val="003367F5"/>
    <w:rsid w:val="00336F16"/>
    <w:rsid w:val="00337516"/>
    <w:rsid w:val="0033792F"/>
    <w:rsid w:val="003401C3"/>
    <w:rsid w:val="00340E45"/>
    <w:rsid w:val="00340F95"/>
    <w:rsid w:val="003427E8"/>
    <w:rsid w:val="00342FD0"/>
    <w:rsid w:val="00343386"/>
    <w:rsid w:val="00344555"/>
    <w:rsid w:val="003445BD"/>
    <w:rsid w:val="00344C32"/>
    <w:rsid w:val="0034631B"/>
    <w:rsid w:val="003469F0"/>
    <w:rsid w:val="00346D98"/>
    <w:rsid w:val="00347A30"/>
    <w:rsid w:val="00347C95"/>
    <w:rsid w:val="00347CAA"/>
    <w:rsid w:val="00350C81"/>
    <w:rsid w:val="00351578"/>
    <w:rsid w:val="00351A94"/>
    <w:rsid w:val="003521A0"/>
    <w:rsid w:val="00352A3E"/>
    <w:rsid w:val="00352FE4"/>
    <w:rsid w:val="00353979"/>
    <w:rsid w:val="00353C87"/>
    <w:rsid w:val="00354536"/>
    <w:rsid w:val="0035481E"/>
    <w:rsid w:val="00355C1F"/>
    <w:rsid w:val="00355CF4"/>
    <w:rsid w:val="00356153"/>
    <w:rsid w:val="00356433"/>
    <w:rsid w:val="003609E7"/>
    <w:rsid w:val="00361304"/>
    <w:rsid w:val="0036181B"/>
    <w:rsid w:val="00362194"/>
    <w:rsid w:val="0036292F"/>
    <w:rsid w:val="003630AA"/>
    <w:rsid w:val="00363498"/>
    <w:rsid w:val="00364537"/>
    <w:rsid w:val="00364C6C"/>
    <w:rsid w:val="00364D18"/>
    <w:rsid w:val="003654C3"/>
    <w:rsid w:val="00366891"/>
    <w:rsid w:val="003703AE"/>
    <w:rsid w:val="00370D36"/>
    <w:rsid w:val="00370E48"/>
    <w:rsid w:val="00371102"/>
    <w:rsid w:val="0037128A"/>
    <w:rsid w:val="00371440"/>
    <w:rsid w:val="00371F89"/>
    <w:rsid w:val="00372349"/>
    <w:rsid w:val="00374299"/>
    <w:rsid w:val="00374763"/>
    <w:rsid w:val="00374870"/>
    <w:rsid w:val="00374FD7"/>
    <w:rsid w:val="003750EE"/>
    <w:rsid w:val="00375AD6"/>
    <w:rsid w:val="00381A53"/>
    <w:rsid w:val="0038222B"/>
    <w:rsid w:val="003838DB"/>
    <w:rsid w:val="003839AF"/>
    <w:rsid w:val="00383ED7"/>
    <w:rsid w:val="0038499C"/>
    <w:rsid w:val="003857F0"/>
    <w:rsid w:val="003872A2"/>
    <w:rsid w:val="00390EDB"/>
    <w:rsid w:val="00391446"/>
    <w:rsid w:val="00391CA9"/>
    <w:rsid w:val="00392917"/>
    <w:rsid w:val="00392958"/>
    <w:rsid w:val="003932F5"/>
    <w:rsid w:val="00393CDC"/>
    <w:rsid w:val="00396F7E"/>
    <w:rsid w:val="00397E36"/>
    <w:rsid w:val="00397F54"/>
    <w:rsid w:val="00397F6B"/>
    <w:rsid w:val="003A03D8"/>
    <w:rsid w:val="003A20D1"/>
    <w:rsid w:val="003A336B"/>
    <w:rsid w:val="003A3F69"/>
    <w:rsid w:val="003A4353"/>
    <w:rsid w:val="003A51E0"/>
    <w:rsid w:val="003A54BB"/>
    <w:rsid w:val="003A5CEA"/>
    <w:rsid w:val="003A5CF8"/>
    <w:rsid w:val="003A5FCD"/>
    <w:rsid w:val="003A611F"/>
    <w:rsid w:val="003A7C73"/>
    <w:rsid w:val="003B0CC9"/>
    <w:rsid w:val="003B117C"/>
    <w:rsid w:val="003B1725"/>
    <w:rsid w:val="003B21C6"/>
    <w:rsid w:val="003B374D"/>
    <w:rsid w:val="003B422C"/>
    <w:rsid w:val="003B42D7"/>
    <w:rsid w:val="003B4E2D"/>
    <w:rsid w:val="003B5945"/>
    <w:rsid w:val="003B682A"/>
    <w:rsid w:val="003C05E7"/>
    <w:rsid w:val="003C0738"/>
    <w:rsid w:val="003C158B"/>
    <w:rsid w:val="003C182E"/>
    <w:rsid w:val="003C22AB"/>
    <w:rsid w:val="003C255A"/>
    <w:rsid w:val="003C2B2C"/>
    <w:rsid w:val="003C3582"/>
    <w:rsid w:val="003C3825"/>
    <w:rsid w:val="003C3D9C"/>
    <w:rsid w:val="003C4AD5"/>
    <w:rsid w:val="003C4FBE"/>
    <w:rsid w:val="003C5F9E"/>
    <w:rsid w:val="003C64CF"/>
    <w:rsid w:val="003C65AD"/>
    <w:rsid w:val="003C7883"/>
    <w:rsid w:val="003D0D56"/>
    <w:rsid w:val="003D15F7"/>
    <w:rsid w:val="003D24AC"/>
    <w:rsid w:val="003D3819"/>
    <w:rsid w:val="003D4559"/>
    <w:rsid w:val="003D512D"/>
    <w:rsid w:val="003D741C"/>
    <w:rsid w:val="003D7B18"/>
    <w:rsid w:val="003E099D"/>
    <w:rsid w:val="003E1E9D"/>
    <w:rsid w:val="003E2912"/>
    <w:rsid w:val="003E3A75"/>
    <w:rsid w:val="003E427A"/>
    <w:rsid w:val="003E5D59"/>
    <w:rsid w:val="003E6756"/>
    <w:rsid w:val="003E7C5C"/>
    <w:rsid w:val="003E7EE3"/>
    <w:rsid w:val="003F05E2"/>
    <w:rsid w:val="003F0B19"/>
    <w:rsid w:val="003F19E7"/>
    <w:rsid w:val="003F1DD0"/>
    <w:rsid w:val="003F298B"/>
    <w:rsid w:val="003F2A59"/>
    <w:rsid w:val="003F36AE"/>
    <w:rsid w:val="003F3835"/>
    <w:rsid w:val="003F40AD"/>
    <w:rsid w:val="003F4229"/>
    <w:rsid w:val="003F4288"/>
    <w:rsid w:val="003F50F1"/>
    <w:rsid w:val="003F524F"/>
    <w:rsid w:val="00400189"/>
    <w:rsid w:val="0040022D"/>
    <w:rsid w:val="0040055B"/>
    <w:rsid w:val="00400EA4"/>
    <w:rsid w:val="00401622"/>
    <w:rsid w:val="00402788"/>
    <w:rsid w:val="00403251"/>
    <w:rsid w:val="004032F5"/>
    <w:rsid w:val="00403563"/>
    <w:rsid w:val="004047DE"/>
    <w:rsid w:val="00405F9A"/>
    <w:rsid w:val="00406285"/>
    <w:rsid w:val="004064CE"/>
    <w:rsid w:val="004073B3"/>
    <w:rsid w:val="00407D98"/>
    <w:rsid w:val="004104C7"/>
    <w:rsid w:val="004105F7"/>
    <w:rsid w:val="00410709"/>
    <w:rsid w:val="00410F1D"/>
    <w:rsid w:val="004117D2"/>
    <w:rsid w:val="004118C5"/>
    <w:rsid w:val="00412E4B"/>
    <w:rsid w:val="00412EB6"/>
    <w:rsid w:val="00414572"/>
    <w:rsid w:val="0041465B"/>
    <w:rsid w:val="00414CA3"/>
    <w:rsid w:val="00414F0B"/>
    <w:rsid w:val="0041584B"/>
    <w:rsid w:val="00417548"/>
    <w:rsid w:val="00417915"/>
    <w:rsid w:val="00417C81"/>
    <w:rsid w:val="0042121C"/>
    <w:rsid w:val="004219CE"/>
    <w:rsid w:val="00422634"/>
    <w:rsid w:val="004247B2"/>
    <w:rsid w:val="004249BC"/>
    <w:rsid w:val="00424C16"/>
    <w:rsid w:val="00425AF4"/>
    <w:rsid w:val="00425E36"/>
    <w:rsid w:val="00426814"/>
    <w:rsid w:val="00427C5F"/>
    <w:rsid w:val="004302DF"/>
    <w:rsid w:val="004304D5"/>
    <w:rsid w:val="004305EF"/>
    <w:rsid w:val="00430B13"/>
    <w:rsid w:val="00431083"/>
    <w:rsid w:val="00431F05"/>
    <w:rsid w:val="00432F3D"/>
    <w:rsid w:val="00433E8A"/>
    <w:rsid w:val="0043559D"/>
    <w:rsid w:val="0043593B"/>
    <w:rsid w:val="004370A2"/>
    <w:rsid w:val="00437FB1"/>
    <w:rsid w:val="004413CF"/>
    <w:rsid w:val="004419AD"/>
    <w:rsid w:val="00441F0C"/>
    <w:rsid w:val="0044343F"/>
    <w:rsid w:val="00443669"/>
    <w:rsid w:val="00445CF6"/>
    <w:rsid w:val="0044684A"/>
    <w:rsid w:val="004478B4"/>
    <w:rsid w:val="0045207D"/>
    <w:rsid w:val="00453130"/>
    <w:rsid w:val="00453211"/>
    <w:rsid w:val="00453308"/>
    <w:rsid w:val="00453762"/>
    <w:rsid w:val="00453D58"/>
    <w:rsid w:val="00454659"/>
    <w:rsid w:val="004547F9"/>
    <w:rsid w:val="004558CD"/>
    <w:rsid w:val="004562DD"/>
    <w:rsid w:val="00456627"/>
    <w:rsid w:val="0045693D"/>
    <w:rsid w:val="004573A9"/>
    <w:rsid w:val="0045780A"/>
    <w:rsid w:val="0046319C"/>
    <w:rsid w:val="00463248"/>
    <w:rsid w:val="00463AAD"/>
    <w:rsid w:val="00464231"/>
    <w:rsid w:val="0046544A"/>
    <w:rsid w:val="004663C5"/>
    <w:rsid w:val="00466D88"/>
    <w:rsid w:val="00467E46"/>
    <w:rsid w:val="00470928"/>
    <w:rsid w:val="00471414"/>
    <w:rsid w:val="00471BDB"/>
    <w:rsid w:val="004721CA"/>
    <w:rsid w:val="004724B7"/>
    <w:rsid w:val="004731F1"/>
    <w:rsid w:val="0047366B"/>
    <w:rsid w:val="00474526"/>
    <w:rsid w:val="00474F41"/>
    <w:rsid w:val="0047512C"/>
    <w:rsid w:val="0047639E"/>
    <w:rsid w:val="00476C99"/>
    <w:rsid w:val="00477827"/>
    <w:rsid w:val="004808A9"/>
    <w:rsid w:val="00481D29"/>
    <w:rsid w:val="00482711"/>
    <w:rsid w:val="00483AA7"/>
    <w:rsid w:val="0048443F"/>
    <w:rsid w:val="00485598"/>
    <w:rsid w:val="00485D33"/>
    <w:rsid w:val="00485EFF"/>
    <w:rsid w:val="00486AC4"/>
    <w:rsid w:val="00486E13"/>
    <w:rsid w:val="00486FAE"/>
    <w:rsid w:val="004874B6"/>
    <w:rsid w:val="00487C8E"/>
    <w:rsid w:val="0049000D"/>
    <w:rsid w:val="004901F1"/>
    <w:rsid w:val="00490354"/>
    <w:rsid w:val="00490950"/>
    <w:rsid w:val="004909B3"/>
    <w:rsid w:val="0049191D"/>
    <w:rsid w:val="00491DDC"/>
    <w:rsid w:val="004927B8"/>
    <w:rsid w:val="00492CE9"/>
    <w:rsid w:val="0049385F"/>
    <w:rsid w:val="00494A38"/>
    <w:rsid w:val="00495613"/>
    <w:rsid w:val="00496906"/>
    <w:rsid w:val="00497C84"/>
    <w:rsid w:val="004A03A6"/>
    <w:rsid w:val="004A07CF"/>
    <w:rsid w:val="004A0E6D"/>
    <w:rsid w:val="004A23C2"/>
    <w:rsid w:val="004A2600"/>
    <w:rsid w:val="004A6264"/>
    <w:rsid w:val="004A6317"/>
    <w:rsid w:val="004A63DC"/>
    <w:rsid w:val="004A666B"/>
    <w:rsid w:val="004A7E58"/>
    <w:rsid w:val="004B183A"/>
    <w:rsid w:val="004B23DC"/>
    <w:rsid w:val="004B2F57"/>
    <w:rsid w:val="004B55CA"/>
    <w:rsid w:val="004B589E"/>
    <w:rsid w:val="004B613C"/>
    <w:rsid w:val="004B7FCB"/>
    <w:rsid w:val="004C008A"/>
    <w:rsid w:val="004C0295"/>
    <w:rsid w:val="004C2285"/>
    <w:rsid w:val="004C2DEC"/>
    <w:rsid w:val="004C33C6"/>
    <w:rsid w:val="004C3A60"/>
    <w:rsid w:val="004C439F"/>
    <w:rsid w:val="004C52E5"/>
    <w:rsid w:val="004C5AE4"/>
    <w:rsid w:val="004C5DA9"/>
    <w:rsid w:val="004C6674"/>
    <w:rsid w:val="004C6E8F"/>
    <w:rsid w:val="004D1301"/>
    <w:rsid w:val="004D34B3"/>
    <w:rsid w:val="004D3A4C"/>
    <w:rsid w:val="004D48CF"/>
    <w:rsid w:val="004D4945"/>
    <w:rsid w:val="004E07AF"/>
    <w:rsid w:val="004E0884"/>
    <w:rsid w:val="004E12CF"/>
    <w:rsid w:val="004E14F8"/>
    <w:rsid w:val="004E1545"/>
    <w:rsid w:val="004E21FA"/>
    <w:rsid w:val="004E319D"/>
    <w:rsid w:val="004E466A"/>
    <w:rsid w:val="004E49C1"/>
    <w:rsid w:val="004E4F02"/>
    <w:rsid w:val="004E5259"/>
    <w:rsid w:val="004E5DEA"/>
    <w:rsid w:val="004E6866"/>
    <w:rsid w:val="004E6C5F"/>
    <w:rsid w:val="004E757A"/>
    <w:rsid w:val="004E7A76"/>
    <w:rsid w:val="004F1237"/>
    <w:rsid w:val="004F1342"/>
    <w:rsid w:val="004F179C"/>
    <w:rsid w:val="004F1FE5"/>
    <w:rsid w:val="004F35CB"/>
    <w:rsid w:val="004F3735"/>
    <w:rsid w:val="004F3D3E"/>
    <w:rsid w:val="004F4005"/>
    <w:rsid w:val="004F4EE1"/>
    <w:rsid w:val="004F4F8C"/>
    <w:rsid w:val="004F547D"/>
    <w:rsid w:val="004F5B4F"/>
    <w:rsid w:val="004F5E93"/>
    <w:rsid w:val="004F7027"/>
    <w:rsid w:val="004F70F4"/>
    <w:rsid w:val="0050033C"/>
    <w:rsid w:val="00503420"/>
    <w:rsid w:val="00503936"/>
    <w:rsid w:val="00503A34"/>
    <w:rsid w:val="00505AC3"/>
    <w:rsid w:val="005125AD"/>
    <w:rsid w:val="005139DF"/>
    <w:rsid w:val="005147DC"/>
    <w:rsid w:val="00514A89"/>
    <w:rsid w:val="00515226"/>
    <w:rsid w:val="0051784D"/>
    <w:rsid w:val="00517ADB"/>
    <w:rsid w:val="00520854"/>
    <w:rsid w:val="0052094D"/>
    <w:rsid w:val="00522720"/>
    <w:rsid w:val="00522868"/>
    <w:rsid w:val="00522F9A"/>
    <w:rsid w:val="0052311E"/>
    <w:rsid w:val="005232CD"/>
    <w:rsid w:val="005233EE"/>
    <w:rsid w:val="00525293"/>
    <w:rsid w:val="0052594F"/>
    <w:rsid w:val="005259CF"/>
    <w:rsid w:val="00525C6A"/>
    <w:rsid w:val="00526849"/>
    <w:rsid w:val="005270D9"/>
    <w:rsid w:val="005277EE"/>
    <w:rsid w:val="00530023"/>
    <w:rsid w:val="00531167"/>
    <w:rsid w:val="00531E6D"/>
    <w:rsid w:val="005328DA"/>
    <w:rsid w:val="005346C1"/>
    <w:rsid w:val="00534EF2"/>
    <w:rsid w:val="005352FE"/>
    <w:rsid w:val="00535C19"/>
    <w:rsid w:val="0053601C"/>
    <w:rsid w:val="0053651B"/>
    <w:rsid w:val="00536BE5"/>
    <w:rsid w:val="00540890"/>
    <w:rsid w:val="005409A1"/>
    <w:rsid w:val="0054169E"/>
    <w:rsid w:val="005422D2"/>
    <w:rsid w:val="00542591"/>
    <w:rsid w:val="0054378B"/>
    <w:rsid w:val="0054422D"/>
    <w:rsid w:val="005445D2"/>
    <w:rsid w:val="00544833"/>
    <w:rsid w:val="005448E7"/>
    <w:rsid w:val="00544B54"/>
    <w:rsid w:val="00545167"/>
    <w:rsid w:val="0054567A"/>
    <w:rsid w:val="00546C50"/>
    <w:rsid w:val="00550534"/>
    <w:rsid w:val="00550D81"/>
    <w:rsid w:val="00551CE1"/>
    <w:rsid w:val="00552DD4"/>
    <w:rsid w:val="005532CD"/>
    <w:rsid w:val="00553812"/>
    <w:rsid w:val="00554258"/>
    <w:rsid w:val="00554BF8"/>
    <w:rsid w:val="0056046E"/>
    <w:rsid w:val="00560BCC"/>
    <w:rsid w:val="00562279"/>
    <w:rsid w:val="005639BD"/>
    <w:rsid w:val="00563BEB"/>
    <w:rsid w:val="00564A5E"/>
    <w:rsid w:val="00566E4E"/>
    <w:rsid w:val="00566F77"/>
    <w:rsid w:val="0056746E"/>
    <w:rsid w:val="00571052"/>
    <w:rsid w:val="00571088"/>
    <w:rsid w:val="00571C9B"/>
    <w:rsid w:val="00572617"/>
    <w:rsid w:val="005729A7"/>
    <w:rsid w:val="00572FFD"/>
    <w:rsid w:val="005743B4"/>
    <w:rsid w:val="005749A8"/>
    <w:rsid w:val="00574DD1"/>
    <w:rsid w:val="00575575"/>
    <w:rsid w:val="0057687C"/>
    <w:rsid w:val="005775EC"/>
    <w:rsid w:val="00582ED3"/>
    <w:rsid w:val="0058358B"/>
    <w:rsid w:val="005852CC"/>
    <w:rsid w:val="00585D3C"/>
    <w:rsid w:val="00585DF5"/>
    <w:rsid w:val="0058734A"/>
    <w:rsid w:val="00587671"/>
    <w:rsid w:val="00590739"/>
    <w:rsid w:val="00591748"/>
    <w:rsid w:val="0059263C"/>
    <w:rsid w:val="005937B5"/>
    <w:rsid w:val="005937C1"/>
    <w:rsid w:val="00594661"/>
    <w:rsid w:val="005947AE"/>
    <w:rsid w:val="00596296"/>
    <w:rsid w:val="00596ED6"/>
    <w:rsid w:val="0059763B"/>
    <w:rsid w:val="005976CE"/>
    <w:rsid w:val="00597A49"/>
    <w:rsid w:val="005A0B56"/>
    <w:rsid w:val="005A19D8"/>
    <w:rsid w:val="005A2274"/>
    <w:rsid w:val="005A2F6F"/>
    <w:rsid w:val="005A6183"/>
    <w:rsid w:val="005B15BA"/>
    <w:rsid w:val="005B2296"/>
    <w:rsid w:val="005B3214"/>
    <w:rsid w:val="005B3884"/>
    <w:rsid w:val="005B3EAC"/>
    <w:rsid w:val="005B506F"/>
    <w:rsid w:val="005B5AC7"/>
    <w:rsid w:val="005B5D8D"/>
    <w:rsid w:val="005B5E38"/>
    <w:rsid w:val="005B5FAB"/>
    <w:rsid w:val="005B7963"/>
    <w:rsid w:val="005C09DB"/>
    <w:rsid w:val="005C0BD1"/>
    <w:rsid w:val="005C1059"/>
    <w:rsid w:val="005C151E"/>
    <w:rsid w:val="005C20A4"/>
    <w:rsid w:val="005C2770"/>
    <w:rsid w:val="005C2EB2"/>
    <w:rsid w:val="005C4108"/>
    <w:rsid w:val="005C50B0"/>
    <w:rsid w:val="005C5572"/>
    <w:rsid w:val="005C605A"/>
    <w:rsid w:val="005C65F1"/>
    <w:rsid w:val="005C6F10"/>
    <w:rsid w:val="005C717F"/>
    <w:rsid w:val="005C7910"/>
    <w:rsid w:val="005C7CEC"/>
    <w:rsid w:val="005D04BF"/>
    <w:rsid w:val="005D0E6D"/>
    <w:rsid w:val="005D1474"/>
    <w:rsid w:val="005D1666"/>
    <w:rsid w:val="005D27CF"/>
    <w:rsid w:val="005D2DC2"/>
    <w:rsid w:val="005D4316"/>
    <w:rsid w:val="005D46D7"/>
    <w:rsid w:val="005D4BC7"/>
    <w:rsid w:val="005D55B8"/>
    <w:rsid w:val="005D5DDC"/>
    <w:rsid w:val="005D6B8D"/>
    <w:rsid w:val="005D7034"/>
    <w:rsid w:val="005E0186"/>
    <w:rsid w:val="005E21B7"/>
    <w:rsid w:val="005E36F7"/>
    <w:rsid w:val="005E3CC8"/>
    <w:rsid w:val="005E3DA6"/>
    <w:rsid w:val="005E4075"/>
    <w:rsid w:val="005E5715"/>
    <w:rsid w:val="005E573C"/>
    <w:rsid w:val="005E5C09"/>
    <w:rsid w:val="005E673C"/>
    <w:rsid w:val="005E6BDB"/>
    <w:rsid w:val="005E6FC0"/>
    <w:rsid w:val="005E7279"/>
    <w:rsid w:val="005E78CE"/>
    <w:rsid w:val="005E7D01"/>
    <w:rsid w:val="005F042E"/>
    <w:rsid w:val="005F143F"/>
    <w:rsid w:val="005F1EC6"/>
    <w:rsid w:val="005F33F8"/>
    <w:rsid w:val="005F38DA"/>
    <w:rsid w:val="005F3F88"/>
    <w:rsid w:val="005F4A94"/>
    <w:rsid w:val="005F4D82"/>
    <w:rsid w:val="005F4FB8"/>
    <w:rsid w:val="005F516C"/>
    <w:rsid w:val="005F5AFE"/>
    <w:rsid w:val="005F5BEA"/>
    <w:rsid w:val="005F71D6"/>
    <w:rsid w:val="005F7526"/>
    <w:rsid w:val="005F78FE"/>
    <w:rsid w:val="005F7B78"/>
    <w:rsid w:val="005F7FA5"/>
    <w:rsid w:val="00600381"/>
    <w:rsid w:val="0060097B"/>
    <w:rsid w:val="00600C53"/>
    <w:rsid w:val="00600F19"/>
    <w:rsid w:val="006010AF"/>
    <w:rsid w:val="00602248"/>
    <w:rsid w:val="006026C3"/>
    <w:rsid w:val="006029FE"/>
    <w:rsid w:val="00603569"/>
    <w:rsid w:val="0060366B"/>
    <w:rsid w:val="0060532F"/>
    <w:rsid w:val="006054E1"/>
    <w:rsid w:val="00605B0C"/>
    <w:rsid w:val="00605EC3"/>
    <w:rsid w:val="00606CA4"/>
    <w:rsid w:val="00607B63"/>
    <w:rsid w:val="00607F0F"/>
    <w:rsid w:val="00610550"/>
    <w:rsid w:val="0061057A"/>
    <w:rsid w:val="00611DDC"/>
    <w:rsid w:val="006124E4"/>
    <w:rsid w:val="00612612"/>
    <w:rsid w:val="00612BF4"/>
    <w:rsid w:val="00612CE8"/>
    <w:rsid w:val="00613407"/>
    <w:rsid w:val="006136AE"/>
    <w:rsid w:val="00613D43"/>
    <w:rsid w:val="00614798"/>
    <w:rsid w:val="00614D67"/>
    <w:rsid w:val="00615084"/>
    <w:rsid w:val="00615889"/>
    <w:rsid w:val="00615B52"/>
    <w:rsid w:val="00615E84"/>
    <w:rsid w:val="00616B10"/>
    <w:rsid w:val="00616C86"/>
    <w:rsid w:val="00616FDD"/>
    <w:rsid w:val="006204D4"/>
    <w:rsid w:val="00620E9C"/>
    <w:rsid w:val="00621D75"/>
    <w:rsid w:val="0062222A"/>
    <w:rsid w:val="00624599"/>
    <w:rsid w:val="00624AE5"/>
    <w:rsid w:val="00625FA9"/>
    <w:rsid w:val="00625FED"/>
    <w:rsid w:val="006266CF"/>
    <w:rsid w:val="0062671E"/>
    <w:rsid w:val="006268CC"/>
    <w:rsid w:val="00626DA5"/>
    <w:rsid w:val="00627088"/>
    <w:rsid w:val="00630947"/>
    <w:rsid w:val="00630D3B"/>
    <w:rsid w:val="00630D6A"/>
    <w:rsid w:val="00631830"/>
    <w:rsid w:val="00631A4B"/>
    <w:rsid w:val="006329CF"/>
    <w:rsid w:val="0063310E"/>
    <w:rsid w:val="0063451C"/>
    <w:rsid w:val="00635189"/>
    <w:rsid w:val="00635267"/>
    <w:rsid w:val="00636658"/>
    <w:rsid w:val="00637EA9"/>
    <w:rsid w:val="00640058"/>
    <w:rsid w:val="00642997"/>
    <w:rsid w:val="00644510"/>
    <w:rsid w:val="006447EF"/>
    <w:rsid w:val="00644C6F"/>
    <w:rsid w:val="0064511B"/>
    <w:rsid w:val="006462A3"/>
    <w:rsid w:val="00646D3A"/>
    <w:rsid w:val="00646FF4"/>
    <w:rsid w:val="006510F8"/>
    <w:rsid w:val="0065111F"/>
    <w:rsid w:val="00651561"/>
    <w:rsid w:val="00652009"/>
    <w:rsid w:val="00655436"/>
    <w:rsid w:val="00656638"/>
    <w:rsid w:val="0065682F"/>
    <w:rsid w:val="006570C4"/>
    <w:rsid w:val="006601E1"/>
    <w:rsid w:val="00660980"/>
    <w:rsid w:val="00661B66"/>
    <w:rsid w:val="00662658"/>
    <w:rsid w:val="00663C51"/>
    <w:rsid w:val="006659FB"/>
    <w:rsid w:val="00670117"/>
    <w:rsid w:val="006702B7"/>
    <w:rsid w:val="00670BCA"/>
    <w:rsid w:val="006713C7"/>
    <w:rsid w:val="00671F73"/>
    <w:rsid w:val="00672668"/>
    <w:rsid w:val="006733B9"/>
    <w:rsid w:val="00673B4E"/>
    <w:rsid w:val="00673DBF"/>
    <w:rsid w:val="00674566"/>
    <w:rsid w:val="00674F58"/>
    <w:rsid w:val="006751D7"/>
    <w:rsid w:val="00675E6C"/>
    <w:rsid w:val="006765E0"/>
    <w:rsid w:val="006767D2"/>
    <w:rsid w:val="00676AA8"/>
    <w:rsid w:val="006773E5"/>
    <w:rsid w:val="00677E3D"/>
    <w:rsid w:val="00677F35"/>
    <w:rsid w:val="0068065E"/>
    <w:rsid w:val="00680952"/>
    <w:rsid w:val="006810CF"/>
    <w:rsid w:val="0068148A"/>
    <w:rsid w:val="0068187C"/>
    <w:rsid w:val="00681AAE"/>
    <w:rsid w:val="00681B69"/>
    <w:rsid w:val="00682E5E"/>
    <w:rsid w:val="00682ED6"/>
    <w:rsid w:val="00683320"/>
    <w:rsid w:val="00684265"/>
    <w:rsid w:val="006842DD"/>
    <w:rsid w:val="00685A87"/>
    <w:rsid w:val="00686542"/>
    <w:rsid w:val="00686B8E"/>
    <w:rsid w:val="00687175"/>
    <w:rsid w:val="0068756D"/>
    <w:rsid w:val="006877DE"/>
    <w:rsid w:val="006912CA"/>
    <w:rsid w:val="00691A22"/>
    <w:rsid w:val="00691F44"/>
    <w:rsid w:val="00693DD6"/>
    <w:rsid w:val="006945FA"/>
    <w:rsid w:val="0069473D"/>
    <w:rsid w:val="00694F10"/>
    <w:rsid w:val="006953E8"/>
    <w:rsid w:val="00695417"/>
    <w:rsid w:val="00695446"/>
    <w:rsid w:val="00695894"/>
    <w:rsid w:val="00695AB3"/>
    <w:rsid w:val="006964FC"/>
    <w:rsid w:val="0069742E"/>
    <w:rsid w:val="00697873"/>
    <w:rsid w:val="00697C5F"/>
    <w:rsid w:val="006A0655"/>
    <w:rsid w:val="006A06AC"/>
    <w:rsid w:val="006A070F"/>
    <w:rsid w:val="006A1B0B"/>
    <w:rsid w:val="006A28D3"/>
    <w:rsid w:val="006A2E2D"/>
    <w:rsid w:val="006A373F"/>
    <w:rsid w:val="006A4EAB"/>
    <w:rsid w:val="006A522F"/>
    <w:rsid w:val="006A6A8B"/>
    <w:rsid w:val="006A6BD2"/>
    <w:rsid w:val="006A6BE1"/>
    <w:rsid w:val="006B0EF7"/>
    <w:rsid w:val="006B1060"/>
    <w:rsid w:val="006B16BF"/>
    <w:rsid w:val="006B1BA8"/>
    <w:rsid w:val="006B1D1A"/>
    <w:rsid w:val="006B229E"/>
    <w:rsid w:val="006B2F9B"/>
    <w:rsid w:val="006B34A4"/>
    <w:rsid w:val="006B5A7A"/>
    <w:rsid w:val="006B67C3"/>
    <w:rsid w:val="006B7EB0"/>
    <w:rsid w:val="006C22B2"/>
    <w:rsid w:val="006C2549"/>
    <w:rsid w:val="006C2925"/>
    <w:rsid w:val="006C605D"/>
    <w:rsid w:val="006C6DF5"/>
    <w:rsid w:val="006C72FC"/>
    <w:rsid w:val="006D0188"/>
    <w:rsid w:val="006D0B89"/>
    <w:rsid w:val="006D0BAD"/>
    <w:rsid w:val="006D140B"/>
    <w:rsid w:val="006D1D94"/>
    <w:rsid w:val="006D364A"/>
    <w:rsid w:val="006D36FB"/>
    <w:rsid w:val="006D3C1A"/>
    <w:rsid w:val="006D4CAF"/>
    <w:rsid w:val="006D54A3"/>
    <w:rsid w:val="006D5780"/>
    <w:rsid w:val="006D5926"/>
    <w:rsid w:val="006D5BA8"/>
    <w:rsid w:val="006E02F7"/>
    <w:rsid w:val="006E0777"/>
    <w:rsid w:val="006E08C5"/>
    <w:rsid w:val="006E224C"/>
    <w:rsid w:val="006E2659"/>
    <w:rsid w:val="006E28E7"/>
    <w:rsid w:val="006E32C2"/>
    <w:rsid w:val="006E39B1"/>
    <w:rsid w:val="006E4FD5"/>
    <w:rsid w:val="006E698F"/>
    <w:rsid w:val="006E7107"/>
    <w:rsid w:val="006F0279"/>
    <w:rsid w:val="006F0BEB"/>
    <w:rsid w:val="006F0E10"/>
    <w:rsid w:val="006F2196"/>
    <w:rsid w:val="006F3FEE"/>
    <w:rsid w:val="006F581F"/>
    <w:rsid w:val="006F64F0"/>
    <w:rsid w:val="006F7122"/>
    <w:rsid w:val="00701D84"/>
    <w:rsid w:val="0070237D"/>
    <w:rsid w:val="007024F7"/>
    <w:rsid w:val="007033F5"/>
    <w:rsid w:val="00703DB7"/>
    <w:rsid w:val="00703DF0"/>
    <w:rsid w:val="00703FA0"/>
    <w:rsid w:val="00704E28"/>
    <w:rsid w:val="00704EC9"/>
    <w:rsid w:val="00705102"/>
    <w:rsid w:val="007064A3"/>
    <w:rsid w:val="007065CE"/>
    <w:rsid w:val="00706DE5"/>
    <w:rsid w:val="00706F66"/>
    <w:rsid w:val="00707481"/>
    <w:rsid w:val="00707644"/>
    <w:rsid w:val="0071094F"/>
    <w:rsid w:val="00710F5D"/>
    <w:rsid w:val="00711FD5"/>
    <w:rsid w:val="00712A05"/>
    <w:rsid w:val="007131A8"/>
    <w:rsid w:val="007131E7"/>
    <w:rsid w:val="007151AE"/>
    <w:rsid w:val="00715217"/>
    <w:rsid w:val="00715D7F"/>
    <w:rsid w:val="00716581"/>
    <w:rsid w:val="00716743"/>
    <w:rsid w:val="00717D8E"/>
    <w:rsid w:val="00720723"/>
    <w:rsid w:val="00720C6A"/>
    <w:rsid w:val="00722533"/>
    <w:rsid w:val="0072292C"/>
    <w:rsid w:val="00724333"/>
    <w:rsid w:val="00725548"/>
    <w:rsid w:val="00725FB7"/>
    <w:rsid w:val="00726305"/>
    <w:rsid w:val="00726335"/>
    <w:rsid w:val="00726AFA"/>
    <w:rsid w:val="00726F0D"/>
    <w:rsid w:val="00727C31"/>
    <w:rsid w:val="007312F2"/>
    <w:rsid w:val="007319C2"/>
    <w:rsid w:val="007319EE"/>
    <w:rsid w:val="00731EBF"/>
    <w:rsid w:val="007324D8"/>
    <w:rsid w:val="00732B7B"/>
    <w:rsid w:val="00732DDC"/>
    <w:rsid w:val="00733085"/>
    <w:rsid w:val="00733FA1"/>
    <w:rsid w:val="00734243"/>
    <w:rsid w:val="00734529"/>
    <w:rsid w:val="007356E5"/>
    <w:rsid w:val="007367B9"/>
    <w:rsid w:val="00736FDB"/>
    <w:rsid w:val="007429CB"/>
    <w:rsid w:val="00742D25"/>
    <w:rsid w:val="007448A1"/>
    <w:rsid w:val="007451D4"/>
    <w:rsid w:val="007467F0"/>
    <w:rsid w:val="00746DCD"/>
    <w:rsid w:val="007478B1"/>
    <w:rsid w:val="00747EC6"/>
    <w:rsid w:val="00751A35"/>
    <w:rsid w:val="00751F9F"/>
    <w:rsid w:val="0075225A"/>
    <w:rsid w:val="00753CFC"/>
    <w:rsid w:val="00754A10"/>
    <w:rsid w:val="00754D75"/>
    <w:rsid w:val="00754E0B"/>
    <w:rsid w:val="00755024"/>
    <w:rsid w:val="00755CBC"/>
    <w:rsid w:val="007560E4"/>
    <w:rsid w:val="00756EFD"/>
    <w:rsid w:val="00762138"/>
    <w:rsid w:val="00762E8C"/>
    <w:rsid w:val="00763A7C"/>
    <w:rsid w:val="00763E2E"/>
    <w:rsid w:val="0076429F"/>
    <w:rsid w:val="0076443F"/>
    <w:rsid w:val="00765D5D"/>
    <w:rsid w:val="0076790D"/>
    <w:rsid w:val="00767ABC"/>
    <w:rsid w:val="00767DE8"/>
    <w:rsid w:val="00767FCC"/>
    <w:rsid w:val="00771612"/>
    <w:rsid w:val="007716FE"/>
    <w:rsid w:val="00772331"/>
    <w:rsid w:val="00773D2E"/>
    <w:rsid w:val="00773D7E"/>
    <w:rsid w:val="00774DA2"/>
    <w:rsid w:val="007750CB"/>
    <w:rsid w:val="0077630B"/>
    <w:rsid w:val="00777790"/>
    <w:rsid w:val="0078154E"/>
    <w:rsid w:val="0078165B"/>
    <w:rsid w:val="007817DA"/>
    <w:rsid w:val="007835E0"/>
    <w:rsid w:val="007837DB"/>
    <w:rsid w:val="00787D65"/>
    <w:rsid w:val="0079155B"/>
    <w:rsid w:val="00791C41"/>
    <w:rsid w:val="00792044"/>
    <w:rsid w:val="007921B3"/>
    <w:rsid w:val="007926DA"/>
    <w:rsid w:val="00792A9D"/>
    <w:rsid w:val="00792FFB"/>
    <w:rsid w:val="0079327E"/>
    <w:rsid w:val="0079357B"/>
    <w:rsid w:val="0079403F"/>
    <w:rsid w:val="00794577"/>
    <w:rsid w:val="007948E2"/>
    <w:rsid w:val="00796409"/>
    <w:rsid w:val="00797229"/>
    <w:rsid w:val="007977D6"/>
    <w:rsid w:val="00797D46"/>
    <w:rsid w:val="007A1106"/>
    <w:rsid w:val="007A11DE"/>
    <w:rsid w:val="007A1BD5"/>
    <w:rsid w:val="007A27D1"/>
    <w:rsid w:val="007A2A70"/>
    <w:rsid w:val="007A2FEB"/>
    <w:rsid w:val="007A3474"/>
    <w:rsid w:val="007A3B45"/>
    <w:rsid w:val="007A48E3"/>
    <w:rsid w:val="007A4A2D"/>
    <w:rsid w:val="007A60DB"/>
    <w:rsid w:val="007A6AA6"/>
    <w:rsid w:val="007B0631"/>
    <w:rsid w:val="007B0F1F"/>
    <w:rsid w:val="007B1BD0"/>
    <w:rsid w:val="007B1CD6"/>
    <w:rsid w:val="007B24FD"/>
    <w:rsid w:val="007B2CEA"/>
    <w:rsid w:val="007B3429"/>
    <w:rsid w:val="007B452F"/>
    <w:rsid w:val="007B492A"/>
    <w:rsid w:val="007B4E7F"/>
    <w:rsid w:val="007B4E9B"/>
    <w:rsid w:val="007B5446"/>
    <w:rsid w:val="007B559C"/>
    <w:rsid w:val="007B6229"/>
    <w:rsid w:val="007B660C"/>
    <w:rsid w:val="007B68C6"/>
    <w:rsid w:val="007B6F76"/>
    <w:rsid w:val="007B79B3"/>
    <w:rsid w:val="007C1F2E"/>
    <w:rsid w:val="007C265C"/>
    <w:rsid w:val="007C305C"/>
    <w:rsid w:val="007C3765"/>
    <w:rsid w:val="007C3A33"/>
    <w:rsid w:val="007C414B"/>
    <w:rsid w:val="007C43C7"/>
    <w:rsid w:val="007C4AD5"/>
    <w:rsid w:val="007C4C4C"/>
    <w:rsid w:val="007C4DA8"/>
    <w:rsid w:val="007C5085"/>
    <w:rsid w:val="007C58CA"/>
    <w:rsid w:val="007C7723"/>
    <w:rsid w:val="007D0836"/>
    <w:rsid w:val="007D1582"/>
    <w:rsid w:val="007D1779"/>
    <w:rsid w:val="007D20BF"/>
    <w:rsid w:val="007D2702"/>
    <w:rsid w:val="007D58B8"/>
    <w:rsid w:val="007D592F"/>
    <w:rsid w:val="007D5F05"/>
    <w:rsid w:val="007D5FD3"/>
    <w:rsid w:val="007D620D"/>
    <w:rsid w:val="007D62BF"/>
    <w:rsid w:val="007D69A4"/>
    <w:rsid w:val="007E088C"/>
    <w:rsid w:val="007E162F"/>
    <w:rsid w:val="007E2017"/>
    <w:rsid w:val="007E27A0"/>
    <w:rsid w:val="007E4137"/>
    <w:rsid w:val="007E4C9D"/>
    <w:rsid w:val="007E5FD7"/>
    <w:rsid w:val="007F00BA"/>
    <w:rsid w:val="007F0663"/>
    <w:rsid w:val="007F0C2F"/>
    <w:rsid w:val="007F1999"/>
    <w:rsid w:val="007F38DD"/>
    <w:rsid w:val="007F4BC8"/>
    <w:rsid w:val="007F60EC"/>
    <w:rsid w:val="007F798F"/>
    <w:rsid w:val="007F7FCF"/>
    <w:rsid w:val="00800D49"/>
    <w:rsid w:val="00801A16"/>
    <w:rsid w:val="00802299"/>
    <w:rsid w:val="008022B7"/>
    <w:rsid w:val="008022F4"/>
    <w:rsid w:val="00803D05"/>
    <w:rsid w:val="00803EC7"/>
    <w:rsid w:val="0080476A"/>
    <w:rsid w:val="008051F5"/>
    <w:rsid w:val="00805967"/>
    <w:rsid w:val="00805C74"/>
    <w:rsid w:val="00807723"/>
    <w:rsid w:val="00810317"/>
    <w:rsid w:val="0081101F"/>
    <w:rsid w:val="00811C7B"/>
    <w:rsid w:val="00812273"/>
    <w:rsid w:val="00812CB5"/>
    <w:rsid w:val="00812EA4"/>
    <w:rsid w:val="00815AA8"/>
    <w:rsid w:val="008160A2"/>
    <w:rsid w:val="008173B0"/>
    <w:rsid w:val="008177D1"/>
    <w:rsid w:val="0082089A"/>
    <w:rsid w:val="00820F0C"/>
    <w:rsid w:val="00820FDD"/>
    <w:rsid w:val="00821A65"/>
    <w:rsid w:val="008227A1"/>
    <w:rsid w:val="0082483F"/>
    <w:rsid w:val="008257B2"/>
    <w:rsid w:val="008265DA"/>
    <w:rsid w:val="008270CC"/>
    <w:rsid w:val="008300ED"/>
    <w:rsid w:val="00830C15"/>
    <w:rsid w:val="00831A4F"/>
    <w:rsid w:val="00832821"/>
    <w:rsid w:val="008334F6"/>
    <w:rsid w:val="008342A1"/>
    <w:rsid w:val="0083442F"/>
    <w:rsid w:val="00834715"/>
    <w:rsid w:val="00835386"/>
    <w:rsid w:val="008402CF"/>
    <w:rsid w:val="00840360"/>
    <w:rsid w:val="00840416"/>
    <w:rsid w:val="00841120"/>
    <w:rsid w:val="008416EC"/>
    <w:rsid w:val="00841ED7"/>
    <w:rsid w:val="00844623"/>
    <w:rsid w:val="008452D0"/>
    <w:rsid w:val="00845352"/>
    <w:rsid w:val="00845D1A"/>
    <w:rsid w:val="0084609F"/>
    <w:rsid w:val="008460E8"/>
    <w:rsid w:val="00846960"/>
    <w:rsid w:val="00846F72"/>
    <w:rsid w:val="00847CDF"/>
    <w:rsid w:val="008504CA"/>
    <w:rsid w:val="008506AE"/>
    <w:rsid w:val="008518D4"/>
    <w:rsid w:val="00851AF0"/>
    <w:rsid w:val="00853949"/>
    <w:rsid w:val="008541DF"/>
    <w:rsid w:val="00854CB2"/>
    <w:rsid w:val="00855213"/>
    <w:rsid w:val="008554F0"/>
    <w:rsid w:val="00856947"/>
    <w:rsid w:val="008573A1"/>
    <w:rsid w:val="008575CB"/>
    <w:rsid w:val="00857784"/>
    <w:rsid w:val="0086036A"/>
    <w:rsid w:val="00860B0A"/>
    <w:rsid w:val="00861192"/>
    <w:rsid w:val="00862330"/>
    <w:rsid w:val="008623C9"/>
    <w:rsid w:val="00862D95"/>
    <w:rsid w:val="0086487F"/>
    <w:rsid w:val="00866062"/>
    <w:rsid w:val="008664D8"/>
    <w:rsid w:val="00866ADD"/>
    <w:rsid w:val="00866B27"/>
    <w:rsid w:val="008670FE"/>
    <w:rsid w:val="00867F2A"/>
    <w:rsid w:val="008704CD"/>
    <w:rsid w:val="008705AE"/>
    <w:rsid w:val="00872BDB"/>
    <w:rsid w:val="00873E97"/>
    <w:rsid w:val="008740FB"/>
    <w:rsid w:val="008742A6"/>
    <w:rsid w:val="0087510A"/>
    <w:rsid w:val="00876900"/>
    <w:rsid w:val="008769D0"/>
    <w:rsid w:val="008770B3"/>
    <w:rsid w:val="0088017C"/>
    <w:rsid w:val="008810FD"/>
    <w:rsid w:val="008813F4"/>
    <w:rsid w:val="00881E8D"/>
    <w:rsid w:val="008830B1"/>
    <w:rsid w:val="008837DB"/>
    <w:rsid w:val="00883B8A"/>
    <w:rsid w:val="008856F5"/>
    <w:rsid w:val="00886311"/>
    <w:rsid w:val="008866CE"/>
    <w:rsid w:val="008869CD"/>
    <w:rsid w:val="00887B0E"/>
    <w:rsid w:val="00890145"/>
    <w:rsid w:val="00892BE1"/>
    <w:rsid w:val="00892EF2"/>
    <w:rsid w:val="00892F4A"/>
    <w:rsid w:val="00893B6C"/>
    <w:rsid w:val="00893C98"/>
    <w:rsid w:val="00893E61"/>
    <w:rsid w:val="00894121"/>
    <w:rsid w:val="0089429E"/>
    <w:rsid w:val="008949E2"/>
    <w:rsid w:val="00896490"/>
    <w:rsid w:val="00896DEE"/>
    <w:rsid w:val="00897581"/>
    <w:rsid w:val="00897861"/>
    <w:rsid w:val="008A00F8"/>
    <w:rsid w:val="008A2C2D"/>
    <w:rsid w:val="008A3420"/>
    <w:rsid w:val="008A4D3D"/>
    <w:rsid w:val="008A5769"/>
    <w:rsid w:val="008A5FEB"/>
    <w:rsid w:val="008A68B8"/>
    <w:rsid w:val="008A6D26"/>
    <w:rsid w:val="008A6DAA"/>
    <w:rsid w:val="008B034B"/>
    <w:rsid w:val="008B19D3"/>
    <w:rsid w:val="008B1A94"/>
    <w:rsid w:val="008B1AAD"/>
    <w:rsid w:val="008B1FE1"/>
    <w:rsid w:val="008B2AE9"/>
    <w:rsid w:val="008B2D63"/>
    <w:rsid w:val="008B56ED"/>
    <w:rsid w:val="008B64EF"/>
    <w:rsid w:val="008B68A4"/>
    <w:rsid w:val="008B6EF8"/>
    <w:rsid w:val="008C0625"/>
    <w:rsid w:val="008C0F4A"/>
    <w:rsid w:val="008C13DD"/>
    <w:rsid w:val="008C2710"/>
    <w:rsid w:val="008C34BD"/>
    <w:rsid w:val="008C3FCE"/>
    <w:rsid w:val="008C4E88"/>
    <w:rsid w:val="008C686E"/>
    <w:rsid w:val="008C76DD"/>
    <w:rsid w:val="008C7A7D"/>
    <w:rsid w:val="008D0382"/>
    <w:rsid w:val="008D05D5"/>
    <w:rsid w:val="008D0AB8"/>
    <w:rsid w:val="008D103A"/>
    <w:rsid w:val="008D13B7"/>
    <w:rsid w:val="008D1583"/>
    <w:rsid w:val="008D324B"/>
    <w:rsid w:val="008D387D"/>
    <w:rsid w:val="008D3DB0"/>
    <w:rsid w:val="008D3DE8"/>
    <w:rsid w:val="008D4803"/>
    <w:rsid w:val="008D5469"/>
    <w:rsid w:val="008D55A1"/>
    <w:rsid w:val="008D5ADE"/>
    <w:rsid w:val="008D5B0F"/>
    <w:rsid w:val="008D5C25"/>
    <w:rsid w:val="008D642F"/>
    <w:rsid w:val="008D7769"/>
    <w:rsid w:val="008E0739"/>
    <w:rsid w:val="008E2484"/>
    <w:rsid w:val="008E2516"/>
    <w:rsid w:val="008E30D1"/>
    <w:rsid w:val="008E38F4"/>
    <w:rsid w:val="008E3BCB"/>
    <w:rsid w:val="008E3D95"/>
    <w:rsid w:val="008E3F38"/>
    <w:rsid w:val="008E44DA"/>
    <w:rsid w:val="008E4B3A"/>
    <w:rsid w:val="008E50E7"/>
    <w:rsid w:val="008E604D"/>
    <w:rsid w:val="008E64B8"/>
    <w:rsid w:val="008E7807"/>
    <w:rsid w:val="008F1326"/>
    <w:rsid w:val="008F1AAF"/>
    <w:rsid w:val="008F1DE3"/>
    <w:rsid w:val="008F2CC9"/>
    <w:rsid w:val="008F3E29"/>
    <w:rsid w:val="008F40F7"/>
    <w:rsid w:val="008F452C"/>
    <w:rsid w:val="008F46E2"/>
    <w:rsid w:val="008F478E"/>
    <w:rsid w:val="008F67C2"/>
    <w:rsid w:val="008F698B"/>
    <w:rsid w:val="008F6A22"/>
    <w:rsid w:val="008F6D4E"/>
    <w:rsid w:val="008F7253"/>
    <w:rsid w:val="0090152E"/>
    <w:rsid w:val="009030C8"/>
    <w:rsid w:val="0090566B"/>
    <w:rsid w:val="00905F55"/>
    <w:rsid w:val="009070CA"/>
    <w:rsid w:val="009075C2"/>
    <w:rsid w:val="00907990"/>
    <w:rsid w:val="009105AD"/>
    <w:rsid w:val="009115AD"/>
    <w:rsid w:val="00911F4C"/>
    <w:rsid w:val="00914050"/>
    <w:rsid w:val="009148A7"/>
    <w:rsid w:val="00914CE3"/>
    <w:rsid w:val="00914DEF"/>
    <w:rsid w:val="00915BB6"/>
    <w:rsid w:val="00916F4E"/>
    <w:rsid w:val="00917C1A"/>
    <w:rsid w:val="00920C79"/>
    <w:rsid w:val="0092119D"/>
    <w:rsid w:val="009214A9"/>
    <w:rsid w:val="00921861"/>
    <w:rsid w:val="00921992"/>
    <w:rsid w:val="00924706"/>
    <w:rsid w:val="00924954"/>
    <w:rsid w:val="00924E25"/>
    <w:rsid w:val="00925223"/>
    <w:rsid w:val="00925F0B"/>
    <w:rsid w:val="0092627D"/>
    <w:rsid w:val="00927746"/>
    <w:rsid w:val="00927FBD"/>
    <w:rsid w:val="00931421"/>
    <w:rsid w:val="00931A58"/>
    <w:rsid w:val="0093240F"/>
    <w:rsid w:val="00932424"/>
    <w:rsid w:val="009326AA"/>
    <w:rsid w:val="00932FE3"/>
    <w:rsid w:val="009353E7"/>
    <w:rsid w:val="009360F4"/>
    <w:rsid w:val="00937A2E"/>
    <w:rsid w:val="00937EFC"/>
    <w:rsid w:val="00937F6B"/>
    <w:rsid w:val="009401F2"/>
    <w:rsid w:val="009409C2"/>
    <w:rsid w:val="00940BB3"/>
    <w:rsid w:val="00940F9C"/>
    <w:rsid w:val="009413FF"/>
    <w:rsid w:val="00941EA3"/>
    <w:rsid w:val="00942FB2"/>
    <w:rsid w:val="00943256"/>
    <w:rsid w:val="00943526"/>
    <w:rsid w:val="009445C1"/>
    <w:rsid w:val="00944AE0"/>
    <w:rsid w:val="00944FF9"/>
    <w:rsid w:val="0094557A"/>
    <w:rsid w:val="0094614B"/>
    <w:rsid w:val="0094794F"/>
    <w:rsid w:val="0094798A"/>
    <w:rsid w:val="009502E5"/>
    <w:rsid w:val="00950ABD"/>
    <w:rsid w:val="00950D29"/>
    <w:rsid w:val="009513E0"/>
    <w:rsid w:val="00951622"/>
    <w:rsid w:val="009540FE"/>
    <w:rsid w:val="00954984"/>
    <w:rsid w:val="00957272"/>
    <w:rsid w:val="00957941"/>
    <w:rsid w:val="00957C6D"/>
    <w:rsid w:val="00960C35"/>
    <w:rsid w:val="00960D63"/>
    <w:rsid w:val="00962097"/>
    <w:rsid w:val="00963CA9"/>
    <w:rsid w:val="0096590E"/>
    <w:rsid w:val="009679E7"/>
    <w:rsid w:val="00967C26"/>
    <w:rsid w:val="00970730"/>
    <w:rsid w:val="0097139C"/>
    <w:rsid w:val="00971C56"/>
    <w:rsid w:val="00972990"/>
    <w:rsid w:val="00972A69"/>
    <w:rsid w:val="009733AA"/>
    <w:rsid w:val="00973418"/>
    <w:rsid w:val="00973F0F"/>
    <w:rsid w:val="009756E6"/>
    <w:rsid w:val="0097575C"/>
    <w:rsid w:val="00976554"/>
    <w:rsid w:val="00976632"/>
    <w:rsid w:val="0097682D"/>
    <w:rsid w:val="0097692E"/>
    <w:rsid w:val="00976C08"/>
    <w:rsid w:val="00976FAD"/>
    <w:rsid w:val="0097760B"/>
    <w:rsid w:val="009817FA"/>
    <w:rsid w:val="00981A68"/>
    <w:rsid w:val="00981CFF"/>
    <w:rsid w:val="00982433"/>
    <w:rsid w:val="00983E10"/>
    <w:rsid w:val="0098424B"/>
    <w:rsid w:val="00986678"/>
    <w:rsid w:val="00986CA8"/>
    <w:rsid w:val="00990359"/>
    <w:rsid w:val="00990C4F"/>
    <w:rsid w:val="0099112D"/>
    <w:rsid w:val="0099162C"/>
    <w:rsid w:val="009931DB"/>
    <w:rsid w:val="009931FA"/>
    <w:rsid w:val="00993B23"/>
    <w:rsid w:val="00993E96"/>
    <w:rsid w:val="00994D50"/>
    <w:rsid w:val="00995C32"/>
    <w:rsid w:val="00996067"/>
    <w:rsid w:val="00997900"/>
    <w:rsid w:val="009A016B"/>
    <w:rsid w:val="009A1619"/>
    <w:rsid w:val="009A1FD4"/>
    <w:rsid w:val="009A3EF2"/>
    <w:rsid w:val="009A4109"/>
    <w:rsid w:val="009A4DDE"/>
    <w:rsid w:val="009A55FB"/>
    <w:rsid w:val="009A665F"/>
    <w:rsid w:val="009A69D4"/>
    <w:rsid w:val="009A6B73"/>
    <w:rsid w:val="009A7366"/>
    <w:rsid w:val="009A786B"/>
    <w:rsid w:val="009B01DC"/>
    <w:rsid w:val="009B1900"/>
    <w:rsid w:val="009B2496"/>
    <w:rsid w:val="009B25BA"/>
    <w:rsid w:val="009B346A"/>
    <w:rsid w:val="009B5337"/>
    <w:rsid w:val="009B5C77"/>
    <w:rsid w:val="009B6BF5"/>
    <w:rsid w:val="009B7197"/>
    <w:rsid w:val="009B7B48"/>
    <w:rsid w:val="009C0434"/>
    <w:rsid w:val="009C054A"/>
    <w:rsid w:val="009C0FCD"/>
    <w:rsid w:val="009C11FC"/>
    <w:rsid w:val="009C1441"/>
    <w:rsid w:val="009C3066"/>
    <w:rsid w:val="009C3D3A"/>
    <w:rsid w:val="009C5659"/>
    <w:rsid w:val="009C5DA7"/>
    <w:rsid w:val="009C6270"/>
    <w:rsid w:val="009C6F53"/>
    <w:rsid w:val="009C7773"/>
    <w:rsid w:val="009C7FDC"/>
    <w:rsid w:val="009D02A8"/>
    <w:rsid w:val="009D06B8"/>
    <w:rsid w:val="009D078F"/>
    <w:rsid w:val="009D0A23"/>
    <w:rsid w:val="009D1743"/>
    <w:rsid w:val="009D2913"/>
    <w:rsid w:val="009D3631"/>
    <w:rsid w:val="009D3737"/>
    <w:rsid w:val="009D47D9"/>
    <w:rsid w:val="009D4F75"/>
    <w:rsid w:val="009D554E"/>
    <w:rsid w:val="009D5F99"/>
    <w:rsid w:val="009D627A"/>
    <w:rsid w:val="009D6724"/>
    <w:rsid w:val="009D684C"/>
    <w:rsid w:val="009D7FAF"/>
    <w:rsid w:val="009E0023"/>
    <w:rsid w:val="009E03BD"/>
    <w:rsid w:val="009E0614"/>
    <w:rsid w:val="009E0E36"/>
    <w:rsid w:val="009E0F51"/>
    <w:rsid w:val="009E1067"/>
    <w:rsid w:val="009E120F"/>
    <w:rsid w:val="009E1FD0"/>
    <w:rsid w:val="009E3494"/>
    <w:rsid w:val="009E45E4"/>
    <w:rsid w:val="009E4A78"/>
    <w:rsid w:val="009E5819"/>
    <w:rsid w:val="009E5FDA"/>
    <w:rsid w:val="009E68D1"/>
    <w:rsid w:val="009E72D5"/>
    <w:rsid w:val="009E7AD5"/>
    <w:rsid w:val="009F0661"/>
    <w:rsid w:val="009F1172"/>
    <w:rsid w:val="009F2355"/>
    <w:rsid w:val="009F2843"/>
    <w:rsid w:val="009F2A7B"/>
    <w:rsid w:val="009F2CF5"/>
    <w:rsid w:val="009F3129"/>
    <w:rsid w:val="009F4439"/>
    <w:rsid w:val="009F4539"/>
    <w:rsid w:val="009F47BD"/>
    <w:rsid w:val="009F52B8"/>
    <w:rsid w:val="009F5D4F"/>
    <w:rsid w:val="009F5D98"/>
    <w:rsid w:val="009F68B7"/>
    <w:rsid w:val="009F7101"/>
    <w:rsid w:val="009F7775"/>
    <w:rsid w:val="00A000B4"/>
    <w:rsid w:val="00A00F46"/>
    <w:rsid w:val="00A03094"/>
    <w:rsid w:val="00A03497"/>
    <w:rsid w:val="00A03785"/>
    <w:rsid w:val="00A03A72"/>
    <w:rsid w:val="00A05056"/>
    <w:rsid w:val="00A060F1"/>
    <w:rsid w:val="00A065AA"/>
    <w:rsid w:val="00A06B7B"/>
    <w:rsid w:val="00A07291"/>
    <w:rsid w:val="00A10228"/>
    <w:rsid w:val="00A1043F"/>
    <w:rsid w:val="00A12F84"/>
    <w:rsid w:val="00A135E0"/>
    <w:rsid w:val="00A138FD"/>
    <w:rsid w:val="00A13CA0"/>
    <w:rsid w:val="00A13DB7"/>
    <w:rsid w:val="00A13FD8"/>
    <w:rsid w:val="00A15F61"/>
    <w:rsid w:val="00A164A7"/>
    <w:rsid w:val="00A16E6C"/>
    <w:rsid w:val="00A206DE"/>
    <w:rsid w:val="00A214BB"/>
    <w:rsid w:val="00A2255A"/>
    <w:rsid w:val="00A22BB9"/>
    <w:rsid w:val="00A22BE5"/>
    <w:rsid w:val="00A22CF9"/>
    <w:rsid w:val="00A23F3A"/>
    <w:rsid w:val="00A24BF7"/>
    <w:rsid w:val="00A24C6E"/>
    <w:rsid w:val="00A256B3"/>
    <w:rsid w:val="00A25E57"/>
    <w:rsid w:val="00A2653E"/>
    <w:rsid w:val="00A266B3"/>
    <w:rsid w:val="00A26B8F"/>
    <w:rsid w:val="00A26D50"/>
    <w:rsid w:val="00A279F6"/>
    <w:rsid w:val="00A27A12"/>
    <w:rsid w:val="00A303DE"/>
    <w:rsid w:val="00A30E6F"/>
    <w:rsid w:val="00A31030"/>
    <w:rsid w:val="00A31195"/>
    <w:rsid w:val="00A311FA"/>
    <w:rsid w:val="00A331F2"/>
    <w:rsid w:val="00A34066"/>
    <w:rsid w:val="00A34146"/>
    <w:rsid w:val="00A345B5"/>
    <w:rsid w:val="00A34D42"/>
    <w:rsid w:val="00A34F80"/>
    <w:rsid w:val="00A361D3"/>
    <w:rsid w:val="00A36349"/>
    <w:rsid w:val="00A3662D"/>
    <w:rsid w:val="00A36D31"/>
    <w:rsid w:val="00A3764E"/>
    <w:rsid w:val="00A37D99"/>
    <w:rsid w:val="00A401C0"/>
    <w:rsid w:val="00A4067F"/>
    <w:rsid w:val="00A4068C"/>
    <w:rsid w:val="00A414D2"/>
    <w:rsid w:val="00A41D85"/>
    <w:rsid w:val="00A41F9E"/>
    <w:rsid w:val="00A426AE"/>
    <w:rsid w:val="00A42E27"/>
    <w:rsid w:val="00A4474B"/>
    <w:rsid w:val="00A4532E"/>
    <w:rsid w:val="00A4752B"/>
    <w:rsid w:val="00A50273"/>
    <w:rsid w:val="00A53C47"/>
    <w:rsid w:val="00A54090"/>
    <w:rsid w:val="00A54A06"/>
    <w:rsid w:val="00A54FD9"/>
    <w:rsid w:val="00A56467"/>
    <w:rsid w:val="00A570EA"/>
    <w:rsid w:val="00A57806"/>
    <w:rsid w:val="00A57E7E"/>
    <w:rsid w:val="00A60ED4"/>
    <w:rsid w:val="00A6195E"/>
    <w:rsid w:val="00A6244B"/>
    <w:rsid w:val="00A6255C"/>
    <w:rsid w:val="00A6407A"/>
    <w:rsid w:val="00A654CB"/>
    <w:rsid w:val="00A65A9C"/>
    <w:rsid w:val="00A65C89"/>
    <w:rsid w:val="00A66572"/>
    <w:rsid w:val="00A67FE3"/>
    <w:rsid w:val="00A705C7"/>
    <w:rsid w:val="00A7069C"/>
    <w:rsid w:val="00A7206B"/>
    <w:rsid w:val="00A72AFB"/>
    <w:rsid w:val="00A72E14"/>
    <w:rsid w:val="00A739D2"/>
    <w:rsid w:val="00A73AF4"/>
    <w:rsid w:val="00A741C1"/>
    <w:rsid w:val="00A75174"/>
    <w:rsid w:val="00A800C7"/>
    <w:rsid w:val="00A80322"/>
    <w:rsid w:val="00A80BFD"/>
    <w:rsid w:val="00A81471"/>
    <w:rsid w:val="00A81C4C"/>
    <w:rsid w:val="00A81D38"/>
    <w:rsid w:val="00A82920"/>
    <w:rsid w:val="00A82A68"/>
    <w:rsid w:val="00A84D3D"/>
    <w:rsid w:val="00A85F6C"/>
    <w:rsid w:val="00A85FC4"/>
    <w:rsid w:val="00A86268"/>
    <w:rsid w:val="00A867BF"/>
    <w:rsid w:val="00A86891"/>
    <w:rsid w:val="00A8706D"/>
    <w:rsid w:val="00A8718C"/>
    <w:rsid w:val="00A872A1"/>
    <w:rsid w:val="00A87429"/>
    <w:rsid w:val="00A87D8D"/>
    <w:rsid w:val="00A91025"/>
    <w:rsid w:val="00A9199B"/>
    <w:rsid w:val="00A92009"/>
    <w:rsid w:val="00A9212B"/>
    <w:rsid w:val="00A922CA"/>
    <w:rsid w:val="00A926E1"/>
    <w:rsid w:val="00A92D0C"/>
    <w:rsid w:val="00A9321E"/>
    <w:rsid w:val="00A93A78"/>
    <w:rsid w:val="00A94121"/>
    <w:rsid w:val="00A949DC"/>
    <w:rsid w:val="00A954A4"/>
    <w:rsid w:val="00A96ABC"/>
    <w:rsid w:val="00A97542"/>
    <w:rsid w:val="00AA07CB"/>
    <w:rsid w:val="00AA12F4"/>
    <w:rsid w:val="00AA21B5"/>
    <w:rsid w:val="00AA2A16"/>
    <w:rsid w:val="00AA3434"/>
    <w:rsid w:val="00AA3D26"/>
    <w:rsid w:val="00AA409E"/>
    <w:rsid w:val="00AA45C3"/>
    <w:rsid w:val="00AA486C"/>
    <w:rsid w:val="00AA4B24"/>
    <w:rsid w:val="00AA5DAE"/>
    <w:rsid w:val="00AA5E24"/>
    <w:rsid w:val="00AA6AA8"/>
    <w:rsid w:val="00AA6FA1"/>
    <w:rsid w:val="00AA7CCD"/>
    <w:rsid w:val="00AB076F"/>
    <w:rsid w:val="00AB0F48"/>
    <w:rsid w:val="00AB152A"/>
    <w:rsid w:val="00AB18B5"/>
    <w:rsid w:val="00AB19F0"/>
    <w:rsid w:val="00AB2BB4"/>
    <w:rsid w:val="00AB31DA"/>
    <w:rsid w:val="00AB39D1"/>
    <w:rsid w:val="00AB3C97"/>
    <w:rsid w:val="00AB747C"/>
    <w:rsid w:val="00AB7997"/>
    <w:rsid w:val="00AB7A36"/>
    <w:rsid w:val="00AB7C83"/>
    <w:rsid w:val="00AC0066"/>
    <w:rsid w:val="00AC0987"/>
    <w:rsid w:val="00AC0B0D"/>
    <w:rsid w:val="00AC3309"/>
    <w:rsid w:val="00AC3B80"/>
    <w:rsid w:val="00AC3C2D"/>
    <w:rsid w:val="00AC3C2E"/>
    <w:rsid w:val="00AC3F4B"/>
    <w:rsid w:val="00AC424F"/>
    <w:rsid w:val="00AC4E67"/>
    <w:rsid w:val="00AC4F79"/>
    <w:rsid w:val="00AC5986"/>
    <w:rsid w:val="00AC5C3B"/>
    <w:rsid w:val="00AC5EFB"/>
    <w:rsid w:val="00AC6398"/>
    <w:rsid w:val="00AC7332"/>
    <w:rsid w:val="00AC7E01"/>
    <w:rsid w:val="00AD036F"/>
    <w:rsid w:val="00AD09DB"/>
    <w:rsid w:val="00AD0FD9"/>
    <w:rsid w:val="00AD1BD3"/>
    <w:rsid w:val="00AD204E"/>
    <w:rsid w:val="00AD227C"/>
    <w:rsid w:val="00AD318F"/>
    <w:rsid w:val="00AD42C2"/>
    <w:rsid w:val="00AD4655"/>
    <w:rsid w:val="00AD7144"/>
    <w:rsid w:val="00AD74DE"/>
    <w:rsid w:val="00AE10C0"/>
    <w:rsid w:val="00AE1120"/>
    <w:rsid w:val="00AE1E7A"/>
    <w:rsid w:val="00AE26E5"/>
    <w:rsid w:val="00AE38A2"/>
    <w:rsid w:val="00AE4641"/>
    <w:rsid w:val="00AE4820"/>
    <w:rsid w:val="00AE4D68"/>
    <w:rsid w:val="00AE503B"/>
    <w:rsid w:val="00AE7340"/>
    <w:rsid w:val="00AF027E"/>
    <w:rsid w:val="00AF1EF5"/>
    <w:rsid w:val="00AF276F"/>
    <w:rsid w:val="00AF3303"/>
    <w:rsid w:val="00AF390C"/>
    <w:rsid w:val="00AF41BA"/>
    <w:rsid w:val="00AF4282"/>
    <w:rsid w:val="00AF4BC9"/>
    <w:rsid w:val="00AF550F"/>
    <w:rsid w:val="00AF65E1"/>
    <w:rsid w:val="00AF6F8A"/>
    <w:rsid w:val="00B005AD"/>
    <w:rsid w:val="00B013FD"/>
    <w:rsid w:val="00B01ED4"/>
    <w:rsid w:val="00B028A9"/>
    <w:rsid w:val="00B03079"/>
    <w:rsid w:val="00B04289"/>
    <w:rsid w:val="00B04BAD"/>
    <w:rsid w:val="00B04E50"/>
    <w:rsid w:val="00B05497"/>
    <w:rsid w:val="00B05916"/>
    <w:rsid w:val="00B05E15"/>
    <w:rsid w:val="00B063D3"/>
    <w:rsid w:val="00B100AA"/>
    <w:rsid w:val="00B1288C"/>
    <w:rsid w:val="00B130AE"/>
    <w:rsid w:val="00B133E5"/>
    <w:rsid w:val="00B137CA"/>
    <w:rsid w:val="00B13B73"/>
    <w:rsid w:val="00B13DA2"/>
    <w:rsid w:val="00B14130"/>
    <w:rsid w:val="00B146E6"/>
    <w:rsid w:val="00B14E46"/>
    <w:rsid w:val="00B16F62"/>
    <w:rsid w:val="00B202B7"/>
    <w:rsid w:val="00B20420"/>
    <w:rsid w:val="00B21404"/>
    <w:rsid w:val="00B21791"/>
    <w:rsid w:val="00B225CB"/>
    <w:rsid w:val="00B226DB"/>
    <w:rsid w:val="00B24259"/>
    <w:rsid w:val="00B2500A"/>
    <w:rsid w:val="00B251AA"/>
    <w:rsid w:val="00B2558B"/>
    <w:rsid w:val="00B256E0"/>
    <w:rsid w:val="00B260C4"/>
    <w:rsid w:val="00B264CA"/>
    <w:rsid w:val="00B2665A"/>
    <w:rsid w:val="00B26977"/>
    <w:rsid w:val="00B27132"/>
    <w:rsid w:val="00B30110"/>
    <w:rsid w:val="00B30FDA"/>
    <w:rsid w:val="00B31778"/>
    <w:rsid w:val="00B31E50"/>
    <w:rsid w:val="00B33039"/>
    <w:rsid w:val="00B33187"/>
    <w:rsid w:val="00B336FC"/>
    <w:rsid w:val="00B33CE2"/>
    <w:rsid w:val="00B33E4B"/>
    <w:rsid w:val="00B342C8"/>
    <w:rsid w:val="00B35580"/>
    <w:rsid w:val="00B365BE"/>
    <w:rsid w:val="00B406F9"/>
    <w:rsid w:val="00B4074C"/>
    <w:rsid w:val="00B41603"/>
    <w:rsid w:val="00B41682"/>
    <w:rsid w:val="00B416F8"/>
    <w:rsid w:val="00B42BCC"/>
    <w:rsid w:val="00B42E3D"/>
    <w:rsid w:val="00B42FEE"/>
    <w:rsid w:val="00B4467D"/>
    <w:rsid w:val="00B45D31"/>
    <w:rsid w:val="00B4640D"/>
    <w:rsid w:val="00B4750D"/>
    <w:rsid w:val="00B478A9"/>
    <w:rsid w:val="00B47C45"/>
    <w:rsid w:val="00B503DA"/>
    <w:rsid w:val="00B50D8A"/>
    <w:rsid w:val="00B50E44"/>
    <w:rsid w:val="00B518F0"/>
    <w:rsid w:val="00B5290D"/>
    <w:rsid w:val="00B52AB7"/>
    <w:rsid w:val="00B56032"/>
    <w:rsid w:val="00B567D6"/>
    <w:rsid w:val="00B56F96"/>
    <w:rsid w:val="00B57859"/>
    <w:rsid w:val="00B57F1F"/>
    <w:rsid w:val="00B60632"/>
    <w:rsid w:val="00B621EF"/>
    <w:rsid w:val="00B62248"/>
    <w:rsid w:val="00B62EDB"/>
    <w:rsid w:val="00B635A9"/>
    <w:rsid w:val="00B63B2C"/>
    <w:rsid w:val="00B64018"/>
    <w:rsid w:val="00B6461A"/>
    <w:rsid w:val="00B651FE"/>
    <w:rsid w:val="00B65594"/>
    <w:rsid w:val="00B65B7B"/>
    <w:rsid w:val="00B671A5"/>
    <w:rsid w:val="00B700D8"/>
    <w:rsid w:val="00B7171A"/>
    <w:rsid w:val="00B71F08"/>
    <w:rsid w:val="00B72188"/>
    <w:rsid w:val="00B72516"/>
    <w:rsid w:val="00B72A19"/>
    <w:rsid w:val="00B72DAC"/>
    <w:rsid w:val="00B73798"/>
    <w:rsid w:val="00B74D9D"/>
    <w:rsid w:val="00B74E34"/>
    <w:rsid w:val="00B75E7D"/>
    <w:rsid w:val="00B76853"/>
    <w:rsid w:val="00B76BC4"/>
    <w:rsid w:val="00B77257"/>
    <w:rsid w:val="00B775A6"/>
    <w:rsid w:val="00B80057"/>
    <w:rsid w:val="00B80FC7"/>
    <w:rsid w:val="00B814DB"/>
    <w:rsid w:val="00B81596"/>
    <w:rsid w:val="00B81652"/>
    <w:rsid w:val="00B81EF7"/>
    <w:rsid w:val="00B82A8F"/>
    <w:rsid w:val="00B83133"/>
    <w:rsid w:val="00B834C1"/>
    <w:rsid w:val="00B84938"/>
    <w:rsid w:val="00B84FFA"/>
    <w:rsid w:val="00B85581"/>
    <w:rsid w:val="00B868F8"/>
    <w:rsid w:val="00B86DFB"/>
    <w:rsid w:val="00B87F49"/>
    <w:rsid w:val="00B901DA"/>
    <w:rsid w:val="00B90EB6"/>
    <w:rsid w:val="00B92306"/>
    <w:rsid w:val="00B92A03"/>
    <w:rsid w:val="00B93717"/>
    <w:rsid w:val="00B93F19"/>
    <w:rsid w:val="00B941F8"/>
    <w:rsid w:val="00B9459F"/>
    <w:rsid w:val="00B948B0"/>
    <w:rsid w:val="00B97830"/>
    <w:rsid w:val="00B97C27"/>
    <w:rsid w:val="00BA0A71"/>
    <w:rsid w:val="00BA0C27"/>
    <w:rsid w:val="00BA1BCC"/>
    <w:rsid w:val="00BA1F6A"/>
    <w:rsid w:val="00BA275A"/>
    <w:rsid w:val="00BA3798"/>
    <w:rsid w:val="00BA3910"/>
    <w:rsid w:val="00BA3DE7"/>
    <w:rsid w:val="00BA43AA"/>
    <w:rsid w:val="00BA44B1"/>
    <w:rsid w:val="00BA485E"/>
    <w:rsid w:val="00BA52FE"/>
    <w:rsid w:val="00BB02B5"/>
    <w:rsid w:val="00BB07A9"/>
    <w:rsid w:val="00BB287D"/>
    <w:rsid w:val="00BB2E15"/>
    <w:rsid w:val="00BB3718"/>
    <w:rsid w:val="00BB434F"/>
    <w:rsid w:val="00BB56D4"/>
    <w:rsid w:val="00BB6260"/>
    <w:rsid w:val="00BB6ECE"/>
    <w:rsid w:val="00BB7B1B"/>
    <w:rsid w:val="00BC0731"/>
    <w:rsid w:val="00BC14D4"/>
    <w:rsid w:val="00BC1FD1"/>
    <w:rsid w:val="00BC2D12"/>
    <w:rsid w:val="00BC38BD"/>
    <w:rsid w:val="00BC46D5"/>
    <w:rsid w:val="00BC5365"/>
    <w:rsid w:val="00BC666D"/>
    <w:rsid w:val="00BC6E79"/>
    <w:rsid w:val="00BC6F21"/>
    <w:rsid w:val="00BC7C7B"/>
    <w:rsid w:val="00BD0223"/>
    <w:rsid w:val="00BD11A8"/>
    <w:rsid w:val="00BD2085"/>
    <w:rsid w:val="00BD25F6"/>
    <w:rsid w:val="00BD4591"/>
    <w:rsid w:val="00BD4C44"/>
    <w:rsid w:val="00BD4DC1"/>
    <w:rsid w:val="00BD50F4"/>
    <w:rsid w:val="00BD78AC"/>
    <w:rsid w:val="00BE03F4"/>
    <w:rsid w:val="00BE04D9"/>
    <w:rsid w:val="00BE0843"/>
    <w:rsid w:val="00BE087E"/>
    <w:rsid w:val="00BE0A08"/>
    <w:rsid w:val="00BE171E"/>
    <w:rsid w:val="00BE17D9"/>
    <w:rsid w:val="00BE2162"/>
    <w:rsid w:val="00BE39C1"/>
    <w:rsid w:val="00BE4AA2"/>
    <w:rsid w:val="00BE5960"/>
    <w:rsid w:val="00BE5B0B"/>
    <w:rsid w:val="00BE6538"/>
    <w:rsid w:val="00BE70F7"/>
    <w:rsid w:val="00BE7BBE"/>
    <w:rsid w:val="00BF02DA"/>
    <w:rsid w:val="00BF05AC"/>
    <w:rsid w:val="00BF20AC"/>
    <w:rsid w:val="00BF24F4"/>
    <w:rsid w:val="00BF26AE"/>
    <w:rsid w:val="00BF283A"/>
    <w:rsid w:val="00BF38F0"/>
    <w:rsid w:val="00BF3A7C"/>
    <w:rsid w:val="00BF3C99"/>
    <w:rsid w:val="00BF5D0F"/>
    <w:rsid w:val="00BF65DC"/>
    <w:rsid w:val="00BF740C"/>
    <w:rsid w:val="00BF7799"/>
    <w:rsid w:val="00BF7E8A"/>
    <w:rsid w:val="00C015EF"/>
    <w:rsid w:val="00C020CA"/>
    <w:rsid w:val="00C03266"/>
    <w:rsid w:val="00C033A7"/>
    <w:rsid w:val="00C047E9"/>
    <w:rsid w:val="00C056B8"/>
    <w:rsid w:val="00C05B29"/>
    <w:rsid w:val="00C067B5"/>
    <w:rsid w:val="00C069E6"/>
    <w:rsid w:val="00C06D33"/>
    <w:rsid w:val="00C06EFA"/>
    <w:rsid w:val="00C1050E"/>
    <w:rsid w:val="00C11362"/>
    <w:rsid w:val="00C11938"/>
    <w:rsid w:val="00C11DE2"/>
    <w:rsid w:val="00C12DC3"/>
    <w:rsid w:val="00C13478"/>
    <w:rsid w:val="00C137CE"/>
    <w:rsid w:val="00C13F69"/>
    <w:rsid w:val="00C140FE"/>
    <w:rsid w:val="00C141DC"/>
    <w:rsid w:val="00C142D2"/>
    <w:rsid w:val="00C15F63"/>
    <w:rsid w:val="00C1623F"/>
    <w:rsid w:val="00C1641C"/>
    <w:rsid w:val="00C167B8"/>
    <w:rsid w:val="00C16A3C"/>
    <w:rsid w:val="00C16FDF"/>
    <w:rsid w:val="00C17098"/>
    <w:rsid w:val="00C175C8"/>
    <w:rsid w:val="00C2033C"/>
    <w:rsid w:val="00C207DB"/>
    <w:rsid w:val="00C21721"/>
    <w:rsid w:val="00C21B8D"/>
    <w:rsid w:val="00C21D99"/>
    <w:rsid w:val="00C228C3"/>
    <w:rsid w:val="00C23891"/>
    <w:rsid w:val="00C23AEF"/>
    <w:rsid w:val="00C24522"/>
    <w:rsid w:val="00C24D98"/>
    <w:rsid w:val="00C24EC8"/>
    <w:rsid w:val="00C25CC9"/>
    <w:rsid w:val="00C25EE9"/>
    <w:rsid w:val="00C25F76"/>
    <w:rsid w:val="00C27311"/>
    <w:rsid w:val="00C27735"/>
    <w:rsid w:val="00C30F55"/>
    <w:rsid w:val="00C31625"/>
    <w:rsid w:val="00C323C5"/>
    <w:rsid w:val="00C3282C"/>
    <w:rsid w:val="00C336A5"/>
    <w:rsid w:val="00C33BA3"/>
    <w:rsid w:val="00C35807"/>
    <w:rsid w:val="00C35898"/>
    <w:rsid w:val="00C35C45"/>
    <w:rsid w:val="00C37F59"/>
    <w:rsid w:val="00C4045D"/>
    <w:rsid w:val="00C40896"/>
    <w:rsid w:val="00C40FFD"/>
    <w:rsid w:val="00C4130C"/>
    <w:rsid w:val="00C43623"/>
    <w:rsid w:val="00C43F59"/>
    <w:rsid w:val="00C44078"/>
    <w:rsid w:val="00C4456B"/>
    <w:rsid w:val="00C44A8B"/>
    <w:rsid w:val="00C50AAC"/>
    <w:rsid w:val="00C511CA"/>
    <w:rsid w:val="00C513F4"/>
    <w:rsid w:val="00C5148A"/>
    <w:rsid w:val="00C51912"/>
    <w:rsid w:val="00C51E03"/>
    <w:rsid w:val="00C5287C"/>
    <w:rsid w:val="00C54050"/>
    <w:rsid w:val="00C540F1"/>
    <w:rsid w:val="00C54109"/>
    <w:rsid w:val="00C554DE"/>
    <w:rsid w:val="00C56528"/>
    <w:rsid w:val="00C57221"/>
    <w:rsid w:val="00C600DF"/>
    <w:rsid w:val="00C6216C"/>
    <w:rsid w:val="00C62B8F"/>
    <w:rsid w:val="00C634D7"/>
    <w:rsid w:val="00C64113"/>
    <w:rsid w:val="00C64E1D"/>
    <w:rsid w:val="00C652A3"/>
    <w:rsid w:val="00C65625"/>
    <w:rsid w:val="00C65EE2"/>
    <w:rsid w:val="00C661D0"/>
    <w:rsid w:val="00C6664C"/>
    <w:rsid w:val="00C668EB"/>
    <w:rsid w:val="00C67588"/>
    <w:rsid w:val="00C67A38"/>
    <w:rsid w:val="00C7027E"/>
    <w:rsid w:val="00C709C8"/>
    <w:rsid w:val="00C71037"/>
    <w:rsid w:val="00C7195F"/>
    <w:rsid w:val="00C722D5"/>
    <w:rsid w:val="00C724F7"/>
    <w:rsid w:val="00C728F9"/>
    <w:rsid w:val="00C72F41"/>
    <w:rsid w:val="00C73359"/>
    <w:rsid w:val="00C735B2"/>
    <w:rsid w:val="00C74472"/>
    <w:rsid w:val="00C74D29"/>
    <w:rsid w:val="00C74F63"/>
    <w:rsid w:val="00C74FB1"/>
    <w:rsid w:val="00C754E0"/>
    <w:rsid w:val="00C75776"/>
    <w:rsid w:val="00C76617"/>
    <w:rsid w:val="00C7679B"/>
    <w:rsid w:val="00C77E09"/>
    <w:rsid w:val="00C80E31"/>
    <w:rsid w:val="00C81422"/>
    <w:rsid w:val="00C8297D"/>
    <w:rsid w:val="00C84E95"/>
    <w:rsid w:val="00C856DC"/>
    <w:rsid w:val="00C865B2"/>
    <w:rsid w:val="00C867C3"/>
    <w:rsid w:val="00C86CFA"/>
    <w:rsid w:val="00C90FBB"/>
    <w:rsid w:val="00C92B65"/>
    <w:rsid w:val="00C935D6"/>
    <w:rsid w:val="00C93B75"/>
    <w:rsid w:val="00C94380"/>
    <w:rsid w:val="00C94537"/>
    <w:rsid w:val="00C96914"/>
    <w:rsid w:val="00C973D9"/>
    <w:rsid w:val="00C978ED"/>
    <w:rsid w:val="00C97D33"/>
    <w:rsid w:val="00CA1978"/>
    <w:rsid w:val="00CA1A87"/>
    <w:rsid w:val="00CA1FC0"/>
    <w:rsid w:val="00CA2DDC"/>
    <w:rsid w:val="00CA31B6"/>
    <w:rsid w:val="00CA3B73"/>
    <w:rsid w:val="00CA4514"/>
    <w:rsid w:val="00CA5761"/>
    <w:rsid w:val="00CA613D"/>
    <w:rsid w:val="00CA6C15"/>
    <w:rsid w:val="00CA6CB3"/>
    <w:rsid w:val="00CA7412"/>
    <w:rsid w:val="00CA7C01"/>
    <w:rsid w:val="00CA7E3B"/>
    <w:rsid w:val="00CB08E2"/>
    <w:rsid w:val="00CB1465"/>
    <w:rsid w:val="00CB1FD1"/>
    <w:rsid w:val="00CB2A64"/>
    <w:rsid w:val="00CB2ADF"/>
    <w:rsid w:val="00CB45CE"/>
    <w:rsid w:val="00CB4F17"/>
    <w:rsid w:val="00CB5225"/>
    <w:rsid w:val="00CB556D"/>
    <w:rsid w:val="00CB577F"/>
    <w:rsid w:val="00CB6A93"/>
    <w:rsid w:val="00CB6F3B"/>
    <w:rsid w:val="00CB7144"/>
    <w:rsid w:val="00CB734F"/>
    <w:rsid w:val="00CB7A63"/>
    <w:rsid w:val="00CB7C8A"/>
    <w:rsid w:val="00CB7F70"/>
    <w:rsid w:val="00CC1551"/>
    <w:rsid w:val="00CC20C2"/>
    <w:rsid w:val="00CC2216"/>
    <w:rsid w:val="00CC2357"/>
    <w:rsid w:val="00CC2880"/>
    <w:rsid w:val="00CC3439"/>
    <w:rsid w:val="00CC38C2"/>
    <w:rsid w:val="00CC3CD9"/>
    <w:rsid w:val="00CC52F5"/>
    <w:rsid w:val="00CC53FF"/>
    <w:rsid w:val="00CC6D37"/>
    <w:rsid w:val="00CC7BC0"/>
    <w:rsid w:val="00CC7E68"/>
    <w:rsid w:val="00CD16D6"/>
    <w:rsid w:val="00CD23D6"/>
    <w:rsid w:val="00CD34DB"/>
    <w:rsid w:val="00CD3F89"/>
    <w:rsid w:val="00CD4393"/>
    <w:rsid w:val="00CD467C"/>
    <w:rsid w:val="00CD47F5"/>
    <w:rsid w:val="00CD4978"/>
    <w:rsid w:val="00CD4B33"/>
    <w:rsid w:val="00CD4D55"/>
    <w:rsid w:val="00CD54DE"/>
    <w:rsid w:val="00CD5A36"/>
    <w:rsid w:val="00CD63EA"/>
    <w:rsid w:val="00CD6918"/>
    <w:rsid w:val="00CD6F31"/>
    <w:rsid w:val="00CD7D12"/>
    <w:rsid w:val="00CE0B51"/>
    <w:rsid w:val="00CE1712"/>
    <w:rsid w:val="00CE2587"/>
    <w:rsid w:val="00CE2705"/>
    <w:rsid w:val="00CE2A87"/>
    <w:rsid w:val="00CE6620"/>
    <w:rsid w:val="00CE7A4C"/>
    <w:rsid w:val="00CF01E6"/>
    <w:rsid w:val="00CF0A0A"/>
    <w:rsid w:val="00CF0C47"/>
    <w:rsid w:val="00CF0F28"/>
    <w:rsid w:val="00CF1102"/>
    <w:rsid w:val="00CF16AC"/>
    <w:rsid w:val="00CF175D"/>
    <w:rsid w:val="00CF2674"/>
    <w:rsid w:val="00CF2CBA"/>
    <w:rsid w:val="00CF3FC0"/>
    <w:rsid w:val="00CF47D4"/>
    <w:rsid w:val="00CF4FE7"/>
    <w:rsid w:val="00CF5523"/>
    <w:rsid w:val="00CF5A10"/>
    <w:rsid w:val="00CF5A62"/>
    <w:rsid w:val="00CF5AB8"/>
    <w:rsid w:val="00CF5C32"/>
    <w:rsid w:val="00CF6137"/>
    <w:rsid w:val="00CF6931"/>
    <w:rsid w:val="00CF6AEB"/>
    <w:rsid w:val="00CF715E"/>
    <w:rsid w:val="00CF738A"/>
    <w:rsid w:val="00D00775"/>
    <w:rsid w:val="00D0116C"/>
    <w:rsid w:val="00D01197"/>
    <w:rsid w:val="00D01E96"/>
    <w:rsid w:val="00D032FC"/>
    <w:rsid w:val="00D0337C"/>
    <w:rsid w:val="00D034E3"/>
    <w:rsid w:val="00D036E3"/>
    <w:rsid w:val="00D03BFD"/>
    <w:rsid w:val="00D054BE"/>
    <w:rsid w:val="00D06A89"/>
    <w:rsid w:val="00D07BED"/>
    <w:rsid w:val="00D105B3"/>
    <w:rsid w:val="00D10A60"/>
    <w:rsid w:val="00D124AC"/>
    <w:rsid w:val="00D12C93"/>
    <w:rsid w:val="00D13472"/>
    <w:rsid w:val="00D13B5A"/>
    <w:rsid w:val="00D13C64"/>
    <w:rsid w:val="00D13DDA"/>
    <w:rsid w:val="00D13DE4"/>
    <w:rsid w:val="00D14629"/>
    <w:rsid w:val="00D1480E"/>
    <w:rsid w:val="00D14B4A"/>
    <w:rsid w:val="00D151E1"/>
    <w:rsid w:val="00D1557A"/>
    <w:rsid w:val="00D15CE8"/>
    <w:rsid w:val="00D15DF4"/>
    <w:rsid w:val="00D168F4"/>
    <w:rsid w:val="00D16949"/>
    <w:rsid w:val="00D179D9"/>
    <w:rsid w:val="00D17B1F"/>
    <w:rsid w:val="00D17E1A"/>
    <w:rsid w:val="00D202CA"/>
    <w:rsid w:val="00D21745"/>
    <w:rsid w:val="00D23F39"/>
    <w:rsid w:val="00D240DA"/>
    <w:rsid w:val="00D24E55"/>
    <w:rsid w:val="00D25B13"/>
    <w:rsid w:val="00D26E33"/>
    <w:rsid w:val="00D2786C"/>
    <w:rsid w:val="00D27C55"/>
    <w:rsid w:val="00D3008E"/>
    <w:rsid w:val="00D30FCF"/>
    <w:rsid w:val="00D31611"/>
    <w:rsid w:val="00D31C96"/>
    <w:rsid w:val="00D3206F"/>
    <w:rsid w:val="00D32830"/>
    <w:rsid w:val="00D32A42"/>
    <w:rsid w:val="00D335FF"/>
    <w:rsid w:val="00D339E5"/>
    <w:rsid w:val="00D33A39"/>
    <w:rsid w:val="00D33BDD"/>
    <w:rsid w:val="00D33C3C"/>
    <w:rsid w:val="00D34CCB"/>
    <w:rsid w:val="00D35304"/>
    <w:rsid w:val="00D35B83"/>
    <w:rsid w:val="00D35F90"/>
    <w:rsid w:val="00D35FA6"/>
    <w:rsid w:val="00D36A1B"/>
    <w:rsid w:val="00D36E86"/>
    <w:rsid w:val="00D371AE"/>
    <w:rsid w:val="00D404A9"/>
    <w:rsid w:val="00D40EE7"/>
    <w:rsid w:val="00D4124D"/>
    <w:rsid w:val="00D4240D"/>
    <w:rsid w:val="00D42E5C"/>
    <w:rsid w:val="00D4342A"/>
    <w:rsid w:val="00D460FA"/>
    <w:rsid w:val="00D4627D"/>
    <w:rsid w:val="00D4630F"/>
    <w:rsid w:val="00D46FE7"/>
    <w:rsid w:val="00D51B2D"/>
    <w:rsid w:val="00D52F82"/>
    <w:rsid w:val="00D5398B"/>
    <w:rsid w:val="00D53BC5"/>
    <w:rsid w:val="00D5495B"/>
    <w:rsid w:val="00D5497D"/>
    <w:rsid w:val="00D54C35"/>
    <w:rsid w:val="00D55373"/>
    <w:rsid w:val="00D55419"/>
    <w:rsid w:val="00D57755"/>
    <w:rsid w:val="00D60D46"/>
    <w:rsid w:val="00D629DB"/>
    <w:rsid w:val="00D634A2"/>
    <w:rsid w:val="00D63743"/>
    <w:rsid w:val="00D64364"/>
    <w:rsid w:val="00D64522"/>
    <w:rsid w:val="00D646FD"/>
    <w:rsid w:val="00D6594B"/>
    <w:rsid w:val="00D6647E"/>
    <w:rsid w:val="00D67AEF"/>
    <w:rsid w:val="00D67E76"/>
    <w:rsid w:val="00D7137A"/>
    <w:rsid w:val="00D71F5B"/>
    <w:rsid w:val="00D72592"/>
    <w:rsid w:val="00D72B67"/>
    <w:rsid w:val="00D73547"/>
    <w:rsid w:val="00D74A4A"/>
    <w:rsid w:val="00D74DB8"/>
    <w:rsid w:val="00D771D2"/>
    <w:rsid w:val="00D80C53"/>
    <w:rsid w:val="00D80CE7"/>
    <w:rsid w:val="00D814F3"/>
    <w:rsid w:val="00D8164C"/>
    <w:rsid w:val="00D82162"/>
    <w:rsid w:val="00D82F27"/>
    <w:rsid w:val="00D84485"/>
    <w:rsid w:val="00D85198"/>
    <w:rsid w:val="00D86C84"/>
    <w:rsid w:val="00D86D07"/>
    <w:rsid w:val="00D8759F"/>
    <w:rsid w:val="00D87C85"/>
    <w:rsid w:val="00D90962"/>
    <w:rsid w:val="00D90F92"/>
    <w:rsid w:val="00D9121C"/>
    <w:rsid w:val="00D91AEF"/>
    <w:rsid w:val="00D93691"/>
    <w:rsid w:val="00D93C84"/>
    <w:rsid w:val="00D93F63"/>
    <w:rsid w:val="00D95433"/>
    <w:rsid w:val="00D96A52"/>
    <w:rsid w:val="00D96D4E"/>
    <w:rsid w:val="00D97907"/>
    <w:rsid w:val="00D97EE4"/>
    <w:rsid w:val="00DA0028"/>
    <w:rsid w:val="00DA1D98"/>
    <w:rsid w:val="00DA2622"/>
    <w:rsid w:val="00DA2969"/>
    <w:rsid w:val="00DA349C"/>
    <w:rsid w:val="00DA4B6E"/>
    <w:rsid w:val="00DA5F3F"/>
    <w:rsid w:val="00DA6169"/>
    <w:rsid w:val="00DA6AD7"/>
    <w:rsid w:val="00DA79BC"/>
    <w:rsid w:val="00DB080E"/>
    <w:rsid w:val="00DB08D4"/>
    <w:rsid w:val="00DB0FA5"/>
    <w:rsid w:val="00DB18E1"/>
    <w:rsid w:val="00DB1E28"/>
    <w:rsid w:val="00DB2326"/>
    <w:rsid w:val="00DB2C4D"/>
    <w:rsid w:val="00DB36E9"/>
    <w:rsid w:val="00DB3C7C"/>
    <w:rsid w:val="00DB4A20"/>
    <w:rsid w:val="00DB4FDB"/>
    <w:rsid w:val="00DB5F07"/>
    <w:rsid w:val="00DB6B72"/>
    <w:rsid w:val="00DB6FCD"/>
    <w:rsid w:val="00DB741F"/>
    <w:rsid w:val="00DC0221"/>
    <w:rsid w:val="00DC163D"/>
    <w:rsid w:val="00DC1E31"/>
    <w:rsid w:val="00DC23C5"/>
    <w:rsid w:val="00DC278E"/>
    <w:rsid w:val="00DC3538"/>
    <w:rsid w:val="00DC427F"/>
    <w:rsid w:val="00DC503B"/>
    <w:rsid w:val="00DC6292"/>
    <w:rsid w:val="00DC6343"/>
    <w:rsid w:val="00DC6A42"/>
    <w:rsid w:val="00DD0ADD"/>
    <w:rsid w:val="00DD0B56"/>
    <w:rsid w:val="00DD12BC"/>
    <w:rsid w:val="00DD275B"/>
    <w:rsid w:val="00DD27A5"/>
    <w:rsid w:val="00DD2E41"/>
    <w:rsid w:val="00DD38E7"/>
    <w:rsid w:val="00DD3D68"/>
    <w:rsid w:val="00DD4B2A"/>
    <w:rsid w:val="00DD509E"/>
    <w:rsid w:val="00DD5499"/>
    <w:rsid w:val="00DD57BE"/>
    <w:rsid w:val="00DD5B67"/>
    <w:rsid w:val="00DD63B6"/>
    <w:rsid w:val="00DE04C0"/>
    <w:rsid w:val="00DE0913"/>
    <w:rsid w:val="00DE0A15"/>
    <w:rsid w:val="00DE1149"/>
    <w:rsid w:val="00DE1BD6"/>
    <w:rsid w:val="00DE56A5"/>
    <w:rsid w:val="00DE767A"/>
    <w:rsid w:val="00DF05EC"/>
    <w:rsid w:val="00DF1B2F"/>
    <w:rsid w:val="00DF1B4B"/>
    <w:rsid w:val="00DF1C16"/>
    <w:rsid w:val="00DF1C40"/>
    <w:rsid w:val="00DF3088"/>
    <w:rsid w:val="00DF3DB9"/>
    <w:rsid w:val="00DF3ECC"/>
    <w:rsid w:val="00DF41B8"/>
    <w:rsid w:val="00DF447F"/>
    <w:rsid w:val="00DF4AC3"/>
    <w:rsid w:val="00DF60AD"/>
    <w:rsid w:val="00DF6B49"/>
    <w:rsid w:val="00E01FDF"/>
    <w:rsid w:val="00E02B15"/>
    <w:rsid w:val="00E02B28"/>
    <w:rsid w:val="00E02F80"/>
    <w:rsid w:val="00E0343A"/>
    <w:rsid w:val="00E03E14"/>
    <w:rsid w:val="00E05010"/>
    <w:rsid w:val="00E059D2"/>
    <w:rsid w:val="00E05DF4"/>
    <w:rsid w:val="00E07089"/>
    <w:rsid w:val="00E07D07"/>
    <w:rsid w:val="00E105C7"/>
    <w:rsid w:val="00E11B24"/>
    <w:rsid w:val="00E12058"/>
    <w:rsid w:val="00E12EB7"/>
    <w:rsid w:val="00E14962"/>
    <w:rsid w:val="00E15F74"/>
    <w:rsid w:val="00E15F92"/>
    <w:rsid w:val="00E15FAA"/>
    <w:rsid w:val="00E1636D"/>
    <w:rsid w:val="00E166BE"/>
    <w:rsid w:val="00E16C16"/>
    <w:rsid w:val="00E16DDA"/>
    <w:rsid w:val="00E170D6"/>
    <w:rsid w:val="00E17521"/>
    <w:rsid w:val="00E1782F"/>
    <w:rsid w:val="00E17EDD"/>
    <w:rsid w:val="00E20020"/>
    <w:rsid w:val="00E216D1"/>
    <w:rsid w:val="00E23C35"/>
    <w:rsid w:val="00E24391"/>
    <w:rsid w:val="00E259AD"/>
    <w:rsid w:val="00E26260"/>
    <w:rsid w:val="00E267DF"/>
    <w:rsid w:val="00E2767B"/>
    <w:rsid w:val="00E308B3"/>
    <w:rsid w:val="00E3124C"/>
    <w:rsid w:val="00E31C42"/>
    <w:rsid w:val="00E32157"/>
    <w:rsid w:val="00E32497"/>
    <w:rsid w:val="00E325D5"/>
    <w:rsid w:val="00E32C13"/>
    <w:rsid w:val="00E33954"/>
    <w:rsid w:val="00E35C0C"/>
    <w:rsid w:val="00E40B37"/>
    <w:rsid w:val="00E4147B"/>
    <w:rsid w:val="00E4259A"/>
    <w:rsid w:val="00E42FE4"/>
    <w:rsid w:val="00E439FE"/>
    <w:rsid w:val="00E448E3"/>
    <w:rsid w:val="00E45387"/>
    <w:rsid w:val="00E45975"/>
    <w:rsid w:val="00E4614E"/>
    <w:rsid w:val="00E468BC"/>
    <w:rsid w:val="00E47204"/>
    <w:rsid w:val="00E475CD"/>
    <w:rsid w:val="00E5091E"/>
    <w:rsid w:val="00E5156F"/>
    <w:rsid w:val="00E51D66"/>
    <w:rsid w:val="00E523D1"/>
    <w:rsid w:val="00E53223"/>
    <w:rsid w:val="00E53384"/>
    <w:rsid w:val="00E543D0"/>
    <w:rsid w:val="00E54FEA"/>
    <w:rsid w:val="00E56492"/>
    <w:rsid w:val="00E56560"/>
    <w:rsid w:val="00E56C3A"/>
    <w:rsid w:val="00E5755F"/>
    <w:rsid w:val="00E576B5"/>
    <w:rsid w:val="00E579B8"/>
    <w:rsid w:val="00E6012F"/>
    <w:rsid w:val="00E60E94"/>
    <w:rsid w:val="00E6129A"/>
    <w:rsid w:val="00E62735"/>
    <w:rsid w:val="00E62A46"/>
    <w:rsid w:val="00E62F61"/>
    <w:rsid w:val="00E6498E"/>
    <w:rsid w:val="00E6591B"/>
    <w:rsid w:val="00E65AC8"/>
    <w:rsid w:val="00E6609A"/>
    <w:rsid w:val="00E66C9B"/>
    <w:rsid w:val="00E66FA0"/>
    <w:rsid w:val="00E672D6"/>
    <w:rsid w:val="00E708D5"/>
    <w:rsid w:val="00E70C8C"/>
    <w:rsid w:val="00E70F67"/>
    <w:rsid w:val="00E71180"/>
    <w:rsid w:val="00E71233"/>
    <w:rsid w:val="00E7258A"/>
    <w:rsid w:val="00E7362E"/>
    <w:rsid w:val="00E752A6"/>
    <w:rsid w:val="00E752CC"/>
    <w:rsid w:val="00E75AB4"/>
    <w:rsid w:val="00E75B51"/>
    <w:rsid w:val="00E75D62"/>
    <w:rsid w:val="00E80172"/>
    <w:rsid w:val="00E82D34"/>
    <w:rsid w:val="00E82D61"/>
    <w:rsid w:val="00E830FF"/>
    <w:rsid w:val="00E84B27"/>
    <w:rsid w:val="00E8548E"/>
    <w:rsid w:val="00E856CE"/>
    <w:rsid w:val="00E8582B"/>
    <w:rsid w:val="00E86094"/>
    <w:rsid w:val="00E871AB"/>
    <w:rsid w:val="00E8725E"/>
    <w:rsid w:val="00E8734E"/>
    <w:rsid w:val="00E87957"/>
    <w:rsid w:val="00E900B8"/>
    <w:rsid w:val="00E908E7"/>
    <w:rsid w:val="00E90CA2"/>
    <w:rsid w:val="00E918FC"/>
    <w:rsid w:val="00E91910"/>
    <w:rsid w:val="00E91F79"/>
    <w:rsid w:val="00E92358"/>
    <w:rsid w:val="00E92FB6"/>
    <w:rsid w:val="00E93DBD"/>
    <w:rsid w:val="00E94393"/>
    <w:rsid w:val="00E95EBD"/>
    <w:rsid w:val="00E96CB7"/>
    <w:rsid w:val="00E96CCD"/>
    <w:rsid w:val="00E97EEE"/>
    <w:rsid w:val="00EA0E17"/>
    <w:rsid w:val="00EA1749"/>
    <w:rsid w:val="00EA18C4"/>
    <w:rsid w:val="00EA2286"/>
    <w:rsid w:val="00EA2B53"/>
    <w:rsid w:val="00EA47A7"/>
    <w:rsid w:val="00EA5392"/>
    <w:rsid w:val="00EA5B52"/>
    <w:rsid w:val="00EA641B"/>
    <w:rsid w:val="00EA6613"/>
    <w:rsid w:val="00EA6CE5"/>
    <w:rsid w:val="00EA775D"/>
    <w:rsid w:val="00EA7879"/>
    <w:rsid w:val="00EB0044"/>
    <w:rsid w:val="00EB0351"/>
    <w:rsid w:val="00EB0AF6"/>
    <w:rsid w:val="00EB116D"/>
    <w:rsid w:val="00EB2319"/>
    <w:rsid w:val="00EB2E5F"/>
    <w:rsid w:val="00EB4BA8"/>
    <w:rsid w:val="00EB5C22"/>
    <w:rsid w:val="00EB6CEE"/>
    <w:rsid w:val="00EB7522"/>
    <w:rsid w:val="00EB7B00"/>
    <w:rsid w:val="00EB7B47"/>
    <w:rsid w:val="00EC04E1"/>
    <w:rsid w:val="00EC0B50"/>
    <w:rsid w:val="00EC0E6D"/>
    <w:rsid w:val="00EC15CE"/>
    <w:rsid w:val="00EC2E23"/>
    <w:rsid w:val="00EC3135"/>
    <w:rsid w:val="00EC4241"/>
    <w:rsid w:val="00EC5BBE"/>
    <w:rsid w:val="00EC5D6A"/>
    <w:rsid w:val="00EC730E"/>
    <w:rsid w:val="00EC7D3B"/>
    <w:rsid w:val="00ED0AC3"/>
    <w:rsid w:val="00ED0FE5"/>
    <w:rsid w:val="00ED167A"/>
    <w:rsid w:val="00ED1E6F"/>
    <w:rsid w:val="00ED26EB"/>
    <w:rsid w:val="00ED2741"/>
    <w:rsid w:val="00ED2D56"/>
    <w:rsid w:val="00ED46AA"/>
    <w:rsid w:val="00ED4E37"/>
    <w:rsid w:val="00ED5387"/>
    <w:rsid w:val="00ED652C"/>
    <w:rsid w:val="00ED6949"/>
    <w:rsid w:val="00ED6AF1"/>
    <w:rsid w:val="00ED75E5"/>
    <w:rsid w:val="00ED789A"/>
    <w:rsid w:val="00ED7E9A"/>
    <w:rsid w:val="00EE081B"/>
    <w:rsid w:val="00EE086C"/>
    <w:rsid w:val="00EE0A07"/>
    <w:rsid w:val="00EE1C22"/>
    <w:rsid w:val="00EE246F"/>
    <w:rsid w:val="00EE2510"/>
    <w:rsid w:val="00EE35AD"/>
    <w:rsid w:val="00EE4532"/>
    <w:rsid w:val="00EE4562"/>
    <w:rsid w:val="00EE60A6"/>
    <w:rsid w:val="00EE626B"/>
    <w:rsid w:val="00EE6818"/>
    <w:rsid w:val="00EE6A27"/>
    <w:rsid w:val="00EE6AF1"/>
    <w:rsid w:val="00EF0048"/>
    <w:rsid w:val="00EF01A0"/>
    <w:rsid w:val="00EF0661"/>
    <w:rsid w:val="00EF0E46"/>
    <w:rsid w:val="00EF0E62"/>
    <w:rsid w:val="00EF134A"/>
    <w:rsid w:val="00EF175B"/>
    <w:rsid w:val="00EF17F8"/>
    <w:rsid w:val="00EF2214"/>
    <w:rsid w:val="00EF2470"/>
    <w:rsid w:val="00EF25AC"/>
    <w:rsid w:val="00EF2C1D"/>
    <w:rsid w:val="00EF2E70"/>
    <w:rsid w:val="00EF3758"/>
    <w:rsid w:val="00EF3DB8"/>
    <w:rsid w:val="00EF3E7F"/>
    <w:rsid w:val="00EF473C"/>
    <w:rsid w:val="00EF4741"/>
    <w:rsid w:val="00EF5D64"/>
    <w:rsid w:val="00EF627E"/>
    <w:rsid w:val="00EF6477"/>
    <w:rsid w:val="00EF6613"/>
    <w:rsid w:val="00EF6AE8"/>
    <w:rsid w:val="00EF7D08"/>
    <w:rsid w:val="00F005C7"/>
    <w:rsid w:val="00F00D7B"/>
    <w:rsid w:val="00F00E9C"/>
    <w:rsid w:val="00F00FB4"/>
    <w:rsid w:val="00F013AD"/>
    <w:rsid w:val="00F04203"/>
    <w:rsid w:val="00F04375"/>
    <w:rsid w:val="00F04B12"/>
    <w:rsid w:val="00F0541D"/>
    <w:rsid w:val="00F054C0"/>
    <w:rsid w:val="00F05F14"/>
    <w:rsid w:val="00F0686A"/>
    <w:rsid w:val="00F069FD"/>
    <w:rsid w:val="00F10160"/>
    <w:rsid w:val="00F11092"/>
    <w:rsid w:val="00F11F2B"/>
    <w:rsid w:val="00F120AB"/>
    <w:rsid w:val="00F126F0"/>
    <w:rsid w:val="00F12E0E"/>
    <w:rsid w:val="00F136A5"/>
    <w:rsid w:val="00F144FA"/>
    <w:rsid w:val="00F14D4E"/>
    <w:rsid w:val="00F15F31"/>
    <w:rsid w:val="00F16B88"/>
    <w:rsid w:val="00F16EE5"/>
    <w:rsid w:val="00F171A2"/>
    <w:rsid w:val="00F17618"/>
    <w:rsid w:val="00F200F0"/>
    <w:rsid w:val="00F20C75"/>
    <w:rsid w:val="00F20D15"/>
    <w:rsid w:val="00F21AEA"/>
    <w:rsid w:val="00F23E5E"/>
    <w:rsid w:val="00F24392"/>
    <w:rsid w:val="00F24A25"/>
    <w:rsid w:val="00F24C61"/>
    <w:rsid w:val="00F2553B"/>
    <w:rsid w:val="00F2565F"/>
    <w:rsid w:val="00F25947"/>
    <w:rsid w:val="00F2705C"/>
    <w:rsid w:val="00F30A27"/>
    <w:rsid w:val="00F30C4D"/>
    <w:rsid w:val="00F31221"/>
    <w:rsid w:val="00F31E5A"/>
    <w:rsid w:val="00F3272B"/>
    <w:rsid w:val="00F3569C"/>
    <w:rsid w:val="00F35E91"/>
    <w:rsid w:val="00F36774"/>
    <w:rsid w:val="00F376CA"/>
    <w:rsid w:val="00F37AD0"/>
    <w:rsid w:val="00F37B07"/>
    <w:rsid w:val="00F37F50"/>
    <w:rsid w:val="00F4136B"/>
    <w:rsid w:val="00F41AF0"/>
    <w:rsid w:val="00F42363"/>
    <w:rsid w:val="00F4267C"/>
    <w:rsid w:val="00F42A17"/>
    <w:rsid w:val="00F44580"/>
    <w:rsid w:val="00F45281"/>
    <w:rsid w:val="00F45DAC"/>
    <w:rsid w:val="00F4608F"/>
    <w:rsid w:val="00F503E3"/>
    <w:rsid w:val="00F50A1E"/>
    <w:rsid w:val="00F51C06"/>
    <w:rsid w:val="00F53256"/>
    <w:rsid w:val="00F54711"/>
    <w:rsid w:val="00F54BCF"/>
    <w:rsid w:val="00F56099"/>
    <w:rsid w:val="00F56582"/>
    <w:rsid w:val="00F5710C"/>
    <w:rsid w:val="00F572A6"/>
    <w:rsid w:val="00F6210F"/>
    <w:rsid w:val="00F62D22"/>
    <w:rsid w:val="00F62DC0"/>
    <w:rsid w:val="00F63199"/>
    <w:rsid w:val="00F631E1"/>
    <w:rsid w:val="00F63709"/>
    <w:rsid w:val="00F63E86"/>
    <w:rsid w:val="00F65862"/>
    <w:rsid w:val="00F66DC1"/>
    <w:rsid w:val="00F66F30"/>
    <w:rsid w:val="00F670A8"/>
    <w:rsid w:val="00F70A07"/>
    <w:rsid w:val="00F7179E"/>
    <w:rsid w:val="00F71E87"/>
    <w:rsid w:val="00F7255B"/>
    <w:rsid w:val="00F72588"/>
    <w:rsid w:val="00F726D5"/>
    <w:rsid w:val="00F746E5"/>
    <w:rsid w:val="00F75CB6"/>
    <w:rsid w:val="00F76130"/>
    <w:rsid w:val="00F76440"/>
    <w:rsid w:val="00F76BBF"/>
    <w:rsid w:val="00F76C9B"/>
    <w:rsid w:val="00F76FC4"/>
    <w:rsid w:val="00F81DA4"/>
    <w:rsid w:val="00F81FAF"/>
    <w:rsid w:val="00F8279E"/>
    <w:rsid w:val="00F82F74"/>
    <w:rsid w:val="00F83327"/>
    <w:rsid w:val="00F83AD4"/>
    <w:rsid w:val="00F83E0D"/>
    <w:rsid w:val="00F845F9"/>
    <w:rsid w:val="00F84CCB"/>
    <w:rsid w:val="00F86BED"/>
    <w:rsid w:val="00F87630"/>
    <w:rsid w:val="00F9057D"/>
    <w:rsid w:val="00F9179F"/>
    <w:rsid w:val="00F92557"/>
    <w:rsid w:val="00F93042"/>
    <w:rsid w:val="00F93995"/>
    <w:rsid w:val="00F93BD3"/>
    <w:rsid w:val="00F93F51"/>
    <w:rsid w:val="00F94293"/>
    <w:rsid w:val="00F94C36"/>
    <w:rsid w:val="00F95845"/>
    <w:rsid w:val="00F9594E"/>
    <w:rsid w:val="00F9680F"/>
    <w:rsid w:val="00F96B84"/>
    <w:rsid w:val="00F9772F"/>
    <w:rsid w:val="00F97CA2"/>
    <w:rsid w:val="00F97D61"/>
    <w:rsid w:val="00FA0007"/>
    <w:rsid w:val="00FA0471"/>
    <w:rsid w:val="00FA0844"/>
    <w:rsid w:val="00FA0F71"/>
    <w:rsid w:val="00FA180D"/>
    <w:rsid w:val="00FA2813"/>
    <w:rsid w:val="00FA2AB6"/>
    <w:rsid w:val="00FA388F"/>
    <w:rsid w:val="00FA46D6"/>
    <w:rsid w:val="00FA4ACB"/>
    <w:rsid w:val="00FA4C61"/>
    <w:rsid w:val="00FA4CD1"/>
    <w:rsid w:val="00FA6715"/>
    <w:rsid w:val="00FA6AE6"/>
    <w:rsid w:val="00FA7C82"/>
    <w:rsid w:val="00FB0083"/>
    <w:rsid w:val="00FB074B"/>
    <w:rsid w:val="00FB09BE"/>
    <w:rsid w:val="00FB0B90"/>
    <w:rsid w:val="00FB0E50"/>
    <w:rsid w:val="00FB14D3"/>
    <w:rsid w:val="00FB26AC"/>
    <w:rsid w:val="00FB3037"/>
    <w:rsid w:val="00FB3E54"/>
    <w:rsid w:val="00FB597A"/>
    <w:rsid w:val="00FB603E"/>
    <w:rsid w:val="00FB60F9"/>
    <w:rsid w:val="00FB6918"/>
    <w:rsid w:val="00FC23B6"/>
    <w:rsid w:val="00FC2550"/>
    <w:rsid w:val="00FC4F75"/>
    <w:rsid w:val="00FC5AE1"/>
    <w:rsid w:val="00FC62D8"/>
    <w:rsid w:val="00FC6422"/>
    <w:rsid w:val="00FC64D8"/>
    <w:rsid w:val="00FC6918"/>
    <w:rsid w:val="00FC72E7"/>
    <w:rsid w:val="00FD0471"/>
    <w:rsid w:val="00FD177F"/>
    <w:rsid w:val="00FD285D"/>
    <w:rsid w:val="00FD32F4"/>
    <w:rsid w:val="00FD3AB7"/>
    <w:rsid w:val="00FD48C1"/>
    <w:rsid w:val="00FD4FBF"/>
    <w:rsid w:val="00FD51CE"/>
    <w:rsid w:val="00FD5745"/>
    <w:rsid w:val="00FD6DAD"/>
    <w:rsid w:val="00FE008E"/>
    <w:rsid w:val="00FE128D"/>
    <w:rsid w:val="00FE12FC"/>
    <w:rsid w:val="00FE1524"/>
    <w:rsid w:val="00FE2508"/>
    <w:rsid w:val="00FE2A98"/>
    <w:rsid w:val="00FE2BEE"/>
    <w:rsid w:val="00FE48E2"/>
    <w:rsid w:val="00FE4E30"/>
    <w:rsid w:val="00FE7AF3"/>
    <w:rsid w:val="00FE7FC0"/>
    <w:rsid w:val="00FE7FD7"/>
    <w:rsid w:val="00FF0336"/>
    <w:rsid w:val="00FF1005"/>
    <w:rsid w:val="00FF1520"/>
    <w:rsid w:val="00FF1820"/>
    <w:rsid w:val="00FF2F19"/>
    <w:rsid w:val="00FF35E0"/>
    <w:rsid w:val="00FF3D39"/>
    <w:rsid w:val="00FF4EE7"/>
    <w:rsid w:val="00FF5C95"/>
    <w:rsid w:val="00FF632D"/>
    <w:rsid w:val="00FF7054"/>
    <w:rsid w:val="00FF7460"/>
    <w:rsid w:val="00FF7A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rules v:ext="edit">
        <o:r id="V:Rule2" type="connector" idref="#_x0000_s2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201"/>
    <w:rPr>
      <w:sz w:val="28"/>
      <w:szCs w:val="28"/>
    </w:rPr>
  </w:style>
  <w:style w:type="paragraph" w:styleId="Heading1">
    <w:name w:val="heading 1"/>
    <w:basedOn w:val="Normal"/>
    <w:next w:val="Normal"/>
    <w:qFormat/>
    <w:rsid w:val="003358A4"/>
    <w:pPr>
      <w:keepNext/>
      <w:outlineLvl w:val="0"/>
    </w:pPr>
    <w:rPr>
      <w:rFonts w:ascii=".VnTimeH" w:hAnsi=".VnTimeH"/>
      <w:b/>
      <w:bCs/>
      <w:szCs w:val="24"/>
    </w:rPr>
  </w:style>
  <w:style w:type="paragraph" w:styleId="Heading2">
    <w:name w:val="heading 2"/>
    <w:basedOn w:val="Normal"/>
    <w:next w:val="Normal"/>
    <w:link w:val="Heading2Char"/>
    <w:semiHidden/>
    <w:unhideWhenUsed/>
    <w:qFormat/>
    <w:rsid w:val="00410F1D"/>
    <w:pPr>
      <w:keepNext/>
      <w:spacing w:before="240" w:after="60"/>
      <w:outlineLvl w:val="1"/>
    </w:pPr>
    <w:rPr>
      <w:rFonts w:ascii="Cambria" w:hAnsi="Cambria"/>
      <w:b/>
      <w:bCs/>
      <w:i/>
      <w:iCs/>
    </w:rPr>
  </w:style>
  <w:style w:type="paragraph" w:styleId="Heading3">
    <w:name w:val="heading 3"/>
    <w:basedOn w:val="Normal"/>
    <w:next w:val="Normal"/>
    <w:qFormat/>
    <w:rsid w:val="003358A4"/>
    <w:pPr>
      <w:keepNext/>
      <w:spacing w:line="400" w:lineRule="exact"/>
      <w:jc w:val="center"/>
      <w:outlineLvl w:val="2"/>
    </w:pPr>
    <w:rPr>
      <w:rFonts w:ascii=".VnTimeH" w:hAnsi=".VnTimeH"/>
      <w:b/>
      <w:bCs/>
      <w:spacing w:val="8"/>
      <w:sz w:val="32"/>
      <w:szCs w:val="26"/>
    </w:rPr>
  </w:style>
  <w:style w:type="paragraph" w:styleId="Heading5">
    <w:name w:val="heading 5"/>
    <w:basedOn w:val="Normal"/>
    <w:next w:val="Normal"/>
    <w:qFormat/>
    <w:rsid w:val="003358A4"/>
    <w:pPr>
      <w:keepNext/>
      <w:spacing w:line="400" w:lineRule="exact"/>
      <w:jc w:val="center"/>
      <w:outlineLvl w:val="4"/>
    </w:pPr>
    <w:rPr>
      <w:rFonts w:ascii=".VnTime" w:hAnsi=".VnTime"/>
      <w:b/>
      <w:bCs/>
      <w:i/>
      <w:iCs/>
      <w:spacing w:val="8"/>
      <w:szCs w:val="26"/>
    </w:rPr>
  </w:style>
  <w:style w:type="paragraph" w:styleId="Heading9">
    <w:name w:val="heading 9"/>
    <w:basedOn w:val="Normal"/>
    <w:next w:val="Normal"/>
    <w:qFormat/>
    <w:rsid w:val="003358A4"/>
    <w:pPr>
      <w:keepNext/>
      <w:jc w:val="center"/>
      <w:outlineLvl w:val="8"/>
    </w:pPr>
    <w:rPr>
      <w:rFonts w:ascii=".VnTime" w:hAnsi=".VnTime"/>
      <w:b/>
      <w:bCs/>
      <w:spacing w:val="8"/>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3358A4"/>
    <w:pPr>
      <w:spacing w:after="160" w:line="240" w:lineRule="exact"/>
    </w:pPr>
    <w:rPr>
      <w:rFonts w:ascii="Arial" w:hAnsi="Arial"/>
      <w:sz w:val="22"/>
      <w:szCs w:val="22"/>
    </w:rPr>
  </w:style>
  <w:style w:type="paragraph" w:styleId="BodyText2">
    <w:name w:val="Body Text 2"/>
    <w:basedOn w:val="Normal"/>
    <w:link w:val="BodyText2Char"/>
    <w:rsid w:val="003358A4"/>
    <w:pPr>
      <w:spacing w:after="120" w:line="480" w:lineRule="auto"/>
    </w:pPr>
    <w:rPr>
      <w:rFonts w:ascii=".VnTime" w:hAnsi=".VnTime"/>
      <w:sz w:val="25"/>
      <w:szCs w:val="25"/>
    </w:rPr>
  </w:style>
  <w:style w:type="paragraph" w:styleId="BodyTextIndent">
    <w:name w:val="Body Text Indent"/>
    <w:basedOn w:val="Normal"/>
    <w:rsid w:val="003358A4"/>
    <w:pPr>
      <w:ind w:firstLine="720"/>
      <w:jc w:val="both"/>
    </w:pPr>
    <w:rPr>
      <w:rFonts w:ascii=".VnTime" w:hAnsi=".VnTime"/>
      <w:szCs w:val="20"/>
    </w:rPr>
  </w:style>
  <w:style w:type="paragraph" w:styleId="NormalWeb">
    <w:name w:val="Normal (Web)"/>
    <w:basedOn w:val="Normal"/>
    <w:uiPriority w:val="99"/>
    <w:rsid w:val="003358A4"/>
    <w:pPr>
      <w:spacing w:before="100" w:beforeAutospacing="1" w:after="100" w:afterAutospacing="1"/>
      <w:jc w:val="both"/>
    </w:pPr>
    <w:rPr>
      <w:rFonts w:ascii="Arial" w:hAnsi="Arial" w:cs="Arial"/>
      <w:sz w:val="20"/>
      <w:szCs w:val="20"/>
    </w:rPr>
  </w:style>
  <w:style w:type="paragraph" w:customStyle="1" w:styleId="dieuCharCharCharChar">
    <w:name w:val="dieu Char Char Char Char"/>
    <w:basedOn w:val="Normal"/>
    <w:link w:val="dieuCharCharCharCharChar"/>
    <w:autoRedefine/>
    <w:rsid w:val="00A65A9C"/>
    <w:pPr>
      <w:spacing w:after="120"/>
      <w:ind w:firstLine="720"/>
    </w:pPr>
    <w:rPr>
      <w:b/>
      <w:color w:val="0000FF"/>
      <w:spacing w:val="24"/>
      <w:sz w:val="26"/>
      <w:szCs w:val="26"/>
    </w:rPr>
  </w:style>
  <w:style w:type="character" w:customStyle="1" w:styleId="dieuCharCharCharCharChar">
    <w:name w:val="dieu Char Char Char Char Char"/>
    <w:link w:val="dieuCharCharCharChar"/>
    <w:rsid w:val="00A65A9C"/>
    <w:rPr>
      <w:b/>
      <w:color w:val="0000FF"/>
      <w:spacing w:val="24"/>
      <w:sz w:val="26"/>
      <w:szCs w:val="26"/>
      <w:lang w:val="en-US" w:eastAsia="en-US" w:bidi="ar-SA"/>
    </w:rPr>
  </w:style>
  <w:style w:type="paragraph" w:styleId="Footer">
    <w:name w:val="footer"/>
    <w:basedOn w:val="Normal"/>
    <w:link w:val="FooterChar"/>
    <w:uiPriority w:val="99"/>
    <w:rsid w:val="00A65A9C"/>
    <w:pPr>
      <w:tabs>
        <w:tab w:val="center" w:pos="4320"/>
        <w:tab w:val="right" w:pos="8640"/>
      </w:tabs>
    </w:pPr>
  </w:style>
  <w:style w:type="character" w:styleId="PageNumber">
    <w:name w:val="page number"/>
    <w:basedOn w:val="DefaultParagraphFont"/>
    <w:rsid w:val="00A65A9C"/>
  </w:style>
  <w:style w:type="paragraph" w:styleId="BodyText">
    <w:name w:val="Body Text"/>
    <w:basedOn w:val="Normal"/>
    <w:link w:val="BodyTextChar"/>
    <w:rsid w:val="00A65A9C"/>
    <w:pPr>
      <w:jc w:val="both"/>
    </w:pPr>
    <w:rPr>
      <w:rFonts w:ascii=".VnTime" w:hAnsi=".VnTime"/>
      <w:sz w:val="24"/>
      <w:szCs w:val="20"/>
    </w:rPr>
  </w:style>
  <w:style w:type="paragraph" w:styleId="BodyTextIndent2">
    <w:name w:val="Body Text Indent 2"/>
    <w:basedOn w:val="Normal"/>
    <w:rsid w:val="00D35304"/>
    <w:pPr>
      <w:spacing w:after="120" w:line="480" w:lineRule="auto"/>
      <w:ind w:left="360"/>
    </w:pPr>
    <w:rPr>
      <w:sz w:val="24"/>
      <w:szCs w:val="24"/>
    </w:rPr>
  </w:style>
  <w:style w:type="paragraph" w:customStyle="1" w:styleId="CharCharCharCharCharChar">
    <w:name w:val="Char Char Char Char Char Char"/>
    <w:basedOn w:val="Normal"/>
    <w:semiHidden/>
    <w:rsid w:val="004117D2"/>
    <w:pPr>
      <w:spacing w:after="160" w:line="240" w:lineRule="exact"/>
    </w:pPr>
    <w:rPr>
      <w:rFonts w:ascii="Arial" w:hAnsi="Arial"/>
      <w:sz w:val="22"/>
      <w:szCs w:val="22"/>
    </w:rPr>
  </w:style>
  <w:style w:type="paragraph" w:styleId="BodyText3">
    <w:name w:val="Body Text 3"/>
    <w:basedOn w:val="Normal"/>
    <w:rsid w:val="004117D2"/>
    <w:pPr>
      <w:autoSpaceDE w:val="0"/>
      <w:autoSpaceDN w:val="0"/>
      <w:spacing w:after="120"/>
    </w:pPr>
    <w:rPr>
      <w:rFonts w:ascii=".VnTime" w:hAnsi=".VnTime"/>
      <w:sz w:val="16"/>
      <w:szCs w:val="16"/>
    </w:rPr>
  </w:style>
  <w:style w:type="paragraph" w:styleId="Header">
    <w:name w:val="header"/>
    <w:basedOn w:val="Normal"/>
    <w:link w:val="HeaderChar"/>
    <w:uiPriority w:val="99"/>
    <w:rsid w:val="00FA2AB6"/>
    <w:pPr>
      <w:tabs>
        <w:tab w:val="center" w:pos="4320"/>
        <w:tab w:val="right" w:pos="8640"/>
      </w:tabs>
    </w:pPr>
  </w:style>
  <w:style w:type="paragraph" w:customStyle="1" w:styleId="dieuCharCharChar">
    <w:name w:val="dieu Char Char Char"/>
    <w:basedOn w:val="Normal"/>
    <w:autoRedefine/>
    <w:rsid w:val="00284DF9"/>
    <w:pPr>
      <w:spacing w:after="120"/>
      <w:ind w:firstLine="720"/>
    </w:pPr>
    <w:rPr>
      <w:b/>
      <w:color w:val="0000FF"/>
      <w:spacing w:val="24"/>
      <w:sz w:val="26"/>
      <w:szCs w:val="26"/>
    </w:rPr>
  </w:style>
  <w:style w:type="paragraph" w:customStyle="1" w:styleId="CharCharCharCharCharChar1CharCharCharCharCharCharCharCharCharChar">
    <w:name w:val="Char Char Char Char Char Char1 Char Char Char Char Char Char Char Char Char Char"/>
    <w:basedOn w:val="Normal"/>
    <w:semiHidden/>
    <w:rsid w:val="00832821"/>
    <w:pPr>
      <w:spacing w:after="160" w:line="240" w:lineRule="exact"/>
    </w:pPr>
    <w:rPr>
      <w:rFonts w:ascii="Arial" w:hAnsi="Arial"/>
      <w:sz w:val="22"/>
      <w:szCs w:val="22"/>
    </w:rPr>
  </w:style>
  <w:style w:type="table" w:styleId="TableGrid">
    <w:name w:val="Table Grid"/>
    <w:basedOn w:val="TableNormal"/>
    <w:rsid w:val="00BD5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EF6AE8"/>
    <w:pPr>
      <w:spacing w:before="240" w:after="120" w:line="360" w:lineRule="exact"/>
      <w:ind w:firstLine="544"/>
      <w:jc w:val="both"/>
    </w:pPr>
    <w:rPr>
      <w:szCs w:val="20"/>
    </w:rPr>
  </w:style>
  <w:style w:type="character" w:customStyle="1" w:styleId="BodyTextIndent3Char">
    <w:name w:val="Body Text Indent 3 Char"/>
    <w:link w:val="BodyTextIndent3"/>
    <w:rsid w:val="00EF6AE8"/>
    <w:rPr>
      <w:sz w:val="28"/>
      <w:lang w:val="en-US" w:eastAsia="en-US" w:bidi="ar-SA"/>
    </w:rPr>
  </w:style>
  <w:style w:type="paragraph" w:customStyle="1" w:styleId="dieu">
    <w:name w:val="dieu"/>
    <w:basedOn w:val="Normal"/>
    <w:link w:val="dieuChar"/>
    <w:autoRedefine/>
    <w:rsid w:val="00F9057D"/>
    <w:pPr>
      <w:spacing w:after="60"/>
      <w:ind w:firstLine="720"/>
    </w:pPr>
    <w:rPr>
      <w:rFonts w:ascii="Times New Roman Bold" w:hAnsi="Times New Roman Bold"/>
      <w:b/>
      <w:spacing w:val="24"/>
      <w:sz w:val="26"/>
      <w:szCs w:val="26"/>
      <w:lang w:val="nl-NL"/>
    </w:rPr>
  </w:style>
  <w:style w:type="character" w:customStyle="1" w:styleId="dieuChar">
    <w:name w:val="dieu Char"/>
    <w:link w:val="dieu"/>
    <w:rsid w:val="00F9057D"/>
    <w:rPr>
      <w:rFonts w:ascii="Times New Roman Bold" w:hAnsi="Times New Roman Bold"/>
      <w:b/>
      <w:spacing w:val="24"/>
      <w:sz w:val="26"/>
      <w:szCs w:val="26"/>
      <w:lang w:val="nl-NL"/>
    </w:rPr>
  </w:style>
  <w:style w:type="character" w:customStyle="1" w:styleId="Heading2Char">
    <w:name w:val="Heading 2 Char"/>
    <w:link w:val="Heading2"/>
    <w:semiHidden/>
    <w:rsid w:val="00410F1D"/>
    <w:rPr>
      <w:rFonts w:ascii="Cambria" w:eastAsia="Times New Roman" w:hAnsi="Cambria" w:cs="Times New Roman"/>
      <w:b/>
      <w:bCs/>
      <w:i/>
      <w:iCs/>
      <w:sz w:val="28"/>
      <w:szCs w:val="28"/>
    </w:rPr>
  </w:style>
  <w:style w:type="paragraph" w:styleId="BalloonText">
    <w:name w:val="Balloon Text"/>
    <w:basedOn w:val="Normal"/>
    <w:link w:val="BalloonTextChar"/>
    <w:rsid w:val="009D2913"/>
    <w:rPr>
      <w:rFonts w:ascii="Tahoma" w:hAnsi="Tahoma"/>
      <w:sz w:val="16"/>
      <w:szCs w:val="16"/>
    </w:rPr>
  </w:style>
  <w:style w:type="character" w:customStyle="1" w:styleId="BalloonTextChar">
    <w:name w:val="Balloon Text Char"/>
    <w:link w:val="BalloonText"/>
    <w:rsid w:val="009D2913"/>
    <w:rPr>
      <w:rFonts w:ascii="Tahoma" w:hAnsi="Tahoma" w:cs="Tahoma"/>
      <w:sz w:val="16"/>
      <w:szCs w:val="16"/>
    </w:rPr>
  </w:style>
  <w:style w:type="paragraph" w:customStyle="1" w:styleId="CharCharCharCharCharCharCharChar">
    <w:name w:val="Char Char Char Char Char Char Char Char"/>
    <w:basedOn w:val="Normal"/>
    <w:next w:val="Normal"/>
    <w:autoRedefine/>
    <w:semiHidden/>
    <w:rsid w:val="00AE1120"/>
    <w:pPr>
      <w:spacing w:before="120" w:after="120" w:line="312" w:lineRule="auto"/>
    </w:pPr>
  </w:style>
  <w:style w:type="character" w:customStyle="1" w:styleId="apple-converted-space">
    <w:name w:val="apple-converted-space"/>
    <w:basedOn w:val="DefaultParagraphFont"/>
    <w:rsid w:val="006964FC"/>
  </w:style>
  <w:style w:type="character" w:styleId="Hyperlink">
    <w:name w:val="Hyperlink"/>
    <w:uiPriority w:val="99"/>
    <w:unhideWhenUsed/>
    <w:rsid w:val="006964FC"/>
    <w:rPr>
      <w:color w:val="0000FF"/>
      <w:u w:val="single"/>
    </w:rPr>
  </w:style>
  <w:style w:type="character" w:customStyle="1" w:styleId="FooterChar">
    <w:name w:val="Footer Char"/>
    <w:link w:val="Footer"/>
    <w:uiPriority w:val="99"/>
    <w:rsid w:val="007B79B3"/>
    <w:rPr>
      <w:sz w:val="28"/>
      <w:szCs w:val="28"/>
    </w:rPr>
  </w:style>
  <w:style w:type="character" w:customStyle="1" w:styleId="BodyTextChar">
    <w:name w:val="Body Text Char"/>
    <w:link w:val="BodyText"/>
    <w:rsid w:val="00C652A3"/>
    <w:rPr>
      <w:rFonts w:ascii=".VnTime" w:hAnsi=".VnTime"/>
      <w:sz w:val="24"/>
    </w:rPr>
  </w:style>
  <w:style w:type="character" w:customStyle="1" w:styleId="HeaderChar">
    <w:name w:val="Header Char"/>
    <w:link w:val="Header"/>
    <w:uiPriority w:val="99"/>
    <w:rsid w:val="00B72188"/>
    <w:rPr>
      <w:sz w:val="28"/>
      <w:szCs w:val="28"/>
    </w:rPr>
  </w:style>
  <w:style w:type="paragraph" w:styleId="ListParagraph">
    <w:name w:val="List Paragraph"/>
    <w:basedOn w:val="Normal"/>
    <w:uiPriority w:val="34"/>
    <w:qFormat/>
    <w:rsid w:val="006B1D1A"/>
    <w:pPr>
      <w:ind w:left="720"/>
      <w:contextualSpacing/>
    </w:pPr>
  </w:style>
  <w:style w:type="character" w:customStyle="1" w:styleId="BodyText2Char">
    <w:name w:val="Body Text 2 Char"/>
    <w:link w:val="BodyText2"/>
    <w:rsid w:val="00602248"/>
    <w:rPr>
      <w:rFonts w:ascii=".VnTime" w:hAnsi=".VnTime"/>
      <w:sz w:val="25"/>
      <w:szCs w:val="25"/>
    </w:rPr>
  </w:style>
  <w:style w:type="paragraph" w:styleId="FootnoteText">
    <w:name w:val="footnote text"/>
    <w:aliases w:val="single space,fn,fn Char Char Char,footnote text,Char,ALTS FOOTNOTE,FOOTNOTES,Geneva 9,Font: Geneva 9,Boston 10,f,Footnote Text Char Char Char Char Char,Footnote Text Char Char Char Char Char Char Ch,ft1,Fußnot,Ch, Char,ft,Car, Ca"/>
    <w:basedOn w:val="Normal"/>
    <w:link w:val="FootnoteTextChar"/>
    <w:qFormat/>
    <w:rsid w:val="00332DFF"/>
    <w:rPr>
      <w:sz w:val="20"/>
      <w:szCs w:val="20"/>
    </w:rPr>
  </w:style>
  <w:style w:type="character" w:customStyle="1" w:styleId="FootnoteTextChar">
    <w:name w:val="Footnote Text Char"/>
    <w:aliases w:val="single space Char,fn Char,fn Char Char Char Char,footnote text Char,Char Char,ALTS FOOTNOTE Char,FOOTNOTES Char,Geneva 9 Char,Font: Geneva 9 Char,Boston 10 Char,f Char,Footnote Text Char Char Char Char Char Char,ft1 Char,Fußnot Char"/>
    <w:basedOn w:val="DefaultParagraphFont"/>
    <w:link w:val="FootnoteText"/>
    <w:uiPriority w:val="99"/>
    <w:rsid w:val="00332DFF"/>
  </w:style>
  <w:style w:type="character" w:styleId="FootnoteReference">
    <w:name w:val="footnote reference"/>
    <w:aliases w:val="Footnote + Arial,10 pt,Black,Footnote,ftref,(NECG) Footnote Reference,16 Point,Superscript 6 Point,BearingPoint,fr,Footnote Text Char Char Char Char Char Char Ch Char Char Char Char Char Char C,Ref,de nota al pie,Footnote Text11,BVI f"/>
    <w:link w:val="4GCharCharChar"/>
    <w:qFormat/>
    <w:rsid w:val="00332DFF"/>
    <w:rPr>
      <w:vertAlign w:val="superscript"/>
    </w:rPr>
  </w:style>
  <w:style w:type="paragraph" w:styleId="EndnoteText">
    <w:name w:val="endnote text"/>
    <w:basedOn w:val="Normal"/>
    <w:link w:val="EndnoteTextChar"/>
    <w:rsid w:val="00EB116D"/>
    <w:rPr>
      <w:sz w:val="20"/>
      <w:szCs w:val="20"/>
    </w:rPr>
  </w:style>
  <w:style w:type="character" w:customStyle="1" w:styleId="EndnoteTextChar">
    <w:name w:val="Endnote Text Char"/>
    <w:basedOn w:val="DefaultParagraphFont"/>
    <w:link w:val="EndnoteText"/>
    <w:rsid w:val="00EB116D"/>
  </w:style>
  <w:style w:type="character" w:styleId="EndnoteReference">
    <w:name w:val="endnote reference"/>
    <w:rsid w:val="00EB116D"/>
    <w:rPr>
      <w:vertAlign w:val="superscript"/>
    </w:rPr>
  </w:style>
  <w:style w:type="paragraph" w:styleId="DocumentMap">
    <w:name w:val="Document Map"/>
    <w:basedOn w:val="Normal"/>
    <w:link w:val="DocumentMapChar"/>
    <w:rsid w:val="006B1060"/>
    <w:rPr>
      <w:rFonts w:ascii="Tahoma" w:hAnsi="Tahoma"/>
      <w:sz w:val="16"/>
      <w:szCs w:val="16"/>
    </w:rPr>
  </w:style>
  <w:style w:type="character" w:customStyle="1" w:styleId="DocumentMapChar">
    <w:name w:val="Document Map Char"/>
    <w:link w:val="DocumentMap"/>
    <w:rsid w:val="006B1060"/>
    <w:rPr>
      <w:rFonts w:ascii="Tahoma" w:hAnsi="Tahoma" w:cs="Tahoma"/>
      <w:sz w:val="16"/>
      <w:szCs w:val="16"/>
    </w:rPr>
  </w:style>
  <w:style w:type="character" w:styleId="CommentReference">
    <w:name w:val="annotation reference"/>
    <w:uiPriority w:val="99"/>
    <w:unhideWhenUsed/>
    <w:rsid w:val="00AA5DAE"/>
    <w:rPr>
      <w:sz w:val="16"/>
      <w:szCs w:val="16"/>
    </w:rPr>
  </w:style>
  <w:style w:type="paragraph" w:styleId="CommentText">
    <w:name w:val="annotation text"/>
    <w:basedOn w:val="Normal"/>
    <w:link w:val="CommentTextChar"/>
    <w:uiPriority w:val="99"/>
    <w:unhideWhenUsed/>
    <w:rsid w:val="00AA5DAE"/>
    <w:pPr>
      <w:spacing w:after="200"/>
    </w:pPr>
    <w:rPr>
      <w:rFonts w:eastAsia="Calibri"/>
      <w:sz w:val="20"/>
      <w:szCs w:val="20"/>
    </w:rPr>
  </w:style>
  <w:style w:type="character" w:customStyle="1" w:styleId="CommentTextChar">
    <w:name w:val="Comment Text Char"/>
    <w:link w:val="CommentText"/>
    <w:uiPriority w:val="99"/>
    <w:rsid w:val="00AA5DAE"/>
    <w:rPr>
      <w:rFonts w:eastAsia="Calibri"/>
    </w:rPr>
  </w:style>
  <w:style w:type="paragraph" w:customStyle="1" w:styleId="xmsonormal">
    <w:name w:val="x_msonormal"/>
    <w:basedOn w:val="Normal"/>
    <w:rsid w:val="00624599"/>
    <w:pPr>
      <w:spacing w:before="100" w:beforeAutospacing="1" w:after="100" w:afterAutospacing="1"/>
    </w:pPr>
    <w:rPr>
      <w:sz w:val="24"/>
      <w:szCs w:val="24"/>
    </w:rPr>
  </w:style>
  <w:style w:type="character" w:styleId="FollowedHyperlink">
    <w:name w:val="FollowedHyperlink"/>
    <w:rsid w:val="00624599"/>
    <w:rPr>
      <w:color w:val="800080"/>
      <w:u w:val="single"/>
    </w:rPr>
  </w:style>
  <w:style w:type="paragraph" w:customStyle="1" w:styleId="4GCharCharChar">
    <w:name w:val="4_G Char Char Char"/>
    <w:basedOn w:val="Normal"/>
    <w:link w:val="FootnoteReference"/>
    <w:qFormat/>
    <w:rsid w:val="00EB5C22"/>
    <w:pPr>
      <w:spacing w:before="100" w:line="240" w:lineRule="exact"/>
      <w:jc w:val="both"/>
    </w:pPr>
    <w:rPr>
      <w:sz w:val="20"/>
      <w:szCs w:val="20"/>
      <w:vertAlign w:val="superscript"/>
    </w:rPr>
  </w:style>
  <w:style w:type="character" w:styleId="Strong">
    <w:name w:val="Strong"/>
    <w:uiPriority w:val="22"/>
    <w:qFormat/>
    <w:rsid w:val="00EB5C22"/>
    <w:rPr>
      <w:b/>
      <w:bCs/>
    </w:rPr>
  </w:style>
</w:styles>
</file>

<file path=word/webSettings.xml><?xml version="1.0" encoding="utf-8"?>
<w:webSettings xmlns:r="http://schemas.openxmlformats.org/officeDocument/2006/relationships" xmlns:w="http://schemas.openxmlformats.org/wordprocessingml/2006/main">
  <w:divs>
    <w:div w:id="282618090">
      <w:bodyDiv w:val="1"/>
      <w:marLeft w:val="0"/>
      <w:marRight w:val="0"/>
      <w:marTop w:val="0"/>
      <w:marBottom w:val="0"/>
      <w:divBdr>
        <w:top w:val="none" w:sz="0" w:space="0" w:color="auto"/>
        <w:left w:val="none" w:sz="0" w:space="0" w:color="auto"/>
        <w:bottom w:val="none" w:sz="0" w:space="0" w:color="auto"/>
        <w:right w:val="none" w:sz="0" w:space="0" w:color="auto"/>
      </w:divBdr>
    </w:div>
    <w:div w:id="417216586">
      <w:bodyDiv w:val="1"/>
      <w:marLeft w:val="0"/>
      <w:marRight w:val="0"/>
      <w:marTop w:val="0"/>
      <w:marBottom w:val="0"/>
      <w:divBdr>
        <w:top w:val="none" w:sz="0" w:space="0" w:color="auto"/>
        <w:left w:val="none" w:sz="0" w:space="0" w:color="auto"/>
        <w:bottom w:val="none" w:sz="0" w:space="0" w:color="auto"/>
        <w:right w:val="none" w:sz="0" w:space="0" w:color="auto"/>
      </w:divBdr>
    </w:div>
    <w:div w:id="856231131">
      <w:bodyDiv w:val="1"/>
      <w:marLeft w:val="0"/>
      <w:marRight w:val="0"/>
      <w:marTop w:val="0"/>
      <w:marBottom w:val="0"/>
      <w:divBdr>
        <w:top w:val="none" w:sz="0" w:space="0" w:color="auto"/>
        <w:left w:val="none" w:sz="0" w:space="0" w:color="auto"/>
        <w:bottom w:val="none" w:sz="0" w:space="0" w:color="auto"/>
        <w:right w:val="none" w:sz="0" w:space="0" w:color="auto"/>
      </w:divBdr>
    </w:div>
    <w:div w:id="948975520">
      <w:bodyDiv w:val="1"/>
      <w:marLeft w:val="0"/>
      <w:marRight w:val="0"/>
      <w:marTop w:val="0"/>
      <w:marBottom w:val="0"/>
      <w:divBdr>
        <w:top w:val="none" w:sz="0" w:space="0" w:color="auto"/>
        <w:left w:val="none" w:sz="0" w:space="0" w:color="auto"/>
        <w:bottom w:val="none" w:sz="0" w:space="0" w:color="auto"/>
        <w:right w:val="none" w:sz="0" w:space="0" w:color="auto"/>
      </w:divBdr>
    </w:div>
    <w:div w:id="1343361689">
      <w:bodyDiv w:val="1"/>
      <w:marLeft w:val="0"/>
      <w:marRight w:val="0"/>
      <w:marTop w:val="0"/>
      <w:marBottom w:val="0"/>
      <w:divBdr>
        <w:top w:val="none" w:sz="0" w:space="0" w:color="auto"/>
        <w:left w:val="none" w:sz="0" w:space="0" w:color="auto"/>
        <w:bottom w:val="none" w:sz="0" w:space="0" w:color="auto"/>
        <w:right w:val="none" w:sz="0" w:space="0" w:color="auto"/>
      </w:divBdr>
    </w:div>
    <w:div w:id="1345323601">
      <w:bodyDiv w:val="1"/>
      <w:marLeft w:val="0"/>
      <w:marRight w:val="0"/>
      <w:marTop w:val="0"/>
      <w:marBottom w:val="0"/>
      <w:divBdr>
        <w:top w:val="none" w:sz="0" w:space="0" w:color="auto"/>
        <w:left w:val="none" w:sz="0" w:space="0" w:color="auto"/>
        <w:bottom w:val="none" w:sz="0" w:space="0" w:color="auto"/>
        <w:right w:val="none" w:sz="0" w:space="0" w:color="auto"/>
      </w:divBdr>
    </w:div>
    <w:div w:id="1725443951">
      <w:bodyDiv w:val="1"/>
      <w:marLeft w:val="0"/>
      <w:marRight w:val="0"/>
      <w:marTop w:val="0"/>
      <w:marBottom w:val="0"/>
      <w:divBdr>
        <w:top w:val="none" w:sz="0" w:space="0" w:color="auto"/>
        <w:left w:val="none" w:sz="0" w:space="0" w:color="auto"/>
        <w:bottom w:val="none" w:sz="0" w:space="0" w:color="auto"/>
        <w:right w:val="none" w:sz="0" w:space="0" w:color="auto"/>
      </w:divBdr>
    </w:div>
    <w:div w:id="1963490436">
      <w:bodyDiv w:val="1"/>
      <w:marLeft w:val="0"/>
      <w:marRight w:val="0"/>
      <w:marTop w:val="0"/>
      <w:marBottom w:val="0"/>
      <w:divBdr>
        <w:top w:val="none" w:sz="0" w:space="0" w:color="auto"/>
        <w:left w:val="none" w:sz="0" w:space="0" w:color="auto"/>
        <w:bottom w:val="none" w:sz="0" w:space="0" w:color="auto"/>
        <w:right w:val="none" w:sz="0" w:space="0" w:color="auto"/>
      </w:divBdr>
    </w:div>
    <w:div w:id="1978602135">
      <w:bodyDiv w:val="1"/>
      <w:marLeft w:val="0"/>
      <w:marRight w:val="0"/>
      <w:marTop w:val="0"/>
      <w:marBottom w:val="0"/>
      <w:divBdr>
        <w:top w:val="none" w:sz="0" w:space="0" w:color="auto"/>
        <w:left w:val="none" w:sz="0" w:space="0" w:color="auto"/>
        <w:bottom w:val="none" w:sz="0" w:space="0" w:color="auto"/>
        <w:right w:val="none" w:sz="0" w:space="0" w:color="auto"/>
      </w:divBdr>
    </w:div>
    <w:div w:id="20324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965CB12F5FCD07419D2D37E12D488858" ma:contentTypeVersion="0" ma:contentTypeDescription="Tạo tài liệu mới." ma:contentTypeScope="" ma:versionID="a7f5a27fd94f49da2d66bdb0393b1dea">
  <xsd:schema xmlns:xsd="http://www.w3.org/2001/XMLSchema" xmlns:xs="http://www.w3.org/2001/XMLSchema" xmlns:p="http://schemas.microsoft.com/office/2006/metadata/properties" targetNamespace="http://schemas.microsoft.com/office/2006/metadata/properties" ma:root="true" ma:fieldsID="c48a08cb5c79b764e14bb9ade34210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CA93D-1D0F-40C7-889D-1FD8AF497655}">
  <ds:schemaRefs>
    <ds:schemaRef ds:uri="http://schemas.microsoft.com/office/2006/metadata/properties"/>
  </ds:schemaRefs>
</ds:datastoreItem>
</file>

<file path=customXml/itemProps2.xml><?xml version="1.0" encoding="utf-8"?>
<ds:datastoreItem xmlns:ds="http://schemas.openxmlformats.org/officeDocument/2006/customXml" ds:itemID="{26C2D0BF-9515-4472-A437-806D83713CC0}">
  <ds:schemaRefs>
    <ds:schemaRef ds:uri="http://schemas.microsoft.com/sharepoint/v3/contenttype/forms"/>
  </ds:schemaRefs>
</ds:datastoreItem>
</file>

<file path=customXml/itemProps3.xml><?xml version="1.0" encoding="utf-8"?>
<ds:datastoreItem xmlns:ds="http://schemas.openxmlformats.org/officeDocument/2006/customXml" ds:itemID="{2F7405EC-97DF-4BAD-B096-9605A7131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B355DF-B0E6-4E93-A304-3D2028BD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20</Pages>
  <Words>7227</Words>
  <Characters>41196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BỘ TÀI CHÍNH</vt:lpstr>
    </vt:vector>
  </TitlesOfParts>
  <Company>VPBTC</Company>
  <LinksUpToDate>false</LinksUpToDate>
  <CharactersWithSpaces>48327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VPBTC</dc:creator>
  <cp:lastModifiedBy>nguyendoanlong</cp:lastModifiedBy>
  <cp:revision>35</cp:revision>
  <cp:lastPrinted>2025-05-14T04:23:00Z</cp:lastPrinted>
  <dcterms:created xsi:type="dcterms:W3CDTF">2025-04-29T08:31:00Z</dcterms:created>
  <dcterms:modified xsi:type="dcterms:W3CDTF">2025-05-14T04:31:00Z</dcterms:modified>
</cp:coreProperties>
</file>