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579E" w:rsidRPr="0047579E" w:rsidRDefault="0047579E" w:rsidP="0047579E">
      <w:p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Kính gửi Ban Pháp chế – VCCI,</w:t>
      </w:r>
    </w:p>
    <w:p w:rsidR="0047579E" w:rsidRPr="0047579E" w:rsidRDefault="0047579E" w:rsidP="0047579E">
      <w:p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 </w:t>
      </w:r>
    </w:p>
    <w:p w:rsidR="0047579E" w:rsidRPr="0047579E" w:rsidRDefault="0047579E" w:rsidP="0047579E">
      <w:p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Công ty TNHH INOAC Việt Nam, là doanh nghiệp được thành lập và hoạt động tại Việt Nam.</w:t>
      </w:r>
    </w:p>
    <w:p w:rsidR="0047579E" w:rsidRPr="0047579E" w:rsidRDefault="0047579E" w:rsidP="0047579E">
      <w:pPr>
        <w:numPr>
          <w:ilvl w:val="0"/>
          <w:numId w:val="1"/>
        </w:num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Mã số thuế: 2500236896</w:t>
      </w:r>
    </w:p>
    <w:p w:rsidR="0047579E" w:rsidRPr="0047579E" w:rsidRDefault="0047579E" w:rsidP="0047579E">
      <w:pPr>
        <w:numPr>
          <w:ilvl w:val="0"/>
          <w:numId w:val="1"/>
        </w:num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Địa chỉ: Lô 36, KCN Quang Minh, xã Quang Minh, HN</w:t>
      </w:r>
    </w:p>
    <w:p w:rsidR="0047579E" w:rsidRPr="0047579E" w:rsidRDefault="0047579E" w:rsidP="0047579E">
      <w:p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 </w:t>
      </w:r>
    </w:p>
    <w:p w:rsidR="0047579E" w:rsidRPr="0047579E" w:rsidRDefault="0047579E" w:rsidP="0047579E">
      <w:p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242424"/>
          <w:kern w:val="0"/>
          <w:sz w:val="22"/>
          <w:szCs w:val="22"/>
          <w:lang w:eastAsia="en-GB"/>
          <w14:ligatures w14:val="none"/>
        </w:rPr>
        <w:t>Trong hoạt động rà soát vướng mắc liên quan đến hoạt động sản xuất, kinh doanh của doanh nghiệp, Công ty chúng tôi có phát sinh các vướng mắc sau liên quan đến Nghị định 70/2025/ND-CP của Chính phủ:</w:t>
      </w:r>
    </w:p>
    <w:p w:rsidR="0047579E" w:rsidRPr="0047579E" w:rsidRDefault="0047579E" w:rsidP="0047579E">
      <w:pPr>
        <w:shd w:val="clear" w:color="auto" w:fill="FFFFFF"/>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38"/>
        <w:gridCol w:w="1401"/>
        <w:gridCol w:w="2850"/>
        <w:gridCol w:w="1343"/>
        <w:gridCol w:w="1116"/>
        <w:gridCol w:w="1758"/>
      </w:tblGrid>
      <w:tr w:rsidR="0047579E" w:rsidRPr="0047579E" w:rsidTr="0047579E">
        <w:trPr>
          <w:trHeight w:val="123"/>
        </w:trPr>
        <w:tc>
          <w:tcPr>
            <w:tcW w:w="53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STT</w:t>
            </w:r>
          </w:p>
        </w:tc>
        <w:tc>
          <w:tcPr>
            <w:tcW w:w="89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Quy định hiện hành</w:t>
            </w:r>
          </w:p>
        </w:tc>
        <w:tc>
          <w:tcPr>
            <w:tcW w:w="261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Thực trạng</w:t>
            </w:r>
          </w:p>
        </w:tc>
        <w:tc>
          <w:tcPr>
            <w:tcW w:w="19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Vấn đề phát sinh</w:t>
            </w:r>
          </w:p>
        </w:tc>
        <w:tc>
          <w:tcPr>
            <w:tcW w:w="42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Đề xuất của doanh nghiệp</w:t>
            </w:r>
          </w:p>
        </w:tc>
      </w:tr>
      <w:tr w:rsidR="0047579E" w:rsidRPr="0047579E" w:rsidTr="0047579E">
        <w:trPr>
          <w:trHeight w:val="16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Văn bản</w:t>
            </w:r>
          </w:p>
        </w:tc>
        <w:tc>
          <w:tcPr>
            <w:tcW w:w="7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jc w:val="center"/>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b/>
                <w:bCs/>
                <w:color w:val="0D0D0D"/>
                <w:kern w:val="0"/>
                <w:sz w:val="22"/>
                <w:szCs w:val="22"/>
                <w:bdr w:val="none" w:sz="0" w:space="0" w:color="auto" w:frame="1"/>
                <w:lang w:eastAsia="en-GB"/>
                <w14:ligatures w14:val="none"/>
              </w:rPr>
              <w:t>Nội dung chi tiết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p>
        </w:tc>
      </w:tr>
      <w:tr w:rsidR="0047579E" w:rsidRPr="0047579E" w:rsidTr="0047579E">
        <w:trPr>
          <w:trHeight w:val="169"/>
        </w:trPr>
        <w:tc>
          <w:tcPr>
            <w:tcW w:w="5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1</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Nghị định 70/2025/ND-CP</w:t>
            </w:r>
          </w:p>
        </w:tc>
        <w:tc>
          <w:tcPr>
            <w:tcW w:w="7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FF0000"/>
                <w:kern w:val="0"/>
                <w:sz w:val="22"/>
                <w:szCs w:val="22"/>
                <w:bdr w:val="none" w:sz="0" w:space="0" w:color="auto" w:frame="1"/>
                <w:lang w:eastAsia="en-GB"/>
                <w14:ligatures w14:val="none"/>
              </w:rPr>
              <w:t>Trường hợp kinh doanh dịch vụ vận tải thì trên hoá đơn phải thể hiện biển kiểm soát phương tiện vận tải, hành trình (điểm đi - điểm đến)</w:t>
            </w:r>
            <w:r w:rsidRPr="0047579E">
              <w:rPr>
                <w:rFonts w:ascii="Calibri" w:eastAsia="Times New Roman" w:hAnsi="Calibri" w:cs="Calibri"/>
                <w:color w:val="0D0D0D"/>
                <w:kern w:val="0"/>
                <w:sz w:val="22"/>
                <w:szCs w:val="22"/>
                <w:bdr w:val="none" w:sz="0" w:space="0" w:color="auto" w:frame="1"/>
                <w:lang w:eastAsia="en-GB"/>
                <w14:ligatures w14:val="none"/>
              </w:rPr>
              <w:t>. Đối với doanh nghiệp kinh doanh vận tải cung cấp dịch vụ vận tải hàng hóa trên nền tảng số, hoạt động thương mại điện tử thì phải thể hiện tên hàng hóa vận chuyển, thông tin tên, địa chỉ, mã số thuế hoặc số định danh người gửi hàng.</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Doanh nghiệp thuê dịch vụ vận tải của các nhà cung cấp phát sinh nhiều xe, nhiều chuyến, nhiều lộ trình khác nhau.</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Khi thể hiện tất cả các thông tin trên hóa đơn khiến cho dữ liệu lớn, đối chiếu lại dữ liệu mất nhiều thời gian</w:t>
            </w:r>
          </w:p>
        </w:tc>
        <w:tc>
          <w:tcPr>
            <w:tcW w:w="4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Trường hợp cung cấp dịch vụ vận tải cho “doanh nghiệp” thì hai bên có thể lập Bảng theo dõi để kiểm soát các thông tin Biển kiểm soát, hành trình, mà không phải thể hiện trên hóa đơn. Hai bên lưu trữ và xuất trình khi cơ quan thuế yêu cầu.</w:t>
            </w:r>
          </w:p>
        </w:tc>
      </w:tr>
      <w:tr w:rsidR="0047579E" w:rsidRPr="0047579E" w:rsidTr="0047579E">
        <w:trPr>
          <w:trHeight w:val="169"/>
        </w:trPr>
        <w:tc>
          <w:tcPr>
            <w:tcW w:w="5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2</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Nghị định 70/2025/ND-CP</w:t>
            </w:r>
          </w:p>
        </w:tc>
        <w:tc>
          <w:tcPr>
            <w:tcW w:w="7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xml:space="preserve">9. 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 đã lập có thời điểm ký số trên hóa đơn khác thời điểm lập hóa đơn thì thời điểm ký số và thời điểm gửi cơ quan thuế cấp mã đối với hóa đơn có mã của cơ quan thuế hoặc thời điểm chuyển dữ liệu hóa đơn điện tử đến cơ quan thuế đối với hóa đơn điện tử không có mã của cơ quan thuế chậm nhất là ngày làm việc tiếp theo kể từ thời điểm lập hóa đơn (trừ trường hợp gửi dữ liệu theo bảng tổng hợp quy định tại </w:t>
            </w:r>
            <w:r w:rsidRPr="0047579E">
              <w:rPr>
                <w:rFonts w:ascii="Calibri" w:eastAsia="Times New Roman" w:hAnsi="Calibri" w:cs="Calibri"/>
                <w:color w:val="0D0D0D"/>
                <w:kern w:val="0"/>
                <w:sz w:val="22"/>
                <w:szCs w:val="22"/>
                <w:bdr w:val="none" w:sz="0" w:space="0" w:color="auto" w:frame="1"/>
                <w:lang w:eastAsia="en-GB"/>
                <w14:ligatures w14:val="none"/>
              </w:rPr>
              <w:lastRenderedPageBreak/>
              <w:t>điểm a.1 khoản 3 Điều 22 Nghị định này). </w:t>
            </w:r>
            <w:r w:rsidRPr="0047579E">
              <w:rPr>
                <w:rFonts w:ascii="Calibri" w:eastAsia="Times New Roman" w:hAnsi="Calibri" w:cs="Calibri"/>
                <w:color w:val="FF0000"/>
                <w:kern w:val="0"/>
                <w:sz w:val="22"/>
                <w:szCs w:val="22"/>
                <w:bdr w:val="none" w:sz="0" w:space="0" w:color="auto" w:frame="1"/>
                <w:lang w:eastAsia="en-GB"/>
                <w14:ligatures w14:val="none"/>
              </w:rPr>
              <w:t>Người bán khai thuế theo thời điểm lập hóa đơn; thời điểm khai thuế đối với người mua là thời điểm nhận hóa đơn đảm bảo đúng, đầy đủ về hình thức và nội dung theo quy định tại Điều 10 Nghị định này.</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lastRenderedPageBreak/>
              <w:t>+ Số lượng hóa đơn đầu vào rất lớn =&gt; doanh nghiệp phải kiểm tra và thống kê toàn bộ thông tin ngày nhận hóa đơn</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Kê khai chi phí theo thời điểm phát sinh</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Kê khai thuế GTGT theo thời điểm nhận hóa đơn</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Chênh lệch thời điểm kê khai chi phí và thời điểm kê khai thuế GTGT</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Khối lượng hóa đơn lớn =&gt; tốn thời gian và nhân lực theo dõi ngày nhận hóa đơn, và thời điểm kê khai</w:t>
            </w:r>
          </w:p>
        </w:tc>
        <w:tc>
          <w:tcPr>
            <w:tcW w:w="4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Cả người bán và người mua kê khai theo ngày lập hóa đơn</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Người bán bị phạt về hành vi xuất hóa đơn sai thời điểm.</w:t>
            </w:r>
          </w:p>
        </w:tc>
      </w:tr>
      <w:tr w:rsidR="0047579E" w:rsidRPr="0047579E" w:rsidTr="0047579E">
        <w:trPr>
          <w:trHeight w:val="169"/>
        </w:trPr>
        <w:tc>
          <w:tcPr>
            <w:tcW w:w="5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3</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Nghị định 70/2025/ND-CP</w:t>
            </w:r>
          </w:p>
        </w:tc>
        <w:tc>
          <w:tcPr>
            <w:tcW w:w="7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4. </w:t>
            </w:r>
            <w:r w:rsidRPr="0047579E">
              <w:rPr>
                <w:rFonts w:ascii="Calibri" w:eastAsia="Times New Roman" w:hAnsi="Calibri" w:cs="Calibri"/>
                <w:color w:val="FF0000"/>
                <w:kern w:val="0"/>
                <w:sz w:val="22"/>
                <w:szCs w:val="22"/>
                <w:bdr w:val="none" w:sz="0" w:space="0" w:color="auto" w:frame="1"/>
                <w:lang w:eastAsia="en-GB"/>
                <w14:ligatures w14:val="none"/>
              </w:rPr>
              <w:t>Trường hợp có thay đổi thông tin đã đăng ký sử dụng hóa đơn điện tử </w:t>
            </w:r>
            <w:r w:rsidRPr="0047579E">
              <w:rPr>
                <w:rFonts w:ascii="Calibri" w:eastAsia="Times New Roman" w:hAnsi="Calibri" w:cs="Calibri"/>
                <w:color w:val="0D0D0D"/>
                <w:kern w:val="0"/>
                <w:sz w:val="22"/>
                <w:szCs w:val="22"/>
                <w:bdr w:val="none" w:sz="0" w:space="0" w:color="auto" w:frame="1"/>
                <w:lang w:eastAsia="en-GB"/>
                <w14:ligatures w14:val="none"/>
              </w:rPr>
              <w:t>tại khoản 1 Điều này, doanh nghiệp, tổ chức kinh tế, tổ chức khác, hộ kinh doanh, cá nhân kinh doanh thực hiện thay đổi thông tin như sau:</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a) Trường hợp người nộp thuế thay đổi thông tin sử dụng hóa đơn điện tử do thay đổi thông tin về người đại diện theo pháp luật; đại diện hộ kinh doanh, cá nhân kinh doanh, thành viên góp vốn, chủ sở hữu thì trình tự thủ tục thực hiện theo quy định tại khoản 1a Điều này.</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FF0000"/>
                <w:kern w:val="0"/>
                <w:sz w:val="22"/>
                <w:szCs w:val="22"/>
                <w:bdr w:val="none" w:sz="0" w:space="0" w:color="auto" w:frame="1"/>
                <w:lang w:eastAsia="en-GB"/>
                <w14:ligatures w14:val="none"/>
              </w:rPr>
              <w:t>b) Trường hợp người nộp thuế thay đổi thông tin sử dụng hóa đơn điện tử không thuộc quy định tại điểm a khoản này</w:t>
            </w:r>
            <w:r w:rsidRPr="0047579E">
              <w:rPr>
                <w:rFonts w:ascii="Calibri" w:eastAsia="Times New Roman" w:hAnsi="Calibri" w:cs="Calibri"/>
                <w:color w:val="0D0D0D"/>
                <w:kern w:val="0"/>
                <w:sz w:val="22"/>
                <w:szCs w:val="22"/>
                <w:bdr w:val="none" w:sz="0" w:space="0" w:color="auto" w:frame="1"/>
                <w:lang w:eastAsia="en-GB"/>
                <w14:ligatures w14:val="none"/>
              </w:rPr>
              <w:t>, Cổng thông tin điện tử của Tổng cục Thuế gửi yêu cầu </w:t>
            </w:r>
            <w:r w:rsidRPr="0047579E">
              <w:rPr>
                <w:rFonts w:ascii="Calibri" w:eastAsia="Times New Roman" w:hAnsi="Calibri" w:cs="Calibri"/>
                <w:color w:val="FF0000"/>
                <w:kern w:val="0"/>
                <w:sz w:val="22"/>
                <w:szCs w:val="22"/>
                <w:bdr w:val="none" w:sz="0" w:space="0" w:color="auto" w:frame="1"/>
                <w:lang w:eastAsia="en-GB"/>
                <w14:ligatures w14:val="none"/>
              </w:rPr>
              <w:t>đề nghị người nộp thuế xác nhận qua địa chỉ thư điện tử hoặc điện thoại của chủ doanh nghiệp hoặc người đại diện theo pháp luật</w:t>
            </w:r>
            <w:r w:rsidRPr="0047579E">
              <w:rPr>
                <w:rFonts w:ascii="Calibri" w:eastAsia="Times New Roman" w:hAnsi="Calibri" w:cs="Calibri"/>
                <w:color w:val="0D0D0D"/>
                <w:kern w:val="0"/>
                <w:sz w:val="22"/>
                <w:szCs w:val="22"/>
                <w:bdr w:val="none" w:sz="0" w:space="0" w:color="auto" w:frame="1"/>
                <w:lang w:eastAsia="en-GB"/>
                <w14:ligatures w14:val="none"/>
              </w:rPr>
              <w:t> theo thông tin trong hồ sơ đăng ký thuế.</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Chủ doanh nghiệp hoặc người đại điện theo pháp luật là người nước ngoài (không biết Tiếng Việt)</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 Ngôn ngữ sử dụng trên website của cơ quan thuế và nhà cung cấp giải pháp hóa đơn là Tiếng Việt.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Chủ doanh nghiệp hoặc người đại diện theo pháp luật không thể tự xác nhận nội dung cơ quan thuế yêu cầu</w:t>
            </w:r>
          </w:p>
        </w:tc>
        <w:tc>
          <w:tcPr>
            <w:tcW w:w="4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Đề xuất giữ nguyên như hiện tại. Tức là chỉ cần có chữ ký số của doanh nghiệp trên văn bản đề nghị thay đổi là được.</w:t>
            </w:r>
          </w:p>
          <w:p w:rsidR="0047579E" w:rsidRPr="0047579E" w:rsidRDefault="0047579E" w:rsidP="0047579E">
            <w:pPr>
              <w:spacing w:after="0" w:line="240" w:lineRule="auto"/>
              <w:rPr>
                <w:rFonts w:ascii="Calibri" w:eastAsia="Times New Roman" w:hAnsi="Calibri" w:cs="Calibri"/>
                <w:color w:val="242424"/>
                <w:kern w:val="0"/>
                <w:sz w:val="22"/>
                <w:szCs w:val="22"/>
                <w:lang w:eastAsia="en-GB"/>
                <w14:ligatures w14:val="none"/>
              </w:rPr>
            </w:pPr>
            <w:r w:rsidRPr="0047579E">
              <w:rPr>
                <w:rFonts w:ascii="Calibri" w:eastAsia="Times New Roman" w:hAnsi="Calibri" w:cs="Calibri"/>
                <w:color w:val="0D0D0D"/>
                <w:kern w:val="0"/>
                <w:sz w:val="22"/>
                <w:szCs w:val="22"/>
                <w:bdr w:val="none" w:sz="0" w:space="0" w:color="auto" w:frame="1"/>
                <w:lang w:eastAsia="en-GB"/>
                <w14:ligatures w14:val="none"/>
              </w:rPr>
              <w:t>(Các hồ sơ kê khai thuế khác của doanh nghiệp hiện nay cũng chỉ yêu cầu chữ ký số)</w:t>
            </w:r>
          </w:p>
        </w:tc>
      </w:tr>
    </w:tbl>
    <w:p w:rsidR="003F1867" w:rsidRDefault="003F1867"/>
    <w:sectPr w:rsidR="003F1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3"/>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37A09"/>
    <w:multiLevelType w:val="multilevel"/>
    <w:tmpl w:val="0B6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722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9E"/>
    <w:rsid w:val="003F1867"/>
    <w:rsid w:val="0047579E"/>
    <w:rsid w:val="00A45B1F"/>
    <w:rsid w:val="00F9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BE2E9C2-0108-F54E-8268-0CB74263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79E"/>
    <w:rPr>
      <w:rFonts w:eastAsiaTheme="majorEastAsia" w:cstheme="majorBidi"/>
      <w:color w:val="272727" w:themeColor="text1" w:themeTint="D8"/>
    </w:rPr>
  </w:style>
  <w:style w:type="paragraph" w:styleId="Title">
    <w:name w:val="Title"/>
    <w:basedOn w:val="Normal"/>
    <w:next w:val="Normal"/>
    <w:link w:val="TitleChar"/>
    <w:uiPriority w:val="10"/>
    <w:qFormat/>
    <w:rsid w:val="00475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79E"/>
    <w:pPr>
      <w:spacing w:before="160"/>
      <w:jc w:val="center"/>
    </w:pPr>
    <w:rPr>
      <w:i/>
      <w:iCs/>
      <w:color w:val="404040" w:themeColor="text1" w:themeTint="BF"/>
    </w:rPr>
  </w:style>
  <w:style w:type="character" w:customStyle="1" w:styleId="QuoteChar">
    <w:name w:val="Quote Char"/>
    <w:basedOn w:val="DefaultParagraphFont"/>
    <w:link w:val="Quote"/>
    <w:uiPriority w:val="29"/>
    <w:rsid w:val="0047579E"/>
    <w:rPr>
      <w:i/>
      <w:iCs/>
      <w:color w:val="404040" w:themeColor="text1" w:themeTint="BF"/>
    </w:rPr>
  </w:style>
  <w:style w:type="paragraph" w:styleId="ListParagraph">
    <w:name w:val="List Paragraph"/>
    <w:basedOn w:val="Normal"/>
    <w:uiPriority w:val="34"/>
    <w:qFormat/>
    <w:rsid w:val="0047579E"/>
    <w:pPr>
      <w:ind w:left="720"/>
      <w:contextualSpacing/>
    </w:pPr>
  </w:style>
  <w:style w:type="character" w:styleId="IntenseEmphasis">
    <w:name w:val="Intense Emphasis"/>
    <w:basedOn w:val="DefaultParagraphFont"/>
    <w:uiPriority w:val="21"/>
    <w:qFormat/>
    <w:rsid w:val="0047579E"/>
    <w:rPr>
      <w:i/>
      <w:iCs/>
      <w:color w:val="0F4761" w:themeColor="accent1" w:themeShade="BF"/>
    </w:rPr>
  </w:style>
  <w:style w:type="paragraph" w:styleId="IntenseQuote">
    <w:name w:val="Intense Quote"/>
    <w:basedOn w:val="Normal"/>
    <w:next w:val="Normal"/>
    <w:link w:val="IntenseQuoteChar"/>
    <w:uiPriority w:val="30"/>
    <w:qFormat/>
    <w:rsid w:val="00475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79E"/>
    <w:rPr>
      <w:i/>
      <w:iCs/>
      <w:color w:val="0F4761" w:themeColor="accent1" w:themeShade="BF"/>
    </w:rPr>
  </w:style>
  <w:style w:type="character" w:styleId="IntenseReference">
    <w:name w:val="Intense Reference"/>
    <w:basedOn w:val="DefaultParagraphFont"/>
    <w:uiPriority w:val="32"/>
    <w:qFormat/>
    <w:rsid w:val="0047579E"/>
    <w:rPr>
      <w:b/>
      <w:bCs/>
      <w:smallCaps/>
      <w:color w:val="0F4761" w:themeColor="accent1" w:themeShade="BF"/>
      <w:spacing w:val="5"/>
    </w:rPr>
  </w:style>
  <w:style w:type="paragraph" w:customStyle="1" w:styleId="xmsonormal">
    <w:name w:val="x_msonormal"/>
    <w:basedOn w:val="Normal"/>
    <w:rsid w:val="0047579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msolistparagraph">
    <w:name w:val="x_msolistparagraph"/>
    <w:basedOn w:val="Normal"/>
    <w:rsid w:val="0047579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Tannie Nguyen</dc:creator>
  <cp:keywords/>
  <dc:description/>
  <cp:lastModifiedBy>Tannie Nguyen</cp:lastModifiedBy>
  <cp:revision>1</cp:revision>
  <dcterms:created xsi:type="dcterms:W3CDTF">2025-07-24T09:12:00Z</dcterms:created>
  <dcterms:modified xsi:type="dcterms:W3CDTF">2025-07-24T09:13:00Z</dcterms:modified>
</cp:coreProperties>
</file>