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CD2" w:rsidRDefault="00770D30" w:rsidP="00655AAC">
      <w:pPr>
        <w:spacing w:after="0"/>
        <w:ind w:left="57" w:right="57"/>
        <w:jc w:val="center"/>
        <w:rPr>
          <w:rFonts w:cs="Times New Roman"/>
          <w:b/>
          <w:sz w:val="24"/>
          <w:szCs w:val="24"/>
        </w:rPr>
      </w:pPr>
      <w:r w:rsidRPr="0043728A">
        <w:rPr>
          <w:rFonts w:cs="Times New Roman"/>
          <w:b/>
          <w:sz w:val="24"/>
          <w:szCs w:val="24"/>
        </w:rPr>
        <w:t>BẢNG GIẢI TRÌNH</w:t>
      </w:r>
      <w:r w:rsidR="00D468A9" w:rsidRPr="0043728A">
        <w:rPr>
          <w:rFonts w:cs="Times New Roman"/>
          <w:b/>
          <w:sz w:val="24"/>
          <w:szCs w:val="24"/>
        </w:rPr>
        <w:t xml:space="preserve"> THÔNG TƯ BÃI BỎ</w:t>
      </w:r>
      <w:r w:rsidR="00F63DE9" w:rsidRPr="0043728A">
        <w:rPr>
          <w:rFonts w:cs="Times New Roman"/>
          <w:b/>
          <w:sz w:val="24"/>
          <w:szCs w:val="24"/>
        </w:rPr>
        <w:t xml:space="preserve"> VÀ NỘI DUNG BÃI BỎ</w:t>
      </w:r>
    </w:p>
    <w:p w:rsidR="004B20F6" w:rsidRPr="0043728A" w:rsidRDefault="004B20F6" w:rsidP="00655AAC">
      <w:pPr>
        <w:spacing w:after="0"/>
        <w:ind w:left="57" w:right="57"/>
        <w:jc w:val="center"/>
        <w:rPr>
          <w:rFonts w:cs="Times New Roman"/>
          <w:b/>
          <w:sz w:val="24"/>
          <w:szCs w:val="24"/>
        </w:rPr>
      </w:pPr>
      <w:r>
        <w:rPr>
          <w:rFonts w:cs="Times New Roman"/>
          <w:b/>
          <w:sz w:val="24"/>
          <w:szCs w:val="24"/>
        </w:rPr>
        <w:t>(Ban hành kèm theo văn bản số             /BXD-PC ngày       /       /2024)</w:t>
      </w:r>
      <w:bookmarkStart w:id="0" w:name="_GoBack"/>
      <w:bookmarkEnd w:id="0"/>
    </w:p>
    <w:p w:rsidR="00D468A9" w:rsidRPr="0043728A" w:rsidRDefault="00D468A9" w:rsidP="00655AAC">
      <w:pPr>
        <w:spacing w:after="0"/>
        <w:ind w:left="57" w:right="57"/>
        <w:jc w:val="center"/>
        <w:rPr>
          <w:rFonts w:cs="Times New Roman"/>
          <w:b/>
          <w:sz w:val="24"/>
          <w:szCs w:val="24"/>
        </w:rPr>
      </w:pPr>
      <w:r w:rsidRPr="0043728A">
        <w:rPr>
          <w:rFonts w:cs="Times New Roman"/>
          <w:b/>
          <w:sz w:val="24"/>
          <w:szCs w:val="24"/>
        </w:rPr>
        <w:t>I. DANH MỤC THÔNG TƯ BÃI BỎ</w:t>
      </w:r>
      <w:r w:rsidR="008A4B7C" w:rsidRPr="0043728A">
        <w:rPr>
          <w:rFonts w:cs="Times New Roman"/>
          <w:b/>
          <w:sz w:val="24"/>
          <w:szCs w:val="24"/>
        </w:rPr>
        <w:t xml:space="preserve"> TOÀN BỘ</w:t>
      </w:r>
    </w:p>
    <w:tbl>
      <w:tblPr>
        <w:tblStyle w:val="TableGrid"/>
        <w:tblW w:w="0" w:type="auto"/>
        <w:tblLook w:val="04A0" w:firstRow="1" w:lastRow="0" w:firstColumn="1" w:lastColumn="0" w:noHBand="0" w:noVBand="1"/>
      </w:tblPr>
      <w:tblGrid>
        <w:gridCol w:w="784"/>
        <w:gridCol w:w="4080"/>
        <w:gridCol w:w="2011"/>
        <w:gridCol w:w="6067"/>
      </w:tblGrid>
      <w:tr w:rsidR="00D468A9" w:rsidRPr="0043728A" w:rsidTr="00D61263">
        <w:tc>
          <w:tcPr>
            <w:tcW w:w="708" w:type="dxa"/>
          </w:tcPr>
          <w:p w:rsidR="00D468A9" w:rsidRPr="0043728A" w:rsidRDefault="00E201D3" w:rsidP="00655AAC">
            <w:pPr>
              <w:ind w:left="57" w:right="57"/>
              <w:jc w:val="both"/>
              <w:rPr>
                <w:rFonts w:cs="Times New Roman"/>
                <w:b/>
                <w:sz w:val="24"/>
                <w:szCs w:val="24"/>
              </w:rPr>
            </w:pPr>
            <w:r w:rsidRPr="0043728A">
              <w:rPr>
                <w:rFonts w:cs="Times New Roman"/>
                <w:b/>
                <w:sz w:val="24"/>
                <w:szCs w:val="24"/>
              </w:rPr>
              <w:t>STT</w:t>
            </w:r>
          </w:p>
        </w:tc>
        <w:tc>
          <w:tcPr>
            <w:tcW w:w="4080" w:type="dxa"/>
          </w:tcPr>
          <w:p w:rsidR="00D468A9" w:rsidRPr="0043728A" w:rsidRDefault="00E201D3" w:rsidP="00655AAC">
            <w:pPr>
              <w:ind w:left="57" w:right="57"/>
              <w:jc w:val="both"/>
              <w:rPr>
                <w:rFonts w:cs="Times New Roman"/>
                <w:b/>
                <w:sz w:val="24"/>
                <w:szCs w:val="24"/>
              </w:rPr>
            </w:pPr>
            <w:r w:rsidRPr="0043728A">
              <w:rPr>
                <w:rFonts w:cs="Times New Roman"/>
                <w:b/>
                <w:sz w:val="24"/>
                <w:szCs w:val="24"/>
              </w:rPr>
              <w:t>Tên Thông tư</w:t>
            </w:r>
          </w:p>
        </w:tc>
        <w:tc>
          <w:tcPr>
            <w:tcW w:w="2011" w:type="dxa"/>
          </w:tcPr>
          <w:p w:rsidR="00D468A9" w:rsidRPr="0043728A" w:rsidRDefault="00E201D3" w:rsidP="00655AAC">
            <w:pPr>
              <w:ind w:left="57" w:right="57"/>
              <w:jc w:val="both"/>
              <w:rPr>
                <w:rFonts w:cs="Times New Roman"/>
                <w:b/>
                <w:sz w:val="24"/>
                <w:szCs w:val="24"/>
              </w:rPr>
            </w:pPr>
            <w:r w:rsidRPr="0043728A">
              <w:rPr>
                <w:rFonts w:cs="Times New Roman"/>
                <w:b/>
                <w:sz w:val="24"/>
                <w:szCs w:val="24"/>
              </w:rPr>
              <w:t>Cơ quan đề xuất</w:t>
            </w:r>
          </w:p>
        </w:tc>
        <w:tc>
          <w:tcPr>
            <w:tcW w:w="6067" w:type="dxa"/>
          </w:tcPr>
          <w:p w:rsidR="00D468A9" w:rsidRPr="0043728A" w:rsidRDefault="00E201D3" w:rsidP="00655AAC">
            <w:pPr>
              <w:ind w:left="57" w:right="57"/>
              <w:jc w:val="both"/>
              <w:rPr>
                <w:rFonts w:cs="Times New Roman"/>
                <w:b/>
                <w:sz w:val="24"/>
                <w:szCs w:val="24"/>
              </w:rPr>
            </w:pPr>
            <w:r w:rsidRPr="0043728A">
              <w:rPr>
                <w:rFonts w:cs="Times New Roman"/>
                <w:b/>
                <w:sz w:val="24"/>
                <w:szCs w:val="24"/>
              </w:rPr>
              <w:t>Lý do bãi bỏ</w:t>
            </w:r>
          </w:p>
        </w:tc>
      </w:tr>
      <w:tr w:rsidR="00D468A9" w:rsidRPr="0043728A" w:rsidTr="00D61263">
        <w:tc>
          <w:tcPr>
            <w:tcW w:w="708" w:type="dxa"/>
          </w:tcPr>
          <w:p w:rsidR="00D468A9" w:rsidRPr="0043728A" w:rsidRDefault="00D468A9" w:rsidP="00655AAC">
            <w:pPr>
              <w:pStyle w:val="ListParagraph"/>
              <w:numPr>
                <w:ilvl w:val="0"/>
                <w:numId w:val="4"/>
              </w:numPr>
              <w:ind w:left="57" w:right="57" w:firstLine="0"/>
              <w:jc w:val="both"/>
              <w:rPr>
                <w:rFonts w:ascii="Times New Roman" w:hAnsi="Times New Roman"/>
                <w:b/>
                <w:sz w:val="24"/>
                <w:szCs w:val="24"/>
              </w:rPr>
            </w:pPr>
          </w:p>
        </w:tc>
        <w:tc>
          <w:tcPr>
            <w:tcW w:w="4080" w:type="dxa"/>
          </w:tcPr>
          <w:p w:rsidR="00303ECB" w:rsidRPr="0043728A" w:rsidRDefault="00303ECB" w:rsidP="00655AAC">
            <w:pPr>
              <w:ind w:left="57" w:right="57"/>
              <w:jc w:val="both"/>
              <w:rPr>
                <w:rFonts w:cs="Times New Roman"/>
                <w:sz w:val="24"/>
                <w:szCs w:val="24"/>
              </w:rPr>
            </w:pPr>
            <w:r w:rsidRPr="0043728A">
              <w:rPr>
                <w:rFonts w:cs="Times New Roman"/>
                <w:sz w:val="24"/>
                <w:szCs w:val="24"/>
              </w:rPr>
              <w:t>Thông tư số 21/2010/TT</w:t>
            </w:r>
            <w:r w:rsidR="008B6CF5" w:rsidRPr="0043728A">
              <w:rPr>
                <w:rFonts w:cs="Times New Roman"/>
                <w:sz w:val="24"/>
                <w:szCs w:val="24"/>
              </w:rPr>
              <w:t>-</w:t>
            </w:r>
            <w:r w:rsidRPr="0043728A">
              <w:rPr>
                <w:rFonts w:cs="Times New Roman"/>
                <w:sz w:val="24"/>
                <w:szCs w:val="24"/>
              </w:rPr>
              <w:t>BGTVT ngày 10/8/2010 của Bộ trưởng Bộ Giao thông vận tải về việc hướng dẫn thực hiện Nghị định số 95/2009/NĐ-CP ngày 30/10/2009 của Chính phủ quy định niên hạn sử dựng đối với xe ô tô chở hàng và xe ô tô chở người.</w:t>
            </w:r>
          </w:p>
          <w:p w:rsidR="00D468A9" w:rsidRPr="0043728A" w:rsidRDefault="00D468A9" w:rsidP="00655AAC">
            <w:pPr>
              <w:ind w:left="57" w:right="57"/>
              <w:jc w:val="both"/>
              <w:rPr>
                <w:rFonts w:cs="Times New Roman"/>
                <w:b/>
                <w:sz w:val="24"/>
                <w:szCs w:val="24"/>
              </w:rPr>
            </w:pPr>
          </w:p>
        </w:tc>
        <w:tc>
          <w:tcPr>
            <w:tcW w:w="2011" w:type="dxa"/>
          </w:tcPr>
          <w:p w:rsidR="00D468A9" w:rsidRPr="0043728A" w:rsidRDefault="00303ECB" w:rsidP="00655AAC">
            <w:pPr>
              <w:ind w:left="57" w:right="57"/>
              <w:jc w:val="both"/>
              <w:rPr>
                <w:rFonts w:cs="Times New Roman"/>
                <w:b/>
                <w:sz w:val="24"/>
                <w:szCs w:val="24"/>
              </w:rPr>
            </w:pPr>
            <w:r w:rsidRPr="0043728A">
              <w:rPr>
                <w:rFonts w:cs="Times New Roman"/>
                <w:b/>
                <w:sz w:val="24"/>
                <w:szCs w:val="24"/>
              </w:rPr>
              <w:t>Cục ĐKVN</w:t>
            </w:r>
          </w:p>
        </w:tc>
        <w:tc>
          <w:tcPr>
            <w:tcW w:w="6067" w:type="dxa"/>
          </w:tcPr>
          <w:p w:rsidR="008B6CF5" w:rsidRPr="0043728A" w:rsidRDefault="00303ECB" w:rsidP="00655AAC">
            <w:pPr>
              <w:ind w:left="57" w:right="57"/>
              <w:jc w:val="both"/>
              <w:rPr>
                <w:rFonts w:cs="Times New Roman"/>
                <w:sz w:val="24"/>
                <w:szCs w:val="24"/>
              </w:rPr>
            </w:pPr>
            <w:r w:rsidRPr="0043728A">
              <w:rPr>
                <w:rFonts w:cs="Times New Roman"/>
                <w:sz w:val="24"/>
                <w:szCs w:val="24"/>
              </w:rPr>
              <w:t xml:space="preserve">- </w:t>
            </w:r>
            <w:r w:rsidR="005C2B30" w:rsidRPr="0043728A">
              <w:rPr>
                <w:rFonts w:cs="Times New Roman"/>
                <w:sz w:val="24"/>
                <w:szCs w:val="24"/>
              </w:rPr>
              <w:t xml:space="preserve">Qua rà soát, </w:t>
            </w:r>
            <w:r w:rsidR="00D54731" w:rsidRPr="0043728A">
              <w:rPr>
                <w:rFonts w:cs="Times New Roman"/>
                <w:sz w:val="24"/>
                <w:szCs w:val="24"/>
              </w:rPr>
              <w:t>c</w:t>
            </w:r>
            <w:r w:rsidR="008B6CF5" w:rsidRPr="0043728A">
              <w:rPr>
                <w:rFonts w:cs="Times New Roman"/>
                <w:sz w:val="24"/>
                <w:szCs w:val="24"/>
              </w:rPr>
              <w:t>ăn cứ ban hành của Thông tư số 21/2010/TT-BGTVT đã hết hiệu lực (</w:t>
            </w:r>
            <w:r w:rsidRPr="0043728A">
              <w:rPr>
                <w:rFonts w:cs="Times New Roman"/>
                <w:sz w:val="24"/>
                <w:szCs w:val="24"/>
              </w:rPr>
              <w:t>Luật Giao thông đường bộ năm 2008 và Nghị định số 95/2009/NĐ-CP đã hết hiệu lự</w:t>
            </w:r>
            <w:r w:rsidR="008B6CF5" w:rsidRPr="0043728A">
              <w:rPr>
                <w:rFonts w:cs="Times New Roman"/>
                <w:sz w:val="24"/>
                <w:szCs w:val="24"/>
              </w:rPr>
              <w:t xml:space="preserve">c); </w:t>
            </w:r>
            <w:r w:rsidRPr="0043728A">
              <w:rPr>
                <w:rFonts w:cs="Times New Roman"/>
                <w:sz w:val="24"/>
                <w:szCs w:val="24"/>
              </w:rPr>
              <w:t xml:space="preserve"> </w:t>
            </w:r>
          </w:p>
          <w:p w:rsidR="008B6CF5" w:rsidRPr="0043728A" w:rsidRDefault="008B6CF5" w:rsidP="00655AAC">
            <w:pPr>
              <w:ind w:left="57" w:right="57"/>
              <w:jc w:val="both"/>
              <w:rPr>
                <w:rFonts w:cs="Times New Roman"/>
                <w:sz w:val="24"/>
                <w:szCs w:val="24"/>
              </w:rPr>
            </w:pPr>
            <w:r w:rsidRPr="0043728A">
              <w:rPr>
                <w:rFonts w:cs="Times New Roman"/>
                <w:sz w:val="24"/>
                <w:szCs w:val="24"/>
              </w:rPr>
              <w:t xml:space="preserve">- Thông tư 21/2010/TT-BGTVT hướng dẫn về việc thực hiện Nghị định số 95/2009/NĐ-CP, tuy nhiên </w:t>
            </w:r>
            <w:r w:rsidR="0004403E" w:rsidRPr="0043728A">
              <w:rPr>
                <w:rFonts w:cs="Times New Roman"/>
                <w:sz w:val="24"/>
                <w:szCs w:val="24"/>
              </w:rPr>
              <w:t xml:space="preserve">hiện nay Nghị định số 95/2009/NĐ-CP đã hết hiệu lực thi hành; </w:t>
            </w:r>
          </w:p>
          <w:p w:rsidR="00ED0339" w:rsidRPr="0043728A" w:rsidRDefault="008B6CF5" w:rsidP="00655AAC">
            <w:pPr>
              <w:ind w:left="57" w:right="57"/>
              <w:jc w:val="both"/>
              <w:rPr>
                <w:rFonts w:cs="Times New Roman"/>
                <w:sz w:val="24"/>
                <w:szCs w:val="24"/>
              </w:rPr>
            </w:pPr>
            <w:r w:rsidRPr="0043728A">
              <w:rPr>
                <w:rFonts w:cs="Times New Roman"/>
                <w:sz w:val="24"/>
                <w:szCs w:val="24"/>
              </w:rPr>
              <w:t xml:space="preserve">- </w:t>
            </w:r>
            <w:r w:rsidR="00303ECB" w:rsidRPr="0043728A">
              <w:rPr>
                <w:rFonts w:cs="Times New Roman"/>
                <w:sz w:val="24"/>
                <w:szCs w:val="24"/>
              </w:rPr>
              <w:t>Các quy định tại Thông tư số 21/2010/TT-BGTVT đã được quy định tại Nghị định số 166/2024/NĐ-CP ngày 26/12/2024 của Chính phủ quy định về điều kiện kinh doanh dịch vụ kiểm định xe cơ giới; tổ chức, hoạt động của cơ sở đăng kiểm; niên hạn sử dụ</w:t>
            </w:r>
            <w:r w:rsidR="001C1C5E" w:rsidRPr="0043728A">
              <w:rPr>
                <w:rFonts w:cs="Times New Roman"/>
                <w:sz w:val="24"/>
                <w:szCs w:val="24"/>
              </w:rPr>
              <w:t>ng</w:t>
            </w:r>
            <w:r w:rsidR="00303ECB" w:rsidRPr="0043728A">
              <w:rPr>
                <w:rFonts w:cs="Times New Roman"/>
                <w:sz w:val="24"/>
                <w:szCs w:val="24"/>
              </w:rPr>
              <w:t xml:space="preserve"> của xe cơ giới. </w:t>
            </w:r>
          </w:p>
        </w:tc>
      </w:tr>
      <w:tr w:rsidR="00FC5203" w:rsidRPr="0043728A" w:rsidTr="00D61263">
        <w:tc>
          <w:tcPr>
            <w:tcW w:w="708" w:type="dxa"/>
          </w:tcPr>
          <w:p w:rsidR="00FC5203" w:rsidRPr="0043728A" w:rsidRDefault="00FC5203" w:rsidP="00655AAC">
            <w:pPr>
              <w:pStyle w:val="ListParagraph"/>
              <w:numPr>
                <w:ilvl w:val="0"/>
                <w:numId w:val="4"/>
              </w:numPr>
              <w:ind w:left="57" w:right="57" w:firstLine="0"/>
              <w:jc w:val="both"/>
              <w:rPr>
                <w:rFonts w:ascii="Times New Roman" w:hAnsi="Times New Roman"/>
                <w:b/>
                <w:sz w:val="24"/>
                <w:szCs w:val="24"/>
              </w:rPr>
            </w:pPr>
          </w:p>
        </w:tc>
        <w:tc>
          <w:tcPr>
            <w:tcW w:w="4080" w:type="dxa"/>
          </w:tcPr>
          <w:p w:rsidR="00FC5203" w:rsidRPr="0043728A" w:rsidRDefault="00FC5203" w:rsidP="00655AAC">
            <w:pPr>
              <w:ind w:left="57" w:right="57"/>
              <w:jc w:val="both"/>
              <w:rPr>
                <w:rStyle w:val="Strong"/>
                <w:rFonts w:cs="Times New Roman"/>
                <w:b w:val="0"/>
                <w:sz w:val="24"/>
                <w:szCs w:val="24"/>
                <w:shd w:val="clear" w:color="auto" w:fill="FFFFFF"/>
              </w:rPr>
            </w:pPr>
            <w:r w:rsidRPr="0043728A">
              <w:rPr>
                <w:rStyle w:val="Strong"/>
                <w:rFonts w:cs="Times New Roman"/>
                <w:b w:val="0"/>
                <w:sz w:val="24"/>
                <w:szCs w:val="24"/>
                <w:shd w:val="clear" w:color="auto" w:fill="FFFFFF"/>
              </w:rPr>
              <w:t xml:space="preserve">Thông tư số 47/2013/TT-BGTVT ngày 03/12/2013 của Bộ trưởng Bộ Giao thông vận tải quy định về công tác phổ biến, giáo dục pháp luật trong ngành Giao thông vận tải. </w:t>
            </w:r>
          </w:p>
          <w:p w:rsidR="00FC5203" w:rsidRPr="0043728A" w:rsidRDefault="00FC5203" w:rsidP="00655AAC">
            <w:pPr>
              <w:ind w:left="57" w:right="57"/>
              <w:jc w:val="both"/>
              <w:rPr>
                <w:rFonts w:cs="Times New Roman"/>
                <w:sz w:val="24"/>
                <w:szCs w:val="24"/>
              </w:rPr>
            </w:pPr>
          </w:p>
        </w:tc>
        <w:tc>
          <w:tcPr>
            <w:tcW w:w="2011" w:type="dxa"/>
          </w:tcPr>
          <w:p w:rsidR="00FC5203" w:rsidRPr="0043728A" w:rsidRDefault="0043728A" w:rsidP="00655AAC">
            <w:pPr>
              <w:ind w:left="57" w:right="57"/>
              <w:jc w:val="both"/>
              <w:rPr>
                <w:rFonts w:cs="Times New Roman"/>
                <w:b/>
                <w:sz w:val="24"/>
                <w:szCs w:val="24"/>
              </w:rPr>
            </w:pPr>
            <w:r>
              <w:rPr>
                <w:rFonts w:cs="Times New Roman"/>
                <w:b/>
                <w:sz w:val="24"/>
                <w:szCs w:val="24"/>
              </w:rPr>
              <w:t>Vụ Pháp chế</w:t>
            </w:r>
          </w:p>
        </w:tc>
        <w:tc>
          <w:tcPr>
            <w:tcW w:w="6067" w:type="dxa"/>
          </w:tcPr>
          <w:p w:rsidR="00FC5203" w:rsidRPr="0043728A" w:rsidRDefault="0043728A" w:rsidP="00DC311D">
            <w:pPr>
              <w:ind w:left="57" w:right="57"/>
              <w:jc w:val="both"/>
              <w:rPr>
                <w:rFonts w:cs="Times New Roman"/>
                <w:sz w:val="24"/>
                <w:szCs w:val="24"/>
              </w:rPr>
            </w:pPr>
            <w:r w:rsidRPr="0043728A">
              <w:rPr>
                <w:rFonts w:cs="Times New Roman"/>
                <w:sz w:val="24"/>
                <w:szCs w:val="24"/>
              </w:rPr>
              <w:t xml:space="preserve">Qua rà soát, các nội dung về công tác phổ biến giáo dục pháp luật </w:t>
            </w:r>
            <w:r w:rsidR="00DC311D">
              <w:rPr>
                <w:rFonts w:cs="Times New Roman"/>
                <w:sz w:val="24"/>
                <w:szCs w:val="24"/>
              </w:rPr>
              <w:t xml:space="preserve">trong lĩnh vực Giao thông vận tải </w:t>
            </w:r>
            <w:r w:rsidRPr="0043728A">
              <w:rPr>
                <w:rFonts w:cs="Times New Roman"/>
                <w:sz w:val="24"/>
                <w:szCs w:val="24"/>
              </w:rPr>
              <w:t>được thực hiện đầy đủ</w:t>
            </w:r>
            <w:r w:rsidR="00DC311D">
              <w:rPr>
                <w:rFonts w:cs="Times New Roman"/>
                <w:sz w:val="24"/>
                <w:szCs w:val="24"/>
              </w:rPr>
              <w:t xml:space="preserve"> theo các quy định tại </w:t>
            </w:r>
            <w:r w:rsidRPr="0043728A">
              <w:rPr>
                <w:rFonts w:cs="Times New Roman"/>
                <w:sz w:val="24"/>
                <w:szCs w:val="24"/>
              </w:rPr>
              <w:t xml:space="preserve">Luật Phổ biến, giáo dục pháp luật và các văn bản hướng dẫn thi hành. </w:t>
            </w:r>
            <w:r w:rsidR="00DC311D">
              <w:rPr>
                <w:rFonts w:cs="Times New Roman"/>
                <w:sz w:val="24"/>
                <w:szCs w:val="24"/>
              </w:rPr>
              <w:t xml:space="preserve">Các nội dung tại Thông tư 47/2013/TT-BGTVT không còn được áp dụng trên thực tế. Do đó, việc bãi bỏ Thông tư này không tạo ra khoảng trống pháp lý.   </w:t>
            </w:r>
          </w:p>
        </w:tc>
      </w:tr>
      <w:tr w:rsidR="00303ECB" w:rsidRPr="0043728A" w:rsidTr="00D61263">
        <w:tc>
          <w:tcPr>
            <w:tcW w:w="708" w:type="dxa"/>
          </w:tcPr>
          <w:p w:rsidR="00303ECB" w:rsidRPr="0043728A" w:rsidRDefault="00303ECB" w:rsidP="00655AAC">
            <w:pPr>
              <w:pStyle w:val="ListParagraph"/>
              <w:numPr>
                <w:ilvl w:val="0"/>
                <w:numId w:val="4"/>
              </w:numPr>
              <w:ind w:left="57" w:right="57" w:firstLine="0"/>
              <w:jc w:val="both"/>
              <w:rPr>
                <w:rFonts w:ascii="Times New Roman" w:hAnsi="Times New Roman"/>
                <w:b/>
                <w:sz w:val="24"/>
                <w:szCs w:val="24"/>
              </w:rPr>
            </w:pPr>
          </w:p>
        </w:tc>
        <w:tc>
          <w:tcPr>
            <w:tcW w:w="4080" w:type="dxa"/>
          </w:tcPr>
          <w:p w:rsidR="00303ECB" w:rsidRPr="0043728A" w:rsidRDefault="00303ECB" w:rsidP="00655AAC">
            <w:pPr>
              <w:ind w:left="57" w:right="57"/>
              <w:jc w:val="both"/>
              <w:rPr>
                <w:rFonts w:cs="Times New Roman"/>
                <w:b/>
                <w:sz w:val="24"/>
                <w:szCs w:val="24"/>
              </w:rPr>
            </w:pPr>
            <w:r w:rsidRPr="0043728A">
              <w:rPr>
                <w:rFonts w:cs="Times New Roman"/>
                <w:sz w:val="24"/>
                <w:szCs w:val="24"/>
              </w:rPr>
              <w:t>Thông tư số 39/2014/TT-BGTVT ngày 12/09/2014 của Bộ trưởng Bộ GTVT quy định công tác tiếp công dân, giải quyết khiếu nại, giải quyết tố cáo của Bộ GTVT</w:t>
            </w:r>
            <w:r w:rsidR="008A305F" w:rsidRPr="0043728A">
              <w:rPr>
                <w:rFonts w:cs="Times New Roman"/>
                <w:sz w:val="24"/>
                <w:szCs w:val="24"/>
              </w:rPr>
              <w:t xml:space="preserve">. </w:t>
            </w:r>
          </w:p>
        </w:tc>
        <w:tc>
          <w:tcPr>
            <w:tcW w:w="2011" w:type="dxa"/>
          </w:tcPr>
          <w:p w:rsidR="00303ECB" w:rsidRPr="0043728A" w:rsidRDefault="00303ECB" w:rsidP="00655AAC">
            <w:pPr>
              <w:ind w:left="57" w:right="57"/>
              <w:jc w:val="both"/>
              <w:rPr>
                <w:rFonts w:cs="Times New Roman"/>
                <w:b/>
                <w:sz w:val="24"/>
                <w:szCs w:val="24"/>
              </w:rPr>
            </w:pPr>
            <w:r w:rsidRPr="0043728A">
              <w:rPr>
                <w:rFonts w:cs="Times New Roman"/>
                <w:b/>
                <w:sz w:val="24"/>
                <w:szCs w:val="24"/>
              </w:rPr>
              <w:t>Thanh tra Bộ</w:t>
            </w:r>
          </w:p>
        </w:tc>
        <w:tc>
          <w:tcPr>
            <w:tcW w:w="6067" w:type="dxa"/>
          </w:tcPr>
          <w:p w:rsidR="00303ECB" w:rsidRPr="0043728A" w:rsidRDefault="00303ECB" w:rsidP="00655AAC">
            <w:pPr>
              <w:ind w:left="57" w:right="57"/>
              <w:jc w:val="both"/>
              <w:rPr>
                <w:rFonts w:cs="Times New Roman"/>
                <w:sz w:val="24"/>
                <w:szCs w:val="24"/>
              </w:rPr>
            </w:pPr>
            <w:r w:rsidRPr="0043728A">
              <w:rPr>
                <w:rFonts w:cs="Times New Roman"/>
                <w:sz w:val="24"/>
                <w:szCs w:val="24"/>
              </w:rPr>
              <w:t>Qua rà soát cho thấy một số văn bản quy phạm pháp luật làm căn cứ để ban hành Thông tư số 39/2014/TT-BGTVT đã hết hiệu lực thi hành và được thay thế (như Luật Khiếu nại 2011, Luật Tố cáo năm 2011, Nghị định số 75/2012/NĐ-CP, Nghị định số 76/2012/NĐ-CP, Nghị định số 76/2013/NĐ-CP).</w:t>
            </w:r>
          </w:p>
          <w:p w:rsidR="00303ECB" w:rsidRPr="0043728A" w:rsidRDefault="00F65F6E" w:rsidP="00655AAC">
            <w:pPr>
              <w:ind w:left="57" w:right="57"/>
              <w:jc w:val="both"/>
              <w:rPr>
                <w:rFonts w:cs="Times New Roman"/>
                <w:b/>
                <w:sz w:val="24"/>
                <w:szCs w:val="24"/>
              </w:rPr>
            </w:pPr>
            <w:r w:rsidRPr="0043728A">
              <w:rPr>
                <w:rFonts w:cs="Times New Roman"/>
                <w:sz w:val="24"/>
                <w:szCs w:val="24"/>
              </w:rPr>
              <w:t xml:space="preserve">- </w:t>
            </w:r>
            <w:r w:rsidR="00303ECB" w:rsidRPr="0043728A">
              <w:rPr>
                <w:rFonts w:cs="Times New Roman"/>
                <w:sz w:val="24"/>
                <w:szCs w:val="24"/>
              </w:rPr>
              <w:t xml:space="preserve">Ngày 01/10/2021, Thanh tra Chính phủ đã ban hành Thông tư số 05/2021/TT-TTCP quy định quy trình xử lý đơn khiếu nại, đơn tố cáo, đơn kiến nghị, phản ánh. Theo đó, Thông tư đã quy định việc tiếp nhận, phân loại, xử lý đối với đơn khiếu nại, đơn tố cáo, đơn kiến nghị, phản ánh và áp dụng chung đối với các cơ quan hành chính nhà nước, đơn vị sự nghiệp công lập, doanh nghiệp nhà nước. Đồng thời, ngày 13/3/2024, Bộ trưởng Bộ GTVT đã ban hành Quyết định số </w:t>
            </w:r>
            <w:r w:rsidR="00303ECB" w:rsidRPr="0043728A">
              <w:rPr>
                <w:rFonts w:cs="Times New Roman"/>
                <w:sz w:val="24"/>
                <w:szCs w:val="24"/>
              </w:rPr>
              <w:lastRenderedPageBreak/>
              <w:t>248/QĐ-BGTVT ngày 13/3/2024 của Bộ trưởng Bộ GTVT quy định tiếp công dân, xử lý đơn khiếu nại, đơn tố cáo, đơn kiến nghị, phản ánh của Bộ GTVT (áp dụng đối với các cơ quan, tổ chức, đơn vị, doanh nghiệp thuộc Bộ GTVT).</w:t>
            </w:r>
          </w:p>
        </w:tc>
      </w:tr>
      <w:tr w:rsidR="00303ECB" w:rsidRPr="0043728A" w:rsidTr="00D61263">
        <w:tc>
          <w:tcPr>
            <w:tcW w:w="708" w:type="dxa"/>
          </w:tcPr>
          <w:p w:rsidR="00303ECB" w:rsidRPr="0043728A" w:rsidRDefault="00303ECB" w:rsidP="00655AAC">
            <w:pPr>
              <w:pStyle w:val="ListParagraph"/>
              <w:numPr>
                <w:ilvl w:val="0"/>
                <w:numId w:val="4"/>
              </w:numPr>
              <w:ind w:left="57" w:right="57" w:firstLine="0"/>
              <w:jc w:val="both"/>
              <w:rPr>
                <w:rFonts w:ascii="Times New Roman" w:hAnsi="Times New Roman"/>
                <w:b/>
                <w:sz w:val="24"/>
                <w:szCs w:val="24"/>
              </w:rPr>
            </w:pPr>
          </w:p>
        </w:tc>
        <w:tc>
          <w:tcPr>
            <w:tcW w:w="4080" w:type="dxa"/>
          </w:tcPr>
          <w:p w:rsidR="00F8694F" w:rsidRPr="0043728A" w:rsidRDefault="00F8694F" w:rsidP="00655AAC">
            <w:pPr>
              <w:ind w:left="57" w:right="57"/>
              <w:jc w:val="both"/>
              <w:rPr>
                <w:rFonts w:cs="Times New Roman"/>
                <w:bCs/>
                <w:sz w:val="24"/>
                <w:szCs w:val="24"/>
              </w:rPr>
            </w:pPr>
            <w:r w:rsidRPr="0043728A">
              <w:rPr>
                <w:rFonts w:cs="Times New Roman"/>
                <w:bCs/>
                <w:sz w:val="24"/>
                <w:szCs w:val="24"/>
              </w:rPr>
              <w:t xml:space="preserve">Thông tư số 06/2015/TTBGTVT ngày 02/04/2015 của Bộ trưởng Bộ Giao thông vận tải quy định về vùng hoạt động của tàu biển chở hàng trong Vịnh Bắc Bộ. </w:t>
            </w:r>
          </w:p>
          <w:p w:rsidR="00303ECB" w:rsidRPr="0043728A" w:rsidRDefault="00303ECB" w:rsidP="00655AAC">
            <w:pPr>
              <w:ind w:left="57" w:right="57"/>
              <w:jc w:val="both"/>
              <w:rPr>
                <w:rFonts w:cs="Times New Roman"/>
                <w:sz w:val="24"/>
                <w:szCs w:val="24"/>
              </w:rPr>
            </w:pPr>
          </w:p>
        </w:tc>
        <w:tc>
          <w:tcPr>
            <w:tcW w:w="2011" w:type="dxa"/>
          </w:tcPr>
          <w:p w:rsidR="00303ECB" w:rsidRPr="0043728A" w:rsidRDefault="00E06C32" w:rsidP="00655AAC">
            <w:pPr>
              <w:ind w:left="57" w:right="57"/>
              <w:jc w:val="both"/>
              <w:rPr>
                <w:rFonts w:cs="Times New Roman"/>
                <w:b/>
                <w:sz w:val="24"/>
                <w:szCs w:val="24"/>
              </w:rPr>
            </w:pPr>
            <w:r w:rsidRPr="0043728A">
              <w:rPr>
                <w:rFonts w:cs="Times New Roman"/>
                <w:b/>
                <w:sz w:val="24"/>
                <w:szCs w:val="24"/>
              </w:rPr>
              <w:t>Cục ĐKVN</w:t>
            </w:r>
          </w:p>
        </w:tc>
        <w:tc>
          <w:tcPr>
            <w:tcW w:w="6067" w:type="dxa"/>
          </w:tcPr>
          <w:p w:rsidR="00303ECB" w:rsidRPr="0043728A" w:rsidRDefault="00F8694F" w:rsidP="00655AAC">
            <w:pPr>
              <w:ind w:left="57" w:right="57"/>
              <w:jc w:val="both"/>
              <w:rPr>
                <w:rFonts w:cs="Times New Roman"/>
                <w:sz w:val="24"/>
                <w:szCs w:val="24"/>
              </w:rPr>
            </w:pPr>
            <w:r w:rsidRPr="0043728A">
              <w:rPr>
                <w:rFonts w:cs="Times New Roman"/>
                <w:sz w:val="24"/>
                <w:szCs w:val="24"/>
              </w:rPr>
              <w:t>Thông tư này quy định về an toàn đối với tàu biển cấp hạn chế II và hạn chế III được hoạt động trong khu vực Vịnh Bắc Bộ (ngoài khu vực quy định đối với các tàu hạn chế II và hạn chế III). Nội dung của Thông tư này đã được tích hợp vào Quy chuẩn kỹ thuật quốc gia về phân cấp và đóng tàu biển vỏ thép (QCVN 21:2025/BGTVT, đượ</w:t>
            </w:r>
            <w:r w:rsidR="0032508F">
              <w:rPr>
                <w:rFonts w:cs="Times New Roman"/>
                <w:sz w:val="24"/>
                <w:szCs w:val="24"/>
              </w:rPr>
              <w:t>c ba</w:t>
            </w:r>
            <w:r w:rsidRPr="0043728A">
              <w:rPr>
                <w:rFonts w:cs="Times New Roman"/>
                <w:sz w:val="24"/>
                <w:szCs w:val="24"/>
              </w:rPr>
              <w:t>n hành theo Thông tư 09/2025/TT-</w:t>
            </w:r>
            <w:r w:rsidR="0032508F">
              <w:rPr>
                <w:rFonts w:cs="Times New Roman"/>
                <w:sz w:val="24"/>
                <w:szCs w:val="24"/>
              </w:rPr>
              <w:t>BGTVT ngày 12/02/2025).</w:t>
            </w:r>
          </w:p>
        </w:tc>
      </w:tr>
      <w:tr w:rsidR="00303ECB" w:rsidRPr="0043728A" w:rsidTr="00D61263">
        <w:tc>
          <w:tcPr>
            <w:tcW w:w="708" w:type="dxa"/>
          </w:tcPr>
          <w:p w:rsidR="00303ECB" w:rsidRPr="0043728A" w:rsidRDefault="00303ECB" w:rsidP="00655AAC">
            <w:pPr>
              <w:pStyle w:val="ListParagraph"/>
              <w:numPr>
                <w:ilvl w:val="0"/>
                <w:numId w:val="4"/>
              </w:numPr>
              <w:ind w:left="57" w:right="57" w:firstLine="0"/>
              <w:jc w:val="both"/>
              <w:rPr>
                <w:rFonts w:ascii="Times New Roman" w:hAnsi="Times New Roman"/>
                <w:b/>
                <w:sz w:val="24"/>
                <w:szCs w:val="24"/>
              </w:rPr>
            </w:pPr>
          </w:p>
        </w:tc>
        <w:tc>
          <w:tcPr>
            <w:tcW w:w="4080" w:type="dxa"/>
          </w:tcPr>
          <w:p w:rsidR="00303ECB" w:rsidRPr="0043728A" w:rsidRDefault="00574379" w:rsidP="00655AAC">
            <w:pPr>
              <w:ind w:left="57" w:right="57"/>
              <w:jc w:val="both"/>
              <w:rPr>
                <w:rFonts w:cs="Times New Roman"/>
                <w:sz w:val="24"/>
                <w:szCs w:val="24"/>
              </w:rPr>
            </w:pPr>
            <w:r w:rsidRPr="0043728A">
              <w:rPr>
                <w:rFonts w:cs="Times New Roman"/>
                <w:sz w:val="24"/>
                <w:szCs w:val="24"/>
              </w:rPr>
              <w:t>Thông tư số 23/2021/TT-BGTVT ngày 05 tháng 11 năm 2021 của Bộ trưởng Bộ giao thông vận tải Hướng dẫn về lập, phê duyệt, công bố danh mục dự án; phương pháp, tiêu chuẩn đánh giá hồ sơ dự thầu và đấu thầu lựa chọn nhà đầu tư các công trình dịch vụ chuyên ngành hàng không tại cảng hàng không, sân bay</w:t>
            </w:r>
            <w:r w:rsidR="009932C1">
              <w:rPr>
                <w:rFonts w:cs="Times New Roman"/>
                <w:sz w:val="24"/>
                <w:szCs w:val="24"/>
              </w:rPr>
              <w:t xml:space="preserve">. </w:t>
            </w:r>
          </w:p>
        </w:tc>
        <w:tc>
          <w:tcPr>
            <w:tcW w:w="2011" w:type="dxa"/>
            <w:vMerge w:val="restart"/>
          </w:tcPr>
          <w:p w:rsidR="00303ECB" w:rsidRPr="0043728A" w:rsidRDefault="00491085" w:rsidP="00655AAC">
            <w:pPr>
              <w:ind w:left="57" w:right="57"/>
              <w:jc w:val="both"/>
              <w:rPr>
                <w:rFonts w:cs="Times New Roman"/>
                <w:b/>
                <w:sz w:val="24"/>
                <w:szCs w:val="24"/>
              </w:rPr>
            </w:pPr>
            <w:r w:rsidRPr="0043728A">
              <w:rPr>
                <w:rFonts w:cs="Times New Roman"/>
                <w:b/>
                <w:sz w:val="24"/>
                <w:szCs w:val="24"/>
              </w:rPr>
              <w:t>Cục HKVN</w:t>
            </w:r>
          </w:p>
        </w:tc>
        <w:tc>
          <w:tcPr>
            <w:tcW w:w="6067" w:type="dxa"/>
            <w:vMerge w:val="restart"/>
          </w:tcPr>
          <w:p w:rsidR="00095441" w:rsidRDefault="008B238E" w:rsidP="00095441">
            <w:pPr>
              <w:pStyle w:val="BodyText"/>
              <w:ind w:left="57" w:right="57"/>
              <w:jc w:val="both"/>
              <w:rPr>
                <w:rFonts w:eastAsiaTheme="minorHAnsi"/>
                <w:sz w:val="24"/>
                <w:szCs w:val="24"/>
                <w:lang w:val="en-US"/>
              </w:rPr>
            </w:pPr>
            <w:r w:rsidRPr="0043728A">
              <w:rPr>
                <w:rFonts w:eastAsiaTheme="minorHAnsi"/>
                <w:sz w:val="24"/>
                <w:szCs w:val="24"/>
                <w:lang w:val="en-US"/>
              </w:rPr>
              <w:t>Thông tư số 23/2021/TT-BGTVT được ban hành trên cơ sở quy định pháp lý tại điểm c khoản 1 Điều 1 và Điều 16 Nghị định số 25/2020/NĐ-CP ngày 28/02/2020 của Chính phủ quy định chi tiết và hướng dẫn thi hành một số điều của Luật Đấu thầu về lựa chọn nhà đầu tư; khoản 7 Điều 108 Nghị định số 31/2021/NĐ-CP ngày 26/3/2021 của Chính phủ quy định chi tiết và hướng dẫn thi hành một số điều của Luật Đầu tư</w:t>
            </w:r>
            <w:r w:rsidR="001C66EA" w:rsidRPr="0043728A">
              <w:rPr>
                <w:rFonts w:eastAsiaTheme="minorHAnsi"/>
                <w:sz w:val="24"/>
                <w:szCs w:val="24"/>
                <w:lang w:val="en-US"/>
              </w:rPr>
              <w:t xml:space="preserve">. </w:t>
            </w:r>
            <w:r w:rsidRPr="00655AAC">
              <w:rPr>
                <w:rFonts w:eastAsiaTheme="minorHAnsi"/>
                <w:sz w:val="24"/>
                <w:szCs w:val="24"/>
                <w:lang w:val="en-US"/>
              </w:rPr>
              <w:t xml:space="preserve">Tuy nhiên, ngày 27/02/2024, Chính phủ đã ban hành Nghị định số 23/2024/NĐ-CP quy định chi tiết một số điều và biện pháp thi hành luật đấu thầu về lựa chọn nhà đầu tư thực hiện dự án thuộc trường hợp phải tổ chức đấu thầu theo quy định của pháp luật quản lý ngành, lĩnh vực, theo đó tại khoản 2 Điều 66 quy định “Kể từ ngày Nghị định này có hiệu lực thi hành, </w:t>
            </w:r>
            <w:r w:rsidRPr="00095441">
              <w:rPr>
                <w:rFonts w:eastAsiaTheme="minorHAnsi"/>
                <w:b/>
                <w:sz w:val="24"/>
                <w:szCs w:val="24"/>
                <w:lang w:val="en-US"/>
              </w:rPr>
              <w:t>điểm c khoản 1 Điều 1 và Điều 16 Nghị định số 25/2020/NĐ-CP ngày 28/02/2020 của Chính phủ quy định chi tiết và hướng dẫn thi hành một số điều của Luật Đấu thầu về lựa chọn nhà đầu tư, khoản 7 Điều 108 Nghị định số 31/2021/NĐ-CP ngày 26/3/2021 của Chính phủ quy định chi tiết và hướng dẫn thi hành một số điều của Luật Đầu tư hết hiệu lực thi hành</w:t>
            </w:r>
            <w:r w:rsidRPr="00655AAC">
              <w:rPr>
                <w:rFonts w:eastAsiaTheme="minorHAnsi"/>
                <w:sz w:val="24"/>
                <w:szCs w:val="24"/>
                <w:lang w:val="en-US"/>
              </w:rPr>
              <w:t>”.</w:t>
            </w:r>
          </w:p>
          <w:p w:rsidR="00303ECB" w:rsidRPr="00655AAC" w:rsidRDefault="00095441" w:rsidP="00095441">
            <w:pPr>
              <w:pStyle w:val="BodyText"/>
              <w:ind w:left="57" w:right="57"/>
              <w:jc w:val="both"/>
              <w:rPr>
                <w:rFonts w:eastAsiaTheme="minorHAnsi"/>
                <w:sz w:val="24"/>
                <w:szCs w:val="24"/>
                <w:lang w:val="en-US"/>
              </w:rPr>
            </w:pPr>
            <w:r>
              <w:rPr>
                <w:rFonts w:eastAsiaTheme="minorHAnsi"/>
                <w:sz w:val="24"/>
                <w:szCs w:val="24"/>
                <w:lang w:val="en-US"/>
              </w:rPr>
              <w:t xml:space="preserve">Hiện nay, các thủ tục này được thực hiện theo quy định của Luật Đấu thầu và các văn bản QPPL có liên quan nên việc bãi bỏ 02 Thông tư này không tạo ra khoảng trống pháp lý. </w:t>
            </w:r>
          </w:p>
        </w:tc>
      </w:tr>
      <w:tr w:rsidR="00303ECB" w:rsidRPr="0043728A" w:rsidTr="00D61263">
        <w:tc>
          <w:tcPr>
            <w:tcW w:w="708" w:type="dxa"/>
          </w:tcPr>
          <w:p w:rsidR="00303ECB" w:rsidRPr="0043728A" w:rsidRDefault="00303ECB" w:rsidP="00655AAC">
            <w:pPr>
              <w:pStyle w:val="ListParagraph"/>
              <w:numPr>
                <w:ilvl w:val="0"/>
                <w:numId w:val="4"/>
              </w:numPr>
              <w:ind w:left="57" w:right="57" w:firstLine="0"/>
              <w:jc w:val="both"/>
              <w:rPr>
                <w:rFonts w:ascii="Times New Roman" w:hAnsi="Times New Roman"/>
                <w:b/>
                <w:sz w:val="24"/>
                <w:szCs w:val="24"/>
              </w:rPr>
            </w:pPr>
          </w:p>
        </w:tc>
        <w:tc>
          <w:tcPr>
            <w:tcW w:w="4080" w:type="dxa"/>
          </w:tcPr>
          <w:p w:rsidR="00303ECB" w:rsidRPr="0043728A" w:rsidRDefault="00491085" w:rsidP="00655AAC">
            <w:pPr>
              <w:ind w:left="57" w:right="57"/>
              <w:jc w:val="both"/>
              <w:rPr>
                <w:rFonts w:cs="Times New Roman"/>
                <w:sz w:val="24"/>
                <w:szCs w:val="24"/>
              </w:rPr>
            </w:pPr>
            <w:r w:rsidRPr="0043728A">
              <w:rPr>
                <w:rFonts w:cs="Times New Roman"/>
                <w:sz w:val="24"/>
                <w:szCs w:val="24"/>
              </w:rPr>
              <w:t>Thông tư số 12/2023/TT-BGTVT ngày 29 tháng 6 năm 2023 về sửa đổi, bổ sung một số điều của thông tư số 23/2021/TT</w:t>
            </w:r>
            <w:r w:rsidR="005E37A6" w:rsidRPr="0043728A">
              <w:rPr>
                <w:rFonts w:cs="Times New Roman"/>
                <w:sz w:val="24"/>
                <w:szCs w:val="24"/>
              </w:rPr>
              <w:t>-</w:t>
            </w:r>
            <w:r w:rsidR="005C2B30" w:rsidRPr="0043728A">
              <w:rPr>
                <w:rFonts w:cs="Times New Roman"/>
                <w:sz w:val="24"/>
                <w:szCs w:val="24"/>
              </w:rPr>
              <w:t xml:space="preserve">  </w:t>
            </w:r>
            <w:r w:rsidRPr="0043728A">
              <w:rPr>
                <w:rFonts w:cs="Times New Roman"/>
                <w:sz w:val="24"/>
                <w:szCs w:val="24"/>
              </w:rPr>
              <w:t>BGTVT ngày 05 tháng 11 năm 2021 của Bộ trưởng Bộ Giao thông vận tải hướng dẫn về lập, phê duyệt, công bố danh mục dự án; phương pháp, tiêu chuẩn đánh giá hồ sơ dự thầu và đấu thầu lựa chọn nhà đầu tư các công trình dịch vụ chuyên ngành hàng không tại cả</w:t>
            </w:r>
            <w:r w:rsidR="000F2164">
              <w:rPr>
                <w:rFonts w:cs="Times New Roman"/>
                <w:sz w:val="24"/>
                <w:szCs w:val="24"/>
              </w:rPr>
              <w:t xml:space="preserve">ng hàng không, sân bay. </w:t>
            </w:r>
          </w:p>
        </w:tc>
        <w:tc>
          <w:tcPr>
            <w:tcW w:w="2011" w:type="dxa"/>
            <w:vMerge/>
          </w:tcPr>
          <w:p w:rsidR="00303ECB" w:rsidRPr="0043728A" w:rsidRDefault="00303ECB" w:rsidP="00655AAC">
            <w:pPr>
              <w:ind w:left="57" w:right="57"/>
              <w:jc w:val="both"/>
              <w:rPr>
                <w:rFonts w:cs="Times New Roman"/>
                <w:b/>
                <w:sz w:val="24"/>
                <w:szCs w:val="24"/>
              </w:rPr>
            </w:pPr>
          </w:p>
        </w:tc>
        <w:tc>
          <w:tcPr>
            <w:tcW w:w="6067" w:type="dxa"/>
            <w:vMerge/>
          </w:tcPr>
          <w:p w:rsidR="00303ECB" w:rsidRPr="0043728A" w:rsidRDefault="00303ECB" w:rsidP="00655AAC">
            <w:pPr>
              <w:ind w:left="57" w:right="57"/>
              <w:jc w:val="both"/>
              <w:rPr>
                <w:rFonts w:cs="Times New Roman"/>
                <w:sz w:val="24"/>
                <w:szCs w:val="24"/>
              </w:rPr>
            </w:pPr>
          </w:p>
        </w:tc>
      </w:tr>
      <w:tr w:rsidR="00303ECB" w:rsidRPr="0043728A" w:rsidTr="00D61263">
        <w:tc>
          <w:tcPr>
            <w:tcW w:w="708" w:type="dxa"/>
          </w:tcPr>
          <w:p w:rsidR="00303ECB" w:rsidRPr="0043728A" w:rsidRDefault="00303ECB" w:rsidP="00655AAC">
            <w:pPr>
              <w:pStyle w:val="ListParagraph"/>
              <w:numPr>
                <w:ilvl w:val="0"/>
                <w:numId w:val="4"/>
              </w:numPr>
              <w:ind w:left="57" w:right="57" w:firstLine="0"/>
              <w:jc w:val="both"/>
              <w:rPr>
                <w:rFonts w:ascii="Times New Roman" w:hAnsi="Times New Roman"/>
                <w:b/>
                <w:sz w:val="24"/>
                <w:szCs w:val="24"/>
              </w:rPr>
            </w:pPr>
          </w:p>
        </w:tc>
        <w:tc>
          <w:tcPr>
            <w:tcW w:w="4080" w:type="dxa"/>
          </w:tcPr>
          <w:p w:rsidR="00012C85" w:rsidRPr="0043728A" w:rsidRDefault="00012C85" w:rsidP="00655AAC">
            <w:pPr>
              <w:ind w:left="57" w:right="57"/>
              <w:jc w:val="both"/>
              <w:rPr>
                <w:rStyle w:val="Strong"/>
                <w:rFonts w:cs="Times New Roman"/>
                <w:b w:val="0"/>
                <w:sz w:val="24"/>
                <w:szCs w:val="24"/>
                <w:shd w:val="clear" w:color="auto" w:fill="FFFFFF"/>
              </w:rPr>
            </w:pPr>
            <w:r w:rsidRPr="0043728A">
              <w:rPr>
                <w:rStyle w:val="Strong"/>
                <w:rFonts w:cs="Times New Roman"/>
                <w:b w:val="0"/>
                <w:sz w:val="24"/>
                <w:szCs w:val="24"/>
                <w:shd w:val="clear" w:color="auto" w:fill="FFFFFF"/>
              </w:rPr>
              <w:t xml:space="preserve">Thông tư số 26/2022/TT-BGTVT ngày 20/10/2022 của Bộ trưởng Bộ Giao thông vận tải </w:t>
            </w:r>
            <w:r w:rsidRPr="0043728A">
              <w:rPr>
                <w:rStyle w:val="Strong"/>
                <w:rFonts w:cs="Times New Roman"/>
                <w:b w:val="0"/>
                <w:sz w:val="24"/>
                <w:szCs w:val="24"/>
              </w:rPr>
              <w:t xml:space="preserve">quy định về ban hành văn bản quy phạm pháp luật của Bộ Giao </w:t>
            </w:r>
            <w:r w:rsidRPr="0043728A">
              <w:rPr>
                <w:rStyle w:val="Strong"/>
                <w:rFonts w:cs="Times New Roman"/>
                <w:b w:val="0"/>
                <w:sz w:val="24"/>
                <w:szCs w:val="24"/>
                <w:shd w:val="clear" w:color="auto" w:fill="FFFFFF"/>
              </w:rPr>
              <w:t>thông vận tải.</w:t>
            </w:r>
          </w:p>
          <w:p w:rsidR="00303ECB" w:rsidRPr="0043728A" w:rsidRDefault="00303ECB" w:rsidP="00655AAC">
            <w:pPr>
              <w:spacing w:line="340" w:lineRule="exact"/>
              <w:ind w:left="57" w:right="57"/>
              <w:jc w:val="both"/>
              <w:rPr>
                <w:rFonts w:cs="Times New Roman"/>
                <w:color w:val="C00000"/>
                <w:sz w:val="24"/>
                <w:szCs w:val="24"/>
              </w:rPr>
            </w:pPr>
          </w:p>
        </w:tc>
        <w:tc>
          <w:tcPr>
            <w:tcW w:w="2011" w:type="dxa"/>
          </w:tcPr>
          <w:p w:rsidR="00303ECB" w:rsidRPr="0043728A" w:rsidRDefault="00012C85" w:rsidP="00655AAC">
            <w:pPr>
              <w:ind w:left="57" w:right="57"/>
              <w:jc w:val="both"/>
              <w:rPr>
                <w:rFonts w:cs="Times New Roman"/>
                <w:b/>
                <w:sz w:val="24"/>
                <w:szCs w:val="24"/>
              </w:rPr>
            </w:pPr>
            <w:r w:rsidRPr="0043728A">
              <w:rPr>
                <w:rFonts w:cs="Times New Roman"/>
                <w:b/>
                <w:sz w:val="24"/>
                <w:szCs w:val="24"/>
              </w:rPr>
              <w:t>Vụ Pháp chế</w:t>
            </w:r>
          </w:p>
        </w:tc>
        <w:tc>
          <w:tcPr>
            <w:tcW w:w="6067" w:type="dxa"/>
          </w:tcPr>
          <w:p w:rsidR="00303ECB" w:rsidRPr="0043728A" w:rsidRDefault="004B20F6" w:rsidP="001A1349">
            <w:pPr>
              <w:ind w:right="57"/>
              <w:jc w:val="both"/>
              <w:rPr>
                <w:rFonts w:cs="Times New Roman"/>
                <w:sz w:val="24"/>
                <w:szCs w:val="24"/>
              </w:rPr>
            </w:pPr>
            <w:r w:rsidRPr="004B20F6">
              <w:rPr>
                <w:rFonts w:cs="Times New Roman"/>
                <w:sz w:val="24"/>
                <w:szCs w:val="24"/>
              </w:rPr>
              <w:t>Luật Ban hành văn bản QPPL năm 2025 đã được Quốc hội thông qua, có hiệu lực thi hành kể từ ngày 01/4/2025 và thay thế Luật Ban hành văn bản QPPL năm 2015. Thông tư 26/2022/TT-BGTVT của Bộ trưởng Bộ GTVT được xây dựng, hướng dẫn theo Luật Ban hành văn bản QPPL 2015, do đó, để đảm bảo triển khai thực hiện thống nhất, đồng bộ với Luật 2025, việc nghiên cứu bãi bỏ Thông tư này là cần thiết.</w:t>
            </w:r>
          </w:p>
        </w:tc>
      </w:tr>
    </w:tbl>
    <w:p w:rsidR="00D468A9" w:rsidRPr="0043728A" w:rsidRDefault="00D468A9" w:rsidP="00655AAC">
      <w:pPr>
        <w:spacing w:after="0"/>
        <w:ind w:left="57" w:right="57"/>
        <w:jc w:val="both"/>
        <w:rPr>
          <w:rFonts w:cs="Times New Roman"/>
          <w:sz w:val="24"/>
          <w:szCs w:val="24"/>
        </w:rPr>
      </w:pPr>
    </w:p>
    <w:p w:rsidR="00D468A9" w:rsidRPr="0043728A" w:rsidRDefault="00D468A9" w:rsidP="00655AAC">
      <w:pPr>
        <w:spacing w:after="0"/>
        <w:ind w:left="57" w:right="57"/>
        <w:jc w:val="center"/>
        <w:rPr>
          <w:rFonts w:cs="Times New Roman"/>
          <w:b/>
          <w:sz w:val="24"/>
          <w:szCs w:val="24"/>
        </w:rPr>
      </w:pPr>
      <w:r w:rsidRPr="0043728A">
        <w:rPr>
          <w:rFonts w:cs="Times New Roman"/>
          <w:b/>
          <w:sz w:val="24"/>
          <w:szCs w:val="24"/>
        </w:rPr>
        <w:t xml:space="preserve">II. DANH MỤC THÔNG TƯ CÓ NỘI DUNG </w:t>
      </w:r>
      <w:r w:rsidR="004E4260" w:rsidRPr="0043728A">
        <w:rPr>
          <w:rFonts w:cs="Times New Roman"/>
          <w:b/>
          <w:sz w:val="24"/>
          <w:szCs w:val="24"/>
        </w:rPr>
        <w:t>BÃI BỎ</w:t>
      </w:r>
    </w:p>
    <w:tbl>
      <w:tblPr>
        <w:tblStyle w:val="TableGrid"/>
        <w:tblW w:w="0" w:type="auto"/>
        <w:tblLook w:val="04A0" w:firstRow="1" w:lastRow="0" w:firstColumn="1" w:lastColumn="0" w:noHBand="0" w:noVBand="1"/>
      </w:tblPr>
      <w:tblGrid>
        <w:gridCol w:w="784"/>
        <w:gridCol w:w="3408"/>
        <w:gridCol w:w="4086"/>
        <w:gridCol w:w="2071"/>
        <w:gridCol w:w="2646"/>
      </w:tblGrid>
      <w:tr w:rsidR="004E4260" w:rsidRPr="0043728A" w:rsidTr="001C66EA">
        <w:tc>
          <w:tcPr>
            <w:tcW w:w="674" w:type="dxa"/>
          </w:tcPr>
          <w:p w:rsidR="004E4260" w:rsidRPr="0043728A" w:rsidRDefault="004E4260" w:rsidP="00655AAC">
            <w:pPr>
              <w:ind w:left="57" w:right="57"/>
              <w:jc w:val="both"/>
              <w:rPr>
                <w:rFonts w:cs="Times New Roman"/>
                <w:b/>
                <w:sz w:val="24"/>
                <w:szCs w:val="24"/>
              </w:rPr>
            </w:pPr>
            <w:r w:rsidRPr="0043728A">
              <w:rPr>
                <w:rFonts w:cs="Times New Roman"/>
                <w:b/>
                <w:sz w:val="24"/>
                <w:szCs w:val="24"/>
              </w:rPr>
              <w:t>STT</w:t>
            </w:r>
          </w:p>
        </w:tc>
        <w:tc>
          <w:tcPr>
            <w:tcW w:w="3432" w:type="dxa"/>
          </w:tcPr>
          <w:p w:rsidR="004E4260" w:rsidRPr="0043728A" w:rsidRDefault="004E4260" w:rsidP="00655AAC">
            <w:pPr>
              <w:ind w:left="57" w:right="57"/>
              <w:jc w:val="both"/>
              <w:rPr>
                <w:rFonts w:cs="Times New Roman"/>
                <w:b/>
                <w:sz w:val="24"/>
                <w:szCs w:val="24"/>
              </w:rPr>
            </w:pPr>
            <w:r w:rsidRPr="0043728A">
              <w:rPr>
                <w:rFonts w:cs="Times New Roman"/>
                <w:b/>
                <w:sz w:val="24"/>
                <w:szCs w:val="24"/>
              </w:rPr>
              <w:t>Nội dung bãi bỏ</w:t>
            </w:r>
          </w:p>
        </w:tc>
        <w:tc>
          <w:tcPr>
            <w:tcW w:w="4111" w:type="dxa"/>
          </w:tcPr>
          <w:p w:rsidR="004E4260" w:rsidRPr="0043728A" w:rsidRDefault="004E4260" w:rsidP="00655AAC">
            <w:pPr>
              <w:ind w:left="57" w:right="57"/>
              <w:jc w:val="both"/>
              <w:rPr>
                <w:rFonts w:cs="Times New Roman"/>
                <w:b/>
                <w:sz w:val="24"/>
                <w:szCs w:val="24"/>
              </w:rPr>
            </w:pPr>
            <w:r w:rsidRPr="0043728A">
              <w:rPr>
                <w:rFonts w:cs="Times New Roman"/>
                <w:b/>
                <w:sz w:val="24"/>
                <w:szCs w:val="24"/>
              </w:rPr>
              <w:t>Tên Thông tư</w:t>
            </w:r>
          </w:p>
        </w:tc>
        <w:tc>
          <w:tcPr>
            <w:tcW w:w="2076" w:type="dxa"/>
          </w:tcPr>
          <w:p w:rsidR="004E4260" w:rsidRPr="0043728A" w:rsidRDefault="004E4260" w:rsidP="00655AAC">
            <w:pPr>
              <w:ind w:left="57" w:right="57"/>
              <w:jc w:val="both"/>
              <w:rPr>
                <w:rFonts w:cs="Times New Roman"/>
                <w:b/>
                <w:sz w:val="24"/>
                <w:szCs w:val="24"/>
              </w:rPr>
            </w:pPr>
            <w:r w:rsidRPr="0043728A">
              <w:rPr>
                <w:rFonts w:cs="Times New Roman"/>
                <w:b/>
                <w:sz w:val="24"/>
                <w:szCs w:val="24"/>
              </w:rPr>
              <w:t>Cơ quan đề xuất</w:t>
            </w:r>
          </w:p>
        </w:tc>
        <w:tc>
          <w:tcPr>
            <w:tcW w:w="2657" w:type="dxa"/>
          </w:tcPr>
          <w:p w:rsidR="004E4260" w:rsidRPr="0043728A" w:rsidRDefault="004E4260" w:rsidP="00655AAC">
            <w:pPr>
              <w:ind w:left="57" w:right="57"/>
              <w:jc w:val="both"/>
              <w:rPr>
                <w:rFonts w:cs="Times New Roman"/>
                <w:b/>
                <w:sz w:val="24"/>
                <w:szCs w:val="24"/>
              </w:rPr>
            </w:pPr>
            <w:r w:rsidRPr="0043728A">
              <w:rPr>
                <w:rFonts w:cs="Times New Roman"/>
                <w:b/>
                <w:sz w:val="24"/>
                <w:szCs w:val="24"/>
              </w:rPr>
              <w:t>Lý do bãi bỏ</w:t>
            </w:r>
          </w:p>
        </w:tc>
      </w:tr>
      <w:tr w:rsidR="000E4BF8" w:rsidRPr="0043728A" w:rsidTr="001C66EA">
        <w:tc>
          <w:tcPr>
            <w:tcW w:w="674" w:type="dxa"/>
          </w:tcPr>
          <w:p w:rsidR="000E4BF8" w:rsidRPr="0043728A" w:rsidRDefault="000E4BF8" w:rsidP="00655AAC">
            <w:pPr>
              <w:pStyle w:val="ListParagraph"/>
              <w:numPr>
                <w:ilvl w:val="0"/>
                <w:numId w:val="2"/>
              </w:numPr>
              <w:ind w:left="57" w:right="57" w:firstLine="0"/>
              <w:jc w:val="both"/>
              <w:rPr>
                <w:rFonts w:ascii="Times New Roman" w:hAnsi="Times New Roman"/>
                <w:sz w:val="24"/>
                <w:szCs w:val="24"/>
              </w:rPr>
            </w:pPr>
          </w:p>
        </w:tc>
        <w:tc>
          <w:tcPr>
            <w:tcW w:w="3432" w:type="dxa"/>
          </w:tcPr>
          <w:p w:rsidR="000E4BF8" w:rsidRPr="0043728A" w:rsidRDefault="000E4BF8" w:rsidP="00655AAC">
            <w:pPr>
              <w:ind w:left="57" w:right="57"/>
              <w:jc w:val="both"/>
              <w:rPr>
                <w:rFonts w:cs="Times New Roman"/>
                <w:sz w:val="24"/>
                <w:szCs w:val="24"/>
              </w:rPr>
            </w:pPr>
            <w:r w:rsidRPr="0043728A">
              <w:rPr>
                <w:rStyle w:val="Strong"/>
                <w:rFonts w:cs="Times New Roman"/>
                <w:b w:val="0"/>
                <w:sz w:val="24"/>
                <w:szCs w:val="24"/>
                <w:shd w:val="clear" w:color="auto" w:fill="FFFFFF"/>
              </w:rPr>
              <w:t xml:space="preserve">Khoản 2 Điều 17; khoản 1 Điều 18; khoản 1 và 2 Điều 19; khoản 1 Điều 21. </w:t>
            </w:r>
          </w:p>
        </w:tc>
        <w:tc>
          <w:tcPr>
            <w:tcW w:w="4111" w:type="dxa"/>
          </w:tcPr>
          <w:p w:rsidR="000E4BF8" w:rsidRPr="0043728A" w:rsidRDefault="000E4BF8" w:rsidP="00655AAC">
            <w:pPr>
              <w:ind w:left="57" w:right="57"/>
              <w:jc w:val="both"/>
              <w:rPr>
                <w:rStyle w:val="Strong"/>
                <w:rFonts w:cs="Times New Roman"/>
                <w:b w:val="0"/>
                <w:sz w:val="24"/>
                <w:szCs w:val="24"/>
                <w:shd w:val="clear" w:color="auto" w:fill="FFFFFF"/>
              </w:rPr>
            </w:pPr>
            <w:r w:rsidRPr="0043728A">
              <w:rPr>
                <w:rStyle w:val="Strong"/>
                <w:rFonts w:cs="Times New Roman"/>
                <w:b w:val="0"/>
                <w:sz w:val="24"/>
                <w:szCs w:val="24"/>
                <w:shd w:val="clear" w:color="auto" w:fill="FFFFFF"/>
              </w:rPr>
              <w:t>Thông tư số 24/2018/TT-BGTVT ngày 07/5/2018 của Bộ trưởng Bộ Giao thông vận tải quy định về xây dựng biểu đồ chạy tàu và điều hành giao thông vận tải đường sắt.</w:t>
            </w:r>
          </w:p>
        </w:tc>
        <w:tc>
          <w:tcPr>
            <w:tcW w:w="2076" w:type="dxa"/>
          </w:tcPr>
          <w:p w:rsidR="000E4BF8" w:rsidRPr="0043728A" w:rsidRDefault="000E4BF8" w:rsidP="00655AAC">
            <w:pPr>
              <w:ind w:left="57" w:right="57"/>
              <w:jc w:val="both"/>
              <w:rPr>
                <w:rFonts w:cs="Times New Roman"/>
                <w:b/>
                <w:sz w:val="24"/>
                <w:szCs w:val="24"/>
              </w:rPr>
            </w:pPr>
            <w:r w:rsidRPr="0043728A">
              <w:rPr>
                <w:rFonts w:cs="Times New Roman"/>
                <w:b/>
                <w:sz w:val="24"/>
                <w:szCs w:val="24"/>
              </w:rPr>
              <w:t>Vụ VT&amp;ATGT; Cục ĐSVN</w:t>
            </w:r>
          </w:p>
        </w:tc>
        <w:tc>
          <w:tcPr>
            <w:tcW w:w="2657" w:type="dxa"/>
            <w:vMerge w:val="restart"/>
          </w:tcPr>
          <w:p w:rsidR="000E4BF8" w:rsidRPr="00726C36" w:rsidRDefault="00726C36" w:rsidP="00655AAC">
            <w:pPr>
              <w:ind w:left="57" w:right="57"/>
              <w:jc w:val="both"/>
              <w:rPr>
                <w:rStyle w:val="Strong"/>
                <w:b w:val="0"/>
                <w:sz w:val="24"/>
                <w:szCs w:val="24"/>
                <w:shd w:val="clear" w:color="auto" w:fill="FFFFFF"/>
              </w:rPr>
            </w:pPr>
            <w:r w:rsidRPr="00726C36">
              <w:rPr>
                <w:rStyle w:val="Strong"/>
                <w:rFonts w:cs="Times New Roman"/>
                <w:b w:val="0"/>
                <w:sz w:val="24"/>
                <w:szCs w:val="24"/>
                <w:shd w:val="clear" w:color="auto" w:fill="FFFFFF"/>
              </w:rPr>
              <w:t>Theo quy định tại Luật Giá; Nghị định số 85/2024/NĐ-CP ngày 10/7/2024 quy định chi tiết một số điều của Luật Giá; Thông tư số 45/2024/TT-BTC ngày 01/7/2024 của Bộ Tài chính ban hành phương pháp định giá chung đối với hàng hóa, dịch vụ do Nhà nước định giá. Theo đó, giá dịch vụ điều hành giao thông vận tải đường sắt trên kết cấu hạ tầng đường sắt do Nhà nước đầu tư do Bộ Xây dựng định giá tối đa sẽ được ban hành theo hình thức quyết định của Bộ trưởng Bộ Xây dựng.</w:t>
            </w:r>
          </w:p>
        </w:tc>
      </w:tr>
      <w:tr w:rsidR="000E4BF8" w:rsidRPr="0043728A" w:rsidTr="001C66EA">
        <w:tc>
          <w:tcPr>
            <w:tcW w:w="674" w:type="dxa"/>
          </w:tcPr>
          <w:p w:rsidR="000E4BF8" w:rsidRPr="0043728A" w:rsidRDefault="000E4BF8" w:rsidP="00655AAC">
            <w:pPr>
              <w:pStyle w:val="ListParagraph"/>
              <w:numPr>
                <w:ilvl w:val="0"/>
                <w:numId w:val="2"/>
              </w:numPr>
              <w:ind w:left="57" w:right="57" w:firstLine="0"/>
              <w:jc w:val="both"/>
              <w:rPr>
                <w:rFonts w:ascii="Times New Roman" w:hAnsi="Times New Roman"/>
                <w:sz w:val="24"/>
                <w:szCs w:val="24"/>
              </w:rPr>
            </w:pPr>
          </w:p>
        </w:tc>
        <w:tc>
          <w:tcPr>
            <w:tcW w:w="3432" w:type="dxa"/>
          </w:tcPr>
          <w:p w:rsidR="000E4BF8" w:rsidRPr="0043728A" w:rsidRDefault="000E4BF8" w:rsidP="00655AAC">
            <w:pPr>
              <w:ind w:left="57" w:right="57"/>
              <w:jc w:val="both"/>
              <w:rPr>
                <w:rFonts w:cs="Times New Roman"/>
                <w:sz w:val="24"/>
                <w:szCs w:val="24"/>
              </w:rPr>
            </w:pPr>
            <w:r w:rsidRPr="0043728A">
              <w:rPr>
                <w:rStyle w:val="Strong"/>
                <w:rFonts w:cs="Times New Roman"/>
                <w:b w:val="0"/>
                <w:sz w:val="24"/>
                <w:szCs w:val="24"/>
                <w:shd w:val="clear" w:color="auto" w:fill="FFFFFF"/>
              </w:rPr>
              <w:t>Khoản 1, khoản 2 Điều 1; Phụ lục Biểu mức giá tối đa dịch vụ điều hành giao thông vận tải đường sắ</w:t>
            </w:r>
          </w:p>
        </w:tc>
        <w:tc>
          <w:tcPr>
            <w:tcW w:w="4111" w:type="dxa"/>
          </w:tcPr>
          <w:p w:rsidR="000E4BF8" w:rsidRPr="0043728A" w:rsidRDefault="000E4BF8" w:rsidP="00655AAC">
            <w:pPr>
              <w:ind w:left="57" w:right="57"/>
              <w:jc w:val="both"/>
              <w:rPr>
                <w:rStyle w:val="Strong"/>
                <w:rFonts w:cs="Times New Roman"/>
                <w:b w:val="0"/>
                <w:sz w:val="24"/>
                <w:szCs w:val="24"/>
                <w:shd w:val="clear" w:color="auto" w:fill="FFFFFF"/>
              </w:rPr>
            </w:pPr>
            <w:r w:rsidRPr="0043728A">
              <w:rPr>
                <w:rStyle w:val="Strong"/>
                <w:rFonts w:cs="Times New Roman"/>
                <w:b w:val="0"/>
                <w:sz w:val="24"/>
                <w:szCs w:val="24"/>
                <w:shd w:val="clear" w:color="auto" w:fill="FFFFFF"/>
              </w:rPr>
              <w:t>Thông tư số 11/2019/TT-BGTVT ngày 11/3/2019 của Bộ trưởng Bộ Giao thông vận tải sửa đổi, bổ sung một số điều của Thông tư số </w:t>
            </w:r>
            <w:bookmarkStart w:id="1" w:name="tvpllink_uqasfernkk"/>
            <w:r w:rsidRPr="0043728A">
              <w:rPr>
                <w:rStyle w:val="Strong"/>
                <w:rFonts w:cs="Times New Roman"/>
                <w:b w:val="0"/>
                <w:sz w:val="24"/>
                <w:szCs w:val="24"/>
                <w:shd w:val="clear" w:color="auto" w:fill="FFFFFF"/>
              </w:rPr>
              <w:t>24/2018/TT-BGTVT</w:t>
            </w:r>
            <w:bookmarkEnd w:id="1"/>
            <w:r w:rsidRPr="0043728A">
              <w:rPr>
                <w:rStyle w:val="Strong"/>
                <w:rFonts w:cs="Times New Roman"/>
                <w:b w:val="0"/>
                <w:sz w:val="24"/>
                <w:szCs w:val="24"/>
                <w:shd w:val="clear" w:color="auto" w:fill="FFFFFF"/>
              </w:rPr>
              <w:t> ngày 07/5/2018 của Bộ trưởng Bộ Giao thông vận tải quy định về xây dựng biểu đồ chạy tàu và điều hành giao thông vận tải đường sắt.</w:t>
            </w:r>
          </w:p>
          <w:p w:rsidR="000E4BF8" w:rsidRPr="0043728A" w:rsidRDefault="000E4BF8" w:rsidP="00655AAC">
            <w:pPr>
              <w:ind w:left="57" w:right="57"/>
              <w:jc w:val="both"/>
              <w:rPr>
                <w:rStyle w:val="Strong"/>
                <w:rFonts w:cs="Times New Roman"/>
                <w:b w:val="0"/>
                <w:sz w:val="24"/>
                <w:szCs w:val="24"/>
                <w:shd w:val="clear" w:color="auto" w:fill="FFFFFF"/>
              </w:rPr>
            </w:pPr>
          </w:p>
        </w:tc>
        <w:tc>
          <w:tcPr>
            <w:tcW w:w="2076" w:type="dxa"/>
          </w:tcPr>
          <w:p w:rsidR="000E4BF8" w:rsidRPr="0043728A" w:rsidRDefault="000E4BF8" w:rsidP="00655AAC">
            <w:pPr>
              <w:ind w:left="57" w:right="57"/>
              <w:jc w:val="both"/>
              <w:rPr>
                <w:rFonts w:cs="Times New Roman"/>
                <w:b/>
                <w:sz w:val="24"/>
                <w:szCs w:val="24"/>
              </w:rPr>
            </w:pPr>
            <w:r w:rsidRPr="0043728A">
              <w:rPr>
                <w:rFonts w:cs="Times New Roman"/>
                <w:b/>
                <w:sz w:val="24"/>
                <w:szCs w:val="24"/>
              </w:rPr>
              <w:t>Vụ VT&amp;ATGT; Cục ĐSVN</w:t>
            </w:r>
          </w:p>
        </w:tc>
        <w:tc>
          <w:tcPr>
            <w:tcW w:w="2657" w:type="dxa"/>
            <w:vMerge/>
          </w:tcPr>
          <w:p w:rsidR="000E4BF8" w:rsidRPr="00726C36" w:rsidRDefault="000E4BF8" w:rsidP="00655AAC">
            <w:pPr>
              <w:ind w:left="57" w:right="57"/>
              <w:jc w:val="both"/>
              <w:rPr>
                <w:rStyle w:val="Strong"/>
                <w:b w:val="0"/>
                <w:sz w:val="24"/>
                <w:szCs w:val="24"/>
                <w:shd w:val="clear" w:color="auto" w:fill="FFFFFF"/>
              </w:rPr>
            </w:pPr>
          </w:p>
        </w:tc>
      </w:tr>
      <w:tr w:rsidR="00F71FAA" w:rsidRPr="0043728A" w:rsidTr="001C66EA">
        <w:tc>
          <w:tcPr>
            <w:tcW w:w="674" w:type="dxa"/>
          </w:tcPr>
          <w:p w:rsidR="00F71FAA" w:rsidRPr="0043728A" w:rsidRDefault="00F71FAA" w:rsidP="00655AAC">
            <w:pPr>
              <w:pStyle w:val="ListParagraph"/>
              <w:numPr>
                <w:ilvl w:val="0"/>
                <w:numId w:val="2"/>
              </w:numPr>
              <w:ind w:left="57" w:right="57" w:firstLine="0"/>
              <w:jc w:val="both"/>
              <w:rPr>
                <w:rFonts w:ascii="Times New Roman" w:hAnsi="Times New Roman"/>
                <w:sz w:val="24"/>
                <w:szCs w:val="24"/>
              </w:rPr>
            </w:pPr>
          </w:p>
        </w:tc>
        <w:tc>
          <w:tcPr>
            <w:tcW w:w="3432" w:type="dxa"/>
          </w:tcPr>
          <w:p w:rsidR="00F71FAA" w:rsidRPr="0043728A" w:rsidRDefault="00F71FAA" w:rsidP="00655AAC">
            <w:pPr>
              <w:ind w:left="57" w:right="57"/>
              <w:jc w:val="both"/>
              <w:rPr>
                <w:rFonts w:cs="Times New Roman"/>
                <w:sz w:val="24"/>
                <w:szCs w:val="24"/>
              </w:rPr>
            </w:pPr>
            <w:r w:rsidRPr="0043728A">
              <w:rPr>
                <w:rFonts w:cs="Times New Roman"/>
                <w:sz w:val="24"/>
                <w:szCs w:val="24"/>
              </w:rPr>
              <w:t>Bãi bỏ cụm từ “</w:t>
            </w:r>
            <w:r w:rsidRPr="0043728A">
              <w:rPr>
                <w:rFonts w:cs="Times New Roman"/>
                <w:i/>
                <w:sz w:val="24"/>
                <w:szCs w:val="24"/>
              </w:rPr>
              <w:t>và Phiếu lý lịch tư pháp</w:t>
            </w:r>
            <w:r w:rsidRPr="0043728A">
              <w:rPr>
                <w:rFonts w:cs="Times New Roman"/>
                <w:sz w:val="24"/>
                <w:szCs w:val="24"/>
              </w:rPr>
              <w:t>” và cụm từ “</w:t>
            </w:r>
            <w:r w:rsidRPr="0043728A">
              <w:rPr>
                <w:rFonts w:cs="Times New Roman"/>
                <w:i/>
                <w:sz w:val="24"/>
                <w:szCs w:val="24"/>
              </w:rPr>
              <w:t xml:space="preserve">Trường </w:t>
            </w:r>
            <w:r w:rsidRPr="0043728A">
              <w:rPr>
                <w:rFonts w:cs="Times New Roman"/>
                <w:i/>
                <w:sz w:val="24"/>
                <w:szCs w:val="24"/>
              </w:rPr>
              <w:lastRenderedPageBreak/>
              <w:t>hợp người được đề nghị bổ nhiệm giám định viên tư pháp đang là công chức, viên chức thì không cần có Phiếu lý lịch tư pháp</w:t>
            </w:r>
            <w:r w:rsidRPr="0043728A">
              <w:rPr>
                <w:rFonts w:cs="Times New Roman"/>
                <w:sz w:val="24"/>
                <w:szCs w:val="24"/>
              </w:rPr>
              <w:t>” tại Phụ lục mẫu văn bản đề nghị bổ nhiệm, cấp thẻ (hoặc miễn nhiệm hoặc điều chỉnh thông tin) giám định viên tư pháp xây dựng</w:t>
            </w:r>
          </w:p>
        </w:tc>
        <w:tc>
          <w:tcPr>
            <w:tcW w:w="4111" w:type="dxa"/>
          </w:tcPr>
          <w:p w:rsidR="00F71FAA" w:rsidRPr="0043728A" w:rsidRDefault="00F71FAA" w:rsidP="00655AAC">
            <w:pPr>
              <w:ind w:left="57" w:right="57"/>
              <w:jc w:val="both"/>
              <w:rPr>
                <w:rStyle w:val="Strong"/>
                <w:rFonts w:cs="Times New Roman"/>
                <w:b w:val="0"/>
                <w:sz w:val="24"/>
                <w:szCs w:val="24"/>
                <w:shd w:val="clear" w:color="auto" w:fill="FFFFFF"/>
              </w:rPr>
            </w:pPr>
            <w:r w:rsidRPr="0043728A">
              <w:rPr>
                <w:rFonts w:cs="Times New Roman"/>
                <w:sz w:val="24"/>
                <w:szCs w:val="24"/>
              </w:rPr>
              <w:lastRenderedPageBreak/>
              <w:t xml:space="preserve">Thông tư số 17/2021/TT-BXD ngày 22/12/2021 của Bộ trưởng Bộ Xây </w:t>
            </w:r>
            <w:r w:rsidRPr="0043728A">
              <w:rPr>
                <w:rFonts w:cs="Times New Roman"/>
                <w:sz w:val="24"/>
                <w:szCs w:val="24"/>
              </w:rPr>
              <w:lastRenderedPageBreak/>
              <w:t>dựng quy định một số nội dung về hoạt động giám định tư pháp trong lĩnh vực xây dựng</w:t>
            </w:r>
          </w:p>
        </w:tc>
        <w:tc>
          <w:tcPr>
            <w:tcW w:w="2076" w:type="dxa"/>
          </w:tcPr>
          <w:p w:rsidR="00F71FAA" w:rsidRPr="0043728A" w:rsidRDefault="00F71FAA" w:rsidP="00655AAC">
            <w:pPr>
              <w:ind w:left="57" w:right="57"/>
              <w:jc w:val="both"/>
              <w:rPr>
                <w:rFonts w:cs="Times New Roman"/>
                <w:b/>
                <w:sz w:val="24"/>
                <w:szCs w:val="24"/>
              </w:rPr>
            </w:pPr>
            <w:r w:rsidRPr="0043728A">
              <w:rPr>
                <w:rFonts w:cs="Times New Roman"/>
                <w:b/>
                <w:sz w:val="24"/>
                <w:szCs w:val="24"/>
              </w:rPr>
              <w:lastRenderedPageBreak/>
              <w:t>Vụ Pháp chế</w:t>
            </w:r>
          </w:p>
        </w:tc>
        <w:tc>
          <w:tcPr>
            <w:tcW w:w="2657" w:type="dxa"/>
          </w:tcPr>
          <w:p w:rsidR="00F71FAA" w:rsidRPr="00726C36" w:rsidRDefault="00BA2BD0" w:rsidP="00640BB7">
            <w:pPr>
              <w:ind w:left="57" w:right="57"/>
              <w:jc w:val="both"/>
              <w:rPr>
                <w:rStyle w:val="Strong"/>
                <w:b w:val="0"/>
                <w:sz w:val="24"/>
                <w:szCs w:val="24"/>
                <w:shd w:val="clear" w:color="auto" w:fill="FFFFFF"/>
              </w:rPr>
            </w:pPr>
            <w:r w:rsidRPr="00726C36">
              <w:rPr>
                <w:rStyle w:val="Strong"/>
                <w:b w:val="0"/>
                <w:sz w:val="24"/>
                <w:szCs w:val="24"/>
                <w:shd w:val="clear" w:color="auto" w:fill="FFFFFF"/>
              </w:rPr>
              <w:t>T</w:t>
            </w:r>
            <w:r w:rsidR="00870146" w:rsidRPr="00726C36">
              <w:rPr>
                <w:rStyle w:val="Strong"/>
                <w:b w:val="0"/>
                <w:sz w:val="24"/>
                <w:szCs w:val="24"/>
                <w:shd w:val="clear" w:color="auto" w:fill="FFFFFF"/>
              </w:rPr>
              <w:t xml:space="preserve">hực thi phương án cắt giảm, đơn giản hóa quy </w:t>
            </w:r>
            <w:r w:rsidR="00870146" w:rsidRPr="00726C36">
              <w:rPr>
                <w:rStyle w:val="Strong"/>
                <w:b w:val="0"/>
                <w:sz w:val="24"/>
                <w:szCs w:val="24"/>
                <w:shd w:val="clear" w:color="auto" w:fill="FFFFFF"/>
              </w:rPr>
              <w:lastRenderedPageBreak/>
              <w:t>định, thủ tục hành chính liên quan đến Phiếu lý lịch tư pháp lĩnh vực xây dựng được ban hành kèm theo tại Quyết định 498/QĐ-TTg ngày 11 tháng 6 năm 2024 của Thủ tướng Chính phủ</w:t>
            </w:r>
            <w:r w:rsidR="00640BB7" w:rsidRPr="00726C36">
              <w:rPr>
                <w:rStyle w:val="Strong"/>
                <w:b w:val="0"/>
                <w:sz w:val="24"/>
                <w:szCs w:val="24"/>
                <w:shd w:val="clear" w:color="auto" w:fill="FFFFFF"/>
              </w:rPr>
              <w:t xml:space="preserve"> nhằm đơn giản hóa, cắt giảm thành phần hồ sơ thủ tục mà cá nhân, tổ chức không cần thiết phải nộp khi thực hiện quyền yêu cầu các nhân có liên quan phải nộp phiếu lý lịch tư pháp. </w:t>
            </w:r>
          </w:p>
        </w:tc>
      </w:tr>
      <w:tr w:rsidR="000E4BF8" w:rsidRPr="0043728A" w:rsidTr="001C66EA">
        <w:tc>
          <w:tcPr>
            <w:tcW w:w="674" w:type="dxa"/>
          </w:tcPr>
          <w:p w:rsidR="000E4BF8" w:rsidRPr="0043728A" w:rsidRDefault="000E4BF8" w:rsidP="00655AAC">
            <w:pPr>
              <w:pStyle w:val="ListParagraph"/>
              <w:numPr>
                <w:ilvl w:val="0"/>
                <w:numId w:val="2"/>
              </w:numPr>
              <w:ind w:left="57" w:right="57" w:firstLine="0"/>
              <w:jc w:val="both"/>
              <w:rPr>
                <w:rFonts w:ascii="Times New Roman" w:hAnsi="Times New Roman"/>
                <w:sz w:val="24"/>
                <w:szCs w:val="24"/>
              </w:rPr>
            </w:pPr>
          </w:p>
        </w:tc>
        <w:tc>
          <w:tcPr>
            <w:tcW w:w="3432" w:type="dxa"/>
          </w:tcPr>
          <w:p w:rsidR="000E4BF8" w:rsidRPr="0043728A" w:rsidRDefault="000E4BF8" w:rsidP="00655AAC">
            <w:pPr>
              <w:ind w:left="57" w:right="57"/>
              <w:jc w:val="both"/>
              <w:rPr>
                <w:rFonts w:cs="Times New Roman"/>
                <w:sz w:val="24"/>
                <w:szCs w:val="24"/>
              </w:rPr>
            </w:pPr>
            <w:r w:rsidRPr="0043728A">
              <w:rPr>
                <w:rFonts w:cs="Times New Roman"/>
                <w:sz w:val="24"/>
                <w:szCs w:val="24"/>
              </w:rPr>
              <w:t>Điề</w:t>
            </w:r>
            <w:r w:rsidR="003B054D" w:rsidRPr="0043728A">
              <w:rPr>
                <w:rFonts w:cs="Times New Roman"/>
                <w:sz w:val="24"/>
                <w:szCs w:val="24"/>
              </w:rPr>
              <w:t>u 4</w:t>
            </w:r>
          </w:p>
        </w:tc>
        <w:tc>
          <w:tcPr>
            <w:tcW w:w="4111" w:type="dxa"/>
          </w:tcPr>
          <w:p w:rsidR="000E4BF8" w:rsidRPr="0043728A" w:rsidRDefault="000E4BF8" w:rsidP="00655AAC">
            <w:pPr>
              <w:ind w:left="57" w:right="57"/>
              <w:jc w:val="both"/>
              <w:rPr>
                <w:rFonts w:cs="Times New Roman"/>
                <w:sz w:val="24"/>
                <w:szCs w:val="24"/>
              </w:rPr>
            </w:pPr>
            <w:r w:rsidRPr="0043728A">
              <w:rPr>
                <w:rStyle w:val="Strong"/>
                <w:rFonts w:cs="Times New Roman"/>
                <w:b w:val="0"/>
                <w:sz w:val="24"/>
                <w:szCs w:val="24"/>
                <w:shd w:val="clear" w:color="auto" w:fill="FFFFFF"/>
              </w:rPr>
              <w:t xml:space="preserve">Thông tư 28/2023/TT-BGTVT ngày 29/9/2023 của Bộ trưởng Bộ Giao thông vận tải </w:t>
            </w:r>
            <w:r w:rsidRPr="0043728A">
              <w:rPr>
                <w:rStyle w:val="Strong"/>
                <w:rFonts w:cs="Times New Roman"/>
                <w:b w:val="0"/>
                <w:sz w:val="24"/>
                <w:szCs w:val="24"/>
              </w:rPr>
              <w:t>sửa đổi, bổ sung một số điều của các Thông tư trong lĩnh vực hàng không dân dụng.</w:t>
            </w:r>
          </w:p>
        </w:tc>
        <w:tc>
          <w:tcPr>
            <w:tcW w:w="2076" w:type="dxa"/>
          </w:tcPr>
          <w:p w:rsidR="000E4BF8" w:rsidRPr="0043728A" w:rsidRDefault="000E4BF8" w:rsidP="00655AAC">
            <w:pPr>
              <w:ind w:left="57" w:right="57"/>
              <w:jc w:val="both"/>
              <w:rPr>
                <w:rFonts w:cs="Times New Roman"/>
                <w:b/>
                <w:sz w:val="24"/>
                <w:szCs w:val="24"/>
              </w:rPr>
            </w:pPr>
            <w:r w:rsidRPr="0043728A">
              <w:rPr>
                <w:rFonts w:cs="Times New Roman"/>
                <w:b/>
                <w:sz w:val="24"/>
                <w:szCs w:val="24"/>
              </w:rPr>
              <w:t>Cục HKVN</w:t>
            </w:r>
          </w:p>
        </w:tc>
        <w:tc>
          <w:tcPr>
            <w:tcW w:w="2657" w:type="dxa"/>
          </w:tcPr>
          <w:p w:rsidR="000E4BF8" w:rsidRPr="0043728A" w:rsidRDefault="000E4BF8" w:rsidP="00655AAC">
            <w:pPr>
              <w:ind w:left="57" w:right="57"/>
              <w:jc w:val="both"/>
              <w:rPr>
                <w:rFonts w:cs="Times New Roman"/>
                <w:sz w:val="24"/>
                <w:szCs w:val="24"/>
              </w:rPr>
            </w:pPr>
            <w:r w:rsidRPr="0043728A">
              <w:rPr>
                <w:rFonts w:cs="Times New Roman"/>
                <w:sz w:val="24"/>
                <w:szCs w:val="24"/>
              </w:rPr>
              <w:t xml:space="preserve">Tương tự như lý do bãi bỏ Thông tư số 23/2021/TT-BGTVT. </w:t>
            </w:r>
          </w:p>
        </w:tc>
      </w:tr>
    </w:tbl>
    <w:p w:rsidR="004E4260" w:rsidRPr="0043728A" w:rsidRDefault="004E4260" w:rsidP="00655AAC">
      <w:pPr>
        <w:spacing w:after="0"/>
        <w:ind w:left="57" w:right="57"/>
        <w:jc w:val="both"/>
        <w:rPr>
          <w:rFonts w:cs="Times New Roman"/>
          <w:sz w:val="24"/>
          <w:szCs w:val="24"/>
        </w:rPr>
      </w:pPr>
    </w:p>
    <w:sectPr w:rsidR="004E4260" w:rsidRPr="0043728A" w:rsidSect="0043728A">
      <w:pgSz w:w="15840" w:h="12240" w:orient="landscape"/>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A1739"/>
    <w:multiLevelType w:val="hybridMultilevel"/>
    <w:tmpl w:val="30908A4C"/>
    <w:lvl w:ilvl="0" w:tplc="6B0C1EB4">
      <w:start w:val="1"/>
      <w:numFmt w:val="decimal"/>
      <w:suff w:val="space"/>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FA16AE"/>
    <w:multiLevelType w:val="hybridMultilevel"/>
    <w:tmpl w:val="00E6F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3D13E0"/>
    <w:multiLevelType w:val="hybridMultilevel"/>
    <w:tmpl w:val="347852A0"/>
    <w:lvl w:ilvl="0" w:tplc="9F4C934C">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7BAA7864"/>
    <w:multiLevelType w:val="hybridMultilevel"/>
    <w:tmpl w:val="F28432E2"/>
    <w:lvl w:ilvl="0" w:tplc="0409000F">
      <w:start w:val="1"/>
      <w:numFmt w:val="decimal"/>
      <w:lvlText w:val="%1."/>
      <w:lvlJc w:val="left"/>
      <w:pPr>
        <w:ind w:left="615" w:hanging="360"/>
      </w:p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8A9"/>
    <w:rsid w:val="00012C85"/>
    <w:rsid w:val="0004403E"/>
    <w:rsid w:val="00095441"/>
    <w:rsid w:val="000A61EE"/>
    <w:rsid w:val="000B64C6"/>
    <w:rsid w:val="000E4BF8"/>
    <w:rsid w:val="000F2164"/>
    <w:rsid w:val="001A1349"/>
    <w:rsid w:val="001C1C5E"/>
    <w:rsid w:val="001C66EA"/>
    <w:rsid w:val="00303ECB"/>
    <w:rsid w:val="00307E4B"/>
    <w:rsid w:val="003211AB"/>
    <w:rsid w:val="0032508F"/>
    <w:rsid w:val="0035163A"/>
    <w:rsid w:val="003A65EE"/>
    <w:rsid w:val="003B054D"/>
    <w:rsid w:val="003B5437"/>
    <w:rsid w:val="003E7B22"/>
    <w:rsid w:val="003F49AD"/>
    <w:rsid w:val="0043728A"/>
    <w:rsid w:val="00491085"/>
    <w:rsid w:val="00496F6D"/>
    <w:rsid w:val="004B20F6"/>
    <w:rsid w:val="004E4260"/>
    <w:rsid w:val="00574379"/>
    <w:rsid w:val="005C2B30"/>
    <w:rsid w:val="005D01F8"/>
    <w:rsid w:val="005E37A6"/>
    <w:rsid w:val="00640BB7"/>
    <w:rsid w:val="00655AAC"/>
    <w:rsid w:val="00673FB1"/>
    <w:rsid w:val="006913C2"/>
    <w:rsid w:val="00697CD2"/>
    <w:rsid w:val="00726C36"/>
    <w:rsid w:val="007437DE"/>
    <w:rsid w:val="00770D30"/>
    <w:rsid w:val="00836D95"/>
    <w:rsid w:val="00870146"/>
    <w:rsid w:val="008A305F"/>
    <w:rsid w:val="008A4B7C"/>
    <w:rsid w:val="008B238E"/>
    <w:rsid w:val="008B6CF5"/>
    <w:rsid w:val="009932C1"/>
    <w:rsid w:val="00A1382A"/>
    <w:rsid w:val="00AB6576"/>
    <w:rsid w:val="00B74A6E"/>
    <w:rsid w:val="00BA2BD0"/>
    <w:rsid w:val="00BB5A4E"/>
    <w:rsid w:val="00C53D89"/>
    <w:rsid w:val="00CB38C7"/>
    <w:rsid w:val="00D468A9"/>
    <w:rsid w:val="00D54731"/>
    <w:rsid w:val="00D61263"/>
    <w:rsid w:val="00D96F04"/>
    <w:rsid w:val="00DC311D"/>
    <w:rsid w:val="00DD2A3D"/>
    <w:rsid w:val="00DF307D"/>
    <w:rsid w:val="00E06C32"/>
    <w:rsid w:val="00E201D3"/>
    <w:rsid w:val="00E25D50"/>
    <w:rsid w:val="00E264B9"/>
    <w:rsid w:val="00ED0339"/>
    <w:rsid w:val="00F63DE9"/>
    <w:rsid w:val="00F65F6E"/>
    <w:rsid w:val="00F71FAA"/>
    <w:rsid w:val="00F8694F"/>
    <w:rsid w:val="00FC18DA"/>
    <w:rsid w:val="00FC5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A0A8A"/>
  <w15:docId w15:val="{14D33563-3058-4FED-A938-AE0D7EE3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6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4B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B7C"/>
    <w:rPr>
      <w:rFonts w:ascii="Tahoma" w:hAnsi="Tahoma" w:cs="Tahoma"/>
      <w:sz w:val="16"/>
      <w:szCs w:val="16"/>
    </w:rPr>
  </w:style>
  <w:style w:type="character" w:styleId="Strong">
    <w:name w:val="Strong"/>
    <w:uiPriority w:val="22"/>
    <w:qFormat/>
    <w:rsid w:val="00303ECB"/>
    <w:rPr>
      <w:b/>
      <w:bCs/>
    </w:rPr>
  </w:style>
  <w:style w:type="paragraph" w:styleId="ListParagraph">
    <w:name w:val="List Paragraph"/>
    <w:basedOn w:val="Normal"/>
    <w:uiPriority w:val="34"/>
    <w:qFormat/>
    <w:rsid w:val="00303ECB"/>
    <w:pPr>
      <w:ind w:left="720"/>
      <w:contextualSpacing/>
    </w:pPr>
    <w:rPr>
      <w:rFonts w:ascii="Calibri" w:eastAsia="Calibri" w:hAnsi="Calibri" w:cs="Times New Roman"/>
      <w:sz w:val="22"/>
    </w:rPr>
  </w:style>
  <w:style w:type="paragraph" w:styleId="BodyText">
    <w:name w:val="Body Text"/>
    <w:basedOn w:val="Normal"/>
    <w:link w:val="BodyTextChar"/>
    <w:uiPriority w:val="1"/>
    <w:qFormat/>
    <w:rsid w:val="008B238E"/>
    <w:pPr>
      <w:widowControl w:val="0"/>
      <w:autoSpaceDE w:val="0"/>
      <w:autoSpaceDN w:val="0"/>
      <w:spacing w:after="0" w:line="240" w:lineRule="auto"/>
    </w:pPr>
    <w:rPr>
      <w:rFonts w:eastAsia="Times New Roman" w:cs="Times New Roman"/>
      <w:szCs w:val="28"/>
      <w:lang w:val="vi"/>
    </w:rPr>
  </w:style>
  <w:style w:type="character" w:customStyle="1" w:styleId="BodyTextChar">
    <w:name w:val="Body Text Char"/>
    <w:basedOn w:val="DefaultParagraphFont"/>
    <w:link w:val="BodyText"/>
    <w:uiPriority w:val="1"/>
    <w:rsid w:val="008B238E"/>
    <w:rPr>
      <w:rFonts w:eastAsia="Times New Roman" w:cs="Times New Roman"/>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F0E4E-580B-4C2D-A400-D3FE009C5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4</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Miss Trang</cp:lastModifiedBy>
  <cp:revision>49</cp:revision>
  <cp:lastPrinted>2022-09-19T03:28:00Z</cp:lastPrinted>
  <dcterms:created xsi:type="dcterms:W3CDTF">2025-03-04T09:46:00Z</dcterms:created>
  <dcterms:modified xsi:type="dcterms:W3CDTF">2025-04-08T02:53:00Z</dcterms:modified>
</cp:coreProperties>
</file>