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11639" w:rsidRPr="007A667D" w:rsidRDefault="00AA67C0">
      <w:pPr>
        <w:pStyle w:val="Title"/>
        <w:spacing w:before="120" w:line="264" w:lineRule="auto"/>
        <w:ind w:right="446" w:firstLine="86"/>
        <w:rPr>
          <w:sz w:val="24"/>
          <w:szCs w:val="24"/>
        </w:rPr>
      </w:pPr>
      <w:r w:rsidRPr="007A667D">
        <w:rPr>
          <w:sz w:val="24"/>
          <w:szCs w:val="24"/>
        </w:rPr>
        <w:t>TÓM TẮT THÔNG TIN</w:t>
      </w:r>
    </w:p>
    <w:p w14:paraId="005CDDE0" w14:textId="77777777" w:rsidR="00AF4068" w:rsidRPr="007A667D" w:rsidRDefault="00AA67C0">
      <w:pPr>
        <w:pStyle w:val="Title"/>
        <w:spacing w:before="120" w:line="264" w:lineRule="auto"/>
        <w:ind w:right="446" w:firstLine="86"/>
        <w:rPr>
          <w:sz w:val="24"/>
          <w:szCs w:val="24"/>
        </w:rPr>
      </w:pPr>
      <w:r w:rsidRPr="007A667D">
        <w:rPr>
          <w:sz w:val="24"/>
          <w:szCs w:val="24"/>
        </w:rPr>
        <w:t xml:space="preserve">HỘI THẢO “THAM VẤN HOÀN THIỆN DỰ THẢO </w:t>
      </w:r>
    </w:p>
    <w:p w14:paraId="00000003" w14:textId="05B88E14" w:rsidR="00F11639" w:rsidRPr="007A667D" w:rsidRDefault="00AA67C0">
      <w:pPr>
        <w:pStyle w:val="Title"/>
        <w:spacing w:before="120" w:line="264" w:lineRule="auto"/>
        <w:ind w:right="446" w:firstLine="86"/>
        <w:rPr>
          <w:sz w:val="24"/>
          <w:szCs w:val="24"/>
        </w:rPr>
      </w:pPr>
      <w:r w:rsidRPr="007A667D">
        <w:rPr>
          <w:sz w:val="24"/>
          <w:szCs w:val="24"/>
        </w:rPr>
        <w:t>LUẬT THUẾ TIÊU THỤ ĐẶC BIỆT”</w:t>
      </w:r>
    </w:p>
    <w:p w14:paraId="00000004" w14:textId="1ADE765F" w:rsidR="00F11639" w:rsidRPr="001E5EC9" w:rsidRDefault="00AA67C0">
      <w:pPr>
        <w:pBdr>
          <w:top w:val="nil"/>
          <w:left w:val="nil"/>
          <w:bottom w:val="nil"/>
          <w:right w:val="nil"/>
          <w:between w:val="nil"/>
        </w:pBdr>
        <w:spacing w:before="120" w:line="264" w:lineRule="auto"/>
        <w:ind w:firstLine="720"/>
        <w:jc w:val="both"/>
        <w:rPr>
          <w:color w:val="000000"/>
          <w:sz w:val="26"/>
          <w:szCs w:val="26"/>
        </w:rPr>
      </w:pPr>
      <w:r w:rsidRPr="001E5EC9">
        <w:rPr>
          <w:b/>
          <w:i/>
          <w:color w:val="000000"/>
          <w:sz w:val="26"/>
          <w:szCs w:val="26"/>
        </w:rPr>
        <w:t>Hà Nội, ngày 18 tháng 3 năm 2025</w:t>
      </w:r>
      <w:r w:rsidRPr="001E5EC9">
        <w:rPr>
          <w:color w:val="000000"/>
          <w:sz w:val="26"/>
          <w:szCs w:val="26"/>
        </w:rPr>
        <w:t>, Liên đoàn Thương mại và Công nghiệp Việt Nam (VCCI) tổ chức Hội thảo “</w:t>
      </w:r>
      <w:r w:rsidRPr="001E5EC9">
        <w:rPr>
          <w:b/>
          <w:i/>
          <w:color w:val="000000"/>
          <w:sz w:val="26"/>
          <w:szCs w:val="26"/>
        </w:rPr>
        <w:t>Tham vấn hoàn thiện Dự thảo Luật thuế tiêu thụ đặc biệt</w:t>
      </w:r>
      <w:r w:rsidRPr="001E5EC9">
        <w:rPr>
          <w:color w:val="000000"/>
          <w:sz w:val="26"/>
          <w:szCs w:val="26"/>
        </w:rPr>
        <w:t>” với sự tham gia</w:t>
      </w:r>
      <w:r w:rsidR="00824697" w:rsidRPr="001E5EC9">
        <w:rPr>
          <w:color w:val="000000"/>
          <w:sz w:val="26"/>
          <w:szCs w:val="26"/>
          <w:lang w:val="en-US"/>
        </w:rPr>
        <w:t xml:space="preserve"> của một số </w:t>
      </w:r>
      <w:r w:rsidR="00CE3E0E" w:rsidRPr="001E5EC9">
        <w:rPr>
          <w:color w:val="000000"/>
          <w:sz w:val="26"/>
          <w:szCs w:val="26"/>
          <w:lang w:val="en-US"/>
        </w:rPr>
        <w:t xml:space="preserve">một số Ủy viên là đại biểu Quốc hội hoạt động chuyên trách tại Ủy ban Kinh tế và Tài chính, </w:t>
      </w:r>
      <w:r w:rsidRPr="001E5EC9">
        <w:rPr>
          <w:color w:val="000000"/>
          <w:sz w:val="26"/>
          <w:szCs w:val="26"/>
        </w:rPr>
        <w:t xml:space="preserve">các bộ ngành liên quan, các hiệp hội doanh nghiệp, chuyên gia và cộng đồng doanh nghiệp. </w:t>
      </w:r>
    </w:p>
    <w:p w14:paraId="00000005" w14:textId="6BAA1984" w:rsidR="00F11639" w:rsidRPr="001E5EC9" w:rsidRDefault="00AA67C0">
      <w:pPr>
        <w:pBdr>
          <w:top w:val="nil"/>
          <w:left w:val="nil"/>
          <w:bottom w:val="nil"/>
          <w:right w:val="nil"/>
          <w:between w:val="nil"/>
        </w:pBdr>
        <w:spacing w:before="120" w:line="264" w:lineRule="auto"/>
        <w:ind w:firstLine="719"/>
        <w:jc w:val="both"/>
        <w:rPr>
          <w:color w:val="161616"/>
          <w:sz w:val="26"/>
          <w:szCs w:val="26"/>
        </w:rPr>
      </w:pPr>
      <w:r w:rsidRPr="001E5EC9">
        <w:rPr>
          <w:color w:val="000000"/>
          <w:sz w:val="26"/>
          <w:szCs w:val="26"/>
        </w:rPr>
        <w:tab/>
        <w:t xml:space="preserve">Trong bài phát biểu khai mạc, Ông Đậu Anh Tuấn, Phó Tổng thư ký kiêm Trưởng Ban Pháp chế của VCCI chia sẻ, tại Phiên họp thứ 43, ngày 10/3/2025, Ủy ban thường vụ Quốc Hội đã thảo luận về Dự thảo </w:t>
      </w:r>
      <w:r w:rsidR="00863EC3" w:rsidRPr="001E5EC9">
        <w:rPr>
          <w:color w:val="000000"/>
          <w:sz w:val="26"/>
          <w:szCs w:val="26"/>
          <w:lang w:val="en-US"/>
        </w:rPr>
        <w:t>L</w:t>
      </w:r>
      <w:r w:rsidRPr="001E5EC9">
        <w:rPr>
          <w:color w:val="000000"/>
          <w:sz w:val="26"/>
          <w:szCs w:val="26"/>
        </w:rPr>
        <w:t>uật thuế</w:t>
      </w:r>
      <w:r w:rsidR="00863EC3" w:rsidRPr="001E5EC9">
        <w:rPr>
          <w:color w:val="000000"/>
          <w:sz w:val="26"/>
          <w:szCs w:val="26"/>
          <w:lang w:val="en-US"/>
        </w:rPr>
        <w:t xml:space="preserve"> tiêu thụ đặc biệt (</w:t>
      </w:r>
      <w:r w:rsidRPr="001E5EC9">
        <w:rPr>
          <w:color w:val="000000"/>
          <w:sz w:val="26"/>
          <w:szCs w:val="26"/>
        </w:rPr>
        <w:t>TTĐB</w:t>
      </w:r>
      <w:r w:rsidR="00863EC3" w:rsidRPr="001E5EC9">
        <w:rPr>
          <w:color w:val="000000"/>
          <w:sz w:val="26"/>
          <w:szCs w:val="26"/>
          <w:lang w:val="en-US"/>
        </w:rPr>
        <w:t>)</w:t>
      </w:r>
      <w:r w:rsidRPr="001E5EC9">
        <w:rPr>
          <w:color w:val="000000"/>
          <w:sz w:val="26"/>
          <w:szCs w:val="26"/>
        </w:rPr>
        <w:t xml:space="preserve">. Kết thúc buổi thảo luận, </w:t>
      </w:r>
      <w:r w:rsidRPr="001E5EC9">
        <w:rPr>
          <w:color w:val="161616"/>
          <w:sz w:val="26"/>
          <w:szCs w:val="26"/>
        </w:rPr>
        <w:t xml:space="preserve">Chủ tịch Quốc hội đã đề nghị Bộ Tài chính và cơ quan thẩm tra tiếp tục trao đổi nội dung này; tham vấn kỹ ý kiến của các bộ, ngành liên quan, Liên đoàn Thương mại và Công nghiệp Việt Nam, các hiệp hội doanh nghiệp. </w:t>
      </w:r>
    </w:p>
    <w:p w14:paraId="00000006" w14:textId="77777777" w:rsidR="00F11639" w:rsidRPr="001E5EC9" w:rsidRDefault="00AA67C0">
      <w:pPr>
        <w:widowControl/>
        <w:pBdr>
          <w:top w:val="nil"/>
          <w:left w:val="nil"/>
          <w:bottom w:val="nil"/>
          <w:right w:val="nil"/>
          <w:between w:val="nil"/>
        </w:pBdr>
        <w:shd w:val="clear" w:color="auto" w:fill="FFFFFF"/>
        <w:spacing w:before="120" w:line="264" w:lineRule="auto"/>
        <w:jc w:val="both"/>
        <w:rPr>
          <w:color w:val="161616"/>
          <w:sz w:val="26"/>
          <w:szCs w:val="26"/>
        </w:rPr>
      </w:pPr>
      <w:r w:rsidRPr="001E5EC9">
        <w:rPr>
          <w:color w:val="161616"/>
          <w:sz w:val="26"/>
          <w:szCs w:val="26"/>
        </w:rPr>
        <w:tab/>
        <w:t>Theo Ông Đậu Anh Tuấn, đây là cơ hội để các hiệp hội, cộng đồng doanh nghiệp, chuyên gia kinh tế cung cấp thông tin cụ thể, đa chiều và cùng phân tích tới các nhà hoạch định chính sách, cơ quan thẩm tra, cơ quan soạn thảo và các cơ quan liên quan để từ đó góp phần xây dựng chính sách thuế tiêu thụ đặc biệt phù hợp với thực tiễn, đảm bảo tính hiệu quả trong quản lý nhà nước, đ</w:t>
      </w:r>
      <w:r w:rsidRPr="001E5EC9">
        <w:rPr>
          <w:color w:val="000000"/>
          <w:sz w:val="26"/>
          <w:szCs w:val="26"/>
        </w:rPr>
        <w:t xml:space="preserve">ể các giải pháp, hỗ trợ của Chính phủ, bộ ngành tới các doanh nghiệp, người dân đi vào thực chất đồng thời tối ưu các giải pháp giúp thúc đẩy các động lực tăng trưởng từ các thể chế, trong đó có chính sách thuế TTĐB. </w:t>
      </w:r>
    </w:p>
    <w:p w14:paraId="00000007" w14:textId="77A1CE64" w:rsidR="00F11639" w:rsidRPr="001E5EC9" w:rsidRDefault="00AA67C0">
      <w:pPr>
        <w:widowControl/>
        <w:pBdr>
          <w:top w:val="nil"/>
          <w:left w:val="nil"/>
          <w:bottom w:val="nil"/>
          <w:right w:val="nil"/>
          <w:between w:val="nil"/>
        </w:pBdr>
        <w:shd w:val="clear" w:color="auto" w:fill="FFFFFF"/>
        <w:spacing w:before="120" w:line="264" w:lineRule="auto"/>
        <w:jc w:val="both"/>
        <w:rPr>
          <w:color w:val="000000"/>
          <w:sz w:val="26"/>
          <w:szCs w:val="26"/>
        </w:rPr>
      </w:pPr>
      <w:r w:rsidRPr="001E5EC9">
        <w:rPr>
          <w:color w:val="000000"/>
          <w:sz w:val="26"/>
          <w:szCs w:val="26"/>
        </w:rPr>
        <w:tab/>
        <w:t xml:space="preserve">Cùng với VCCI, đại diện các hiệp hội khác như Hiệp hội tư vấn thuế (VTCA), Hiệp hội Bia-Rượu-Nước giải khát Việt Nam (VBA), Hiệp hội Thuốc lá Việt Nam (VTA), Hiệp hội các nhà sản xuất ô tô Việt Nam (VAMA), </w:t>
      </w:r>
      <w:r w:rsidRPr="001E5EC9">
        <w:rPr>
          <w:sz w:val="26"/>
          <w:szCs w:val="26"/>
        </w:rPr>
        <w:t xml:space="preserve">Hiệp hội </w:t>
      </w:r>
      <w:r w:rsidR="00EC30CC" w:rsidRPr="001E5EC9">
        <w:rPr>
          <w:sz w:val="26"/>
          <w:szCs w:val="26"/>
          <w:lang w:val="en-US"/>
        </w:rPr>
        <w:t>D</w:t>
      </w:r>
      <w:r w:rsidRPr="001E5EC9">
        <w:rPr>
          <w:sz w:val="26"/>
          <w:szCs w:val="26"/>
        </w:rPr>
        <w:t xml:space="preserve">oanh nghiệp đầu tư nước ngoài (VAFIE), các chuyên gia </w:t>
      </w:r>
      <w:r w:rsidRPr="001E5EC9">
        <w:rPr>
          <w:color w:val="000000"/>
          <w:sz w:val="26"/>
          <w:szCs w:val="26"/>
        </w:rPr>
        <w:t xml:space="preserve">và cộng đồng doanh nghiệp đã cùng nhau chia sẻ, phân tích tình hình kinh tế hiện nay, các khó khăn và thuận lợi của các doanh nghiệp đặc biệt là trong bối cảnh Quốc </w:t>
      </w:r>
      <w:r w:rsidR="00824697" w:rsidRPr="001E5EC9">
        <w:rPr>
          <w:color w:val="000000"/>
          <w:sz w:val="26"/>
          <w:szCs w:val="26"/>
          <w:lang w:val="en-US"/>
        </w:rPr>
        <w:t>h</w:t>
      </w:r>
      <w:r w:rsidRPr="001E5EC9">
        <w:rPr>
          <w:color w:val="000000"/>
          <w:sz w:val="26"/>
          <w:szCs w:val="26"/>
        </w:rPr>
        <w:t xml:space="preserve">ội, Chính phủ điều chỉnh mục tiêu tăng trưởng kinh tế lên 8% trong năm 2025, phấn đấu tăng trưởng hai con số trong giai đoạn tiếp theo từ 2026-2030. </w:t>
      </w:r>
    </w:p>
    <w:p w14:paraId="00000008" w14:textId="21FD465C" w:rsidR="00F11639" w:rsidRPr="001E5EC9" w:rsidRDefault="00AA67C0" w:rsidP="001E5EC9">
      <w:pPr>
        <w:widowControl/>
        <w:pBdr>
          <w:top w:val="nil"/>
          <w:left w:val="nil"/>
          <w:bottom w:val="nil"/>
          <w:right w:val="nil"/>
          <w:between w:val="nil"/>
        </w:pBdr>
        <w:shd w:val="clear" w:color="auto" w:fill="FFFFFF"/>
        <w:spacing w:before="120" w:line="264" w:lineRule="auto"/>
        <w:jc w:val="both"/>
        <w:rPr>
          <w:color w:val="000000"/>
          <w:sz w:val="26"/>
          <w:szCs w:val="26"/>
        </w:rPr>
      </w:pPr>
      <w:r w:rsidRPr="001E5EC9">
        <w:rPr>
          <w:color w:val="000000"/>
          <w:sz w:val="26"/>
          <w:szCs w:val="26"/>
        </w:rPr>
        <w:tab/>
        <w:t>Theo</w:t>
      </w:r>
      <w:r w:rsidRPr="001E5EC9">
        <w:rPr>
          <w:b/>
          <w:color w:val="000000"/>
          <w:sz w:val="26"/>
          <w:szCs w:val="26"/>
        </w:rPr>
        <w:t xml:space="preserve"> TS. Cấn Văn Lực</w:t>
      </w:r>
      <w:r w:rsidRPr="001E5EC9">
        <w:rPr>
          <w:color w:val="000000"/>
          <w:sz w:val="26"/>
          <w:szCs w:val="26"/>
        </w:rPr>
        <w:t xml:space="preserve">, </w:t>
      </w:r>
      <w:r w:rsidRPr="001E5EC9">
        <w:rPr>
          <w:color w:val="000000"/>
          <w:sz w:val="26"/>
          <w:szCs w:val="26"/>
          <w:highlight w:val="white"/>
        </w:rPr>
        <w:t>Chuyên gia kinh tế trưởng BIDV</w:t>
      </w:r>
      <w:r w:rsidRPr="001E5EC9">
        <w:rPr>
          <w:i/>
          <w:color w:val="000000"/>
          <w:sz w:val="26"/>
          <w:szCs w:val="26"/>
          <w:highlight w:val="white"/>
        </w:rPr>
        <w:t> </w:t>
      </w:r>
      <w:r w:rsidRPr="001E5EC9">
        <w:rPr>
          <w:color w:val="000000"/>
          <w:sz w:val="26"/>
          <w:szCs w:val="26"/>
          <w:highlight w:val="white"/>
        </w:rPr>
        <w:t>kiêm Giám đốc Viện Đào tạo và Nghiên cứu BIDV đã chia sẻ bức tranh kinh tế toàn cầu</w:t>
      </w:r>
      <w:r w:rsidR="00A326CB" w:rsidRPr="001E5EC9">
        <w:rPr>
          <w:color w:val="000000"/>
          <w:sz w:val="26"/>
          <w:szCs w:val="26"/>
          <w:highlight w:val="white"/>
          <w:lang w:val="en-US"/>
        </w:rPr>
        <w:t xml:space="preserve"> có nhiều rủi ro biến động</w:t>
      </w:r>
      <w:r w:rsidRPr="001E5EC9">
        <w:rPr>
          <w:color w:val="000000"/>
          <w:sz w:val="26"/>
          <w:szCs w:val="26"/>
          <w:highlight w:val="white"/>
        </w:rPr>
        <w:t xml:space="preserve"> và những tác động tới Việt Nam.</w:t>
      </w:r>
      <w:r w:rsidR="005B44B5" w:rsidRPr="001E5EC9">
        <w:rPr>
          <w:color w:val="000000"/>
          <w:sz w:val="26"/>
          <w:szCs w:val="26"/>
          <w:highlight w:val="white"/>
          <w:lang w:val="en-US"/>
        </w:rPr>
        <w:t xml:space="preserve"> </w:t>
      </w:r>
      <w:r w:rsidR="00CE3E0E" w:rsidRPr="001E5EC9">
        <w:rPr>
          <w:color w:val="000000"/>
          <w:sz w:val="26"/>
          <w:szCs w:val="26"/>
          <w:lang w:val="en-US"/>
        </w:rPr>
        <w:t xml:space="preserve">Kinh tế Việt Nam đang có nhiều điểm sáng, tuy nhiên vẫn phải đối mặt nhiều thách thức, doanh nghiệp còn gặp rất nhiều khó khăn. </w:t>
      </w:r>
      <w:r w:rsidR="005B44B5" w:rsidRPr="001E5EC9">
        <w:rPr>
          <w:color w:val="000000"/>
          <w:sz w:val="26"/>
          <w:szCs w:val="26"/>
          <w:lang w:val="en-US"/>
        </w:rPr>
        <w:t>T</w:t>
      </w:r>
      <w:r w:rsidRPr="001E5EC9">
        <w:rPr>
          <w:color w:val="000000"/>
          <w:sz w:val="26"/>
          <w:szCs w:val="26"/>
        </w:rPr>
        <w:t xml:space="preserve">huế TTĐB đối với đồ uống </w:t>
      </w:r>
      <w:r w:rsidR="005B44B5" w:rsidRPr="001E5EC9">
        <w:rPr>
          <w:color w:val="000000"/>
          <w:sz w:val="26"/>
          <w:szCs w:val="26"/>
          <w:lang w:val="en-US"/>
        </w:rPr>
        <w:t>t</w:t>
      </w:r>
      <w:r w:rsidR="00CE3E0E" w:rsidRPr="001E5EC9">
        <w:rPr>
          <w:color w:val="000000"/>
          <w:sz w:val="26"/>
          <w:szCs w:val="26"/>
        </w:rPr>
        <w:t>ăng thuế càng nhanh, càng cao</w:t>
      </w:r>
      <w:r w:rsidR="005B44B5" w:rsidRPr="001E5EC9">
        <w:rPr>
          <w:color w:val="000000"/>
          <w:sz w:val="26"/>
          <w:szCs w:val="26"/>
          <w:lang w:val="en-US"/>
        </w:rPr>
        <w:t xml:space="preserve"> thì</w:t>
      </w:r>
      <w:r w:rsidR="00CE3E0E" w:rsidRPr="001E5EC9">
        <w:rPr>
          <w:color w:val="000000"/>
          <w:sz w:val="26"/>
          <w:szCs w:val="26"/>
        </w:rPr>
        <w:t xml:space="preserve"> giảm tổng hòa lợi ích đối với ngành và nền kinh tế càng lớn</w:t>
      </w:r>
      <w:r w:rsidR="005B44B5" w:rsidRPr="001E5EC9">
        <w:rPr>
          <w:color w:val="000000"/>
          <w:sz w:val="26"/>
          <w:szCs w:val="26"/>
          <w:lang w:val="en-US"/>
        </w:rPr>
        <w:t>,</w:t>
      </w:r>
      <w:r w:rsidR="00CE3E0E" w:rsidRPr="001E5EC9">
        <w:rPr>
          <w:color w:val="000000"/>
          <w:sz w:val="26"/>
          <w:szCs w:val="26"/>
        </w:rPr>
        <w:t xml:space="preserve"> giảm tổng cầu tiêu dùng và đầu tư (đóng góp đến hơn 90% cho tăng trưởng GDP 2024).</w:t>
      </w:r>
      <w:r w:rsidR="005B44B5" w:rsidRPr="001E5EC9">
        <w:rPr>
          <w:color w:val="000000"/>
          <w:sz w:val="26"/>
          <w:szCs w:val="26"/>
          <w:lang w:val="en-US"/>
        </w:rPr>
        <w:t xml:space="preserve"> Ả</w:t>
      </w:r>
      <w:r w:rsidRPr="001E5EC9">
        <w:rPr>
          <w:color w:val="000000"/>
          <w:sz w:val="26"/>
          <w:szCs w:val="26"/>
        </w:rPr>
        <w:t xml:space="preserve">nh hưởng đến hiệu quả đóng góp NSNN lâu dài; tạo ra tình huống “khó chồng khó” đối với </w:t>
      </w:r>
      <w:r w:rsidR="005B44B5" w:rsidRPr="001E5EC9">
        <w:rPr>
          <w:color w:val="000000"/>
          <w:sz w:val="26"/>
          <w:szCs w:val="26"/>
          <w:lang w:val="en-US"/>
        </w:rPr>
        <w:t>doanh nghiệp</w:t>
      </w:r>
      <w:r w:rsidRPr="001E5EC9">
        <w:rPr>
          <w:color w:val="000000"/>
          <w:sz w:val="26"/>
          <w:szCs w:val="26"/>
        </w:rPr>
        <w:t xml:space="preserve"> và người lao động trong ngành cũng như các ngành liên quan (bao bì, vận tải, du lịch, ăn uống v.v</w:t>
      </w:r>
      <w:r w:rsidR="005B44B5" w:rsidRPr="001E5EC9">
        <w:rPr>
          <w:color w:val="000000"/>
          <w:sz w:val="26"/>
          <w:szCs w:val="26"/>
          <w:lang w:val="en-US"/>
        </w:rPr>
        <w:t>)</w:t>
      </w:r>
      <w:r w:rsidRPr="001E5EC9">
        <w:rPr>
          <w:color w:val="000000"/>
          <w:sz w:val="26"/>
          <w:szCs w:val="26"/>
        </w:rPr>
        <w:t xml:space="preserve">. Ông kiến nghị Dự thảo thuế TTĐB cần </w:t>
      </w:r>
      <w:r w:rsidR="00554D39" w:rsidRPr="001E5EC9">
        <w:rPr>
          <w:color w:val="000000"/>
          <w:sz w:val="26"/>
          <w:szCs w:val="26"/>
          <w:lang w:val="en-US"/>
        </w:rPr>
        <w:t xml:space="preserve">hài hòa các lợi ích, </w:t>
      </w:r>
      <w:r w:rsidRPr="001E5EC9">
        <w:rPr>
          <w:color w:val="000000"/>
          <w:sz w:val="26"/>
          <w:szCs w:val="26"/>
        </w:rPr>
        <w:t>có đánh giá tác động đầy đủ, toàn diện, có cơ sở khoa học và sát thực tiễn</w:t>
      </w:r>
      <w:r w:rsidR="00554D39" w:rsidRPr="001E5EC9">
        <w:rPr>
          <w:color w:val="000000"/>
          <w:sz w:val="26"/>
          <w:szCs w:val="26"/>
          <w:lang w:val="en-US"/>
        </w:rPr>
        <w:t>, k</w:t>
      </w:r>
      <w:r w:rsidRPr="001E5EC9">
        <w:rPr>
          <w:color w:val="000000"/>
          <w:sz w:val="26"/>
          <w:szCs w:val="26"/>
        </w:rPr>
        <w:t>hông nên “tận thu” mà nên nuôi dưỡng nguồn thu</w:t>
      </w:r>
      <w:r w:rsidR="00554D39" w:rsidRPr="001E5EC9">
        <w:rPr>
          <w:color w:val="000000"/>
          <w:sz w:val="26"/>
          <w:szCs w:val="26"/>
          <w:lang w:val="en-US"/>
        </w:rPr>
        <w:t>, p</w:t>
      </w:r>
      <w:r w:rsidRPr="001E5EC9">
        <w:rPr>
          <w:color w:val="000000"/>
          <w:sz w:val="26"/>
          <w:szCs w:val="26"/>
        </w:rPr>
        <w:t xml:space="preserve">hối hợp, đồng bộ </w:t>
      </w:r>
      <w:r w:rsidR="00554D39" w:rsidRPr="001E5EC9">
        <w:rPr>
          <w:color w:val="000000"/>
          <w:sz w:val="26"/>
          <w:szCs w:val="26"/>
          <w:lang w:val="en-US"/>
        </w:rPr>
        <w:t xml:space="preserve">nhiều giải pháp </w:t>
      </w:r>
      <w:r w:rsidRPr="001E5EC9">
        <w:rPr>
          <w:color w:val="000000"/>
          <w:sz w:val="26"/>
          <w:szCs w:val="26"/>
        </w:rPr>
        <w:t>và nhất quán nhiều chính sách mới đạt được mục tiêu tăng trưởng cao, bền vững</w:t>
      </w:r>
      <w:r w:rsidR="00554D39" w:rsidRPr="001E5EC9">
        <w:rPr>
          <w:color w:val="000000"/>
          <w:sz w:val="26"/>
          <w:szCs w:val="26"/>
          <w:lang w:val="en-US"/>
        </w:rPr>
        <w:t xml:space="preserve">, </w:t>
      </w:r>
      <w:r w:rsidR="00A326CB" w:rsidRPr="001E5EC9">
        <w:rPr>
          <w:color w:val="000000"/>
          <w:sz w:val="26"/>
          <w:szCs w:val="26"/>
          <w:lang w:val="en-US"/>
        </w:rPr>
        <w:t>t</w:t>
      </w:r>
      <w:r w:rsidRPr="001E5EC9">
        <w:rPr>
          <w:color w:val="000000"/>
          <w:sz w:val="26"/>
          <w:szCs w:val="26"/>
        </w:rPr>
        <w:t>ránh gây sốc, gây tác dụng ngược,</w:t>
      </w:r>
      <w:r w:rsidR="00A326CB" w:rsidRPr="001E5EC9">
        <w:rPr>
          <w:color w:val="000000"/>
          <w:sz w:val="26"/>
          <w:szCs w:val="26"/>
          <w:lang w:val="en-US"/>
        </w:rPr>
        <w:t xml:space="preserve"> người tiêu dùng</w:t>
      </w:r>
      <w:r w:rsidRPr="001E5EC9">
        <w:rPr>
          <w:color w:val="000000"/>
          <w:sz w:val="26"/>
          <w:szCs w:val="26"/>
        </w:rPr>
        <w:t xml:space="preserve"> chuyển sang dùng </w:t>
      </w:r>
      <w:r w:rsidR="00554D39" w:rsidRPr="001E5EC9">
        <w:rPr>
          <w:color w:val="000000"/>
          <w:sz w:val="26"/>
          <w:szCs w:val="26"/>
          <w:lang w:val="en-US"/>
        </w:rPr>
        <w:t xml:space="preserve">sản phẩm </w:t>
      </w:r>
      <w:r w:rsidRPr="001E5EC9">
        <w:rPr>
          <w:color w:val="000000"/>
          <w:sz w:val="26"/>
          <w:szCs w:val="26"/>
        </w:rPr>
        <w:t>khác có tác hại nhiều hơn</w:t>
      </w:r>
      <w:r w:rsidR="00554D39" w:rsidRPr="001E5EC9">
        <w:rPr>
          <w:color w:val="000000"/>
          <w:sz w:val="26"/>
          <w:szCs w:val="26"/>
          <w:lang w:val="en-US"/>
        </w:rPr>
        <w:t>.</w:t>
      </w:r>
      <w:r w:rsidRPr="001E5EC9">
        <w:rPr>
          <w:color w:val="000000"/>
          <w:sz w:val="26"/>
          <w:szCs w:val="26"/>
        </w:rPr>
        <w:t xml:space="preserve"> Ông gợi mở cân nhắc phương án tối ưu là giãn thực hiện từ </w:t>
      </w:r>
      <w:r w:rsidR="00A326CB" w:rsidRPr="001E5EC9">
        <w:rPr>
          <w:color w:val="000000"/>
          <w:sz w:val="26"/>
          <w:szCs w:val="26"/>
          <w:lang w:val="en-US"/>
        </w:rPr>
        <w:t>0</w:t>
      </w:r>
      <w:r w:rsidRPr="001E5EC9">
        <w:rPr>
          <w:color w:val="000000"/>
          <w:sz w:val="26"/>
          <w:szCs w:val="26"/>
        </w:rPr>
        <w:t>1/</w:t>
      </w:r>
      <w:r w:rsidR="00A326CB" w:rsidRPr="001E5EC9">
        <w:rPr>
          <w:color w:val="000000"/>
          <w:sz w:val="26"/>
          <w:szCs w:val="26"/>
          <w:lang w:val="en-US"/>
        </w:rPr>
        <w:t>0</w:t>
      </w:r>
      <w:r w:rsidRPr="001E5EC9">
        <w:rPr>
          <w:color w:val="000000"/>
          <w:sz w:val="26"/>
          <w:szCs w:val="26"/>
        </w:rPr>
        <w:t>1/2028 và cân nhắc áp dụng tăng thuế theo</w:t>
      </w:r>
      <w:r w:rsidR="00AF4068" w:rsidRPr="001E5EC9">
        <w:rPr>
          <w:color w:val="000000"/>
          <w:sz w:val="26"/>
          <w:szCs w:val="26"/>
          <w:lang w:val="en-US"/>
        </w:rPr>
        <w:t xml:space="preserve"> </w:t>
      </w:r>
      <w:r w:rsidR="00AF4068" w:rsidRPr="001E5EC9">
        <w:rPr>
          <w:sz w:val="26"/>
          <w:szCs w:val="26"/>
          <w:lang w:val="en-US"/>
        </w:rPr>
        <w:t xml:space="preserve">phương án ít tác động </w:t>
      </w:r>
      <w:r w:rsidR="00AF4068" w:rsidRPr="001E5EC9">
        <w:rPr>
          <w:sz w:val="26"/>
          <w:szCs w:val="26"/>
          <w:lang w:val="en-US"/>
        </w:rPr>
        <w:lastRenderedPageBreak/>
        <w:t>hơn là Phương án 1 theo đề xuất của cơ quan soạn thảo</w:t>
      </w:r>
      <w:r w:rsidRPr="001E5EC9">
        <w:rPr>
          <w:sz w:val="26"/>
          <w:szCs w:val="26"/>
        </w:rPr>
        <w:t xml:space="preserve"> để </w:t>
      </w:r>
      <w:r w:rsidR="005B44B5" w:rsidRPr="001E5EC9">
        <w:rPr>
          <w:sz w:val="26"/>
          <w:szCs w:val="26"/>
          <w:lang w:val="en-US"/>
        </w:rPr>
        <w:t>doanh nghiệp</w:t>
      </w:r>
      <w:r w:rsidR="005B44B5" w:rsidRPr="001E5EC9" w:rsidDel="005B44B5">
        <w:rPr>
          <w:sz w:val="26"/>
          <w:szCs w:val="26"/>
        </w:rPr>
        <w:t xml:space="preserve"> </w:t>
      </w:r>
      <w:r w:rsidRPr="001E5EC9">
        <w:rPr>
          <w:sz w:val="26"/>
          <w:szCs w:val="26"/>
        </w:rPr>
        <w:t xml:space="preserve">có thời </w:t>
      </w:r>
      <w:r w:rsidRPr="001E5EC9">
        <w:rPr>
          <w:color w:val="000000"/>
          <w:sz w:val="26"/>
          <w:szCs w:val="26"/>
        </w:rPr>
        <w:t xml:space="preserve">gian chuẩn bị, đổi mới công nghệ. </w:t>
      </w:r>
    </w:p>
    <w:p w14:paraId="00000009" w14:textId="1963A15D" w:rsidR="00F11639" w:rsidRPr="001E5EC9" w:rsidRDefault="00AA67C0" w:rsidP="001E5EC9">
      <w:pPr>
        <w:widowControl/>
        <w:pBdr>
          <w:top w:val="nil"/>
          <w:left w:val="nil"/>
          <w:bottom w:val="nil"/>
          <w:right w:val="nil"/>
          <w:between w:val="nil"/>
        </w:pBdr>
        <w:shd w:val="clear" w:color="auto" w:fill="FFFFFF"/>
        <w:spacing w:before="120" w:line="264" w:lineRule="auto"/>
        <w:jc w:val="both"/>
        <w:rPr>
          <w:color w:val="222222"/>
          <w:sz w:val="26"/>
          <w:szCs w:val="26"/>
          <w:highlight w:val="white"/>
        </w:rPr>
      </w:pPr>
      <w:r w:rsidRPr="001E5EC9">
        <w:rPr>
          <w:color w:val="000000"/>
          <w:sz w:val="26"/>
          <w:szCs w:val="26"/>
        </w:rPr>
        <w:tab/>
      </w:r>
      <w:r w:rsidRPr="001E5EC9">
        <w:rPr>
          <w:b/>
          <w:color w:val="000000"/>
          <w:sz w:val="26"/>
          <w:szCs w:val="26"/>
        </w:rPr>
        <w:t xml:space="preserve">TS. Võ Trí Thành, </w:t>
      </w:r>
      <w:r w:rsidRPr="001E5EC9">
        <w:rPr>
          <w:color w:val="222222"/>
          <w:sz w:val="26"/>
          <w:szCs w:val="26"/>
          <w:highlight w:val="white"/>
        </w:rPr>
        <w:t>nguyên Phó viện trưởng Viện Nghiên cứu quản lý kinh tế Trung ương, Viện trưởng Viện Nghiên cứu chiến lược thương hiệu và cạnh tranh phân tích các khía cạnh về mục tiêu của sắc thuế TTĐB, đặc biệt là mục tiêu điều chỉnh hành vi và sức khỏe</w:t>
      </w:r>
      <w:r w:rsidR="00A326CB" w:rsidRPr="001E5EC9">
        <w:rPr>
          <w:color w:val="222222"/>
          <w:sz w:val="26"/>
          <w:szCs w:val="26"/>
          <w:highlight w:val="white"/>
        </w:rPr>
        <w:t xml:space="preserve"> người tiêu dùng</w:t>
      </w:r>
      <w:r w:rsidRPr="001E5EC9">
        <w:rPr>
          <w:color w:val="222222"/>
          <w:sz w:val="26"/>
          <w:szCs w:val="26"/>
          <w:highlight w:val="white"/>
        </w:rPr>
        <w:t>. Ông nhận định đối với mặt hàng bia rượu, thuốc lá, áp thuế không giảm được tiêu dùng vì người tiêu dùng có xu hướng chuyển sang các sản phẩm bất hợp pháp. Trong khi, Nghị định 100</w:t>
      </w:r>
      <w:r w:rsidR="005B44B5" w:rsidRPr="001E5EC9">
        <w:rPr>
          <w:color w:val="222222"/>
          <w:sz w:val="26"/>
          <w:szCs w:val="26"/>
          <w:highlight w:val="white"/>
          <w:lang w:val="en-US"/>
        </w:rPr>
        <w:t xml:space="preserve"> và Nghị định </w:t>
      </w:r>
      <w:r w:rsidRPr="001E5EC9">
        <w:rPr>
          <w:color w:val="222222"/>
          <w:sz w:val="26"/>
          <w:szCs w:val="26"/>
          <w:highlight w:val="white"/>
        </w:rPr>
        <w:t>168 đã làm giảm tiêu dùng mặt hàng này. Như vậy, cần xem xét các biện pháp khác chứ không phải chỉ tăng thuế. Trước khi đề xuất thuế, cần nghiên cứu thật sâu sắc hơn trên các yêu tố về tính cân bằng, tác động ngân sách, tiêu dùng, lao động</w:t>
      </w:r>
      <w:r w:rsidR="005B44B5" w:rsidRPr="001E5EC9">
        <w:rPr>
          <w:color w:val="222222"/>
          <w:sz w:val="26"/>
          <w:szCs w:val="26"/>
          <w:highlight w:val="white"/>
          <w:lang w:val="en-US"/>
        </w:rPr>
        <w:t xml:space="preserve">, </w:t>
      </w:r>
      <w:r w:rsidRPr="001E5EC9">
        <w:rPr>
          <w:color w:val="222222"/>
          <w:sz w:val="26"/>
          <w:szCs w:val="26"/>
          <w:highlight w:val="white"/>
        </w:rPr>
        <w:t>cân nhắc thêm về hiệu lực, hiệu quả và công bằng của sắc thuế. Kiến nghị của các doanh nghiệp, hiệp hội về  “giãn thuế” là rất hợp lý.</w:t>
      </w:r>
    </w:p>
    <w:p w14:paraId="18A88A79" w14:textId="72EAF7E7" w:rsidR="007108D9" w:rsidRDefault="00AA67C0" w:rsidP="00262F1C">
      <w:pPr>
        <w:widowControl/>
        <w:pBdr>
          <w:top w:val="nil"/>
          <w:left w:val="nil"/>
          <w:bottom w:val="nil"/>
          <w:right w:val="nil"/>
          <w:between w:val="nil"/>
        </w:pBdr>
        <w:shd w:val="clear" w:color="auto" w:fill="FFFFFF"/>
        <w:spacing w:before="120" w:line="264" w:lineRule="auto"/>
        <w:jc w:val="both"/>
        <w:rPr>
          <w:color w:val="000000"/>
          <w:sz w:val="26"/>
          <w:szCs w:val="26"/>
        </w:rPr>
      </w:pPr>
      <w:r w:rsidRPr="001E5EC9">
        <w:rPr>
          <w:color w:val="000000"/>
          <w:sz w:val="26"/>
          <w:szCs w:val="26"/>
        </w:rPr>
        <w:tab/>
      </w:r>
      <w:r w:rsidR="005B44B5" w:rsidRPr="001E5EC9">
        <w:rPr>
          <w:b/>
          <w:bCs/>
          <w:color w:val="000000"/>
          <w:sz w:val="26"/>
          <w:szCs w:val="26"/>
          <w:lang w:val="en-US"/>
        </w:rPr>
        <w:t>Bà Nguyễn Thị Cúc</w:t>
      </w:r>
      <w:r w:rsidR="005B44B5" w:rsidRPr="001E5EC9">
        <w:rPr>
          <w:color w:val="000000"/>
          <w:sz w:val="26"/>
          <w:szCs w:val="26"/>
          <w:lang w:val="en-US"/>
        </w:rPr>
        <w:t xml:space="preserve">, Chủ tịch </w:t>
      </w:r>
      <w:r w:rsidRPr="001E5EC9">
        <w:rPr>
          <w:color w:val="000000"/>
          <w:sz w:val="26"/>
          <w:szCs w:val="26"/>
        </w:rPr>
        <w:t>Hội tư vấn thuế</w:t>
      </w:r>
      <w:r w:rsidR="005B44B5" w:rsidRPr="001E5EC9">
        <w:rPr>
          <w:color w:val="000000"/>
          <w:sz w:val="26"/>
          <w:szCs w:val="26"/>
          <w:lang w:val="en-US"/>
        </w:rPr>
        <w:t xml:space="preserve"> Việt Nam</w:t>
      </w:r>
      <w:r w:rsidRPr="001E5EC9">
        <w:rPr>
          <w:color w:val="000000"/>
          <w:sz w:val="26"/>
          <w:szCs w:val="26"/>
        </w:rPr>
        <w:t xml:space="preserve"> (VTCA) chia sẻ </w:t>
      </w:r>
      <w:r w:rsidR="00891D9C">
        <w:rPr>
          <w:color w:val="000000"/>
          <w:sz w:val="26"/>
          <w:szCs w:val="26"/>
          <w:lang w:val="en-US"/>
        </w:rPr>
        <w:t>quan điểm là n</w:t>
      </w:r>
      <w:r w:rsidR="00891D9C" w:rsidRPr="00891D9C">
        <w:rPr>
          <w:color w:val="000000"/>
          <w:sz w:val="26"/>
          <w:szCs w:val="26"/>
        </w:rPr>
        <w:t xml:space="preserve">hất trí chủ trương </w:t>
      </w:r>
      <w:r w:rsidR="00891D9C">
        <w:rPr>
          <w:color w:val="000000"/>
          <w:sz w:val="26"/>
          <w:szCs w:val="26"/>
          <w:lang w:val="en-US"/>
        </w:rPr>
        <w:t xml:space="preserve">của Luật thuế TTĐB </w:t>
      </w:r>
      <w:r w:rsidR="00891D9C" w:rsidRPr="00891D9C">
        <w:rPr>
          <w:color w:val="000000"/>
          <w:sz w:val="26"/>
          <w:szCs w:val="26"/>
        </w:rPr>
        <w:t xml:space="preserve">nhằm đảm bảo đúng </w:t>
      </w:r>
      <w:r w:rsidR="00891D9C">
        <w:rPr>
          <w:color w:val="000000"/>
          <w:sz w:val="26"/>
          <w:szCs w:val="26"/>
          <w:lang w:val="en-US"/>
        </w:rPr>
        <w:t xml:space="preserve">3 </w:t>
      </w:r>
      <w:r w:rsidR="00891D9C" w:rsidRPr="00891D9C">
        <w:rPr>
          <w:color w:val="000000"/>
          <w:sz w:val="26"/>
          <w:szCs w:val="26"/>
        </w:rPr>
        <w:t>mục tiêu</w:t>
      </w:r>
      <w:r w:rsidR="00891D9C">
        <w:rPr>
          <w:color w:val="000000"/>
          <w:sz w:val="26"/>
          <w:szCs w:val="26"/>
          <w:lang w:val="en-US"/>
        </w:rPr>
        <w:t xml:space="preserve"> là thu NSNN, sức khỏe cộng đồng và “sức khỏe” doanh nghiệp. Bà thẳng thắn đánh giá n</w:t>
      </w:r>
      <w:r w:rsidR="00891D9C" w:rsidRPr="00891D9C">
        <w:rPr>
          <w:color w:val="000000"/>
          <w:sz w:val="26"/>
          <w:szCs w:val="26"/>
        </w:rPr>
        <w:t>hiều hội thảo được tổ chức, nhưng phần tiếp thu cuối cùng thay đổi</w:t>
      </w:r>
      <w:r w:rsidR="001F26CF">
        <w:rPr>
          <w:color w:val="000000"/>
          <w:sz w:val="26"/>
          <w:szCs w:val="26"/>
          <w:lang w:val="en-US"/>
        </w:rPr>
        <w:t xml:space="preserve"> ít. Theo bà, n</w:t>
      </w:r>
      <w:r w:rsidR="00891D9C" w:rsidRPr="00891D9C">
        <w:rPr>
          <w:color w:val="000000"/>
          <w:sz w:val="26"/>
          <w:szCs w:val="26"/>
        </w:rPr>
        <w:t>ếu chính sách không phù hợp sẽ dẫn đến tác động ngược. Đối với rượu bia, không chỉ ảnh hưởng ở sản xuất mà ảnh hưởng đến cả chuỗi cung ứng, du lich, thương mại, ăn uống v.v</w:t>
      </w:r>
      <w:r w:rsidR="001F26CF">
        <w:rPr>
          <w:color w:val="000000"/>
          <w:sz w:val="26"/>
          <w:szCs w:val="26"/>
          <w:lang w:val="en-US"/>
        </w:rPr>
        <w:t>. Lo ngại, k</w:t>
      </w:r>
      <w:r w:rsidR="00891D9C" w:rsidRPr="00891D9C">
        <w:rPr>
          <w:color w:val="000000"/>
          <w:sz w:val="26"/>
          <w:szCs w:val="26"/>
        </w:rPr>
        <w:t>hi tăng thuế rượu</w:t>
      </w:r>
      <w:r w:rsidR="001F26CF">
        <w:rPr>
          <w:color w:val="000000"/>
          <w:sz w:val="26"/>
          <w:szCs w:val="26"/>
          <w:lang w:val="en-US"/>
        </w:rPr>
        <w:t xml:space="preserve"> bia</w:t>
      </w:r>
      <w:r w:rsidR="00891D9C" w:rsidRPr="00891D9C">
        <w:rPr>
          <w:color w:val="000000"/>
          <w:sz w:val="26"/>
          <w:szCs w:val="26"/>
        </w:rPr>
        <w:t xml:space="preserve"> lên cao thì chuyển sang rượu dân </w:t>
      </w:r>
      <w:r w:rsidR="001F26CF">
        <w:rPr>
          <w:color w:val="000000"/>
          <w:sz w:val="26"/>
          <w:szCs w:val="26"/>
          <w:lang w:val="en-US"/>
        </w:rPr>
        <w:t xml:space="preserve">tự </w:t>
      </w:r>
      <w:r w:rsidR="00891D9C" w:rsidRPr="00891D9C">
        <w:rPr>
          <w:color w:val="000000"/>
          <w:sz w:val="26"/>
          <w:szCs w:val="26"/>
        </w:rPr>
        <w:t>nấu và nhập lậu</w:t>
      </w:r>
      <w:r w:rsidR="001F26CF">
        <w:rPr>
          <w:color w:val="000000"/>
          <w:sz w:val="26"/>
          <w:szCs w:val="26"/>
          <w:lang w:val="en-US"/>
        </w:rPr>
        <w:t>. Theo bà, c</w:t>
      </w:r>
      <w:r w:rsidR="00891D9C" w:rsidRPr="00891D9C">
        <w:rPr>
          <w:color w:val="000000"/>
          <w:sz w:val="26"/>
          <w:szCs w:val="26"/>
        </w:rPr>
        <w:t>ần tạo điều kiện để doanh nghiệp kinh doanh thuận lợi</w:t>
      </w:r>
      <w:r w:rsidR="001F26CF">
        <w:rPr>
          <w:color w:val="000000"/>
          <w:sz w:val="26"/>
          <w:szCs w:val="26"/>
          <w:lang w:val="en-US"/>
        </w:rPr>
        <w:t xml:space="preserve">, giúp tăng trưởng kinh tế. Đối với nước giải khát đã từng được bổ sung vào đối tượng chịu thuế nhưng sau đó không được thông qua. Bây giờ khi bổ sung trở lại cần phải làm rõ các cơ sở và đánh giá kỹ lưỡng. </w:t>
      </w:r>
      <w:r w:rsidR="00262F1C">
        <w:rPr>
          <w:color w:val="000000"/>
          <w:sz w:val="26"/>
          <w:szCs w:val="26"/>
          <w:lang w:val="en-US"/>
        </w:rPr>
        <w:t xml:space="preserve">Do đó, </w:t>
      </w:r>
      <w:r w:rsidRPr="001E5EC9">
        <w:rPr>
          <w:color w:val="000000"/>
          <w:sz w:val="26"/>
          <w:szCs w:val="26"/>
        </w:rPr>
        <w:t xml:space="preserve">cần nghiên cứu kỹ mức độ tăng tỷ lệ thuế suất cũng như lộ trình tăng hợp lý để đảm đảm duy trì hoạt động sản xuất kinh doanh, công ăn việc làm của người lao động, ổn định thị trường. </w:t>
      </w:r>
    </w:p>
    <w:p w14:paraId="6CBB1ECF" w14:textId="229A4F37" w:rsidR="00CD6960" w:rsidRPr="00CD6960" w:rsidRDefault="00CD6960" w:rsidP="00CD6960">
      <w:pPr>
        <w:widowControl/>
        <w:pBdr>
          <w:top w:val="nil"/>
          <w:left w:val="nil"/>
          <w:bottom w:val="nil"/>
          <w:right w:val="nil"/>
          <w:between w:val="nil"/>
        </w:pBdr>
        <w:shd w:val="clear" w:color="auto" w:fill="FFFFFF"/>
        <w:spacing w:before="120" w:line="264" w:lineRule="auto"/>
        <w:ind w:firstLine="720"/>
        <w:jc w:val="both"/>
        <w:rPr>
          <w:color w:val="000000"/>
          <w:sz w:val="26"/>
          <w:szCs w:val="26"/>
        </w:rPr>
      </w:pPr>
      <w:r w:rsidRPr="00CD6960">
        <w:rPr>
          <w:color w:val="000000"/>
          <w:sz w:val="26"/>
          <w:szCs w:val="26"/>
        </w:rPr>
        <w:t xml:space="preserve">Đối với sản phẩm thuốc lá, khác với rượu bia ảnh hưởng đến dịch vụ, thuốc lá còn ảnh hưởng đến vùng nguyên liệu. Nếu tăng mức 5.000 đồng/bao ngay trong năm 2026 thì ngành thuốc lá có phân khúc giá thấp như thuốc lá Thăng Long sẽ là đơn vị “chết” trước. Nếu người dân thu nhập thấp thay thuốc lá rẻ bằng cuốn luôn cây thuốc lá để hút thì rất hại và đây chính là tác động ngược. Ở Malaysia, thuế TTĐB lên mức cao nhưng các nhà máy sản xuất trung ương lại giảm, thuốc lá lậu tăng lên, ngân sách giảm và đó chính là chính sách không hợp lý. Vậy chúng ta phải có lộ trình. </w:t>
      </w:r>
    </w:p>
    <w:p w14:paraId="3B354B09" w14:textId="39970580" w:rsidR="00CD6960" w:rsidRPr="00CD6960" w:rsidRDefault="00CD6960" w:rsidP="00CD6960">
      <w:pPr>
        <w:widowControl/>
        <w:pBdr>
          <w:top w:val="nil"/>
          <w:left w:val="nil"/>
          <w:bottom w:val="nil"/>
          <w:right w:val="nil"/>
          <w:between w:val="nil"/>
        </w:pBdr>
        <w:shd w:val="clear" w:color="auto" w:fill="FFFFFF"/>
        <w:spacing w:before="120" w:line="264" w:lineRule="auto"/>
        <w:ind w:firstLine="720"/>
        <w:jc w:val="both"/>
        <w:rPr>
          <w:color w:val="000000"/>
          <w:sz w:val="26"/>
          <w:szCs w:val="26"/>
        </w:rPr>
      </w:pPr>
      <w:r w:rsidRPr="00CD6960">
        <w:rPr>
          <w:color w:val="000000"/>
          <w:sz w:val="26"/>
          <w:szCs w:val="26"/>
        </w:rPr>
        <w:t>Đối với ngành hàng ô tô, hai loại sản phẩm: không cần hệ thống nạp điện riêng (HEV) và nạp điện bằng hệ thống sạc điện riêng (PHEV) đều có thể làm giảm tải khí thải gây ô nhiễm môi trường, đều cần được ưu đãi thuế để hướng tới thuận lợi cho người tiêu dùng. Đối với xe cabin kép: theo báo cáo 70% xe này được dùng ở các tỉnh ngoài Hà Nội, đặc biệt là Tây Bắc, Tây Nguyên</w:t>
      </w:r>
      <w:r>
        <w:rPr>
          <w:color w:val="000000"/>
          <w:sz w:val="26"/>
          <w:szCs w:val="26"/>
          <w:lang w:val="en-US"/>
        </w:rPr>
        <w:t xml:space="preserve">, </w:t>
      </w:r>
      <w:r w:rsidRPr="00CD6960">
        <w:rPr>
          <w:color w:val="000000"/>
          <w:sz w:val="26"/>
          <w:szCs w:val="26"/>
        </w:rPr>
        <w:t>không nên tăng khi xe này đang không có hại cho người tiêu dùng.</w:t>
      </w:r>
    </w:p>
    <w:p w14:paraId="16F00510" w14:textId="1EED7C46" w:rsidR="00ED6B6C" w:rsidRPr="001E5EC9" w:rsidRDefault="00262F1C">
      <w:pPr>
        <w:spacing w:before="120" w:line="264" w:lineRule="auto"/>
        <w:ind w:firstLine="720"/>
        <w:jc w:val="both"/>
        <w:rPr>
          <w:sz w:val="26"/>
          <w:szCs w:val="26"/>
          <w:shd w:val="clear" w:color="auto" w:fill="FFFFFF"/>
          <w:lang w:val="en-US"/>
        </w:rPr>
      </w:pPr>
      <w:r w:rsidRPr="007108D9">
        <w:rPr>
          <w:b/>
          <w:bCs/>
          <w:sz w:val="26"/>
          <w:szCs w:val="26"/>
          <w:lang w:val="en-US"/>
        </w:rPr>
        <w:t>PGS. TS Nguyễn Văn Việt</w:t>
      </w:r>
      <w:r w:rsidRPr="007108D9">
        <w:rPr>
          <w:sz w:val="26"/>
          <w:szCs w:val="26"/>
          <w:lang w:val="en-US"/>
        </w:rPr>
        <w:t xml:space="preserve">, chủ tịch </w:t>
      </w:r>
      <w:r w:rsidR="00AA67C0" w:rsidRPr="007108D9">
        <w:rPr>
          <w:sz w:val="26"/>
          <w:szCs w:val="26"/>
        </w:rPr>
        <w:t xml:space="preserve">Hiệp hội Bia-Rượu-Nước giải khát Việt Nam (VBA) cho biết </w:t>
      </w:r>
      <w:r w:rsidR="00AA67C0" w:rsidRPr="007108D9">
        <w:rPr>
          <w:sz w:val="26"/>
          <w:szCs w:val="26"/>
          <w:highlight w:val="white"/>
        </w:rPr>
        <w:t>đặc thù ngành đồ uống có cồn, ngoài việc chịu các hạn chế từ các luật như Luật phòng chống tác hại của rượu bia, Luật Thuế TTĐB, Luật Quảng cáo, Luật Thương mại v.v còn chịu tác động từ các chính sách khác như các quy định về xử phạt vi phạm hành chính trong giao thông đường bộ (Nghị định 100/2019/NĐ-CP, Nghị định 168/2024/NĐ-CP)</w:t>
      </w:r>
      <w:r w:rsidR="00EC30CC" w:rsidRPr="007108D9">
        <w:rPr>
          <w:sz w:val="26"/>
          <w:szCs w:val="26"/>
          <w:highlight w:val="white"/>
          <w:lang w:val="en-US"/>
        </w:rPr>
        <w:t xml:space="preserve"> </w:t>
      </w:r>
      <w:r w:rsidR="00AA67C0" w:rsidRPr="007108D9">
        <w:rPr>
          <w:sz w:val="26"/>
          <w:szCs w:val="26"/>
          <w:highlight w:val="white"/>
        </w:rPr>
        <w:t>có ảnh hưởng rất mạnh tới tiêu dùng rượu bia trong nước</w:t>
      </w:r>
      <w:r w:rsidR="00EC30CC" w:rsidRPr="007108D9">
        <w:rPr>
          <w:sz w:val="26"/>
          <w:szCs w:val="26"/>
          <w:highlight w:val="white"/>
          <w:lang w:val="en-US"/>
        </w:rPr>
        <w:t>, n</w:t>
      </w:r>
      <w:r w:rsidR="00AF4068" w:rsidRPr="007108D9">
        <w:rPr>
          <w:sz w:val="26"/>
          <w:szCs w:val="26"/>
          <w:highlight w:val="white"/>
          <w:lang w:val="en-US"/>
        </w:rPr>
        <w:t xml:space="preserve">gành không được hưởng chính sách giảm thuế GTGT. </w:t>
      </w:r>
      <w:r w:rsidR="00AA67C0" w:rsidRPr="007108D9">
        <w:rPr>
          <w:sz w:val="26"/>
          <w:szCs w:val="26"/>
          <w:highlight w:val="white"/>
        </w:rPr>
        <w:t xml:space="preserve">Ngoài ra, các doanh nghiệp phải đối mặt với vấn nạn rượu trôi nổi, không rõ nguồn </w:t>
      </w:r>
      <w:r w:rsidR="00AA67C0" w:rsidRPr="007108D9">
        <w:rPr>
          <w:sz w:val="26"/>
          <w:szCs w:val="26"/>
          <w:highlight w:val="white"/>
        </w:rPr>
        <w:lastRenderedPageBreak/>
        <w:t>gốc, không được quản lý chiếm tới gần 63% lượng rượu tiêu thụ</w:t>
      </w:r>
      <w:r w:rsidR="00AA67C0" w:rsidRPr="007108D9">
        <w:rPr>
          <w:sz w:val="26"/>
          <w:szCs w:val="26"/>
          <w:highlight w:val="white"/>
          <w:vertAlign w:val="superscript"/>
        </w:rPr>
        <w:footnoteReference w:id="1"/>
      </w:r>
      <w:r w:rsidR="00AA67C0" w:rsidRPr="007108D9">
        <w:rPr>
          <w:sz w:val="26"/>
          <w:szCs w:val="26"/>
          <w:highlight w:val="white"/>
        </w:rPr>
        <w:t xml:space="preserve">, </w:t>
      </w:r>
      <w:r w:rsidR="00AA67C0" w:rsidRPr="007108D9">
        <w:rPr>
          <w:sz w:val="26"/>
          <w:szCs w:val="26"/>
        </w:rPr>
        <w:t>gây thất thu cho ngân sách nhà nước, ảnh hưởng đến sức khoẻ con người, ảnh hưởng tới hoạt động sản xuất kinh doanh của các doanh nghiệp chính thống.</w:t>
      </w:r>
      <w:r w:rsidR="00AA67C0" w:rsidRPr="007108D9">
        <w:rPr>
          <w:sz w:val="26"/>
          <w:szCs w:val="26"/>
          <w:highlight w:val="white"/>
          <w:vertAlign w:val="superscript"/>
        </w:rPr>
        <w:footnoteReference w:id="2"/>
      </w:r>
      <w:r w:rsidR="00AA67C0" w:rsidRPr="001E5EC9">
        <w:rPr>
          <w:sz w:val="26"/>
          <w:szCs w:val="26"/>
        </w:rPr>
        <w:t xml:space="preserve"> </w:t>
      </w:r>
      <w:r w:rsidR="005B44B5" w:rsidRPr="007108D9">
        <w:rPr>
          <w:sz w:val="26"/>
          <w:szCs w:val="26"/>
          <w:lang w:val="en-US"/>
        </w:rPr>
        <w:t>Theo</w:t>
      </w:r>
      <w:r w:rsidR="005B44B5" w:rsidRPr="007108D9">
        <w:rPr>
          <w:b/>
          <w:sz w:val="26"/>
          <w:szCs w:val="26"/>
          <w:lang w:val="en-US"/>
        </w:rPr>
        <w:t xml:space="preserve"> </w:t>
      </w:r>
      <w:r w:rsidR="00AA67C0" w:rsidRPr="001E5EC9">
        <w:rPr>
          <w:b/>
          <w:bCs/>
          <w:sz w:val="26"/>
          <w:szCs w:val="26"/>
        </w:rPr>
        <w:t>Báo cáo nghiên cứu đánh giá tác động định lượng</w:t>
      </w:r>
      <w:r w:rsidR="00AA67C0" w:rsidRPr="007108D9">
        <w:rPr>
          <w:sz w:val="26"/>
          <w:szCs w:val="26"/>
        </w:rPr>
        <w:t xml:space="preserve"> của đề xuất tăng thuế tiêu thụ đặc biệt đã được công bố</w:t>
      </w:r>
      <w:r w:rsidR="00AA67C0" w:rsidRPr="007108D9">
        <w:rPr>
          <w:sz w:val="26"/>
          <w:szCs w:val="26"/>
          <w:vertAlign w:val="superscript"/>
        </w:rPr>
        <w:footnoteReference w:id="3"/>
      </w:r>
      <w:r w:rsidR="00AA67C0" w:rsidRPr="007108D9">
        <w:rPr>
          <w:sz w:val="26"/>
          <w:szCs w:val="26"/>
        </w:rPr>
        <w:t xml:space="preserve"> được thực hiện bởi V</w:t>
      </w:r>
      <w:r w:rsidR="00AA67C0" w:rsidRPr="007108D9">
        <w:rPr>
          <w:color w:val="000000"/>
          <w:sz w:val="26"/>
          <w:szCs w:val="26"/>
        </w:rPr>
        <w:t xml:space="preserve">iện Nghiên cứu Chiến lược, Chính sách Công Thương (Bộ Công Thương), Viện Nghiên cứu Đồ uống Việt Nam phối hợp với nhóm chuyên gia của Viện Nghiên cứu quản lý kinh tế Trung ương (CIEM) và Tổng cục Thống kê, xét về </w:t>
      </w:r>
      <w:r w:rsidR="00AA67C0" w:rsidRPr="007108D9">
        <w:rPr>
          <w:sz w:val="26"/>
          <w:szCs w:val="26"/>
        </w:rPr>
        <w:t>tác động kinh tế vĩ mô, cả hai phương án trong Dự thảo Luật đều có nguy cơ làm giảm giá trị gia tăng của ngành</w:t>
      </w:r>
      <w:r w:rsidR="007108D9" w:rsidRPr="007108D9">
        <w:rPr>
          <w:sz w:val="26"/>
          <w:szCs w:val="26"/>
          <w:lang w:val="en-US"/>
        </w:rPr>
        <w:t xml:space="preserve"> và lan tỏa tới hơn 20 ngành khác</w:t>
      </w:r>
      <w:r w:rsidR="00AA67C0" w:rsidRPr="007108D9">
        <w:rPr>
          <w:sz w:val="26"/>
          <w:szCs w:val="26"/>
        </w:rPr>
        <w:t xml:space="preserve"> và tác động tiêu cực đến </w:t>
      </w:r>
      <w:r w:rsidR="007108D9" w:rsidRPr="007108D9">
        <w:rPr>
          <w:sz w:val="26"/>
          <w:szCs w:val="26"/>
          <w:lang w:val="en-US"/>
        </w:rPr>
        <w:t xml:space="preserve">tăng trưởng </w:t>
      </w:r>
      <w:r w:rsidR="00AA67C0" w:rsidRPr="007108D9">
        <w:rPr>
          <w:sz w:val="26"/>
          <w:szCs w:val="26"/>
        </w:rPr>
        <w:t>GDP, dù trong ngắn hạn, thu ngân sách có thể tăng, nhưng về trung và dài hạn sẽ giảm</w:t>
      </w:r>
      <w:r w:rsidR="007108D9" w:rsidRPr="007108D9">
        <w:rPr>
          <w:sz w:val="26"/>
          <w:szCs w:val="26"/>
          <w:lang w:val="en-US"/>
        </w:rPr>
        <w:t>, thu nhập người lao động</w:t>
      </w:r>
      <w:r w:rsidR="007E760D">
        <w:rPr>
          <w:sz w:val="26"/>
          <w:szCs w:val="26"/>
          <w:lang w:val="en-US"/>
        </w:rPr>
        <w:t xml:space="preserve"> giảm</w:t>
      </w:r>
      <w:r w:rsidR="007108D9" w:rsidRPr="007108D9">
        <w:rPr>
          <w:sz w:val="26"/>
          <w:szCs w:val="26"/>
          <w:lang w:val="en-US"/>
        </w:rPr>
        <w:t xml:space="preserve"> v</w:t>
      </w:r>
      <w:r w:rsidR="00ED6B6C">
        <w:rPr>
          <w:sz w:val="26"/>
          <w:szCs w:val="26"/>
          <w:lang w:val="en-US"/>
        </w:rPr>
        <w:t xml:space="preserve">.v. Chẳng hạn, </w:t>
      </w:r>
      <w:r w:rsidR="00B43F57" w:rsidRPr="00E9721A">
        <w:rPr>
          <w:sz w:val="26"/>
          <w:szCs w:val="26"/>
        </w:rPr>
        <w:t xml:space="preserve">đối với ngành bia, theo hai phương án mà Ban soạn thảo đề xuất, GDP sẽ sụt giảm lần lượt là 14.276 tỉ đồng tương đương 0,0354% và 32.5259 tỷ đồng, tương đương 0,08%; Tổng giá trị tăng thêm của ngành bia là </w:t>
      </w:r>
      <w:r w:rsidR="00B43F57" w:rsidRPr="00E9721A">
        <w:rPr>
          <w:bCs/>
          <w:sz w:val="26"/>
          <w:szCs w:val="26"/>
        </w:rPr>
        <w:t>44.359 tỷ đồng, tương đương 9,4% và 61.899 tỷ đồng, tương đương 13,12%;</w:t>
      </w:r>
      <w:r w:rsidR="00ED6B6C">
        <w:rPr>
          <w:bCs/>
          <w:sz w:val="26"/>
          <w:szCs w:val="26"/>
          <w:lang w:val="en-US"/>
        </w:rPr>
        <w:t xml:space="preserve"> Thu NSNN thuế gián thu tăng 6.469</w:t>
      </w:r>
      <w:r w:rsidR="00CD6960">
        <w:rPr>
          <w:bCs/>
          <w:sz w:val="26"/>
          <w:szCs w:val="26"/>
          <w:lang w:val="en-US"/>
        </w:rPr>
        <w:t xml:space="preserve"> tỷ</w:t>
      </w:r>
      <w:r w:rsidR="00ED6B6C">
        <w:rPr>
          <w:bCs/>
          <w:sz w:val="26"/>
          <w:szCs w:val="26"/>
          <w:lang w:val="en-US"/>
        </w:rPr>
        <w:t xml:space="preserve"> đồng nhưng thuế TNDN lại giảm 1.320 t</w:t>
      </w:r>
      <w:r w:rsidR="00CD6960">
        <w:rPr>
          <w:bCs/>
          <w:sz w:val="26"/>
          <w:szCs w:val="26"/>
          <w:lang w:val="en-US"/>
        </w:rPr>
        <w:t>ỷ</w:t>
      </w:r>
      <w:r w:rsidR="00ED6B6C">
        <w:rPr>
          <w:bCs/>
          <w:sz w:val="26"/>
          <w:szCs w:val="26"/>
          <w:lang w:val="en-US"/>
        </w:rPr>
        <w:t xml:space="preserve"> đồng.</w:t>
      </w:r>
    </w:p>
    <w:p w14:paraId="0000000B" w14:textId="2CB95974" w:rsidR="00F11639" w:rsidRDefault="00554D39">
      <w:pPr>
        <w:spacing w:before="120" w:line="264" w:lineRule="auto"/>
        <w:ind w:firstLine="720"/>
        <w:jc w:val="both"/>
        <w:rPr>
          <w:sz w:val="26"/>
          <w:szCs w:val="26"/>
          <w:highlight w:val="white"/>
        </w:rPr>
      </w:pPr>
      <w:r w:rsidRPr="001E5EC9">
        <w:rPr>
          <w:sz w:val="26"/>
          <w:szCs w:val="26"/>
          <w:lang w:val="en-US"/>
        </w:rPr>
        <w:t>Thêm vào đó, t</w:t>
      </w:r>
      <w:r w:rsidR="00AA67C0" w:rsidRPr="001E5EC9">
        <w:rPr>
          <w:sz w:val="26"/>
          <w:szCs w:val="26"/>
        </w:rPr>
        <w:t>heo kết quả nghiên cứu “</w:t>
      </w:r>
      <w:r w:rsidR="00AA67C0" w:rsidRPr="001E5EC9">
        <w:rPr>
          <w:b/>
          <w:bCs/>
          <w:sz w:val="26"/>
          <w:szCs w:val="26"/>
        </w:rPr>
        <w:t>Đánh giá tác động của việc tăng thuế tiêu thụ đặc biệt cho ngành hàng bia tới hành vi người tiêu dùng</w:t>
      </w:r>
      <w:r w:rsidR="00AA67C0" w:rsidRPr="001E5EC9">
        <w:rPr>
          <w:sz w:val="26"/>
          <w:szCs w:val="26"/>
        </w:rPr>
        <w:t>”,</w:t>
      </w:r>
      <w:r w:rsidR="00AA67C0" w:rsidRPr="001E5EC9">
        <w:rPr>
          <w:b/>
          <w:sz w:val="26"/>
          <w:szCs w:val="26"/>
        </w:rPr>
        <w:t xml:space="preserve"> </w:t>
      </w:r>
      <w:r w:rsidR="00AA67C0" w:rsidRPr="001E5EC9">
        <w:rPr>
          <w:sz w:val="26"/>
          <w:szCs w:val="26"/>
        </w:rPr>
        <w:t>thực hiện bởi Công ty NielsenIQ</w:t>
      </w:r>
      <w:r w:rsidR="00EC30CC" w:rsidRPr="001E5EC9">
        <w:rPr>
          <w:sz w:val="26"/>
          <w:szCs w:val="26"/>
          <w:lang w:val="en-US"/>
        </w:rPr>
        <w:t xml:space="preserve"> chia sẻ tại Hội thảo</w:t>
      </w:r>
      <w:r w:rsidR="00AA67C0" w:rsidRPr="001E5EC9">
        <w:rPr>
          <w:sz w:val="26"/>
          <w:szCs w:val="26"/>
        </w:rPr>
        <w:t xml:space="preserve">, cho thấy khi giá tăng cao </w:t>
      </w:r>
      <w:r w:rsidR="00AA67C0" w:rsidRPr="001E5EC9">
        <w:rPr>
          <w:sz w:val="26"/>
          <w:szCs w:val="26"/>
          <w:highlight w:val="white"/>
        </w:rPr>
        <w:t>người tiêu dùng có xu hướng chuyển đổi sang sản phẩm bất hợp pháp</w:t>
      </w:r>
      <w:r w:rsidR="00EC30CC" w:rsidRPr="001E5EC9">
        <w:rPr>
          <w:sz w:val="26"/>
          <w:szCs w:val="26"/>
          <w:highlight w:val="white"/>
          <w:lang w:val="en-US"/>
        </w:rPr>
        <w:t xml:space="preserve"> (rượu thủ công, trôi nổi, không rõ nguồn gốc, không đảm bảo chất lượng v.v)</w:t>
      </w:r>
      <w:r w:rsidR="00AA67C0" w:rsidRPr="001E5EC9">
        <w:rPr>
          <w:sz w:val="26"/>
          <w:szCs w:val="26"/>
          <w:highlight w:val="white"/>
        </w:rPr>
        <w:t>, rủi ro sức khỏe, thất thu thuế</w:t>
      </w:r>
      <w:r w:rsidR="00AA67C0" w:rsidRPr="001E5EC9">
        <w:rPr>
          <w:sz w:val="26"/>
          <w:szCs w:val="26"/>
          <w:highlight w:val="white"/>
          <w:vertAlign w:val="superscript"/>
        </w:rPr>
        <w:footnoteReference w:id="4"/>
      </w:r>
      <w:r w:rsidR="00AA67C0" w:rsidRPr="001E5EC9">
        <w:rPr>
          <w:sz w:val="26"/>
          <w:szCs w:val="26"/>
          <w:highlight w:val="white"/>
        </w:rPr>
        <w:t xml:space="preserve">. </w:t>
      </w:r>
    </w:p>
    <w:p w14:paraId="16C28F8E" w14:textId="4E71A0BB" w:rsidR="00262F1C" w:rsidRPr="002F365F" w:rsidRDefault="00504E5D" w:rsidP="001E5EC9">
      <w:pPr>
        <w:widowControl/>
        <w:pBdr>
          <w:top w:val="nil"/>
          <w:left w:val="nil"/>
          <w:bottom w:val="nil"/>
          <w:right w:val="nil"/>
          <w:between w:val="nil"/>
        </w:pBdr>
        <w:shd w:val="clear" w:color="auto" w:fill="FFFFFF"/>
        <w:spacing w:before="120" w:line="264" w:lineRule="auto"/>
        <w:jc w:val="both"/>
        <w:rPr>
          <w:sz w:val="26"/>
          <w:szCs w:val="26"/>
          <w:highlight w:val="white"/>
          <w:lang w:val="en-US"/>
        </w:rPr>
      </w:pPr>
      <w:r>
        <w:rPr>
          <w:sz w:val="26"/>
          <w:szCs w:val="26"/>
          <w:lang w:val="en-US"/>
        </w:rPr>
        <w:tab/>
      </w:r>
      <w:r>
        <w:rPr>
          <w:sz w:val="26"/>
          <w:szCs w:val="26"/>
          <w:shd w:val="clear" w:color="auto" w:fill="FFFFFF"/>
          <w:lang w:val="en-US"/>
        </w:rPr>
        <w:t xml:space="preserve">Theo VBA, thời gian qua, các doanh nghiệp của ngành </w:t>
      </w:r>
      <w:r w:rsidR="00B43F57">
        <w:rPr>
          <w:sz w:val="26"/>
          <w:szCs w:val="26"/>
          <w:shd w:val="clear" w:color="auto" w:fill="FFFFFF"/>
          <w:lang w:val="en-US"/>
        </w:rPr>
        <w:t xml:space="preserve">đã và đang phải đối mặt với rất nhiều khó khăn, </w:t>
      </w:r>
      <w:r>
        <w:rPr>
          <w:sz w:val="26"/>
          <w:szCs w:val="26"/>
          <w:shd w:val="clear" w:color="auto" w:fill="FFFFFF"/>
          <w:lang w:val="en-US"/>
        </w:rPr>
        <w:t>s</w:t>
      </w:r>
      <w:r w:rsidRPr="00616725">
        <w:rPr>
          <w:sz w:val="26"/>
          <w:szCs w:val="26"/>
          <w:shd w:val="clear" w:color="auto" w:fill="FFFFFF"/>
        </w:rPr>
        <w:t xml:space="preserve">ức chống chịu của doanh nghiệp ngành rượu bia trong thời gian qua đã bị bào mòn, nhiều doanh nghiệp đã phải tái cấu trúc, cắt giảm lao động, đóng cửa nhà máy v.v, chưa có dấu hiệu hồi phục rõ ràng. </w:t>
      </w:r>
      <w:r w:rsidR="00B43F57">
        <w:rPr>
          <w:sz w:val="26"/>
          <w:szCs w:val="26"/>
          <w:shd w:val="clear" w:color="auto" w:fill="FFFFFF"/>
          <w:lang w:val="en-US"/>
        </w:rPr>
        <w:t xml:space="preserve">Vì vậy, </w:t>
      </w:r>
      <w:r w:rsidR="00B43F57" w:rsidRPr="00616725">
        <w:rPr>
          <w:sz w:val="26"/>
          <w:szCs w:val="26"/>
        </w:rPr>
        <w:t xml:space="preserve">VBA và các doanh nghiệp ngành đồ uống </w:t>
      </w:r>
      <w:r w:rsidR="00B43F57">
        <w:rPr>
          <w:sz w:val="26"/>
          <w:szCs w:val="26"/>
          <w:lang w:val="en-US"/>
        </w:rPr>
        <w:t xml:space="preserve">kiến nghị </w:t>
      </w:r>
      <w:r w:rsidR="00B43F57" w:rsidRPr="002F365F">
        <w:rPr>
          <w:sz w:val="26"/>
          <w:szCs w:val="26"/>
          <w:lang w:val="en-US"/>
        </w:rPr>
        <w:t xml:space="preserve">(1) </w:t>
      </w:r>
      <w:r w:rsidR="00B43F57" w:rsidRPr="001E5EC9">
        <w:rPr>
          <w:rFonts w:eastAsia="Calibri"/>
          <w:sz w:val="26"/>
          <w:szCs w:val="26"/>
          <w:lang w:val="vi-VN"/>
        </w:rPr>
        <w:t>Đối với sản phẩm rượu, bia</w:t>
      </w:r>
      <w:r w:rsidR="00B43F57" w:rsidRPr="002F365F">
        <w:rPr>
          <w:rFonts w:eastAsia="Calibri"/>
          <w:sz w:val="26"/>
          <w:szCs w:val="26"/>
          <w:lang w:val="en-US"/>
        </w:rPr>
        <w:t>:</w:t>
      </w:r>
      <w:r w:rsidR="00B43F57" w:rsidRPr="002F365F">
        <w:rPr>
          <w:rFonts w:eastAsia="Calibri"/>
          <w:sz w:val="26"/>
          <w:szCs w:val="26"/>
        </w:rPr>
        <w:t xml:space="preserve"> </w:t>
      </w:r>
      <w:r w:rsidR="00B43F57" w:rsidRPr="002F365F">
        <w:rPr>
          <w:rFonts w:eastAsia="Calibri"/>
          <w:b/>
          <w:bCs/>
          <w:sz w:val="26"/>
          <w:szCs w:val="26"/>
        </w:rPr>
        <w:t>Lùi</w:t>
      </w:r>
      <w:r w:rsidR="00B43F57" w:rsidRPr="001E5EC9">
        <w:rPr>
          <w:rFonts w:eastAsia="Calibri"/>
          <w:b/>
          <w:bCs/>
          <w:sz w:val="26"/>
          <w:szCs w:val="26"/>
        </w:rPr>
        <w:t xml:space="preserve"> hiệu lực đến năm </w:t>
      </w:r>
      <w:r w:rsidR="00B43F57" w:rsidRPr="002F365F">
        <w:rPr>
          <w:rFonts w:eastAsia="Calibri"/>
          <w:b/>
          <w:bCs/>
          <w:sz w:val="26"/>
          <w:szCs w:val="26"/>
        </w:rPr>
        <w:t>2028</w:t>
      </w:r>
      <w:r w:rsidR="00B43F57" w:rsidRPr="001E5EC9">
        <w:rPr>
          <w:rFonts w:eastAsia="Calibri"/>
          <w:b/>
          <w:bCs/>
          <w:sz w:val="26"/>
          <w:szCs w:val="26"/>
        </w:rPr>
        <w:t xml:space="preserve">; Áp dụng tăng thuế theo </w:t>
      </w:r>
      <w:r w:rsidR="00B43F57" w:rsidRPr="002F365F">
        <w:rPr>
          <w:rFonts w:eastAsia="Calibri"/>
          <w:b/>
          <w:bCs/>
          <w:sz w:val="26"/>
          <w:szCs w:val="26"/>
        </w:rPr>
        <w:t>Phương án 1</w:t>
      </w:r>
      <w:r w:rsidR="00B43F57" w:rsidRPr="001E5EC9">
        <w:rPr>
          <w:rFonts w:eastAsia="Calibri"/>
          <w:sz w:val="26"/>
          <w:szCs w:val="26"/>
          <w:lang w:val="en-US"/>
        </w:rPr>
        <w:t xml:space="preserve"> </w:t>
      </w:r>
      <w:r w:rsidR="00B43F57" w:rsidRPr="002F365F">
        <w:rPr>
          <w:rFonts w:eastAsia="Calibri"/>
          <w:sz w:val="26"/>
          <w:szCs w:val="26"/>
          <w:lang w:val="en-US"/>
        </w:rPr>
        <w:t>và (2) Đ</w:t>
      </w:r>
      <w:r w:rsidR="00B43F57" w:rsidRPr="001E5EC9">
        <w:rPr>
          <w:sz w:val="26"/>
          <w:szCs w:val="26"/>
        </w:rPr>
        <w:t>ối với sản phẩm nước giải khát có đường</w:t>
      </w:r>
      <w:r w:rsidR="00B43F57" w:rsidRPr="002F365F">
        <w:rPr>
          <w:sz w:val="26"/>
          <w:szCs w:val="26"/>
        </w:rPr>
        <w:t>:</w:t>
      </w:r>
      <w:r w:rsidR="00B43F57" w:rsidRPr="001E5EC9">
        <w:rPr>
          <w:sz w:val="26"/>
          <w:szCs w:val="26"/>
        </w:rPr>
        <w:t xml:space="preserve"> </w:t>
      </w:r>
      <w:r w:rsidR="00B43F57" w:rsidRPr="002F365F">
        <w:rPr>
          <w:b/>
          <w:bCs/>
          <w:sz w:val="26"/>
          <w:szCs w:val="26"/>
        </w:rPr>
        <w:t xml:space="preserve">Xem xét chưa nên </w:t>
      </w:r>
      <w:r w:rsidR="00B43F57" w:rsidRPr="002F365F">
        <w:rPr>
          <w:rStyle w:val="fontstyle01"/>
          <w:b/>
          <w:bCs/>
          <w:sz w:val="26"/>
          <w:szCs w:val="26"/>
        </w:rPr>
        <w:t>bổ sung</w:t>
      </w:r>
      <w:r w:rsidR="00B43F57" w:rsidRPr="001E5EC9">
        <w:rPr>
          <w:rStyle w:val="fontstyle01"/>
          <w:b/>
          <w:bCs/>
          <w:sz w:val="26"/>
          <w:szCs w:val="26"/>
        </w:rPr>
        <w:t xml:space="preserve"> </w:t>
      </w:r>
      <w:r w:rsidR="00B43F57" w:rsidRPr="002F365F">
        <w:rPr>
          <w:rStyle w:val="fontstyle01"/>
          <w:b/>
          <w:bCs/>
          <w:sz w:val="26"/>
          <w:szCs w:val="26"/>
        </w:rPr>
        <w:t>mặt hàng</w:t>
      </w:r>
      <w:r w:rsidR="00B43F57" w:rsidRPr="001E5EC9">
        <w:rPr>
          <w:rStyle w:val="fontstyle01"/>
          <w:b/>
          <w:bCs/>
          <w:sz w:val="26"/>
          <w:szCs w:val="26"/>
        </w:rPr>
        <w:t xml:space="preserve"> </w:t>
      </w:r>
      <w:r w:rsidR="00B43F57" w:rsidRPr="002F365F">
        <w:rPr>
          <w:rStyle w:val="fontstyle01"/>
          <w:b/>
          <w:bCs/>
          <w:sz w:val="26"/>
          <w:szCs w:val="26"/>
        </w:rPr>
        <w:t>nước giải khát</w:t>
      </w:r>
      <w:r w:rsidR="00B43F57" w:rsidRPr="002F365F">
        <w:rPr>
          <w:rStyle w:val="fontstyle01"/>
          <w:sz w:val="26"/>
          <w:szCs w:val="26"/>
        </w:rPr>
        <w:t xml:space="preserve"> theo Tiêu chuẩn Việt Nam (TCVN) có hàm lượng đường trên 5g/100ml,</w:t>
      </w:r>
      <w:r w:rsidR="00B43F57" w:rsidRPr="001E5EC9">
        <w:rPr>
          <w:rStyle w:val="fontstyle01"/>
          <w:sz w:val="26"/>
          <w:szCs w:val="26"/>
        </w:rPr>
        <w:t xml:space="preserve"> </w:t>
      </w:r>
      <w:r w:rsidR="00B43F57" w:rsidRPr="001E5EC9">
        <w:rPr>
          <w:rStyle w:val="fontstyle01"/>
          <w:b/>
          <w:bCs/>
          <w:sz w:val="26"/>
          <w:szCs w:val="26"/>
        </w:rPr>
        <w:t>vào đối tượng chịu thuế TTĐB</w:t>
      </w:r>
      <w:r w:rsidR="00B43F57" w:rsidRPr="002F365F">
        <w:rPr>
          <w:rStyle w:val="fontstyle01"/>
          <w:sz w:val="26"/>
          <w:szCs w:val="26"/>
        </w:rPr>
        <w:t>.</w:t>
      </w:r>
    </w:p>
    <w:p w14:paraId="1E4F80A4" w14:textId="5DA994F3" w:rsidR="00DC4531" w:rsidRPr="00034BEB" w:rsidRDefault="00DC4531" w:rsidP="00DC4531">
      <w:pPr>
        <w:autoSpaceDE w:val="0"/>
        <w:autoSpaceDN w:val="0"/>
        <w:spacing w:before="120" w:line="264" w:lineRule="auto"/>
        <w:jc w:val="both"/>
        <w:rPr>
          <w:sz w:val="26"/>
          <w:szCs w:val="26"/>
          <w:lang w:val="en-US"/>
        </w:rPr>
      </w:pPr>
      <w:r>
        <w:rPr>
          <w:sz w:val="24"/>
          <w:szCs w:val="24"/>
        </w:rPr>
        <w:tab/>
      </w:r>
      <w:r w:rsidRPr="00034BEB">
        <w:rPr>
          <w:b/>
          <w:sz w:val="26"/>
          <w:szCs w:val="26"/>
          <w:lang w:val="en-US"/>
        </w:rPr>
        <w:t>Đối với mặt hàng thuốc lá,</w:t>
      </w:r>
      <w:r w:rsidRPr="00034BEB">
        <w:rPr>
          <w:sz w:val="26"/>
          <w:szCs w:val="26"/>
          <w:lang w:val="en-US"/>
        </w:rPr>
        <w:t xml:space="preserve"> t</w:t>
      </w:r>
      <w:r w:rsidRPr="00034BEB">
        <w:rPr>
          <w:sz w:val="26"/>
          <w:szCs w:val="26"/>
        </w:rPr>
        <w:t xml:space="preserve">ại hội nghị, ông Nguyễn Chí Nhân - Tổng Thư ký Hiệp hội Thuốc lá Việt Nam (VTA) đã nhấn mạnh, “Nếu áp dụng mức tăng thuế như đề xuất trong Dự thảo, ngành thuốc lá hợp pháp có thể suy giảm mạnh, làm thất thu ngân sách và khiến thuốc lá lậu gia tăng đáng kể”. </w:t>
      </w:r>
      <w:r w:rsidRPr="00034BEB">
        <w:rPr>
          <w:b/>
          <w:bCs/>
          <w:i/>
          <w:iCs/>
          <w:sz w:val="26"/>
          <w:szCs w:val="26"/>
        </w:rPr>
        <w:t>Theo Viện Chiến lược và Chính sách Tài chính (NIF)</w:t>
      </w:r>
      <w:r w:rsidRPr="00034BEB">
        <w:rPr>
          <w:sz w:val="26"/>
          <w:szCs w:val="26"/>
        </w:rPr>
        <w:t>, nếu áp dụng phương án 2 của Dự thảo, đến năm 2030, sản lượng thuốc lá hợp pháp có thể giảm từ 30% đến 43%. Đồng thời, từ 30% đến 70% người tiêu dùng sẽ chuyển qua thuốc lá lậu, kéo theo thất thu từ 10.900 - 20.700 tỷ đồng thu thuế cho ngân sách Nhà nước.</w:t>
      </w:r>
      <w:r w:rsidRPr="00034BEB">
        <w:rPr>
          <w:sz w:val="26"/>
          <w:szCs w:val="26"/>
          <w:lang w:val="en-US"/>
        </w:rPr>
        <w:t xml:space="preserve"> Xu hướng này cũng tương tự ở </w:t>
      </w:r>
      <w:r w:rsidRPr="00034BEB">
        <w:rPr>
          <w:b/>
          <w:bCs/>
          <w:i/>
          <w:iCs/>
          <w:sz w:val="26"/>
          <w:szCs w:val="26"/>
          <w:lang w:val="en-US"/>
        </w:rPr>
        <w:t>mô hình phân tích của PwC</w:t>
      </w:r>
      <w:r w:rsidRPr="00034BEB">
        <w:rPr>
          <w:sz w:val="26"/>
          <w:szCs w:val="26"/>
          <w:lang w:val="en-US"/>
        </w:rPr>
        <w:t xml:space="preserve">: các phương án tăng thuế của Dự thảo sẽ khiến sản lượng thuốc lá hợp pháp tại Việt Nam giảm hơn 70% vào năm 2030 so với hiện tại, thuốc lá lậu có thể tăng lên 50 tỷ điếu và thất thu ngân sách lên đến 40 nghìn tỷ đồng vào năm 2030. </w:t>
      </w:r>
    </w:p>
    <w:p w14:paraId="6B06D6B6" w14:textId="234D3438" w:rsidR="00DC4531" w:rsidRPr="00034BEB" w:rsidRDefault="00DC4531" w:rsidP="00DC4531">
      <w:pPr>
        <w:autoSpaceDE w:val="0"/>
        <w:autoSpaceDN w:val="0"/>
        <w:spacing w:before="120" w:line="264" w:lineRule="auto"/>
        <w:ind w:firstLine="720"/>
        <w:jc w:val="both"/>
        <w:rPr>
          <w:sz w:val="26"/>
          <w:szCs w:val="26"/>
          <w:lang w:val="en-US"/>
        </w:rPr>
      </w:pPr>
      <w:r w:rsidRPr="00034BEB">
        <w:rPr>
          <w:sz w:val="26"/>
          <w:szCs w:val="26"/>
          <w:lang w:val="en-US"/>
        </w:rPr>
        <w:t xml:space="preserve">Do thuốc lá là sản phẩm gây nghiện nên khi giá tăng đột ngột, phần lớn người hút thuốc </w:t>
      </w:r>
      <w:r w:rsidRPr="00034BEB">
        <w:rPr>
          <w:sz w:val="26"/>
          <w:szCs w:val="26"/>
          <w:lang w:val="en-US"/>
        </w:rPr>
        <w:lastRenderedPageBreak/>
        <w:t>sẽ tìm kiếm sản phẩm thay thế phù hợp hơn</w:t>
      </w:r>
      <w:r>
        <w:rPr>
          <w:sz w:val="26"/>
          <w:szCs w:val="26"/>
          <w:lang w:val="en-US"/>
        </w:rPr>
        <w:t>, t</w:t>
      </w:r>
      <w:r w:rsidRPr="00034BEB">
        <w:rPr>
          <w:sz w:val="26"/>
          <w:szCs w:val="26"/>
          <w:lang w:val="en-US"/>
        </w:rPr>
        <w:t>rong khi đó sản phẩm thuốc lá lậu tại Việt Nam được bày bán công khai và có lợi thế về giá cả so với thuốc lá hợp pháp, đặc biệt là giá thuốc lá hợp pháp sau khi tăng đột ngột theo Phương án 2.</w:t>
      </w:r>
    </w:p>
    <w:p w14:paraId="0067FABC" w14:textId="77777777" w:rsidR="00DC4531" w:rsidRPr="00034BEB" w:rsidRDefault="00DC4531" w:rsidP="00DC4531">
      <w:pPr>
        <w:autoSpaceDE w:val="0"/>
        <w:autoSpaceDN w:val="0"/>
        <w:spacing w:before="120" w:line="264" w:lineRule="auto"/>
        <w:ind w:firstLine="720"/>
        <w:jc w:val="both"/>
        <w:rPr>
          <w:sz w:val="26"/>
          <w:szCs w:val="26"/>
          <w:lang w:val="en-US"/>
        </w:rPr>
      </w:pPr>
      <w:r w:rsidRPr="00034BEB">
        <w:rPr>
          <w:sz w:val="26"/>
          <w:szCs w:val="26"/>
        </w:rPr>
        <w:t xml:space="preserve">Nhìn vào </w:t>
      </w:r>
      <w:r w:rsidRPr="00034BEB">
        <w:rPr>
          <w:b/>
          <w:bCs/>
          <w:i/>
          <w:iCs/>
          <w:sz w:val="26"/>
          <w:szCs w:val="26"/>
        </w:rPr>
        <w:t>kinh nghiệm quốc tế, bà Đinh Thị Quỳnh Vân - Chủ tịch PwC Việt Nam</w:t>
      </w:r>
      <w:r w:rsidRPr="00034BEB">
        <w:rPr>
          <w:sz w:val="26"/>
          <w:szCs w:val="26"/>
        </w:rPr>
        <w:t xml:space="preserve"> cho biết, “Chính phủ Malaysia tăng thuế thuốc lá thêm 40% vào năm 2015, ngay lập tức vào năm 2016 thị phần thuốc lá hợp pháp tại Malaysia đã giảm 26% trong khi đó thuốc lá lậu tăng gần 40%”. Dù chỉ tăng thuế đúng một lần vào năm 2015, nhưng vào năm 2020, thị phần thuốc lá hợp pháp tiếp tục giảm 42% so với trước khi tăng, thuốc lá lậu đã chiếm 64% thị phần. Malaysia và Việt Nam có nhiều điểm tương đồng về kinh tế. Vì vậy nếu Việt Nam áp dụng mức tăng thuế cao đột ngột (phương án 1: thuế tăng thêm 42%, và phương án 2: thuế tăng thêm 100%) và tăng mỗi năm như Dự thảo thì sẽ kéo theo nhiều hệ quả hơn như NIF và PwC đã phân tích.</w:t>
      </w:r>
    </w:p>
    <w:p w14:paraId="22AC6920" w14:textId="777FAD91" w:rsidR="00DC4531" w:rsidRPr="00034BEB" w:rsidRDefault="00DC4531" w:rsidP="001E5EC9">
      <w:pPr>
        <w:autoSpaceDE w:val="0"/>
        <w:autoSpaceDN w:val="0"/>
        <w:spacing w:before="120" w:line="264" w:lineRule="auto"/>
        <w:jc w:val="both"/>
        <w:rPr>
          <w:sz w:val="26"/>
          <w:szCs w:val="26"/>
        </w:rPr>
      </w:pPr>
      <w:r w:rsidRPr="00034BEB">
        <w:rPr>
          <w:sz w:val="26"/>
          <w:szCs w:val="26"/>
          <w:lang w:val="en-US"/>
        </w:rPr>
        <w:tab/>
        <w:t xml:space="preserve">Để tạo điều kiện cho ngành Thuốc lá thực hiện nghị quyết 25/NQ-CP của Chính phủ về đảm bảo mục tiêu tăng trưởng năm 2025 từ 8% trở lên và các năm sau tăng trưởng hai con số, đề nghị Quốc hội quy định mức thuế tuyệt đối như sau: </w:t>
      </w:r>
      <w:r w:rsidRPr="00034BEB">
        <w:rPr>
          <w:b/>
          <w:bCs/>
          <w:sz w:val="26"/>
          <w:szCs w:val="26"/>
          <w:u w:val="single"/>
          <w:lang w:val="en-US"/>
        </w:rPr>
        <w:t>M</w:t>
      </w:r>
      <w:r w:rsidRPr="00034BEB">
        <w:rPr>
          <w:b/>
          <w:bCs/>
          <w:sz w:val="26"/>
          <w:szCs w:val="26"/>
          <w:u w:val="single"/>
        </w:rPr>
        <w:t>ức thuế tuyệt đối tăng 2.000 đồng/bao mỗi hai năm kể từ năm 2026 và đạt tối đa 6.000 đồng/bao vào năm 2030</w:t>
      </w:r>
      <w:r w:rsidRPr="00034BEB">
        <w:rPr>
          <w:sz w:val="26"/>
          <w:szCs w:val="26"/>
        </w:rPr>
        <w:t>. Đây là mức thuế đủ cao để giảm thiểu tiêu dùng nhưng vẫn đảm bảo doanh nghiệp có thêm thời gian thích ứng, điều chỉnh sản xuất, cải tiến công nghệ, và hạn chế sự phát triển của thị trường thuốc lá lậu.</w:t>
      </w:r>
    </w:p>
    <w:p w14:paraId="0AA056DD" w14:textId="59C3181A" w:rsidR="00DC4531" w:rsidRPr="0068663C" w:rsidRDefault="00DC4531" w:rsidP="001E5EC9">
      <w:pPr>
        <w:spacing w:before="120" w:line="264" w:lineRule="auto"/>
        <w:ind w:firstLine="720"/>
        <w:jc w:val="both"/>
        <w:rPr>
          <w:rFonts w:eastAsiaTheme="minorHAnsi"/>
          <w:kern w:val="2"/>
          <w:sz w:val="26"/>
          <w:szCs w:val="26"/>
          <w:lang w:val="en-US"/>
          <w14:ligatures w14:val="standardContextual"/>
        </w:rPr>
      </w:pPr>
      <w:r>
        <w:rPr>
          <w:rFonts w:eastAsiaTheme="minorHAnsi"/>
          <w:kern w:val="2"/>
          <w:sz w:val="26"/>
          <w:szCs w:val="26"/>
          <w:lang w:val="en-US"/>
          <w14:ligatures w14:val="standardContextual"/>
        </w:rPr>
        <w:t>Liên quan đến ngành ô tô, tại hội thảo, ô</w:t>
      </w:r>
      <w:r w:rsidRPr="001210BE">
        <w:rPr>
          <w:rFonts w:eastAsiaTheme="minorHAnsi"/>
          <w:kern w:val="2"/>
          <w:sz w:val="26"/>
          <w:szCs w:val="26"/>
          <w:lang w:val="en-US"/>
          <w14:ligatures w14:val="standardContextual"/>
        </w:rPr>
        <w:t xml:space="preserve">ng Đào Công Quyết, Trưởng tiểu ban </w:t>
      </w:r>
      <w:r>
        <w:rPr>
          <w:rFonts w:eastAsiaTheme="minorHAnsi"/>
          <w:kern w:val="2"/>
          <w:sz w:val="26"/>
          <w:szCs w:val="26"/>
          <w:lang w:val="en-US"/>
          <w14:ligatures w14:val="standardContextual"/>
        </w:rPr>
        <w:t xml:space="preserve">Truyền thông </w:t>
      </w:r>
      <w:r w:rsidRPr="001210BE">
        <w:rPr>
          <w:rFonts w:eastAsiaTheme="minorHAnsi"/>
          <w:kern w:val="2"/>
          <w:sz w:val="26"/>
          <w:szCs w:val="26"/>
          <w:lang w:val="en-US"/>
          <w14:ligatures w14:val="standardContextual"/>
        </w:rPr>
        <w:t xml:space="preserve">của </w:t>
      </w:r>
      <w:r>
        <w:rPr>
          <w:rFonts w:eastAsiaTheme="minorHAnsi"/>
          <w:kern w:val="2"/>
          <w:sz w:val="26"/>
          <w:szCs w:val="26"/>
          <w:lang w:val="en-US"/>
          <w14:ligatures w14:val="standardContextual"/>
        </w:rPr>
        <w:t>Hiệp hội các nhà sản xuất ô tô (</w:t>
      </w:r>
      <w:r w:rsidRPr="001210BE">
        <w:rPr>
          <w:rFonts w:eastAsiaTheme="minorHAnsi"/>
          <w:kern w:val="2"/>
          <w:sz w:val="26"/>
          <w:szCs w:val="26"/>
          <w:lang w:val="en-US"/>
          <w14:ligatures w14:val="standardContextual"/>
        </w:rPr>
        <w:t>VAMA</w:t>
      </w:r>
      <w:r>
        <w:rPr>
          <w:rFonts w:eastAsiaTheme="minorHAnsi"/>
          <w:kern w:val="2"/>
          <w:sz w:val="26"/>
          <w:szCs w:val="26"/>
          <w:lang w:val="en-US"/>
          <w14:ligatures w14:val="standardContextual"/>
        </w:rPr>
        <w:t xml:space="preserve">) bày tỏ về mối quan tâm lớn của hiệp hội và các doanh nghiệp trong ngành mong muốn có chính sách thuế </w:t>
      </w:r>
      <w:r w:rsidRPr="0068663C">
        <w:rPr>
          <w:rFonts w:eastAsiaTheme="minorHAnsi"/>
          <w:kern w:val="2"/>
          <w:sz w:val="26"/>
          <w:szCs w:val="26"/>
          <w:lang w:val="en-US"/>
          <w14:ligatures w14:val="standardContextual"/>
        </w:rPr>
        <w:t>hài hòa lợi ích giữa đảm bảo thu ngân sách, mục tiêu phát triển ngành công nghiệp ô tô và lợi ích của người tiêu dùng, cũng như bảo vệ môi trường. VAMA tiếp tục kiến nghị:</w:t>
      </w:r>
    </w:p>
    <w:p w14:paraId="37E07067" w14:textId="6D020977" w:rsidR="00DC4531" w:rsidRPr="0068663C" w:rsidRDefault="00CD6960" w:rsidP="00DC4531">
      <w:pPr>
        <w:tabs>
          <w:tab w:val="left" w:pos="426"/>
        </w:tabs>
        <w:spacing w:before="120" w:line="264" w:lineRule="auto"/>
        <w:jc w:val="both"/>
        <w:rPr>
          <w:b/>
          <w:bCs/>
          <w:sz w:val="26"/>
          <w:szCs w:val="26"/>
          <w:lang w:val="vi-VN"/>
        </w:rPr>
      </w:pPr>
      <w:r>
        <w:rPr>
          <w:b/>
          <w:bCs/>
          <w:sz w:val="26"/>
          <w:szCs w:val="26"/>
          <w:lang w:val="vi-VN"/>
        </w:rPr>
        <w:tab/>
      </w:r>
      <w:r>
        <w:rPr>
          <w:b/>
          <w:bCs/>
          <w:sz w:val="26"/>
          <w:szCs w:val="26"/>
          <w:lang w:val="vi-VN"/>
        </w:rPr>
        <w:tab/>
      </w:r>
      <w:bookmarkStart w:id="0" w:name="_GoBack"/>
      <w:bookmarkEnd w:id="0"/>
      <w:r w:rsidR="00DC4531" w:rsidRPr="0068663C">
        <w:rPr>
          <w:b/>
          <w:bCs/>
          <w:sz w:val="26"/>
          <w:szCs w:val="26"/>
          <w:lang w:val="vi-VN"/>
        </w:rPr>
        <w:t>(i) Đề xuất 1: Ưu đãi thuế TTĐB đối với xe hybrid điện</w:t>
      </w:r>
    </w:p>
    <w:p w14:paraId="3844E4E1" w14:textId="77777777" w:rsidR="00DC4531" w:rsidRPr="0068663C" w:rsidRDefault="00DC4531" w:rsidP="00DC4531">
      <w:pPr>
        <w:tabs>
          <w:tab w:val="left" w:pos="426"/>
        </w:tabs>
        <w:spacing w:before="120" w:line="264" w:lineRule="auto"/>
        <w:jc w:val="both"/>
        <w:rPr>
          <w:sz w:val="26"/>
          <w:szCs w:val="26"/>
          <w:lang w:val="vi-VN"/>
        </w:rPr>
      </w:pPr>
      <w:r w:rsidRPr="0068663C">
        <w:rPr>
          <w:b/>
          <w:bCs/>
          <w:sz w:val="26"/>
          <w:szCs w:val="26"/>
          <w:lang w:val="vi-VN"/>
        </w:rPr>
        <w:tab/>
      </w:r>
      <w:r w:rsidRPr="0068663C">
        <w:rPr>
          <w:b/>
          <w:bCs/>
          <w:sz w:val="26"/>
          <w:szCs w:val="26"/>
          <w:lang w:val="vi-VN"/>
        </w:rPr>
        <w:tab/>
        <w:t xml:space="preserve">* </w:t>
      </w:r>
      <w:r w:rsidRPr="0068663C">
        <w:rPr>
          <w:sz w:val="26"/>
          <w:szCs w:val="26"/>
          <w:lang w:val="vi-VN"/>
        </w:rPr>
        <w:t xml:space="preserve">Ưu đãi cho xe hybrid điện không cần hệ thống nạp điện riêng (HEV) </w:t>
      </w:r>
      <w:r w:rsidRPr="0068663C">
        <w:rPr>
          <w:b/>
          <w:bCs/>
          <w:sz w:val="26"/>
          <w:szCs w:val="26"/>
          <w:lang w:val="vi-VN"/>
        </w:rPr>
        <w:t>bằng 70%</w:t>
      </w:r>
      <w:r w:rsidRPr="0068663C">
        <w:rPr>
          <w:sz w:val="26"/>
          <w:szCs w:val="26"/>
          <w:lang w:val="vi-VN"/>
        </w:rPr>
        <w:t xml:space="preserve"> mức thuế suất áp dụng cho xe chạy bằng xăng, dầu cùng loại </w:t>
      </w:r>
      <w:r w:rsidRPr="0068663C">
        <w:rPr>
          <w:i/>
          <w:iCs/>
          <w:sz w:val="26"/>
          <w:szCs w:val="26"/>
          <w:lang w:val="vi-VN"/>
        </w:rPr>
        <w:t>(hiện tại là 100%).</w:t>
      </w:r>
    </w:p>
    <w:p w14:paraId="460D4DD3" w14:textId="77777777" w:rsidR="00DC4531" w:rsidRDefault="00DC4531" w:rsidP="00DC4531">
      <w:pPr>
        <w:tabs>
          <w:tab w:val="left" w:pos="426"/>
        </w:tabs>
        <w:spacing w:before="120" w:line="264" w:lineRule="auto"/>
        <w:jc w:val="both"/>
        <w:rPr>
          <w:i/>
          <w:iCs/>
          <w:sz w:val="26"/>
          <w:szCs w:val="26"/>
          <w:lang w:val="vi-VN"/>
        </w:rPr>
      </w:pPr>
      <w:r w:rsidRPr="0068663C">
        <w:rPr>
          <w:sz w:val="26"/>
          <w:szCs w:val="26"/>
          <w:lang w:val="vi-VN"/>
        </w:rPr>
        <w:tab/>
      </w:r>
      <w:r w:rsidRPr="0068663C">
        <w:rPr>
          <w:sz w:val="26"/>
          <w:szCs w:val="26"/>
          <w:lang w:val="vi-VN"/>
        </w:rPr>
        <w:tab/>
        <w:t xml:space="preserve">* Ưu đãi cho xe hybrid điện nạp điện bằng hệ thống sạc điện riêng (PHEV) </w:t>
      </w:r>
      <w:r w:rsidRPr="0068663C">
        <w:rPr>
          <w:b/>
          <w:bCs/>
          <w:sz w:val="26"/>
          <w:szCs w:val="26"/>
          <w:lang w:val="vi-VN"/>
        </w:rPr>
        <w:t>bằng 50%</w:t>
      </w:r>
      <w:r w:rsidRPr="0068663C">
        <w:rPr>
          <w:sz w:val="26"/>
          <w:szCs w:val="26"/>
          <w:lang w:val="vi-VN"/>
        </w:rPr>
        <w:t xml:space="preserve"> mức thuế suất áp dụng cho xe chạy bằng xăng, dầu cùng loại </w:t>
      </w:r>
      <w:r w:rsidRPr="0068663C">
        <w:rPr>
          <w:i/>
          <w:iCs/>
          <w:sz w:val="26"/>
          <w:szCs w:val="26"/>
          <w:lang w:val="vi-VN"/>
        </w:rPr>
        <w:t>(hiện tại là 70%).</w:t>
      </w:r>
    </w:p>
    <w:p w14:paraId="076F7970" w14:textId="77777777" w:rsidR="00DC4531" w:rsidRDefault="00DC4531" w:rsidP="00DC4531">
      <w:pPr>
        <w:spacing w:before="120" w:line="264" w:lineRule="auto"/>
        <w:jc w:val="both"/>
        <w:rPr>
          <w:rFonts w:eastAsiaTheme="minorHAnsi"/>
          <w:b/>
          <w:bCs/>
          <w:kern w:val="2"/>
          <w:sz w:val="26"/>
          <w:szCs w:val="26"/>
          <w:lang w:val="vi-VN"/>
          <w14:ligatures w14:val="standardContextual"/>
        </w:rPr>
      </w:pPr>
      <w:r w:rsidRPr="00295023">
        <w:rPr>
          <w:rFonts w:eastAsiaTheme="minorHAnsi"/>
          <w:kern w:val="2"/>
          <w:sz w:val="26"/>
          <w:szCs w:val="26"/>
          <w:lang w:val="vi-VN"/>
          <w14:ligatures w14:val="standardContextual"/>
        </w:rPr>
        <w:t xml:space="preserve">         </w:t>
      </w:r>
      <w:r w:rsidRPr="0068663C">
        <w:rPr>
          <w:rFonts w:eastAsiaTheme="minorHAnsi"/>
          <w:kern w:val="2"/>
          <w:sz w:val="26"/>
          <w:szCs w:val="26"/>
          <w:lang w:val="vi-VN"/>
          <w14:ligatures w14:val="standardContextual"/>
        </w:rPr>
        <w:t xml:space="preserve">Theo Luật thuế TTĐB không phân biệt xe ô tô chạy bằng xăng kết hợp năng lượng điện (hay còn gọi là xe Hybrid) có hay không có hệ thống nạp điện ngoài. Tuy nhiên, quá trình thực hiện có vướng mắc rất lớn, đó là: chỉ có xe Hybrid có hệ thống nạp điện ngoài được hưởng ưu đãi về thuế TTĐB, </w:t>
      </w:r>
      <w:r w:rsidRPr="0068663C">
        <w:rPr>
          <w:rFonts w:eastAsiaTheme="minorHAnsi"/>
          <w:b/>
          <w:bCs/>
          <w:kern w:val="2"/>
          <w:sz w:val="26"/>
          <w:szCs w:val="26"/>
          <w:lang w:val="vi-VN"/>
          <w14:ligatures w14:val="standardContextual"/>
        </w:rPr>
        <w:t>trong khi xe Hybrid không có hệ thống nạp điện ngoài</w:t>
      </w:r>
      <w:r w:rsidRPr="0068663C">
        <w:rPr>
          <w:rFonts w:eastAsiaTheme="minorHAnsi"/>
          <w:kern w:val="2"/>
          <w:sz w:val="26"/>
          <w:szCs w:val="26"/>
          <w:lang w:val="vi-VN"/>
          <w14:ligatures w14:val="standardContextual"/>
        </w:rPr>
        <w:t xml:space="preserve"> </w:t>
      </w:r>
      <w:r w:rsidRPr="0068663C">
        <w:rPr>
          <w:rFonts w:eastAsiaTheme="minorHAnsi"/>
          <w:b/>
          <w:bCs/>
          <w:kern w:val="2"/>
          <w:sz w:val="26"/>
          <w:szCs w:val="26"/>
          <w:lang w:val="vi-VN"/>
          <w14:ligatures w14:val="standardContextual"/>
        </w:rPr>
        <w:t>thì chưa được hưởng ưu đãi về thuế TTĐB</w:t>
      </w:r>
      <w:r w:rsidRPr="00295023">
        <w:rPr>
          <w:rFonts w:eastAsiaTheme="minorHAnsi"/>
          <w:b/>
          <w:bCs/>
          <w:kern w:val="2"/>
          <w:sz w:val="26"/>
          <w:szCs w:val="26"/>
          <w:lang w:val="vi-VN"/>
          <w14:ligatures w14:val="standardContextual"/>
        </w:rPr>
        <w:t>.</w:t>
      </w:r>
    </w:p>
    <w:p w14:paraId="3F488737" w14:textId="1C6A31EA" w:rsidR="00DC4531" w:rsidRDefault="00DC4531" w:rsidP="001E5EC9">
      <w:pPr>
        <w:spacing w:before="120" w:line="264" w:lineRule="auto"/>
        <w:ind w:firstLine="720"/>
        <w:jc w:val="both"/>
        <w:rPr>
          <w:sz w:val="26"/>
          <w:szCs w:val="26"/>
          <w:lang w:val="vi-VN"/>
        </w:rPr>
      </w:pPr>
      <w:r w:rsidRPr="00295023">
        <w:rPr>
          <w:sz w:val="26"/>
          <w:szCs w:val="26"/>
          <w:lang w:val="vi-VN"/>
        </w:rPr>
        <w:t xml:space="preserve">Theo Nghiên cứu của KPMG, </w:t>
      </w:r>
      <w:r w:rsidRPr="0068663C">
        <w:rPr>
          <w:sz w:val="26"/>
          <w:szCs w:val="26"/>
          <w:lang w:val="vi-VN"/>
        </w:rPr>
        <w:t>các xe Hybrid được sản xuất trong giai đoạn 2026-2030 có thể góp phần giảm hơn 2,6 triệu tấn lượng phát thải khí CO2, giúp tiết kiệm ngân sách để bù đắp lượng phát thải tương đương với 333 tỷ đồng tín chỉ cac-bon.</w:t>
      </w:r>
      <w:r w:rsidRPr="00295023">
        <w:rPr>
          <w:sz w:val="26"/>
          <w:szCs w:val="26"/>
          <w:lang w:val="vi-VN"/>
        </w:rPr>
        <w:t xml:space="preserve"> Đồng thời, với ưu đãi như đề xuất của VAMA, sẽ </w:t>
      </w:r>
      <w:r w:rsidRPr="0068663C">
        <w:rPr>
          <w:sz w:val="26"/>
          <w:szCs w:val="26"/>
          <w:lang w:val="vi-VN"/>
        </w:rPr>
        <w:t>tiết kiệm 28.000 tỷ đồng chi phí dầu thô nhập khẩu trong suốt vòng đời của một xe ô tô. Qua đó, giảm áp lực lên cán cân thương mại của Việt Nam.</w:t>
      </w:r>
    </w:p>
    <w:p w14:paraId="5C78188E" w14:textId="72868C8E" w:rsidR="00DC4531" w:rsidRPr="00295023" w:rsidRDefault="00DC4531" w:rsidP="00DC4531">
      <w:pPr>
        <w:spacing w:before="120" w:line="264" w:lineRule="auto"/>
        <w:jc w:val="both"/>
        <w:rPr>
          <w:rFonts w:eastAsiaTheme="minorHAnsi"/>
          <w:kern w:val="2"/>
          <w:sz w:val="26"/>
          <w:szCs w:val="26"/>
          <w:lang w:val="vi-VN"/>
          <w14:ligatures w14:val="standardContextual"/>
        </w:rPr>
      </w:pPr>
      <w:r w:rsidRPr="000C7B9D">
        <w:rPr>
          <w:sz w:val="26"/>
          <w:szCs w:val="26"/>
          <w:lang w:val="vi-VN"/>
        </w:rPr>
        <w:t xml:space="preserve">     </w:t>
      </w:r>
      <w:r>
        <w:rPr>
          <w:sz w:val="26"/>
          <w:szCs w:val="26"/>
          <w:lang w:val="vi-VN"/>
        </w:rPr>
        <w:tab/>
      </w:r>
      <w:r w:rsidRPr="0068663C">
        <w:rPr>
          <w:sz w:val="26"/>
          <w:szCs w:val="26"/>
          <w:lang w:val="vi-VN"/>
        </w:rPr>
        <w:t xml:space="preserve">Việc ưu đãi thuế TTĐB cho xe HEV và PHEV mang lại lợi ích như đảm bảo an ninh năng lượng, duy trì môi trường đầu tư ổn định và thúc đẩy các doanh nghiệp trong ngành ô tô cải tiến công nghệ, dây chuyền sản xuất, mở rộng liên kết chuỗi cung ứng góp phần tạo ra nhiều </w:t>
      </w:r>
      <w:r w:rsidRPr="0068663C">
        <w:rPr>
          <w:sz w:val="26"/>
          <w:szCs w:val="26"/>
          <w:lang w:val="vi-VN"/>
        </w:rPr>
        <w:lastRenderedPageBreak/>
        <w:t>việc làm mới, cải thiện chất lượng cuộc sống cũng như cơ sở hạ tầng.</w:t>
      </w:r>
    </w:p>
    <w:p w14:paraId="0652D5AF" w14:textId="77777777" w:rsidR="00DC4531" w:rsidRPr="00295023" w:rsidRDefault="00DC4531" w:rsidP="00DC4531">
      <w:pPr>
        <w:tabs>
          <w:tab w:val="num" w:pos="720"/>
        </w:tabs>
        <w:spacing w:before="120" w:line="264" w:lineRule="auto"/>
        <w:ind w:firstLine="720"/>
        <w:jc w:val="both"/>
        <w:rPr>
          <w:b/>
          <w:bCs/>
          <w:sz w:val="26"/>
          <w:szCs w:val="26"/>
          <w:lang w:val="vi-VN"/>
        </w:rPr>
      </w:pPr>
      <w:r w:rsidRPr="0068663C">
        <w:rPr>
          <w:b/>
          <w:bCs/>
          <w:sz w:val="26"/>
          <w:szCs w:val="26"/>
          <w:lang w:val="vi-VN"/>
        </w:rPr>
        <w:t xml:space="preserve"> (ii) Đề xuất 2:</w:t>
      </w:r>
      <w:r w:rsidRPr="0068663C">
        <w:rPr>
          <w:b/>
          <w:bCs/>
          <w:i/>
          <w:iCs/>
          <w:sz w:val="26"/>
          <w:szCs w:val="26"/>
          <w:lang w:val="vi-VN"/>
        </w:rPr>
        <w:t xml:space="preserve"> </w:t>
      </w:r>
      <w:r w:rsidRPr="00295023">
        <w:rPr>
          <w:b/>
          <w:bCs/>
          <w:sz w:val="26"/>
          <w:szCs w:val="26"/>
          <w:lang w:val="vi-VN"/>
        </w:rPr>
        <w:t xml:space="preserve">Duy trì chính sách ổn định với dòng xe Pick-up chở hàng cabin kép; ủng hộ những phát biểu đề xuất của Quốc hội </w:t>
      </w:r>
      <w:r w:rsidRPr="00857368">
        <w:rPr>
          <w:b/>
          <w:bCs/>
          <w:sz w:val="26"/>
          <w:szCs w:val="26"/>
          <w:lang w:val="vi-VN"/>
        </w:rPr>
        <w:t>đó là đề nghị cân nhắc thực hiện ổn định chính sách,</w:t>
      </w:r>
      <w:r w:rsidRPr="00295023">
        <w:rPr>
          <w:b/>
          <w:bCs/>
          <w:sz w:val="26"/>
          <w:szCs w:val="26"/>
          <w:lang w:val="vi-VN"/>
        </w:rPr>
        <w:t xml:space="preserve"> </w:t>
      </w:r>
      <w:r w:rsidRPr="00857368">
        <w:rPr>
          <w:b/>
          <w:bCs/>
          <w:sz w:val="26"/>
          <w:szCs w:val="26"/>
          <w:lang w:val="vi-VN"/>
        </w:rPr>
        <w:t>đi đôi với nghiên cứu một lộ trình thích hợp, giữ nguyên mức hiện tại cho năm đầu tiên</w:t>
      </w:r>
      <w:r w:rsidRPr="00295023">
        <w:rPr>
          <w:b/>
          <w:bCs/>
          <w:sz w:val="26"/>
          <w:szCs w:val="26"/>
          <w:lang w:val="vi-VN"/>
        </w:rPr>
        <w:t xml:space="preserve"> </w:t>
      </w:r>
      <w:r w:rsidRPr="00857368">
        <w:rPr>
          <w:b/>
          <w:bCs/>
          <w:sz w:val="26"/>
          <w:szCs w:val="26"/>
          <w:lang w:val="vi-VN"/>
        </w:rPr>
        <w:t>kể từ khi Luật được thông qua và chia đều phần tăng trong ít nhất 3 năm tiếp theo để</w:t>
      </w:r>
      <w:r w:rsidRPr="00295023">
        <w:rPr>
          <w:b/>
          <w:bCs/>
          <w:sz w:val="26"/>
          <w:szCs w:val="26"/>
          <w:lang w:val="vi-VN"/>
        </w:rPr>
        <w:t xml:space="preserve"> </w:t>
      </w:r>
      <w:r w:rsidRPr="00857368">
        <w:rPr>
          <w:b/>
          <w:bCs/>
          <w:sz w:val="26"/>
          <w:szCs w:val="26"/>
          <w:lang w:val="vi-VN"/>
        </w:rPr>
        <w:t>phù hợp đối với mặt hàng xe pickup chở hàng cabin kép</w:t>
      </w:r>
      <w:r w:rsidRPr="00295023">
        <w:rPr>
          <w:b/>
          <w:bCs/>
          <w:sz w:val="26"/>
          <w:szCs w:val="26"/>
          <w:lang w:val="vi-VN"/>
        </w:rPr>
        <w:t>.</w:t>
      </w:r>
    </w:p>
    <w:p w14:paraId="32DC42BD" w14:textId="77777777" w:rsidR="00DC4531" w:rsidRPr="00295023" w:rsidRDefault="00DC4531" w:rsidP="00DC4531">
      <w:pPr>
        <w:tabs>
          <w:tab w:val="num" w:pos="720"/>
        </w:tabs>
        <w:spacing w:before="120" w:line="264" w:lineRule="auto"/>
        <w:ind w:firstLine="720"/>
        <w:jc w:val="both"/>
        <w:rPr>
          <w:sz w:val="26"/>
          <w:szCs w:val="26"/>
          <w:lang w:val="vi-VN"/>
        </w:rPr>
      </w:pPr>
      <w:r w:rsidRPr="00295023">
        <w:rPr>
          <w:sz w:val="26"/>
          <w:szCs w:val="26"/>
          <w:lang w:val="vi-VN"/>
        </w:rPr>
        <w:t>Xe pickup chở hàng là dòng xe</w:t>
      </w:r>
      <w:r w:rsidRPr="00857368">
        <w:rPr>
          <w:sz w:val="26"/>
          <w:szCs w:val="26"/>
          <w:lang w:val="vi-VN"/>
        </w:rPr>
        <w:t xml:space="preserve"> đa dụng, chạy được trên nhiều địa hình với công năng chính là chở hàng, phù hợp cho kinh tế hộ gia đình, quy mô nhỏ, tiết kiệm chi phí kinh doanh và vận chuyển</w:t>
      </w:r>
      <w:r w:rsidRPr="00295023">
        <w:rPr>
          <w:sz w:val="26"/>
          <w:szCs w:val="26"/>
          <w:lang w:val="vi-VN"/>
        </w:rPr>
        <w:t xml:space="preserve"> hàng </w:t>
      </w:r>
      <w:r w:rsidRPr="0068663C">
        <w:rPr>
          <w:sz w:val="26"/>
          <w:szCs w:val="26"/>
          <w:lang w:val="vi-VN"/>
        </w:rPr>
        <w:t>hóa đơn giản trong thành phố dễ dàng,</w:t>
      </w:r>
      <w:r w:rsidRPr="00295023">
        <w:rPr>
          <w:sz w:val="26"/>
          <w:szCs w:val="26"/>
          <w:lang w:val="vi-VN"/>
        </w:rPr>
        <w:t xml:space="preserve"> an toàn, tiếp cận những nơi mà xe tải khó có thể tới;</w:t>
      </w:r>
      <w:r w:rsidRPr="0068663C">
        <w:rPr>
          <w:sz w:val="26"/>
          <w:szCs w:val="26"/>
          <w:lang w:val="vi-VN"/>
        </w:rPr>
        <w:t xml:space="preserve"> tiết kiệm chi phí, giảm thiểu số lượng những xe chở hàng tự chế 3 bánh, 4 bánh không đúng tiêu chuẩn kỹ thuật và an toàn.</w:t>
      </w:r>
      <w:r w:rsidRPr="00295023">
        <w:rPr>
          <w:sz w:val="26"/>
          <w:szCs w:val="26"/>
          <w:lang w:val="vi-VN"/>
        </w:rPr>
        <w:t xml:space="preserve"> </w:t>
      </w:r>
    </w:p>
    <w:p w14:paraId="46F90DEC" w14:textId="77777777" w:rsidR="00DC4531" w:rsidRPr="00295023" w:rsidRDefault="00DC4531" w:rsidP="00DC4531">
      <w:pPr>
        <w:tabs>
          <w:tab w:val="num" w:pos="720"/>
        </w:tabs>
        <w:spacing w:before="120" w:line="264" w:lineRule="auto"/>
        <w:ind w:firstLine="720"/>
        <w:jc w:val="both"/>
        <w:rPr>
          <w:sz w:val="26"/>
          <w:szCs w:val="26"/>
          <w:lang w:val="vi-VN"/>
        </w:rPr>
      </w:pPr>
      <w:r w:rsidRPr="00857368">
        <w:rPr>
          <w:sz w:val="26"/>
          <w:szCs w:val="26"/>
          <w:lang w:val="vi-VN"/>
        </w:rPr>
        <w:t xml:space="preserve">Theo thống kê của VAMA trong 5 năm, thị phần của xe pickup chở hàng cabin kép </w:t>
      </w:r>
      <w:r w:rsidRPr="00295023">
        <w:rPr>
          <w:sz w:val="26"/>
          <w:szCs w:val="26"/>
          <w:lang w:val="vi-VN"/>
        </w:rPr>
        <w:t>khiêm tốn</w:t>
      </w:r>
      <w:r w:rsidRPr="00857368">
        <w:rPr>
          <w:sz w:val="26"/>
          <w:szCs w:val="26"/>
          <w:lang w:val="vi-VN"/>
        </w:rPr>
        <w:t>, chỉ chiếm khoảng 5% tổng số xe ô tô tiêu thụ</w:t>
      </w:r>
      <w:r w:rsidRPr="00295023">
        <w:rPr>
          <w:sz w:val="26"/>
          <w:szCs w:val="26"/>
          <w:lang w:val="vi-VN"/>
        </w:rPr>
        <w:t xml:space="preserve">. Theo báo cáo của VAMA và KPMG về mua </w:t>
      </w:r>
      <w:r w:rsidRPr="0068663C">
        <w:rPr>
          <w:sz w:val="26"/>
          <w:szCs w:val="26"/>
          <w:lang w:val="vi-VN"/>
        </w:rPr>
        <w:t>xe pick-up chở hàng cabin kép</w:t>
      </w:r>
      <w:r w:rsidRPr="00295023">
        <w:rPr>
          <w:sz w:val="26"/>
          <w:szCs w:val="26"/>
          <w:lang w:val="vi-VN"/>
        </w:rPr>
        <w:t>: K</w:t>
      </w:r>
      <w:r w:rsidRPr="0068663C">
        <w:rPr>
          <w:sz w:val="26"/>
          <w:szCs w:val="26"/>
          <w:lang w:val="vi-VN"/>
        </w:rPr>
        <w:t xml:space="preserve">hách hàng </w:t>
      </w:r>
      <w:r w:rsidRPr="00295023">
        <w:rPr>
          <w:sz w:val="26"/>
          <w:szCs w:val="26"/>
          <w:lang w:val="vi-VN"/>
        </w:rPr>
        <w:t xml:space="preserve">cá nhân: </w:t>
      </w:r>
      <w:r w:rsidRPr="0068663C">
        <w:rPr>
          <w:sz w:val="26"/>
          <w:szCs w:val="26"/>
          <w:lang w:val="vi-VN"/>
        </w:rPr>
        <w:t>64%,</w:t>
      </w:r>
      <w:r w:rsidRPr="00295023">
        <w:rPr>
          <w:sz w:val="26"/>
          <w:szCs w:val="26"/>
          <w:lang w:val="vi-VN"/>
        </w:rPr>
        <w:t xml:space="preserve"> </w:t>
      </w:r>
      <w:r w:rsidRPr="0068663C">
        <w:rPr>
          <w:sz w:val="26"/>
          <w:szCs w:val="26"/>
          <w:lang w:val="vi-VN"/>
        </w:rPr>
        <w:t>cơ quan, doanh nghiệp</w:t>
      </w:r>
      <w:r w:rsidRPr="00295023">
        <w:rPr>
          <w:sz w:val="26"/>
          <w:szCs w:val="26"/>
          <w:lang w:val="vi-VN"/>
        </w:rPr>
        <w:t>:</w:t>
      </w:r>
      <w:r w:rsidRPr="0068663C">
        <w:rPr>
          <w:sz w:val="26"/>
          <w:szCs w:val="26"/>
          <w:lang w:val="vi-VN"/>
        </w:rPr>
        <w:t xml:space="preserve"> 36%.</w:t>
      </w:r>
      <w:r w:rsidRPr="00295023">
        <w:rPr>
          <w:sz w:val="26"/>
          <w:szCs w:val="26"/>
          <w:lang w:val="vi-VN"/>
        </w:rPr>
        <w:t xml:space="preserve"> Khách hàng tỉnh thành chiếm trên 70%</w:t>
      </w:r>
      <w:r w:rsidRPr="0068663C">
        <w:rPr>
          <w:sz w:val="26"/>
          <w:szCs w:val="26"/>
          <w:lang w:val="vi-VN"/>
        </w:rPr>
        <w:t>.</w:t>
      </w:r>
      <w:r w:rsidRPr="00295023">
        <w:rPr>
          <w:sz w:val="26"/>
          <w:szCs w:val="26"/>
          <w:lang w:val="vi-VN"/>
        </w:rPr>
        <w:t xml:space="preserve"> </w:t>
      </w:r>
      <w:r w:rsidRPr="0068663C">
        <w:rPr>
          <w:sz w:val="26"/>
          <w:szCs w:val="26"/>
          <w:lang w:val="vi-VN"/>
        </w:rPr>
        <w:t>Do đó, mục tiêu của chính sách tăng thuế TTĐB để điều tiết hạn chế sử dụng xe này tại các thành phố lớn là không phù hợp vì sẽ không công bằng cho 70% người tiêu dùng không sử dụng xe tại các thành phố lớn.</w:t>
      </w:r>
    </w:p>
    <w:p w14:paraId="2C0062F4" w14:textId="6C77661F" w:rsidR="00DC4531" w:rsidRPr="001E5EC9" w:rsidRDefault="00AA67C0" w:rsidP="001E5EC9">
      <w:pPr>
        <w:tabs>
          <w:tab w:val="num" w:pos="720"/>
        </w:tabs>
        <w:spacing w:before="120" w:line="264" w:lineRule="auto"/>
        <w:ind w:firstLine="720"/>
        <w:jc w:val="both"/>
        <w:rPr>
          <w:sz w:val="26"/>
          <w:szCs w:val="26"/>
          <w:lang w:val="vi-VN"/>
        </w:rPr>
      </w:pPr>
      <w:r w:rsidRPr="001E5EC9">
        <w:rPr>
          <w:sz w:val="26"/>
          <w:szCs w:val="26"/>
          <w:lang w:val="vi-VN"/>
        </w:rPr>
        <w:t>Xét về động lực tăng trưởng liên quan đến đầu tư,</w:t>
      </w:r>
      <w:r w:rsidR="00DC4531" w:rsidRPr="001E5EC9">
        <w:rPr>
          <w:sz w:val="26"/>
          <w:szCs w:val="26"/>
          <w:lang w:val="vi-VN"/>
        </w:rPr>
        <w:t xml:space="preserve"> TS. Nguyễn Anh Tuấn, Phó Chủ tịch Thường trực Hiệp hội các nhà đầu tư nước ngoài (</w:t>
      </w:r>
      <w:r w:rsidRPr="001E5EC9">
        <w:rPr>
          <w:sz w:val="26"/>
          <w:szCs w:val="26"/>
          <w:lang w:val="vi-VN"/>
        </w:rPr>
        <w:t>VAFIE</w:t>
      </w:r>
      <w:r w:rsidR="00DC4531" w:rsidRPr="001E5EC9">
        <w:rPr>
          <w:sz w:val="26"/>
          <w:szCs w:val="26"/>
          <w:lang w:val="vi-VN"/>
        </w:rPr>
        <w:t>)</w:t>
      </w:r>
      <w:r w:rsidRPr="001E5EC9">
        <w:rPr>
          <w:sz w:val="26"/>
          <w:szCs w:val="26"/>
          <w:lang w:val="vi-VN"/>
        </w:rPr>
        <w:t xml:space="preserve"> phân tích những thay đổi trong chính sách thương mại của một số thị trường xuất khẩu lớn có thể dẫn đến những chuyển dịch đầu tư ra khỏi những thị trường có rủi ro cao về thuế. Những thay đổi về chính sách thuế như tăng thuế suất hay hay bổ sung các mặt hàng mới và diện chịu thuế tiêu thụ đặc biệt “Sẽ có ảnh hưởng tiêu cực đến hoạt động sản xuất, kinh doanh của doanh nghiệp và môi trường đầu tư, kinh doanh tại Việt Nam”. Đề xuất tăng thuế TTĐB như hiện nay có thể ảnh hưởng tới môi trường đầu tư, niềm tin của các nhà đầu tư trong nước và nước ngoài. </w:t>
      </w:r>
      <w:r w:rsidR="00DC4531" w:rsidRPr="001E5EC9">
        <w:rPr>
          <w:sz w:val="26"/>
          <w:szCs w:val="26"/>
          <w:lang w:val="vi-VN"/>
        </w:rPr>
        <w:t>S</w:t>
      </w:r>
      <w:r w:rsidRPr="001E5EC9">
        <w:rPr>
          <w:sz w:val="26"/>
          <w:szCs w:val="26"/>
          <w:lang w:val="vi-VN"/>
        </w:rPr>
        <w:t>ự quan ngại về việc đề xuất tăng thuế TTĐB quá cao trong thời gian tới mặc dù việc điều chỉnh tăng thuế này là cần thiết</w:t>
      </w:r>
      <w:r w:rsidR="00DC4531" w:rsidRPr="001E5EC9">
        <w:rPr>
          <w:sz w:val="26"/>
          <w:szCs w:val="26"/>
          <w:lang w:val="vi-VN"/>
        </w:rPr>
        <w:t>, v</w:t>
      </w:r>
      <w:r w:rsidRPr="001E5EC9">
        <w:rPr>
          <w:sz w:val="26"/>
          <w:szCs w:val="26"/>
          <w:lang w:val="vi-VN"/>
        </w:rPr>
        <w:t xml:space="preserve">iệc cân nhắc, đánh giá kỹ lưỡng để có thể thống nhất một phương án tăng thuế phù hợp nhất vô cùng quan trọng. </w:t>
      </w:r>
    </w:p>
    <w:p w14:paraId="7E78338D" w14:textId="6A9399D2" w:rsidR="00DC4531" w:rsidRPr="001E5EC9" w:rsidRDefault="00DC4531" w:rsidP="001E5EC9">
      <w:pPr>
        <w:tabs>
          <w:tab w:val="num" w:pos="720"/>
        </w:tabs>
        <w:spacing w:before="120" w:line="264" w:lineRule="auto"/>
        <w:ind w:firstLine="720"/>
        <w:jc w:val="both"/>
        <w:rPr>
          <w:sz w:val="26"/>
          <w:szCs w:val="26"/>
          <w:lang w:val="vi-VN"/>
        </w:rPr>
      </w:pPr>
      <w:r w:rsidRPr="001E5EC9">
        <w:rPr>
          <w:sz w:val="26"/>
          <w:szCs w:val="26"/>
          <w:lang w:val="vi-VN"/>
        </w:rPr>
        <w:t xml:space="preserve">Ủy viên là ĐBQH hoạt động chuyên trách tại Ủy ban Kinh tế và Tài chính Vũ Tuấn Anh </w:t>
      </w:r>
      <w:r w:rsidR="00AA67C0" w:rsidRPr="001E5EC9">
        <w:rPr>
          <w:sz w:val="26"/>
          <w:szCs w:val="26"/>
          <w:lang w:val="vi-VN"/>
        </w:rPr>
        <w:t>nhấn mạnh yếu tố quan trọng “</w:t>
      </w:r>
      <w:r w:rsidR="007A667D" w:rsidRPr="001E5EC9">
        <w:rPr>
          <w:sz w:val="26"/>
          <w:szCs w:val="26"/>
          <w:lang w:val="vi-VN"/>
        </w:rPr>
        <w:t>C</w:t>
      </w:r>
      <w:r w:rsidR="00AA67C0" w:rsidRPr="001E5EC9">
        <w:rPr>
          <w:sz w:val="26"/>
          <w:szCs w:val="26"/>
          <w:lang w:val="vi-VN"/>
        </w:rPr>
        <w:t xml:space="preserve">hính sách thuế không </w:t>
      </w:r>
      <w:r w:rsidR="007A667D" w:rsidRPr="001E5EC9">
        <w:rPr>
          <w:sz w:val="26"/>
          <w:szCs w:val="26"/>
          <w:lang w:val="vi-VN"/>
        </w:rPr>
        <w:t xml:space="preserve">nên </w:t>
      </w:r>
      <w:r w:rsidR="00AA67C0" w:rsidRPr="001E5EC9">
        <w:rPr>
          <w:sz w:val="26"/>
          <w:szCs w:val="26"/>
          <w:lang w:val="vi-VN"/>
        </w:rPr>
        <w:t xml:space="preserve">tạo ra biến động lớn và tác động xấu đến hoạt động sản xuất kinh doanh”. </w:t>
      </w:r>
      <w:r w:rsidR="00A326CB" w:rsidRPr="001E5EC9">
        <w:rPr>
          <w:sz w:val="26"/>
          <w:szCs w:val="26"/>
          <w:lang w:val="vi-VN"/>
        </w:rPr>
        <w:t>T</w:t>
      </w:r>
      <w:r w:rsidRPr="001E5EC9">
        <w:rPr>
          <w:sz w:val="26"/>
          <w:szCs w:val="26"/>
          <w:lang w:val="vi-VN"/>
        </w:rPr>
        <w:t>ại Kỳ họp thứ 8, Quốc hội khóa XV và gần đây là Phiên họp tháng 3/2025, Ủy ban Thường vụ Quốc hội đã cho ý kiến vào dự thảo Luật thuế TTĐB (sửa đổi). Việc lấy ý kiến của các doanh nghiệp, hiệp hội lần này nhằm góp phần tiếp tục hoàn thiện dự thảo Luật với phương châm không tạo ra biến động lớn, tác động xấu đến hoạt động sản xuất kinh doanh và nghiên cứu hài hòa lợi ích cho các doanh nghiệp.</w:t>
      </w:r>
    </w:p>
    <w:p w14:paraId="6AC5B99A" w14:textId="77777777" w:rsidR="00A326CB" w:rsidRPr="001E5EC9" w:rsidRDefault="00DC4531" w:rsidP="001E5EC9">
      <w:pPr>
        <w:tabs>
          <w:tab w:val="num" w:pos="720"/>
        </w:tabs>
        <w:spacing w:before="120" w:line="264" w:lineRule="auto"/>
        <w:ind w:firstLine="720"/>
        <w:jc w:val="both"/>
        <w:rPr>
          <w:sz w:val="26"/>
          <w:szCs w:val="26"/>
          <w:lang w:val="vi-VN"/>
        </w:rPr>
      </w:pPr>
      <w:r w:rsidRPr="001E5EC9">
        <w:rPr>
          <w:sz w:val="26"/>
          <w:szCs w:val="26"/>
          <w:lang w:val="vi-VN"/>
        </w:rPr>
        <w:t>Ủy ban Kinh tế và Tài chính ghi nhận và đánh giá cao những ý kiến đóng góp của các chuyên gia, doanh nghiệp, hiệp hội để tiếp tục trao đổi với cơ quan soạn thảo trong quá trình hoàn thiện dự thảo Luật Thuế TTĐB (sửa đổi) trước khi trình Quốc hội xem xét thông qua. Nếu còn những điểm chưa thống nhất giữa cơ quan thẩm tra và cơ quan soạn thảo thì phải xin ý kiến của các ĐBQH.</w:t>
      </w:r>
    </w:p>
    <w:p w14:paraId="00000017" w14:textId="246EECAD" w:rsidR="00F11639" w:rsidRPr="001E5EC9" w:rsidRDefault="00AA67C0" w:rsidP="001E5EC9">
      <w:pPr>
        <w:tabs>
          <w:tab w:val="num" w:pos="720"/>
        </w:tabs>
        <w:spacing w:before="120" w:line="264" w:lineRule="auto"/>
        <w:ind w:firstLine="720"/>
        <w:jc w:val="both"/>
        <w:rPr>
          <w:sz w:val="26"/>
          <w:szCs w:val="26"/>
          <w:lang w:val="vi-VN"/>
        </w:rPr>
      </w:pPr>
      <w:r w:rsidRPr="001E5EC9">
        <w:rPr>
          <w:sz w:val="26"/>
          <w:szCs w:val="26"/>
          <w:lang w:val="vi-VN"/>
        </w:rPr>
        <w:t xml:space="preserve">Hội thảo “Tham vấn hoàn thiện Dự thảo Luật thuế tiêu thụ đặc biệt” đã thành công tốt đẹp. Kết thúc Hội thảo, Ông Đậu Anh Tuấn chia sẻ sẽ tổng hợp các ý kiến và gửi báo cáo tới </w:t>
      </w:r>
      <w:r w:rsidRPr="001E5EC9">
        <w:rPr>
          <w:sz w:val="26"/>
          <w:szCs w:val="26"/>
          <w:lang w:val="vi-VN"/>
        </w:rPr>
        <w:lastRenderedPageBreak/>
        <w:t>cơ quan thẩm tra và soạn thảo để giúp cho việc chỉnh lý dự thảo trong thời gian sắp tới, trình Quốc Hội thông qua một phương án phù hợp nhất trong bối cảnh hiện nay, đạt được sự đồng thuận cao và đi vào cuộc sống.</w:t>
      </w:r>
    </w:p>
    <w:p w14:paraId="00000018" w14:textId="77777777" w:rsidR="00F11639" w:rsidRPr="007A667D" w:rsidRDefault="00AA67C0">
      <w:pPr>
        <w:widowControl/>
        <w:pBdr>
          <w:top w:val="nil"/>
          <w:left w:val="nil"/>
          <w:bottom w:val="nil"/>
          <w:right w:val="nil"/>
          <w:between w:val="nil"/>
        </w:pBdr>
        <w:shd w:val="clear" w:color="auto" w:fill="FFFFFF"/>
        <w:spacing w:before="288" w:line="264" w:lineRule="auto"/>
        <w:rPr>
          <w:b/>
          <w:i/>
          <w:color w:val="000000"/>
          <w:sz w:val="24"/>
          <w:szCs w:val="24"/>
        </w:rPr>
      </w:pPr>
      <w:r w:rsidRPr="007A667D">
        <w:rPr>
          <w:b/>
          <w:i/>
          <w:color w:val="000000"/>
          <w:sz w:val="24"/>
          <w:szCs w:val="24"/>
        </w:rPr>
        <w:t>Thông tin liên hệ:</w:t>
      </w:r>
    </w:p>
    <w:p w14:paraId="00000019" w14:textId="77777777" w:rsidR="00F11639" w:rsidRPr="007A667D" w:rsidRDefault="00AA67C0">
      <w:pPr>
        <w:widowControl/>
        <w:shd w:val="clear" w:color="auto" w:fill="FFFFFF"/>
        <w:spacing w:before="120" w:line="264" w:lineRule="auto"/>
        <w:rPr>
          <w:color w:val="222222"/>
          <w:sz w:val="24"/>
          <w:szCs w:val="24"/>
        </w:rPr>
      </w:pPr>
      <w:r w:rsidRPr="007A667D">
        <w:rPr>
          <w:b/>
          <w:color w:val="222222"/>
          <w:sz w:val="24"/>
          <w:szCs w:val="24"/>
        </w:rPr>
        <w:t>Ban Pháp Chế</w:t>
      </w:r>
    </w:p>
    <w:p w14:paraId="0000001A" w14:textId="77777777" w:rsidR="00F11639" w:rsidRPr="007A667D" w:rsidRDefault="00AA67C0">
      <w:pPr>
        <w:widowControl/>
        <w:shd w:val="clear" w:color="auto" w:fill="FFFFFF"/>
        <w:spacing w:before="120" w:line="264" w:lineRule="auto"/>
        <w:rPr>
          <w:color w:val="222222"/>
          <w:sz w:val="24"/>
          <w:szCs w:val="24"/>
        </w:rPr>
      </w:pPr>
      <w:r w:rsidRPr="007A667D">
        <w:rPr>
          <w:color w:val="222222"/>
          <w:sz w:val="24"/>
          <w:szCs w:val="24"/>
        </w:rPr>
        <w:t>Liên đoàn Thương mại và Công nghiệp Việt Nam (VCCI)</w:t>
      </w:r>
      <w:r w:rsidRPr="007A667D">
        <w:rPr>
          <w:color w:val="222222"/>
          <w:sz w:val="24"/>
          <w:szCs w:val="24"/>
        </w:rPr>
        <w:br/>
        <w:t>Số 9 Đào Duy Anh, Đống Đa, Hà Nội</w:t>
      </w:r>
      <w:r w:rsidRPr="007A667D">
        <w:rPr>
          <w:color w:val="222222"/>
          <w:sz w:val="24"/>
          <w:szCs w:val="24"/>
        </w:rPr>
        <w:br/>
        <w:t>Tel:</w:t>
      </w:r>
      <w:r w:rsidRPr="007A667D">
        <w:rPr>
          <w:color w:val="FFFFFF"/>
          <w:sz w:val="24"/>
          <w:szCs w:val="24"/>
        </w:rPr>
        <w:t> II </w:t>
      </w:r>
      <w:r w:rsidRPr="007A667D">
        <w:rPr>
          <w:color w:val="222222"/>
          <w:sz w:val="24"/>
          <w:szCs w:val="24"/>
        </w:rPr>
        <w:t>024 3577 0632 | 024 3574 2022 (#355)</w:t>
      </w:r>
      <w:r w:rsidRPr="007A667D">
        <w:rPr>
          <w:color w:val="222222"/>
          <w:sz w:val="24"/>
          <w:szCs w:val="24"/>
        </w:rPr>
        <w:br/>
        <w:t>Fax:</w:t>
      </w:r>
      <w:r w:rsidRPr="007A667D">
        <w:rPr>
          <w:color w:val="FFFFFF"/>
          <w:sz w:val="24"/>
          <w:szCs w:val="24"/>
        </w:rPr>
        <w:t>II </w:t>
      </w:r>
      <w:r w:rsidRPr="007A667D">
        <w:rPr>
          <w:color w:val="222222"/>
          <w:sz w:val="24"/>
          <w:szCs w:val="24"/>
        </w:rPr>
        <w:t>024 3577 1459</w:t>
      </w:r>
      <w:r w:rsidRPr="007A667D">
        <w:rPr>
          <w:color w:val="222222"/>
          <w:sz w:val="24"/>
          <w:szCs w:val="24"/>
        </w:rPr>
        <w:br/>
        <w:t>Email:</w:t>
      </w:r>
      <w:r w:rsidRPr="007A667D">
        <w:rPr>
          <w:color w:val="FFFFFF"/>
          <w:sz w:val="24"/>
          <w:szCs w:val="24"/>
        </w:rPr>
        <w:t>II</w:t>
      </w:r>
      <w:hyperlink r:id="rId8">
        <w:r w:rsidRPr="007A667D">
          <w:rPr>
            <w:color w:val="1155CC"/>
            <w:sz w:val="24"/>
            <w:szCs w:val="24"/>
            <w:u w:val="single"/>
          </w:rPr>
          <w:t>xdphapluat@vcci.com.vn</w:t>
        </w:r>
      </w:hyperlink>
      <w:r w:rsidRPr="007A667D">
        <w:rPr>
          <w:color w:val="0000FF"/>
          <w:sz w:val="24"/>
          <w:szCs w:val="24"/>
        </w:rPr>
        <w:t> </w:t>
      </w:r>
      <w:r w:rsidRPr="007A667D">
        <w:rPr>
          <w:color w:val="222222"/>
          <w:sz w:val="24"/>
          <w:szCs w:val="24"/>
        </w:rPr>
        <w:t> </w:t>
      </w:r>
      <w:r w:rsidRPr="007A667D">
        <w:rPr>
          <w:color w:val="222222"/>
          <w:sz w:val="24"/>
          <w:szCs w:val="24"/>
        </w:rPr>
        <w:br/>
      </w:r>
      <w:r w:rsidRPr="007A667D">
        <w:rPr>
          <w:color w:val="0000FF"/>
          <w:sz w:val="24"/>
          <w:szCs w:val="24"/>
        </w:rPr>
        <w:t xml:space="preserve">             </w:t>
      </w:r>
      <w:hyperlink r:id="rId9">
        <w:r w:rsidRPr="007A667D">
          <w:rPr>
            <w:color w:val="0000FF"/>
            <w:sz w:val="24"/>
            <w:szCs w:val="24"/>
            <w:u w:val="single"/>
          </w:rPr>
          <w:t>xdphapluat.vcci@gmail.com</w:t>
        </w:r>
      </w:hyperlink>
      <w:r w:rsidRPr="007A667D">
        <w:rPr>
          <w:color w:val="222222"/>
          <w:sz w:val="24"/>
          <w:szCs w:val="24"/>
        </w:rPr>
        <w:br/>
        <w:t>Web:  </w:t>
      </w:r>
      <w:hyperlink r:id="rId10">
        <w:r w:rsidRPr="007A667D">
          <w:rPr>
            <w:color w:val="0000FF"/>
            <w:sz w:val="24"/>
            <w:szCs w:val="24"/>
            <w:u w:val="single"/>
          </w:rPr>
          <w:t>vibonline.com.vn</w:t>
        </w:r>
      </w:hyperlink>
    </w:p>
    <w:sectPr w:rsidR="00F11639" w:rsidRPr="007A667D" w:rsidSect="001E5EC9">
      <w:headerReference w:type="default" r:id="rId11"/>
      <w:pgSz w:w="11907" w:h="16840" w:code="9"/>
      <w:pgMar w:top="1021" w:right="927" w:bottom="1021" w:left="1170"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911C4" w14:textId="77777777" w:rsidR="00BF5CD1" w:rsidRDefault="00BF5CD1">
      <w:r>
        <w:separator/>
      </w:r>
    </w:p>
  </w:endnote>
  <w:endnote w:type="continuationSeparator" w:id="0">
    <w:p w14:paraId="562B52CD" w14:textId="77777777" w:rsidR="00BF5CD1" w:rsidRDefault="00BF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A740" w14:textId="77777777" w:rsidR="00BF5CD1" w:rsidRDefault="00BF5CD1">
      <w:r>
        <w:separator/>
      </w:r>
    </w:p>
  </w:footnote>
  <w:footnote w:type="continuationSeparator" w:id="0">
    <w:p w14:paraId="3C9BCC2A" w14:textId="77777777" w:rsidR="00BF5CD1" w:rsidRDefault="00BF5CD1">
      <w:r>
        <w:continuationSeparator/>
      </w:r>
    </w:p>
  </w:footnote>
  <w:footnote w:id="1">
    <w:p w14:paraId="0000001B" w14:textId="77777777" w:rsidR="00F11639" w:rsidRDefault="00AA67C0">
      <w:pPr>
        <w:widowControl/>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https://apiswa.org/wp-content/uploads/2023/02/ASEAN-Illicit-Trade-Report_full_VN.pdf</w:t>
        </w:r>
      </w:hyperlink>
    </w:p>
  </w:footnote>
  <w:footnote w:id="2">
    <w:p w14:paraId="0000001C" w14:textId="77777777" w:rsidR="00F11639" w:rsidRDefault="00AA67C0">
      <w:pPr>
        <w:widowControl/>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hyperlink r:id="rId2">
        <w:r>
          <w:rPr>
            <w:color w:val="0000FF"/>
            <w:sz w:val="20"/>
            <w:szCs w:val="20"/>
            <w:u w:val="single"/>
          </w:rPr>
          <w:t>https://vneconomy.vn/ruou-thu-cong-gay-ton-that-ve-thue-len-toi-hon751-trieu-usd-nhung-van-kho-xu-ly.htm</w:t>
        </w:r>
      </w:hyperlink>
    </w:p>
  </w:footnote>
  <w:footnote w:id="3">
    <w:p w14:paraId="0000001D" w14:textId="77777777" w:rsidR="00F11639" w:rsidRDefault="00AA67C0">
      <w:pPr>
        <w:widowControl/>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3">
        <w:r>
          <w:rPr>
            <w:color w:val="0000FF"/>
            <w:sz w:val="20"/>
            <w:szCs w:val="20"/>
            <w:u w:val="single"/>
          </w:rPr>
          <w:t>https://vneconomy.vn/ciem-luong-hoa-tac-dong-khi-ap-thue-tieu-thu-dac-biet-do-uong-co-duong-duy-nhat-mot-nhan-to-tang.htm</w:t>
        </w:r>
      </w:hyperlink>
      <w:r>
        <w:rPr>
          <w:color w:val="000000"/>
          <w:sz w:val="20"/>
          <w:szCs w:val="20"/>
        </w:rPr>
        <w:t xml:space="preserve">;  </w:t>
      </w:r>
    </w:p>
    <w:p w14:paraId="0000001E" w14:textId="77777777" w:rsidR="00F11639" w:rsidRDefault="00BF5CD1">
      <w:pPr>
        <w:widowControl/>
        <w:pBdr>
          <w:top w:val="nil"/>
          <w:left w:val="nil"/>
          <w:bottom w:val="nil"/>
          <w:right w:val="nil"/>
          <w:between w:val="nil"/>
        </w:pBdr>
        <w:rPr>
          <w:color w:val="000000"/>
          <w:sz w:val="20"/>
          <w:szCs w:val="20"/>
        </w:rPr>
      </w:pPr>
      <w:hyperlink r:id="rId4">
        <w:r w:rsidR="00AA67C0">
          <w:rPr>
            <w:color w:val="0000FF"/>
            <w:sz w:val="20"/>
            <w:szCs w:val="20"/>
            <w:u w:val="single"/>
          </w:rPr>
          <w:t>https://vba.com.vn/bao-cao-tom-tat-danh-gia-tac-dong-cua-du-thao-tang-thue-tieu-thu-dac-biet-doi-voi-mat-hang-bia.html</w:t>
        </w:r>
      </w:hyperlink>
    </w:p>
  </w:footnote>
  <w:footnote w:id="4">
    <w:p w14:paraId="0000001F" w14:textId="77777777" w:rsidR="00F11639" w:rsidRDefault="00AA67C0">
      <w:pPr>
        <w:widowControl/>
        <w:pBdr>
          <w:top w:val="nil"/>
          <w:left w:val="nil"/>
          <w:bottom w:val="nil"/>
          <w:right w:val="nil"/>
          <w:between w:val="nil"/>
        </w:pBdr>
        <w:rPr>
          <w:i/>
          <w:color w:val="000000"/>
          <w:sz w:val="20"/>
          <w:szCs w:val="20"/>
        </w:rPr>
      </w:pPr>
      <w:r>
        <w:rPr>
          <w:rStyle w:val="FootnoteReference"/>
        </w:rPr>
        <w:footnoteRef/>
      </w:r>
      <w:r>
        <w:rPr>
          <w:rFonts w:ascii="Calibri" w:eastAsia="Calibri" w:hAnsi="Calibri" w:cs="Calibri"/>
          <w:color w:val="000000"/>
          <w:sz w:val="20"/>
          <w:szCs w:val="20"/>
        </w:rPr>
        <w:t xml:space="preserve"> </w:t>
      </w:r>
      <w:r>
        <w:rPr>
          <w:i/>
          <w:color w:val="000000"/>
          <w:sz w:val="20"/>
          <w:szCs w:val="20"/>
        </w:rPr>
        <w:t>Kết quả nghiên cứu hành vi người tiêu dùng được chia sẻ bởi Công ty NielsenIQ tại Hội thảo VCCI 18/3/2025.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98490"/>
      <w:docPartObj>
        <w:docPartGallery w:val="Page Numbers (Top of Page)"/>
        <w:docPartUnique/>
      </w:docPartObj>
    </w:sdtPr>
    <w:sdtEndPr>
      <w:rPr>
        <w:noProof/>
      </w:rPr>
    </w:sdtEndPr>
    <w:sdtContent>
      <w:p w14:paraId="50C1F6FA" w14:textId="7ECD4FF8" w:rsidR="005B44B5" w:rsidRDefault="005B44B5">
        <w:pPr>
          <w:pStyle w:val="Header"/>
          <w:jc w:val="center"/>
        </w:pPr>
        <w:r>
          <w:fldChar w:fldCharType="begin"/>
        </w:r>
        <w:r>
          <w:instrText xml:space="preserve"> PAGE   \* MERGEFORMAT </w:instrText>
        </w:r>
        <w:r>
          <w:fldChar w:fldCharType="separate"/>
        </w:r>
        <w:r w:rsidR="00CD6960">
          <w:rPr>
            <w:noProof/>
          </w:rPr>
          <w:t>6</w:t>
        </w:r>
        <w:r>
          <w:rPr>
            <w:noProof/>
          </w:rPr>
          <w:fldChar w:fldCharType="end"/>
        </w:r>
      </w:p>
    </w:sdtContent>
  </w:sdt>
  <w:p w14:paraId="5C0A57A0" w14:textId="77777777" w:rsidR="005B44B5" w:rsidRDefault="005B44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2D79"/>
    <w:multiLevelType w:val="hybridMultilevel"/>
    <w:tmpl w:val="6B0ADA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F887439"/>
    <w:multiLevelType w:val="hybridMultilevel"/>
    <w:tmpl w:val="C4E8B26E"/>
    <w:lvl w:ilvl="0" w:tplc="BD58801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39"/>
    <w:rsid w:val="00020720"/>
    <w:rsid w:val="000F10A0"/>
    <w:rsid w:val="001E5EC9"/>
    <w:rsid w:val="001F26CF"/>
    <w:rsid w:val="00233F64"/>
    <w:rsid w:val="00262F1C"/>
    <w:rsid w:val="002A792F"/>
    <w:rsid w:val="002F365F"/>
    <w:rsid w:val="00456D36"/>
    <w:rsid w:val="00504E5D"/>
    <w:rsid w:val="00554D39"/>
    <w:rsid w:val="005B44B5"/>
    <w:rsid w:val="006671B3"/>
    <w:rsid w:val="007108D9"/>
    <w:rsid w:val="007A667D"/>
    <w:rsid w:val="007E760D"/>
    <w:rsid w:val="008040FC"/>
    <w:rsid w:val="00824697"/>
    <w:rsid w:val="00863EC3"/>
    <w:rsid w:val="00891D9C"/>
    <w:rsid w:val="00896F99"/>
    <w:rsid w:val="008C056D"/>
    <w:rsid w:val="008F5701"/>
    <w:rsid w:val="00A23D40"/>
    <w:rsid w:val="00A326CB"/>
    <w:rsid w:val="00A644DE"/>
    <w:rsid w:val="00AA67C0"/>
    <w:rsid w:val="00AF4068"/>
    <w:rsid w:val="00B43F57"/>
    <w:rsid w:val="00BF5CD1"/>
    <w:rsid w:val="00C15EA6"/>
    <w:rsid w:val="00CD6960"/>
    <w:rsid w:val="00CD7B3A"/>
    <w:rsid w:val="00CE3E0E"/>
    <w:rsid w:val="00DC4531"/>
    <w:rsid w:val="00EC30CC"/>
    <w:rsid w:val="00ED6B6C"/>
    <w:rsid w:val="00F11639"/>
    <w:rsid w:val="00F9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8B3C"/>
  <w15:docId w15:val="{2047D4EA-9EB0-47EA-B388-48AA834B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4"/>
      <w:ind w:left="86" w:right="444"/>
      <w:jc w:val="center"/>
    </w:pPr>
    <w:rPr>
      <w:b/>
      <w:bCs/>
      <w:sz w:val="30"/>
      <w:szCs w:val="30"/>
    </w:rPr>
  </w:style>
  <w:style w:type="paragraph" w:styleId="BodyText">
    <w:name w:val="Body Text"/>
    <w:basedOn w:val="Normal"/>
    <w:uiPriority w:val="1"/>
    <w:qFormat/>
    <w:pPr>
      <w:spacing w:before="63"/>
      <w:ind w:firstLine="719"/>
      <w:jc w:val="both"/>
    </w:pPr>
    <w:rPr>
      <w:sz w:val="28"/>
      <w:szCs w:val="28"/>
    </w:rPr>
  </w:style>
  <w:style w:type="paragraph" w:styleId="ListParagraph">
    <w:name w:val="List Paragraph"/>
    <w:aliases w:val="3,POCG Table Text,Bullet List,Issue Action POC,List Paragraph1,Dot pt,F5 List Paragraph,No Spacing1,List Paragraph Char Char Char,Indicator Text,Colorful List - Accent 11,Numbered Para 1,Bullet Points,List Paragraph2,MAIN CONTENT,Bullet 1"/>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7EF1"/>
    <w:rPr>
      <w:color w:val="0000FF"/>
      <w:u w:val="single"/>
    </w:rPr>
  </w:style>
  <w:style w:type="character" w:customStyle="1" w:styleId="UnresolvedMention1">
    <w:name w:val="Unresolved Mention1"/>
    <w:basedOn w:val="DefaultParagraphFont"/>
    <w:uiPriority w:val="99"/>
    <w:semiHidden/>
    <w:unhideWhenUsed/>
    <w:rsid w:val="00407EF1"/>
    <w:rPr>
      <w:color w:val="605E5C"/>
      <w:shd w:val="clear" w:color="auto" w:fill="E1DFDD"/>
    </w:rPr>
  </w:style>
  <w:style w:type="table" w:styleId="TableGrid">
    <w:name w:val="Table Grid"/>
    <w:basedOn w:val="TableNormal"/>
    <w:uiPriority w:val="39"/>
    <w:rsid w:val="004D6A9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Char Char Char,Char Char Char Char Char Char Char Char Char Char Char, Char,Char,Обычный (веб)1,Обычный (веб) Знак,Обычный (веб) Знак1,Обычный (веб) Знак Знак,5.1 Char,Char Ch"/>
    <w:basedOn w:val="Normal"/>
    <w:link w:val="NormalWebChar"/>
    <w:uiPriority w:val="99"/>
    <w:unhideWhenUsed/>
    <w:qFormat/>
    <w:rsid w:val="004D6A9C"/>
    <w:pPr>
      <w:widowControl/>
      <w:spacing w:before="100" w:beforeAutospacing="1" w:after="100" w:afterAutospacing="1"/>
    </w:pPr>
    <w:rPr>
      <w:sz w:val="24"/>
      <w:szCs w:val="24"/>
      <w:lang w:val="en-US"/>
    </w:rPr>
  </w:style>
  <w:style w:type="character" w:customStyle="1" w:styleId="NormalWebChar">
    <w:name w:val="Normal (Web) Char"/>
    <w:aliases w:val="Char Char Char Char,Char Char Char Char Char Char Char Char Char Char Char1,Char Char Char Char Char Char Char Char Char Char Char Char, Char Char,Char Char,Обычный (веб)1 Char,Обычный (веб) Знак Char,Обычный (веб) Знак1 Char"/>
    <w:link w:val="NormalWeb"/>
    <w:uiPriority w:val="99"/>
    <w:rsid w:val="004D6A9C"/>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qFormat/>
    <w:rsid w:val="009D52C5"/>
    <w:pPr>
      <w:widowControl/>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9D52C5"/>
    <w:rPr>
      <w:sz w:val="20"/>
      <w:szCs w:val="20"/>
      <w:lang w:val="en-GB"/>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basedOn w:val="DefaultParagraphFont"/>
    <w:link w:val="CarattereCarattereCharCharCharCharCharCharZchn"/>
    <w:uiPriority w:val="99"/>
    <w:unhideWhenUsed/>
    <w:qFormat/>
    <w:rsid w:val="009D52C5"/>
    <w:rPr>
      <w:vertAlign w:val="superscript"/>
    </w:rPr>
  </w:style>
  <w:style w:type="character" w:customStyle="1" w:styleId="fontstyle01">
    <w:name w:val="fontstyle01"/>
    <w:basedOn w:val="DefaultParagraphFont"/>
    <w:rsid w:val="009D52C5"/>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9D52C5"/>
    <w:pPr>
      <w:widowControl/>
      <w:ind w:left="153" w:hanging="153"/>
      <w:jc w:val="both"/>
    </w:pPr>
    <w:rPr>
      <w:rFonts w:asciiTheme="minorHAnsi" w:eastAsiaTheme="minorHAnsi" w:hAnsiTheme="minorHAnsi" w:cstheme="minorBidi"/>
      <w:vertAlign w:val="superscript"/>
      <w:lang w:val="en-US"/>
    </w:rPr>
  </w:style>
  <w:style w:type="character" w:customStyle="1" w:styleId="ListParagraphChar">
    <w:name w:val="List Paragraph Char"/>
    <w:aliases w:val="3 Char,POCG Table Text Char,Bullet List Char,Issue Action POC Char,List Paragraph1 Char,Dot pt Char,F5 List Paragraph Char,No Spacing1 Char,List Paragraph Char Char Char Char,Indicator Text Char,Colorful List - Accent 11 Char"/>
    <w:link w:val="ListParagraph"/>
    <w:uiPriority w:val="34"/>
    <w:qFormat/>
    <w:locked/>
    <w:rsid w:val="00786CA0"/>
    <w:rPr>
      <w:rFonts w:ascii="Times New Roman" w:eastAsia="Times New Roman" w:hAnsi="Times New Roman" w:cs="Times New Roman"/>
      <w:lang w:val="vi"/>
    </w:rPr>
  </w:style>
  <w:style w:type="character" w:styleId="Emphasis">
    <w:name w:val="Emphasis"/>
    <w:basedOn w:val="DefaultParagraphFont"/>
    <w:uiPriority w:val="20"/>
    <w:qFormat/>
    <w:rsid w:val="00E9721A"/>
    <w:rPr>
      <w:i/>
      <w:iCs/>
    </w:rPr>
  </w:style>
  <w:style w:type="paragraph" w:styleId="Header">
    <w:name w:val="header"/>
    <w:basedOn w:val="Normal"/>
    <w:link w:val="HeaderChar"/>
    <w:uiPriority w:val="99"/>
    <w:unhideWhenUsed/>
    <w:rsid w:val="00E12BCF"/>
    <w:pPr>
      <w:tabs>
        <w:tab w:val="center" w:pos="4680"/>
        <w:tab w:val="right" w:pos="9360"/>
      </w:tabs>
    </w:pPr>
  </w:style>
  <w:style w:type="character" w:customStyle="1" w:styleId="HeaderChar">
    <w:name w:val="Header Char"/>
    <w:basedOn w:val="DefaultParagraphFont"/>
    <w:link w:val="Header"/>
    <w:uiPriority w:val="99"/>
    <w:rsid w:val="00E12BCF"/>
    <w:rPr>
      <w:rFonts w:ascii="Times New Roman" w:eastAsia="Times New Roman" w:hAnsi="Times New Roman" w:cs="Times New Roman"/>
      <w:lang w:val="vi"/>
    </w:rPr>
  </w:style>
  <w:style w:type="paragraph" w:styleId="Footer">
    <w:name w:val="footer"/>
    <w:basedOn w:val="Normal"/>
    <w:link w:val="FooterChar"/>
    <w:uiPriority w:val="99"/>
    <w:unhideWhenUsed/>
    <w:rsid w:val="00E12BCF"/>
    <w:pPr>
      <w:tabs>
        <w:tab w:val="center" w:pos="4680"/>
        <w:tab w:val="right" w:pos="9360"/>
      </w:tabs>
    </w:pPr>
  </w:style>
  <w:style w:type="character" w:customStyle="1" w:styleId="FooterChar">
    <w:name w:val="Footer Char"/>
    <w:basedOn w:val="DefaultParagraphFont"/>
    <w:link w:val="Footer"/>
    <w:uiPriority w:val="99"/>
    <w:rsid w:val="00E12BCF"/>
    <w:rPr>
      <w:rFonts w:ascii="Times New Roman" w:eastAsia="Times New Roman" w:hAnsi="Times New Roman" w:cs="Times New Roman"/>
      <w:lang w:val="vi"/>
    </w:rPr>
  </w:style>
  <w:style w:type="paragraph" w:styleId="Revision">
    <w:name w:val="Revision"/>
    <w:hidden/>
    <w:uiPriority w:val="99"/>
    <w:semiHidden/>
    <w:rsid w:val="00E12BCF"/>
    <w:pPr>
      <w:widowControl/>
    </w:pPr>
    <w:rPr>
      <w:lang w:val="v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2022">
      <w:bodyDiv w:val="1"/>
      <w:marLeft w:val="0"/>
      <w:marRight w:val="0"/>
      <w:marTop w:val="0"/>
      <w:marBottom w:val="0"/>
      <w:divBdr>
        <w:top w:val="none" w:sz="0" w:space="0" w:color="auto"/>
        <w:left w:val="none" w:sz="0" w:space="0" w:color="auto"/>
        <w:bottom w:val="none" w:sz="0" w:space="0" w:color="auto"/>
        <w:right w:val="none" w:sz="0" w:space="0" w:color="auto"/>
      </w:divBdr>
      <w:divsChild>
        <w:div w:id="1808160845">
          <w:marLeft w:val="1656"/>
          <w:marRight w:val="0"/>
          <w:marTop w:val="120"/>
          <w:marBottom w:val="120"/>
          <w:divBdr>
            <w:top w:val="none" w:sz="0" w:space="0" w:color="auto"/>
            <w:left w:val="none" w:sz="0" w:space="0" w:color="auto"/>
            <w:bottom w:val="none" w:sz="0" w:space="0" w:color="auto"/>
            <w:right w:val="none" w:sz="0" w:space="0" w:color="auto"/>
          </w:divBdr>
        </w:div>
      </w:divsChild>
    </w:div>
    <w:div w:id="84046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xdphapluat@vcci.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ibonline.com.vn/" TargetMode="External"/><Relationship Id="rId4" Type="http://schemas.openxmlformats.org/officeDocument/2006/relationships/settings" Target="settings.xml"/><Relationship Id="rId9" Type="http://schemas.openxmlformats.org/officeDocument/2006/relationships/hyperlink" Target="mailto:xdphapluat.vcci@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neconomy.vn/ciem-luong-hoa-tac-dong-khi-ap-thue-tieu-thu-dac-biet-do-uong-co-duong-duy-nhat-mot-nhan-to-tang.htm" TargetMode="External"/><Relationship Id="rId2" Type="http://schemas.openxmlformats.org/officeDocument/2006/relationships/hyperlink" Target="https://vneconomy.vn/ruou-thu-cong-gay-ton-that-ve-thue-len-toi-hon751-trieu-usd-nhung-van-kho-xu-ly.htm" TargetMode="External"/><Relationship Id="rId1" Type="http://schemas.openxmlformats.org/officeDocument/2006/relationships/hyperlink" Target="https://apiswa.org/wp-content/uploads/2023/02/ASEAN-Illicit-Trade-Report_full_VN.pdf" TargetMode="External"/><Relationship Id="rId4" Type="http://schemas.openxmlformats.org/officeDocument/2006/relationships/hyperlink" Target="https://vba.com.vn/bao-cao-tom-tat-danh-gia-tac-dong-cua-du-thao-tang-thue-tieu-thu-dac-biet-doi-voi-mat-hang-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qnUC6lN6XWwUYq9vZrdmykNLAA==">CgMxLjA4AHIhMTZ4aFRmN3R3b05fZ0ZvMk9RbTlSbmhVa2JzUDNjdHlt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2641</Words>
  <Characters>15054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Phan Minh Thuy VCCI</cp:lastModifiedBy>
  <cp:revision>4</cp:revision>
  <dcterms:created xsi:type="dcterms:W3CDTF">2025-03-18T14:33:00Z</dcterms:created>
  <dcterms:modified xsi:type="dcterms:W3CDTF">2025-03-19T07:43:00Z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2022-08-06T00:00:00Z</vt:filetime>
  </property>
  <property fmtid="{D5CDD505-2E9C-101B-9397-08002B2CF9AE}" pid="3" name="Creator">
    <vt:lpwstr>Microsoft® Word 2016</vt:lpwstr>
  </property>
  <property fmtid="{D5CDD505-2E9C-101B-9397-08002B2CF9AE}" pid="4" name="LastSaved">
    <vt:filetime>2025-03-14T00:00:00Z</vt:filetime>
  </property>
  <property fmtid="{D5CDD505-2E9C-101B-9397-08002B2CF9AE}" pid="5" name="Producer">
    <vt:lpwstr>3-Heights(TM) PDF Security Shell 4.8.25.2 (http://www.pdf-tools.com)</vt:lpwstr>
  </property>
  <property fmtid="{D5CDD505-2E9C-101B-9397-08002B2CF9AE}" pid="6" name="MSIP_Label_e9fea72e-161c-48c8-8e82-3fc1e9b3162c_Enabled">
    <vt:lpwstr>true</vt:lpwstr>
  </property>
  <property fmtid="{D5CDD505-2E9C-101B-9397-08002B2CF9AE}" pid="7" name="MSIP_Label_e9fea72e-161c-48c8-8e82-3fc1e9b3162c_SetDate">
    <vt:lpwstr>2025-03-18T02:46:23Z</vt:lpwstr>
  </property>
  <property fmtid="{D5CDD505-2E9C-101B-9397-08002B2CF9AE}" pid="8" name="MSIP_Label_e9fea72e-161c-48c8-8e82-3fc1e9b3162c_Method">
    <vt:lpwstr>Standard</vt:lpwstr>
  </property>
  <property fmtid="{D5CDD505-2E9C-101B-9397-08002B2CF9AE}" pid="9" name="MSIP_Label_e9fea72e-161c-48c8-8e82-3fc1e9b3162c_Name">
    <vt:lpwstr>Normal sensitivity label</vt:lpwstr>
  </property>
  <property fmtid="{D5CDD505-2E9C-101B-9397-08002B2CF9AE}" pid="10" name="MSIP_Label_e9fea72e-161c-48c8-8e82-3fc1e9b3162c_SiteId">
    <vt:lpwstr>ff9c7474-421d-4957-8d47-c4b64dec87b5</vt:lpwstr>
  </property>
  <property fmtid="{D5CDD505-2E9C-101B-9397-08002B2CF9AE}" pid="11" name="MSIP_Label_e9fea72e-161c-48c8-8e82-3fc1e9b3162c_ActionId">
    <vt:lpwstr>a3497d65-6798-4d5c-99d8-3781c2dd1e1b</vt:lpwstr>
  </property>
  <property fmtid="{D5CDD505-2E9C-101B-9397-08002B2CF9AE}" pid="12" name="MSIP_Label_e9fea72e-161c-48c8-8e82-3fc1e9b3162c_ContentBits">
    <vt:lpwstr>0</vt:lpwstr>
  </property>
</Properties>
</file>