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9" w:type="dxa"/>
        <w:jc w:val="center"/>
        <w:tblLayout w:type="fixed"/>
        <w:tblLook w:val="0000"/>
      </w:tblPr>
      <w:tblGrid>
        <w:gridCol w:w="3402"/>
        <w:gridCol w:w="5837"/>
      </w:tblGrid>
      <w:tr w:rsidR="000964C4" w:rsidRPr="00EE15ED" w:rsidTr="000964C4">
        <w:trPr>
          <w:trHeight w:val="276"/>
          <w:jc w:val="center"/>
        </w:trPr>
        <w:tc>
          <w:tcPr>
            <w:tcW w:w="3402" w:type="dxa"/>
            <w:vMerge w:val="restart"/>
          </w:tcPr>
          <w:p w:rsidR="000964C4" w:rsidRPr="00EE15ED" w:rsidRDefault="00A27F5E" w:rsidP="00DE2616">
            <w:pPr>
              <w:spacing w:before="0" w:after="0"/>
              <w:jc w:val="center"/>
              <w:rPr>
                <w:rFonts w:eastAsia="Times New Roman"/>
                <w:b/>
                <w:bCs/>
                <w:sz w:val="24"/>
                <w:szCs w:val="24"/>
                <w:lang w:val="nl-NL"/>
              </w:rPr>
            </w:pPr>
            <w:r w:rsidRPr="00EE15ED">
              <w:rPr>
                <w:rFonts w:eastAsia="Times New Roman"/>
                <w:b/>
                <w:bCs/>
                <w:sz w:val="26"/>
                <w:szCs w:val="26"/>
                <w:lang w:val="nl-NL"/>
              </w:rPr>
              <w:t>BỘ TÀI CHÍNH</w:t>
            </w:r>
          </w:p>
          <w:p w:rsidR="000964C4" w:rsidRPr="00EE15ED" w:rsidRDefault="00D6222F" w:rsidP="00DE2616">
            <w:pPr>
              <w:spacing w:before="0" w:after="0"/>
              <w:jc w:val="center"/>
              <w:rPr>
                <w:rFonts w:eastAsia="Times New Roman"/>
                <w:sz w:val="16"/>
                <w:szCs w:val="16"/>
                <w:lang w:val="nl-NL"/>
              </w:rPr>
            </w:pPr>
            <w:r>
              <w:rPr>
                <w:rFonts w:eastAsia="Times New Roman"/>
                <w:noProof/>
                <w:sz w:val="16"/>
                <w:szCs w:val="16"/>
                <w:lang w:val="en-US"/>
              </w:rPr>
              <w:pict>
                <v:shapetype id="_x0000_t32" coordsize="21600,21600" o:spt="32" o:oned="t" path="m,l21600,21600e" filled="f">
                  <v:path arrowok="t" fillok="f" o:connecttype="none"/>
                  <o:lock v:ext="edit" shapetype="t"/>
                </v:shapetype>
                <v:shape id="_x0000_s1026" type="#_x0000_t32" style="position:absolute;left:0;text-align:left;margin-left:50.1pt;margin-top:3.5pt;width:58.25pt;height:0;z-index:251658240" o:connectortype="straight"/>
              </w:pict>
            </w:r>
          </w:p>
          <w:p w:rsidR="000964C4" w:rsidRPr="00EE15ED" w:rsidRDefault="000964C4" w:rsidP="00DE2616">
            <w:pPr>
              <w:spacing w:before="0" w:after="0"/>
              <w:jc w:val="center"/>
              <w:rPr>
                <w:rFonts w:eastAsia="Times New Roman"/>
                <w:sz w:val="26"/>
                <w:szCs w:val="24"/>
                <w:lang w:val="nl-NL"/>
              </w:rPr>
            </w:pPr>
          </w:p>
          <w:p w:rsidR="000964C4" w:rsidRPr="00EE15ED" w:rsidRDefault="000964C4" w:rsidP="00DE2616">
            <w:pPr>
              <w:spacing w:before="0" w:after="0"/>
              <w:jc w:val="center"/>
              <w:rPr>
                <w:rFonts w:eastAsia="Times New Roman"/>
                <w:sz w:val="24"/>
                <w:szCs w:val="24"/>
                <w:lang w:val="nl-NL"/>
              </w:rPr>
            </w:pPr>
            <w:r w:rsidRPr="00EE15ED">
              <w:rPr>
                <w:rFonts w:eastAsia="Times New Roman"/>
                <w:sz w:val="26"/>
                <w:szCs w:val="24"/>
                <w:lang w:val="nl-NL"/>
              </w:rPr>
              <w:t>Số:</w:t>
            </w:r>
            <w:r w:rsidR="00CF1409" w:rsidRPr="00EE15ED">
              <w:rPr>
                <w:rFonts w:eastAsia="Times New Roman"/>
                <w:sz w:val="26"/>
                <w:szCs w:val="24"/>
                <w:lang w:val="nl-NL"/>
              </w:rPr>
              <w:t xml:space="preserve"> </w:t>
            </w:r>
            <w:r w:rsidR="00E5182B" w:rsidRPr="00EE15ED">
              <w:rPr>
                <w:rFonts w:eastAsia="Times New Roman"/>
                <w:sz w:val="26"/>
                <w:szCs w:val="24"/>
                <w:lang w:val="nl-NL"/>
              </w:rPr>
              <w:t xml:space="preserve"> </w:t>
            </w:r>
            <w:r w:rsidR="00AC12F9">
              <w:rPr>
                <w:rFonts w:eastAsia="Times New Roman"/>
                <w:sz w:val="26"/>
                <w:szCs w:val="24"/>
                <w:lang w:val="nl-NL"/>
              </w:rPr>
              <w:t xml:space="preserve">      </w:t>
            </w:r>
            <w:r w:rsidRPr="00EE15ED">
              <w:rPr>
                <w:rFonts w:eastAsia="Times New Roman"/>
                <w:sz w:val="26"/>
                <w:szCs w:val="24"/>
                <w:lang w:val="nl-NL"/>
              </w:rPr>
              <w:t>/</w:t>
            </w:r>
            <w:r w:rsidR="00714BA8" w:rsidRPr="00EE15ED">
              <w:rPr>
                <w:rFonts w:eastAsia="Times New Roman"/>
                <w:sz w:val="26"/>
                <w:szCs w:val="24"/>
                <w:lang w:val="nl-NL"/>
              </w:rPr>
              <w:t>TTr-</w:t>
            </w:r>
            <w:r w:rsidR="00CB2DF6" w:rsidRPr="00EE15ED">
              <w:rPr>
                <w:rFonts w:eastAsia="Times New Roman"/>
                <w:sz w:val="26"/>
                <w:szCs w:val="24"/>
                <w:lang w:val="nl-NL"/>
              </w:rPr>
              <w:t>BTC</w:t>
            </w:r>
          </w:p>
          <w:p w:rsidR="000964C4" w:rsidRPr="00EE15ED" w:rsidRDefault="000964C4" w:rsidP="00CA147C">
            <w:pPr>
              <w:spacing w:before="0" w:after="0"/>
              <w:jc w:val="both"/>
              <w:rPr>
                <w:rFonts w:eastAsia="Times New Roman"/>
                <w:b/>
                <w:bCs/>
                <w:sz w:val="24"/>
                <w:szCs w:val="24"/>
                <w:lang w:val="nl-NL"/>
              </w:rPr>
            </w:pPr>
          </w:p>
        </w:tc>
        <w:tc>
          <w:tcPr>
            <w:tcW w:w="5837" w:type="dxa"/>
            <w:vMerge w:val="restart"/>
          </w:tcPr>
          <w:p w:rsidR="000964C4" w:rsidRPr="00EE15ED" w:rsidRDefault="000964C4" w:rsidP="00DE2616">
            <w:pPr>
              <w:spacing w:before="0" w:after="0"/>
              <w:jc w:val="center"/>
              <w:rPr>
                <w:rFonts w:eastAsia="Times New Roman"/>
                <w:b/>
                <w:bCs/>
                <w:sz w:val="26"/>
                <w:szCs w:val="26"/>
                <w:lang w:val="nl-NL"/>
              </w:rPr>
            </w:pPr>
            <w:r w:rsidRPr="00EE15ED">
              <w:rPr>
                <w:rFonts w:eastAsia="Times New Roman"/>
                <w:b/>
                <w:bCs/>
                <w:sz w:val="26"/>
                <w:szCs w:val="26"/>
                <w:lang w:val="nl-NL"/>
              </w:rPr>
              <w:t>CỘNG HOÀ XÃ HỘI CHỦ NGHĨA VIỆT NAM</w:t>
            </w:r>
          </w:p>
          <w:p w:rsidR="000964C4" w:rsidRPr="00EE15ED" w:rsidRDefault="000964C4" w:rsidP="00DE2616">
            <w:pPr>
              <w:spacing w:before="0" w:after="0"/>
              <w:jc w:val="center"/>
              <w:rPr>
                <w:rFonts w:eastAsia="Times New Roman"/>
                <w:b/>
                <w:szCs w:val="28"/>
                <w:lang w:val="nl-NL"/>
              </w:rPr>
            </w:pPr>
            <w:r w:rsidRPr="00EE15ED">
              <w:rPr>
                <w:rFonts w:eastAsia="Times New Roman"/>
                <w:b/>
                <w:szCs w:val="28"/>
                <w:lang w:val="nl-NL"/>
              </w:rPr>
              <w:t>Độc lập – Tự do – Hạnh phúc</w:t>
            </w:r>
          </w:p>
          <w:p w:rsidR="000964C4" w:rsidRPr="00EE15ED" w:rsidRDefault="00D6222F" w:rsidP="00DE2616">
            <w:pPr>
              <w:spacing w:before="0" w:after="0"/>
              <w:jc w:val="center"/>
              <w:rPr>
                <w:rFonts w:ascii=".VnFree" w:eastAsia="Times New Roman" w:hAnsi=".VnFree"/>
                <w:sz w:val="16"/>
                <w:szCs w:val="16"/>
                <w:lang w:val="nl-NL"/>
              </w:rPr>
            </w:pPr>
            <w:r>
              <w:rPr>
                <w:rFonts w:ascii=".VnFree" w:eastAsia="Times New Roman" w:hAnsi=".VnFree"/>
                <w:noProof/>
                <w:sz w:val="16"/>
                <w:szCs w:val="16"/>
                <w:lang w:val="en-US"/>
              </w:rPr>
              <w:pict>
                <v:shape id="_x0000_s1027" type="#_x0000_t32" style="position:absolute;left:0;text-align:left;margin-left:59.05pt;margin-top:3.05pt;width:164.05pt;height:0;z-index:251659264" o:connectortype="straight"/>
              </w:pict>
            </w:r>
          </w:p>
          <w:p w:rsidR="000964C4" w:rsidRPr="00EE15ED" w:rsidRDefault="000964C4" w:rsidP="00AC12F9">
            <w:pPr>
              <w:keepNext/>
              <w:spacing w:before="0" w:after="0"/>
              <w:jc w:val="center"/>
              <w:outlineLvl w:val="0"/>
              <w:rPr>
                <w:rFonts w:eastAsia="Times New Roman"/>
                <w:b/>
                <w:bCs/>
                <w:sz w:val="26"/>
                <w:szCs w:val="26"/>
                <w:lang w:val="nl-NL"/>
              </w:rPr>
            </w:pPr>
            <w:r w:rsidRPr="00EE15ED">
              <w:rPr>
                <w:rFonts w:eastAsia="Times New Roman"/>
                <w:i/>
                <w:szCs w:val="28"/>
                <w:lang w:val="nl-NL"/>
              </w:rPr>
              <w:t xml:space="preserve">Hà Nội, ngày </w:t>
            </w:r>
            <w:r w:rsidR="00AC12F9">
              <w:rPr>
                <w:rFonts w:eastAsia="Times New Roman"/>
                <w:i/>
                <w:szCs w:val="28"/>
                <w:lang w:val="nl-NL"/>
              </w:rPr>
              <w:t xml:space="preserve">  </w:t>
            </w:r>
            <w:r w:rsidRPr="00EE15ED">
              <w:rPr>
                <w:rFonts w:eastAsia="Times New Roman"/>
                <w:i/>
                <w:szCs w:val="28"/>
                <w:lang w:val="nl-NL"/>
              </w:rPr>
              <w:t xml:space="preserve"> tháng</w:t>
            </w:r>
            <w:r w:rsidR="00F935C4" w:rsidRPr="00EE15ED">
              <w:rPr>
                <w:rFonts w:eastAsia="Times New Roman"/>
                <w:i/>
                <w:szCs w:val="28"/>
                <w:lang w:val="nl-NL"/>
              </w:rPr>
              <w:t xml:space="preserve"> </w:t>
            </w:r>
            <w:r w:rsidR="00AC12F9">
              <w:rPr>
                <w:rFonts w:eastAsia="Times New Roman"/>
                <w:i/>
                <w:szCs w:val="28"/>
                <w:lang w:val="nl-NL"/>
              </w:rPr>
              <w:t xml:space="preserve">  </w:t>
            </w:r>
            <w:r w:rsidR="00EA30F3" w:rsidRPr="00EE15ED">
              <w:rPr>
                <w:rFonts w:eastAsia="Times New Roman"/>
                <w:i/>
                <w:szCs w:val="28"/>
                <w:lang w:val="nl-NL"/>
              </w:rPr>
              <w:t xml:space="preserve"> </w:t>
            </w:r>
            <w:r w:rsidRPr="00EE15ED">
              <w:rPr>
                <w:rFonts w:eastAsia="Times New Roman"/>
                <w:i/>
                <w:szCs w:val="28"/>
                <w:lang w:val="nl-NL"/>
              </w:rPr>
              <w:t xml:space="preserve">năm </w:t>
            </w:r>
            <w:r w:rsidR="00AE0A9E" w:rsidRPr="00EE15ED">
              <w:rPr>
                <w:rFonts w:eastAsia="Times New Roman"/>
                <w:i/>
                <w:szCs w:val="28"/>
                <w:lang w:val="nl-NL"/>
              </w:rPr>
              <w:t>202</w:t>
            </w:r>
            <w:r w:rsidR="00AC12F9">
              <w:rPr>
                <w:rFonts w:eastAsia="Times New Roman"/>
                <w:i/>
                <w:szCs w:val="28"/>
                <w:lang w:val="nl-NL"/>
              </w:rPr>
              <w:t>5</w:t>
            </w:r>
          </w:p>
        </w:tc>
      </w:tr>
      <w:tr w:rsidR="000964C4" w:rsidRPr="00EE15ED" w:rsidTr="000964C4">
        <w:trPr>
          <w:trHeight w:val="184"/>
          <w:jc w:val="center"/>
        </w:trPr>
        <w:tc>
          <w:tcPr>
            <w:tcW w:w="3402" w:type="dxa"/>
            <w:vMerge/>
          </w:tcPr>
          <w:p w:rsidR="000964C4" w:rsidRPr="00EE15ED" w:rsidRDefault="000964C4" w:rsidP="005270A8">
            <w:pPr>
              <w:spacing w:before="0" w:after="0"/>
              <w:jc w:val="both"/>
              <w:rPr>
                <w:rFonts w:eastAsia="Times New Roman"/>
                <w:sz w:val="16"/>
                <w:szCs w:val="16"/>
                <w:lang w:val="nl-NL"/>
              </w:rPr>
            </w:pPr>
          </w:p>
        </w:tc>
        <w:tc>
          <w:tcPr>
            <w:tcW w:w="5837" w:type="dxa"/>
            <w:vMerge/>
          </w:tcPr>
          <w:p w:rsidR="000964C4" w:rsidRPr="00EE15ED" w:rsidRDefault="000964C4" w:rsidP="005270A8">
            <w:pPr>
              <w:keepNext/>
              <w:spacing w:before="0" w:after="0"/>
              <w:jc w:val="center"/>
              <w:outlineLvl w:val="0"/>
              <w:rPr>
                <w:rFonts w:eastAsia="Times New Roman"/>
                <w:b/>
                <w:szCs w:val="28"/>
                <w:lang w:val="nl-NL"/>
              </w:rPr>
            </w:pPr>
          </w:p>
        </w:tc>
      </w:tr>
      <w:tr w:rsidR="000964C4" w:rsidRPr="00EE15ED" w:rsidTr="000964C4">
        <w:trPr>
          <w:trHeight w:val="299"/>
          <w:jc w:val="center"/>
        </w:trPr>
        <w:tc>
          <w:tcPr>
            <w:tcW w:w="3402" w:type="dxa"/>
            <w:vMerge/>
          </w:tcPr>
          <w:p w:rsidR="000964C4" w:rsidRPr="00EE15ED" w:rsidRDefault="000964C4" w:rsidP="005270A8">
            <w:pPr>
              <w:spacing w:before="0" w:after="0"/>
              <w:jc w:val="both"/>
              <w:rPr>
                <w:rFonts w:eastAsia="Times New Roman"/>
                <w:sz w:val="26"/>
                <w:szCs w:val="24"/>
                <w:lang w:val="nl-NL"/>
              </w:rPr>
            </w:pPr>
          </w:p>
        </w:tc>
        <w:tc>
          <w:tcPr>
            <w:tcW w:w="5837" w:type="dxa"/>
            <w:vMerge/>
          </w:tcPr>
          <w:p w:rsidR="000964C4" w:rsidRPr="00EE15ED" w:rsidRDefault="000964C4" w:rsidP="005270A8">
            <w:pPr>
              <w:keepNext/>
              <w:spacing w:before="0" w:after="0"/>
              <w:jc w:val="center"/>
              <w:outlineLvl w:val="0"/>
              <w:rPr>
                <w:rFonts w:ascii=".VnFree" w:eastAsia="Times New Roman" w:hAnsi=".VnFree"/>
                <w:sz w:val="16"/>
                <w:szCs w:val="16"/>
                <w:lang w:val="nl-NL"/>
              </w:rPr>
            </w:pPr>
          </w:p>
        </w:tc>
      </w:tr>
      <w:tr w:rsidR="000964C4" w:rsidRPr="00EE15ED" w:rsidTr="000964C4">
        <w:trPr>
          <w:trHeight w:val="362"/>
          <w:jc w:val="center"/>
        </w:trPr>
        <w:tc>
          <w:tcPr>
            <w:tcW w:w="3402" w:type="dxa"/>
            <w:vMerge/>
          </w:tcPr>
          <w:p w:rsidR="000964C4" w:rsidRPr="00EE15ED" w:rsidRDefault="000964C4" w:rsidP="005270A8">
            <w:pPr>
              <w:spacing w:before="0" w:after="0"/>
              <w:jc w:val="both"/>
              <w:rPr>
                <w:rFonts w:eastAsia="Times New Roman"/>
                <w:sz w:val="22"/>
                <w:lang w:val="pt-BR"/>
              </w:rPr>
            </w:pPr>
          </w:p>
        </w:tc>
        <w:tc>
          <w:tcPr>
            <w:tcW w:w="5837" w:type="dxa"/>
            <w:vMerge/>
          </w:tcPr>
          <w:p w:rsidR="000964C4" w:rsidRPr="00EE15ED" w:rsidRDefault="000964C4" w:rsidP="005270A8">
            <w:pPr>
              <w:keepNext/>
              <w:spacing w:before="0" w:after="0"/>
              <w:jc w:val="center"/>
              <w:outlineLvl w:val="0"/>
              <w:rPr>
                <w:rFonts w:eastAsia="Times New Roman"/>
                <w:i/>
                <w:szCs w:val="28"/>
                <w:lang w:val="nl-NL"/>
              </w:rPr>
            </w:pPr>
          </w:p>
        </w:tc>
      </w:tr>
    </w:tbl>
    <w:p w:rsidR="00CB530A" w:rsidRDefault="00CB530A" w:rsidP="00370A12">
      <w:pPr>
        <w:spacing w:before="0" w:after="0"/>
        <w:ind w:right="-357"/>
        <w:rPr>
          <w:rFonts w:ascii="Cambria" w:hAnsi="Cambria" w:cs="Cambria"/>
          <w:b/>
          <w:szCs w:val="28"/>
          <w:lang w:val="nl-NL"/>
        </w:rPr>
      </w:pPr>
    </w:p>
    <w:p w:rsidR="00CB530A" w:rsidRPr="00EE15ED" w:rsidRDefault="00CB530A" w:rsidP="00370A12">
      <w:pPr>
        <w:spacing w:before="0" w:after="0"/>
        <w:ind w:right="-357"/>
        <w:rPr>
          <w:rFonts w:ascii="Cambria" w:hAnsi="Cambria" w:cs="Cambria"/>
          <w:b/>
          <w:szCs w:val="28"/>
          <w:lang w:val="nl-NL"/>
        </w:rPr>
      </w:pPr>
    </w:p>
    <w:p w:rsidR="00714BA8" w:rsidRPr="00EE15ED" w:rsidRDefault="00714BA8" w:rsidP="00E915DE">
      <w:pPr>
        <w:spacing w:before="0" w:after="0"/>
        <w:ind w:right="-357"/>
        <w:jc w:val="center"/>
        <w:rPr>
          <w:b/>
          <w:szCs w:val="28"/>
        </w:rPr>
      </w:pPr>
      <w:r w:rsidRPr="00EE15ED">
        <w:rPr>
          <w:b/>
          <w:szCs w:val="28"/>
        </w:rPr>
        <w:t>TỜ TRÌNH</w:t>
      </w:r>
    </w:p>
    <w:p w:rsidR="00BA4285" w:rsidRPr="00AC12F9" w:rsidRDefault="00AC12F9" w:rsidP="00AC12F9">
      <w:pPr>
        <w:spacing w:before="0" w:after="0"/>
        <w:jc w:val="center"/>
        <w:rPr>
          <w:rFonts w:eastAsia="Times New Roman"/>
          <w:b/>
          <w:szCs w:val="28"/>
          <w:lang w:val="nl-NL"/>
        </w:rPr>
      </w:pPr>
      <w:r>
        <w:rPr>
          <w:rFonts w:eastAsia="Times New Roman"/>
          <w:b/>
          <w:szCs w:val="28"/>
          <w:lang w:val="nl-NL"/>
        </w:rPr>
        <w:t>Về</w:t>
      </w:r>
      <w:r w:rsidR="00EA30F3" w:rsidRPr="00EE15ED">
        <w:rPr>
          <w:rFonts w:eastAsia="Times New Roman"/>
          <w:b/>
          <w:szCs w:val="28"/>
          <w:lang w:val="nl-NL"/>
        </w:rPr>
        <w:t xml:space="preserve"> dự án Nghị quyết của Quốc hội về</w:t>
      </w:r>
      <w:r>
        <w:rPr>
          <w:rFonts w:eastAsia="Times New Roman"/>
          <w:b/>
          <w:szCs w:val="28"/>
          <w:lang w:val="nl-NL"/>
        </w:rPr>
        <w:t xml:space="preserve"> </w:t>
      </w:r>
      <w:r w:rsidR="00EA30F3" w:rsidRPr="00EE15ED">
        <w:rPr>
          <w:rFonts w:eastAsia="Times New Roman"/>
          <w:b/>
          <w:szCs w:val="28"/>
          <w:lang w:val="nl-NL"/>
        </w:rPr>
        <w:t>giảm thuế giá trị gia tăng</w:t>
      </w:r>
      <w:r w:rsidR="00A30E4D">
        <w:rPr>
          <w:rFonts w:eastAsia="Times New Roman"/>
          <w:b/>
          <w:szCs w:val="28"/>
          <w:lang w:val="nl-NL"/>
        </w:rPr>
        <w:t xml:space="preserve"> </w:t>
      </w:r>
    </w:p>
    <w:p w:rsidR="00714BA8" w:rsidRPr="00EE15ED" w:rsidRDefault="00EA30F3" w:rsidP="00E915DE">
      <w:pPr>
        <w:spacing w:before="0" w:after="0"/>
        <w:ind w:right="-360"/>
        <w:jc w:val="center"/>
        <w:rPr>
          <w:b/>
          <w:sz w:val="12"/>
          <w:szCs w:val="12"/>
          <w:lang w:val="nl-NL"/>
        </w:rPr>
      </w:pPr>
      <w:r w:rsidRPr="00EE15ED">
        <w:rPr>
          <w:b/>
          <w:sz w:val="12"/>
          <w:szCs w:val="12"/>
          <w:lang w:val="nl-NL"/>
        </w:rPr>
        <w:t>_________________</w:t>
      </w:r>
    </w:p>
    <w:p w:rsidR="00DC15BA" w:rsidRPr="00EE15ED" w:rsidRDefault="00DC15BA" w:rsidP="00E915DE">
      <w:pPr>
        <w:spacing w:before="0" w:after="0"/>
        <w:jc w:val="center"/>
        <w:rPr>
          <w:rFonts w:eastAsia="Times New Roman"/>
          <w:bCs/>
          <w:szCs w:val="28"/>
          <w:lang w:val="nl-NL"/>
        </w:rPr>
      </w:pPr>
    </w:p>
    <w:p w:rsidR="005270A8" w:rsidRPr="00EE15ED" w:rsidRDefault="005270A8" w:rsidP="006839AC">
      <w:pPr>
        <w:spacing w:before="0" w:after="0" w:line="360" w:lineRule="auto"/>
        <w:jc w:val="center"/>
        <w:rPr>
          <w:rFonts w:eastAsia="Times New Roman"/>
          <w:bCs/>
          <w:szCs w:val="28"/>
          <w:lang w:val="nl-NL"/>
        </w:rPr>
      </w:pPr>
      <w:r w:rsidRPr="00EE15ED">
        <w:rPr>
          <w:rFonts w:eastAsia="Times New Roman"/>
          <w:bCs/>
          <w:szCs w:val="28"/>
          <w:lang w:val="nl-NL"/>
        </w:rPr>
        <w:t xml:space="preserve">Kính gửi: </w:t>
      </w:r>
      <w:r w:rsidR="00716A22" w:rsidRPr="00EE15ED">
        <w:rPr>
          <w:rFonts w:eastAsia="Times New Roman"/>
          <w:bCs/>
          <w:szCs w:val="28"/>
          <w:lang w:val="nl-NL"/>
        </w:rPr>
        <w:t>Chính phủ</w:t>
      </w:r>
    </w:p>
    <w:p w:rsidR="00C43D30" w:rsidRPr="00BA747A" w:rsidRDefault="00B91EC6" w:rsidP="00BA747A">
      <w:pPr>
        <w:widowControl w:val="0"/>
        <w:ind w:firstLine="720"/>
        <w:jc w:val="both"/>
        <w:rPr>
          <w:bCs/>
          <w:iCs/>
          <w:color w:val="000000"/>
          <w:lang w:val="nl-NL"/>
        </w:rPr>
      </w:pPr>
      <w:r w:rsidRPr="006719C1">
        <w:rPr>
          <w:szCs w:val="28"/>
          <w:lang w:val="nl-NL" w:bidi="vi-VN"/>
        </w:rPr>
        <w:t>Thực hiện quy định của Luật Ban hành văn bản quy phạm pháp luật</w:t>
      </w:r>
      <w:r w:rsidR="00B47871" w:rsidRPr="006719C1">
        <w:rPr>
          <w:szCs w:val="28"/>
          <w:lang w:val="nl-NL" w:bidi="vi-VN"/>
        </w:rPr>
        <w:t>,</w:t>
      </w:r>
      <w:r w:rsidRPr="006719C1">
        <w:rPr>
          <w:szCs w:val="28"/>
          <w:lang w:val="nl-NL" w:bidi="vi-VN"/>
        </w:rPr>
        <w:t xml:space="preserve"> Bộ Tài chính kính trình Chính phủ về dự án Nghị quyết của Quốc hội về giảm thuế giá trị gia tăng (GTGT) </w:t>
      </w:r>
      <w:r w:rsidR="00A934A1" w:rsidRPr="006719C1">
        <w:rPr>
          <w:szCs w:val="28"/>
          <w:lang w:val="nl-NL" w:bidi="vi-VN"/>
        </w:rPr>
        <w:t xml:space="preserve">(sau đây gọi là dự án Nghị quyết) </w:t>
      </w:r>
      <w:r w:rsidRPr="006719C1">
        <w:rPr>
          <w:szCs w:val="28"/>
          <w:lang w:val="nl-NL" w:bidi="vi-VN"/>
        </w:rPr>
        <w:t>như sau:</w:t>
      </w:r>
    </w:p>
    <w:p w:rsidR="00E32E11" w:rsidRPr="00EE15ED" w:rsidRDefault="00E32E11" w:rsidP="007F450C">
      <w:pPr>
        <w:ind w:firstLine="720"/>
        <w:jc w:val="both"/>
        <w:rPr>
          <w:b/>
          <w:szCs w:val="28"/>
          <w:lang w:val="nl-NL"/>
        </w:rPr>
      </w:pPr>
      <w:r w:rsidRPr="005D445A">
        <w:rPr>
          <w:b/>
          <w:szCs w:val="28"/>
          <w:lang w:val="nl-NL"/>
        </w:rPr>
        <w:t xml:space="preserve">I. SỰ CẦN THIẾT </w:t>
      </w:r>
      <w:r w:rsidR="00C43D30" w:rsidRPr="005D445A">
        <w:rPr>
          <w:b/>
          <w:szCs w:val="28"/>
          <w:lang w:val="nl-NL"/>
        </w:rPr>
        <w:t>BAN HÀNH NGHỊ QUYẾT</w:t>
      </w:r>
    </w:p>
    <w:p w:rsidR="00AE2339" w:rsidRDefault="00C43D30" w:rsidP="007F450C">
      <w:pPr>
        <w:widowControl w:val="0"/>
        <w:ind w:firstLine="720"/>
        <w:jc w:val="both"/>
        <w:rPr>
          <w:b/>
          <w:bCs/>
          <w:lang w:val="it-IT" w:bidi="vi-VN"/>
        </w:rPr>
      </w:pPr>
      <w:r w:rsidRPr="00C43D30">
        <w:rPr>
          <w:b/>
          <w:bCs/>
          <w:lang w:val="en-SG"/>
        </w:rPr>
        <w:t xml:space="preserve">1. </w:t>
      </w:r>
      <w:r w:rsidRPr="00C43D30">
        <w:rPr>
          <w:b/>
          <w:bCs/>
          <w:lang w:val="it-IT" w:bidi="vi-VN"/>
        </w:rPr>
        <w:t>Cơ s</w:t>
      </w:r>
      <w:r w:rsidRPr="00C43D30">
        <w:rPr>
          <w:b/>
          <w:bCs/>
          <w:lang w:val="en-SG"/>
        </w:rPr>
        <w:t xml:space="preserve">ở </w:t>
      </w:r>
      <w:r w:rsidRPr="00C43D30">
        <w:rPr>
          <w:b/>
          <w:bCs/>
          <w:lang w:val="it-IT" w:bidi="vi-VN"/>
        </w:rPr>
        <w:t>chính trị, pháp lý</w:t>
      </w:r>
    </w:p>
    <w:p w:rsidR="00C16831" w:rsidRPr="009B122D" w:rsidRDefault="00C16831" w:rsidP="00C16831">
      <w:pPr>
        <w:widowControl w:val="0"/>
        <w:ind w:firstLine="709"/>
        <w:jc w:val="both"/>
        <w:rPr>
          <w:bCs/>
          <w:iCs/>
          <w:szCs w:val="28"/>
          <w:lang w:val="nl-NL"/>
        </w:rPr>
      </w:pPr>
      <w:r w:rsidRPr="009B122D">
        <w:rPr>
          <w:bCs/>
          <w:iCs/>
          <w:szCs w:val="28"/>
          <w:lang w:val="nl-NL"/>
        </w:rPr>
        <w:t xml:space="preserve">Ngày 20/01/2025, Ban Cán sự Đảng Chính phủ đã có Báo cáo số 3923-BC/BCSĐCP </w:t>
      </w:r>
      <w:r w:rsidR="00945EF5">
        <w:rPr>
          <w:bCs/>
          <w:iCs/>
          <w:szCs w:val="28"/>
          <w:lang w:val="nl-NL"/>
        </w:rPr>
        <w:t xml:space="preserve">báo cáo Ban Chấp hành Trung ương Đảng </w:t>
      </w:r>
      <w:r w:rsidRPr="009B122D">
        <w:rPr>
          <w:bCs/>
          <w:iCs/>
          <w:szCs w:val="28"/>
          <w:lang w:val="nl-NL"/>
        </w:rPr>
        <w:t>về Đề án bổ sung về phát triển kinh tế - xã hội năm 2025 với mục tiêu tăng trưởng đạt 8% trở lên. Theo đó, đối với kịch bản tăng trưởng đạt 8% trở lên thì một trong các động lực tăng trưởng là tiêu dùng và tổng mức bán lẻ hàng hóa và doanh thu dịch vụ tiêu dùng (giá hiện hành) năm 2025 tăng khoảng 12% trở lên</w:t>
      </w:r>
      <w:r w:rsidR="009B122D" w:rsidRPr="00A01809">
        <w:rPr>
          <w:bCs/>
          <w:iCs/>
          <w:szCs w:val="28"/>
          <w:vertAlign w:val="superscript"/>
          <w:lang w:val="nl-NL"/>
        </w:rPr>
        <w:footnoteReference w:id="1"/>
      </w:r>
      <w:r w:rsidR="00945EF5">
        <w:rPr>
          <w:bCs/>
          <w:iCs/>
          <w:szCs w:val="28"/>
          <w:lang w:val="nl-NL"/>
        </w:rPr>
        <w:t>,</w:t>
      </w:r>
      <w:r w:rsidR="00A01809">
        <w:rPr>
          <w:bCs/>
          <w:iCs/>
          <w:szCs w:val="28"/>
          <w:lang w:val="nl-NL"/>
        </w:rPr>
        <w:t xml:space="preserve"> một trong những điều kiện để thực hiện kịch bản tăng trưởng này là phục hồi nhanh tiêu dùng, du lịch, dịch vụ trong nước</w:t>
      </w:r>
      <w:r w:rsidRPr="009B122D">
        <w:rPr>
          <w:bCs/>
          <w:iCs/>
          <w:szCs w:val="28"/>
          <w:lang w:val="nl-NL"/>
        </w:rPr>
        <w:t>.</w:t>
      </w:r>
    </w:p>
    <w:p w:rsidR="006808E1" w:rsidRDefault="006808E1" w:rsidP="006808E1">
      <w:pPr>
        <w:widowControl w:val="0"/>
        <w:ind w:firstLine="709"/>
        <w:jc w:val="both"/>
        <w:rPr>
          <w:bCs/>
          <w:iCs/>
          <w:szCs w:val="28"/>
          <w:lang w:val="nl-NL"/>
        </w:rPr>
      </w:pPr>
      <w:r>
        <w:rPr>
          <w:bCs/>
          <w:iCs/>
          <w:szCs w:val="28"/>
          <w:lang w:val="nl-NL"/>
        </w:rPr>
        <w:t>Ngày 19/02/2025, Quốc hội đã thông qua Nghị quyết số 192/2025/QH15 về bổ sung Kế hoạch phát triển kinh tế - xã hội năm 2025. Tại điểm a Điều 1 Nghị quyết, Quốc hội quyết nghị trong năm 2025 tập trung thúc đẩy tăng trưởng với mục tiêu đạt 8% trở lên gắn với giữ vững ổn định kinh tế vĩ mô, kiểm soát lạm phát, bảo đảm các cân đối lớn của nền kinh tế, góp phần tạo nền tảng vững chắc để đạt tốc độ tăng trưởng hai con số trong giai đoạn 2026 - 2030.</w:t>
      </w:r>
    </w:p>
    <w:p w:rsidR="00A30E4D" w:rsidRPr="00A30E4D" w:rsidRDefault="00A30E4D" w:rsidP="00A30E4D">
      <w:pPr>
        <w:widowControl w:val="0"/>
        <w:ind w:firstLine="720"/>
        <w:jc w:val="both"/>
        <w:rPr>
          <w:bCs/>
          <w:iCs/>
          <w:color w:val="000000"/>
          <w:lang w:val="en-US"/>
        </w:rPr>
      </w:pPr>
      <w:r w:rsidRPr="00A30E4D">
        <w:rPr>
          <w:bCs/>
          <w:iCs/>
          <w:color w:val="000000"/>
          <w:lang w:val="nl-NL"/>
        </w:rPr>
        <w:t>Ngày 01/3/2025, Thủ tướng Chính phủ</w:t>
      </w:r>
      <w:r w:rsidR="00945EF5">
        <w:rPr>
          <w:bCs/>
          <w:iCs/>
          <w:color w:val="000000"/>
          <w:lang w:val="nl-NL"/>
        </w:rPr>
        <w:t xml:space="preserve"> </w:t>
      </w:r>
      <w:r w:rsidRPr="00A30E4D">
        <w:rPr>
          <w:bCs/>
          <w:iCs/>
          <w:color w:val="000000"/>
          <w:lang w:val="nl-NL"/>
        </w:rPr>
        <w:t xml:space="preserve">có Chỉ thị số 05/CT-TTg về các nhiệm vụ, giải pháp trọng tâm, đột phá thúc đẩy tăng trưởng kinh tế và đẩy mạnh giải ngân vốn đầu tư công, bảo đảm mục tiêu tăng trưởng cả nước năm 2025 đạt 8% trở lên. Tại Chỉ thị, Thủ tướng Chính phủ giao Bộ Tài chính </w:t>
      </w:r>
      <w:r w:rsidRPr="00A30E4D">
        <w:rPr>
          <w:bCs/>
          <w:iCs/>
          <w:color w:val="000000"/>
          <w:lang w:val="nl-NL" w:bidi="vi-VN"/>
        </w:rPr>
        <w:t>tiếp tục nghiên cứu, </w:t>
      </w:r>
      <w:r w:rsidRPr="00A30E4D">
        <w:rPr>
          <w:bCs/>
          <w:iCs/>
          <w:color w:val="000000"/>
          <w:lang w:val="nl-NL"/>
        </w:rPr>
        <w:t>đề xuất các chính sách miễn, giảm, gia hạn thuế, phí, lệ phí và tiền thuê đất…</w:t>
      </w:r>
      <w:r w:rsidRPr="00A30E4D">
        <w:rPr>
          <w:bCs/>
          <w:iCs/>
          <w:color w:val="000000"/>
          <w:lang w:val="nl-NL" w:bidi="vi-VN"/>
        </w:rPr>
        <w:t> để hỗ trợ người dân, doanh nghiệp, thúc đẩy hoạt động sản xuất kinh doanh, du lịch, tiêu dùng trong nước trong năm 2025, báo cáo cấp có thẩm quyền trước ngày 15</w:t>
      </w:r>
      <w:r w:rsidRPr="00A30E4D">
        <w:rPr>
          <w:bCs/>
          <w:iCs/>
          <w:color w:val="000000"/>
          <w:lang w:val="en-US"/>
        </w:rPr>
        <w:t>/</w:t>
      </w:r>
      <w:r w:rsidRPr="00A30E4D">
        <w:rPr>
          <w:bCs/>
          <w:iCs/>
          <w:color w:val="000000"/>
          <w:lang w:val="nl-NL" w:bidi="vi-VN"/>
        </w:rPr>
        <w:t>3</w:t>
      </w:r>
      <w:r w:rsidRPr="00A30E4D">
        <w:rPr>
          <w:bCs/>
          <w:iCs/>
          <w:color w:val="000000"/>
          <w:lang w:val="en-US"/>
        </w:rPr>
        <w:t>/</w:t>
      </w:r>
      <w:r w:rsidRPr="00A30E4D">
        <w:rPr>
          <w:bCs/>
          <w:iCs/>
          <w:color w:val="000000"/>
          <w:lang w:val="nl-NL" w:bidi="vi-VN"/>
        </w:rPr>
        <w:t>2025.</w:t>
      </w:r>
    </w:p>
    <w:p w:rsidR="00E93FB7" w:rsidRPr="000F7F71" w:rsidRDefault="001B24A4" w:rsidP="00A30E4D">
      <w:pPr>
        <w:widowControl w:val="0"/>
        <w:ind w:firstLine="720"/>
        <w:jc w:val="both"/>
        <w:rPr>
          <w:bCs/>
          <w:iCs/>
          <w:color w:val="000000"/>
          <w:lang w:val="nl-NL"/>
        </w:rPr>
      </w:pPr>
      <w:r w:rsidRPr="000F7F71">
        <w:rPr>
          <w:bCs/>
          <w:iCs/>
          <w:color w:val="000000"/>
          <w:lang w:val="nl-NL"/>
        </w:rPr>
        <w:t>Ngày 04/3/2025, Văn phòng Chính phủ</w:t>
      </w:r>
      <w:r w:rsidR="00945EF5">
        <w:rPr>
          <w:bCs/>
          <w:iCs/>
          <w:color w:val="000000"/>
          <w:lang w:val="nl-NL"/>
        </w:rPr>
        <w:t xml:space="preserve"> </w:t>
      </w:r>
      <w:r w:rsidRPr="000F7F71">
        <w:rPr>
          <w:bCs/>
          <w:iCs/>
          <w:color w:val="000000"/>
          <w:lang w:val="nl-NL"/>
        </w:rPr>
        <w:t xml:space="preserve">có Thông báo số 78a/TB-VPCP </w:t>
      </w:r>
      <w:r w:rsidRPr="000F7F71">
        <w:rPr>
          <w:bCs/>
          <w:iCs/>
          <w:color w:val="000000"/>
          <w:lang w:val="nl-NL"/>
        </w:rPr>
        <w:lastRenderedPageBreak/>
        <w:t>về kết luận của Thường trực Chính phủ tại cuộc họp về tình hình kinh tế - xã hội tháng 02 và 02 tháng đầu năm 2025; tình hình phân bổ và giải ngân vốn đầu tư công; triển khai 03 Chương trình mục tiêu quốc gia; triển khai thực hiện Nghị quyết số 25/NQ-CP ngày 05/02/2025 của Chính phủ. Tại Thông báo, Thường trực Chính phủ giao Bộ Tài chính chủ trì, phối hợp với các cơ quan liên quan khẩn trương nghiên cứu đề xuất về việc giảm thuế GTGT áp dụng trong 6 tháng cuối năm 2025, báo cáo cấp có thẩm quyền trước ngày 15/3/2025.</w:t>
      </w:r>
    </w:p>
    <w:p w:rsidR="00E1007E" w:rsidRPr="000F7F71" w:rsidRDefault="00E1007E" w:rsidP="00A30E4D">
      <w:pPr>
        <w:widowControl w:val="0"/>
        <w:ind w:firstLine="720"/>
        <w:jc w:val="both"/>
        <w:rPr>
          <w:bCs/>
          <w:iCs/>
          <w:color w:val="000000"/>
          <w:lang w:val="nl-NL"/>
        </w:rPr>
      </w:pPr>
      <w:r w:rsidRPr="000F7F71">
        <w:rPr>
          <w:bCs/>
          <w:iCs/>
          <w:color w:val="000000"/>
          <w:lang w:val="nl-NL"/>
        </w:rPr>
        <w:t>Ngày 08/3/2025, Chính phủ</w:t>
      </w:r>
      <w:r w:rsidR="00945EF5">
        <w:rPr>
          <w:bCs/>
          <w:iCs/>
          <w:color w:val="000000"/>
          <w:lang w:val="nl-NL"/>
        </w:rPr>
        <w:t xml:space="preserve"> </w:t>
      </w:r>
      <w:r w:rsidRPr="000F7F71">
        <w:rPr>
          <w:bCs/>
          <w:iCs/>
          <w:color w:val="000000"/>
          <w:lang w:val="nl-NL"/>
        </w:rPr>
        <w:t>ban hành Nghị quyết số 46/NQ-CP về phiên họp Chính phủ thường kỳ tháng 02/2025. Tại Nghị quyết, Chính phủ giao Bộ Tài chính nghiên cứu, đề xuất về việc giảm thuế GTGT, mở rộng đối tượng giảm thuế áp dụng trong 6 tháng cuối năm 2025, báo cáo cấp có thẩm quyền trước ngày 15/3/2025.</w:t>
      </w:r>
    </w:p>
    <w:p w:rsidR="001B24A4" w:rsidRDefault="001B24A4" w:rsidP="00A30E4D">
      <w:pPr>
        <w:widowControl w:val="0"/>
        <w:ind w:firstLine="720"/>
        <w:jc w:val="both"/>
        <w:rPr>
          <w:bCs/>
          <w:iCs/>
          <w:color w:val="000000"/>
          <w:lang w:val="nl-NL"/>
        </w:rPr>
      </w:pPr>
      <w:r w:rsidRPr="000F7F71">
        <w:rPr>
          <w:bCs/>
          <w:iCs/>
          <w:color w:val="000000"/>
          <w:lang w:val="nl-NL"/>
        </w:rPr>
        <w:t>Ngày 09/3/2025, Thủ tướng Chính phủ</w:t>
      </w:r>
      <w:r w:rsidR="00945EF5">
        <w:rPr>
          <w:bCs/>
          <w:iCs/>
          <w:color w:val="000000"/>
          <w:lang w:val="nl-NL"/>
        </w:rPr>
        <w:t xml:space="preserve"> </w:t>
      </w:r>
      <w:r w:rsidRPr="000F7F71">
        <w:rPr>
          <w:bCs/>
          <w:iCs/>
          <w:color w:val="000000"/>
          <w:lang w:val="nl-NL"/>
        </w:rPr>
        <w:t>có Công điện số 22/CĐ-TTg về  một số nhiệm vụ, giải pháp trọng tâm về cắt giảm thủ tục hành chính, cải thiện môi trường kinh doanh, thúc đẩy phát triển kinh tế - xã hội. Tại Công điện, Thủ tướng giao Bộ Tài chính chủ trì, phối hợp với các Bộ, cơ quan, địa phương nghiên cứu, đề xuất về việc mở rộng đối tượng giảm thuế, giảm thuế GTGT áp dụng trong 06 tháng cuối năm 2025 và năm 2026, báo cáo Chính ph</w:t>
      </w:r>
      <w:r w:rsidR="00945EF5">
        <w:rPr>
          <w:bCs/>
          <w:iCs/>
          <w:color w:val="000000"/>
          <w:lang w:val="nl-NL"/>
        </w:rPr>
        <w:t>ủ</w:t>
      </w:r>
      <w:r w:rsidRPr="000F7F71">
        <w:rPr>
          <w:bCs/>
          <w:iCs/>
          <w:color w:val="000000"/>
          <w:lang w:val="nl-NL"/>
        </w:rPr>
        <w:t xml:space="preserve"> trước ngày 15/3/2025.</w:t>
      </w:r>
    </w:p>
    <w:p w:rsidR="00945EF5" w:rsidRPr="000F7F71" w:rsidRDefault="00945EF5" w:rsidP="00A30E4D">
      <w:pPr>
        <w:widowControl w:val="0"/>
        <w:ind w:firstLine="720"/>
        <w:jc w:val="both"/>
        <w:rPr>
          <w:bCs/>
          <w:iCs/>
          <w:color w:val="000000"/>
          <w:lang w:val="nl-NL"/>
        </w:rPr>
      </w:pPr>
      <w:r w:rsidRPr="00C47871">
        <w:rPr>
          <w:szCs w:val="28"/>
        </w:rPr>
        <w:t>Ngày 10/3/2025, Bộ Tài chính có công văn số 2782/BTC-CST báo cáo Thủ tướng Chính phủ về chính sách giảm thuế GTGT.</w:t>
      </w:r>
    </w:p>
    <w:p w:rsidR="0067405C" w:rsidRPr="007B3DB7" w:rsidRDefault="0067405C" w:rsidP="0067405C">
      <w:pPr>
        <w:widowControl w:val="0"/>
        <w:ind w:firstLine="720"/>
        <w:jc w:val="both"/>
        <w:rPr>
          <w:bCs/>
          <w:iCs/>
          <w:lang w:val="en-US"/>
        </w:rPr>
      </w:pPr>
      <w:r w:rsidRPr="000F7F71">
        <w:rPr>
          <w:bCs/>
          <w:iCs/>
          <w:lang w:val="en-US"/>
        </w:rPr>
        <w:t xml:space="preserve">Ngày 17/3/2025, Văn phòng Chính phủ đã có công văn </w:t>
      </w:r>
      <w:r w:rsidR="00BB0C8C">
        <w:rPr>
          <w:bCs/>
          <w:iCs/>
          <w:lang w:val="en-US"/>
        </w:rPr>
        <w:t xml:space="preserve">số 2763/VPCP-KTTH </w:t>
      </w:r>
      <w:r w:rsidRPr="000F7F71">
        <w:rPr>
          <w:bCs/>
          <w:iCs/>
          <w:lang w:val="en-US"/>
        </w:rPr>
        <w:t xml:space="preserve">thông báo ý kiến chỉ đạo của Phó Thủ tướng Chính phủ Hồ Đức Phớc về dự </w:t>
      </w:r>
      <w:proofErr w:type="gramStart"/>
      <w:r w:rsidRPr="000F7F71">
        <w:rPr>
          <w:bCs/>
          <w:iCs/>
          <w:lang w:val="en-US"/>
        </w:rPr>
        <w:t>án</w:t>
      </w:r>
      <w:proofErr w:type="gramEnd"/>
      <w:r w:rsidRPr="000F7F71">
        <w:rPr>
          <w:bCs/>
          <w:iCs/>
          <w:lang w:val="en-US"/>
        </w:rPr>
        <w:t xml:space="preserve"> Nghị quyết của Quốc hội về giảm thuế GTGT</w:t>
      </w:r>
      <w:r w:rsidR="007B3DB7">
        <w:rPr>
          <w:bCs/>
          <w:iCs/>
          <w:lang w:val="en-US"/>
        </w:rPr>
        <w:t>. Tại công văn, Phó Thủ tướng đ</w:t>
      </w:r>
      <w:r w:rsidR="007B3DB7" w:rsidRPr="00C65653">
        <w:rPr>
          <w:bCs/>
          <w:iCs/>
          <w:lang w:val="en-US"/>
        </w:rPr>
        <w:t>ồng ý</w:t>
      </w:r>
      <w:r w:rsidR="007B3DB7" w:rsidRPr="007B3DB7">
        <w:rPr>
          <w:bCs/>
          <w:iCs/>
          <w:lang w:val="en-US"/>
        </w:rPr>
        <w:t xml:space="preserve"> </w:t>
      </w:r>
      <w:r w:rsidRPr="007B3DB7">
        <w:rPr>
          <w:bCs/>
          <w:iCs/>
          <w:lang w:val="en-US"/>
        </w:rPr>
        <w:t>chủ trương báo cáo Uỷ ban Thường vụ Quốc hội (UBTVQH), Quốc hội cho phép áp dụng trình tự, thủ tục rút gọn theo quy định của Luật Ban hành văn bản quy phạm pháp luật trong xây dựng, ban hành Nghị quyết của Quốc hội về giảm thuế GTGT.</w:t>
      </w:r>
      <w:r w:rsidR="007B3DB7" w:rsidRPr="007B3DB7">
        <w:rPr>
          <w:bCs/>
          <w:iCs/>
          <w:lang w:val="en-US"/>
        </w:rPr>
        <w:t xml:space="preserve"> </w:t>
      </w:r>
      <w:r w:rsidR="003F4E08" w:rsidRPr="003F4E08">
        <w:rPr>
          <w:bCs/>
          <w:iCs/>
          <w:lang w:val="en-US"/>
        </w:rPr>
        <w:t>Bộ Tài chính phối hợp với Bộ Tư pháp để báo cáo Uỷ ban Thường vụ Quốc hội, Quốc hội bổ sung vào Chương trình xây dựng Luật, pháp lệnh năm 2025 và cho phép xây dựng dự án Nghị quyết theo trình tự, thủ tục rút gọn</w:t>
      </w:r>
      <w:r w:rsidR="003F4E08">
        <w:rPr>
          <w:bCs/>
          <w:iCs/>
          <w:lang w:val="en-US"/>
        </w:rPr>
        <w:t xml:space="preserve">. </w:t>
      </w:r>
      <w:r w:rsidRPr="007B3DB7">
        <w:rPr>
          <w:bCs/>
          <w:iCs/>
          <w:lang w:val="en-US"/>
        </w:rPr>
        <w:t>Bộ Tài chính khẩn trương chủ trì, phối hợp các cơ quan liên quan xây dựng hồ sơ dự án Nghị quyết của Quốc hội về giảm thuế GTGT thực hiện trong 6 tháng cuối năm 2025 và năm 2026 để báo cáo UBTVQH, Quốc hội xem xét, thông qua tại Kỳ họp thứ 9, Quốc hội khoá XV; trình Chính phủ trong tháng 3/2025, đảm bảo tiến độ, chất lượng thời hạn theo quy định.</w:t>
      </w:r>
    </w:p>
    <w:p w:rsidR="00F37BF5" w:rsidRDefault="00F37BF5" w:rsidP="00F37BF5">
      <w:pPr>
        <w:widowControl w:val="0"/>
        <w:ind w:firstLine="720"/>
        <w:jc w:val="both"/>
        <w:rPr>
          <w:b/>
          <w:bCs/>
          <w:lang w:val="it-IT" w:bidi="vi-VN"/>
        </w:rPr>
      </w:pPr>
      <w:r w:rsidRPr="000F7F71">
        <w:rPr>
          <w:b/>
          <w:bCs/>
          <w:lang w:val="en-SG"/>
        </w:rPr>
        <w:t xml:space="preserve">2. </w:t>
      </w:r>
      <w:r w:rsidR="008D0FA6" w:rsidRPr="000F7F71">
        <w:rPr>
          <w:b/>
          <w:bCs/>
          <w:lang w:val="it-IT" w:bidi="vi-VN"/>
        </w:rPr>
        <w:t>Cơ sở thực tiễn</w:t>
      </w:r>
      <w:r>
        <w:rPr>
          <w:b/>
          <w:bCs/>
          <w:lang w:val="it-IT" w:bidi="vi-VN"/>
        </w:rPr>
        <w:t xml:space="preserve"> </w:t>
      </w:r>
    </w:p>
    <w:p w:rsidR="00F37BF5" w:rsidRPr="007863A3" w:rsidRDefault="00F37BF5" w:rsidP="00F37BF5">
      <w:pPr>
        <w:widowControl w:val="0"/>
        <w:ind w:firstLine="720"/>
        <w:jc w:val="both"/>
        <w:rPr>
          <w:szCs w:val="28"/>
          <w:lang w:val="it-IT"/>
        </w:rPr>
      </w:pPr>
      <w:r w:rsidRPr="00EE15ED">
        <w:rPr>
          <w:lang w:val="it-IT"/>
        </w:rPr>
        <w:t xml:space="preserve">Trong giai đoạn </w:t>
      </w:r>
      <w:r>
        <w:rPr>
          <w:lang w:val="it-IT"/>
        </w:rPr>
        <w:t xml:space="preserve">từ năm </w:t>
      </w:r>
      <w:r w:rsidRPr="00EE15ED">
        <w:rPr>
          <w:lang w:val="it-IT"/>
        </w:rPr>
        <w:t>202</w:t>
      </w:r>
      <w:r>
        <w:rPr>
          <w:lang w:val="it-IT"/>
        </w:rPr>
        <w:t xml:space="preserve">2 đến 6 tháng đầu năm </w:t>
      </w:r>
      <w:r w:rsidRPr="00EE15ED">
        <w:rPr>
          <w:lang w:val="it-IT"/>
        </w:rPr>
        <w:t>202</w:t>
      </w:r>
      <w:r>
        <w:rPr>
          <w:lang w:val="it-IT"/>
        </w:rPr>
        <w:t>5</w:t>
      </w:r>
      <w:r w:rsidRPr="00EE15ED">
        <w:rPr>
          <w:lang w:val="it-IT"/>
        </w:rPr>
        <w:t xml:space="preserve">, Quốc hội đã quyết nghị giảm 2% thuế suất thuế GTGT đối với </w:t>
      </w:r>
      <w:r w:rsidRPr="00EE15ED">
        <w:t xml:space="preserve">các nhóm hàng hóa, dịch vụ đang áp dụng mức thuế suất thuế </w:t>
      </w:r>
      <w:r w:rsidRPr="00EE15ED">
        <w:rPr>
          <w:lang w:val="en-US"/>
        </w:rPr>
        <w:t>GTGT</w:t>
      </w:r>
      <w:r w:rsidRPr="00EE15ED">
        <w:t xml:space="preserve"> 10% (còn 8%), trừ một số nhóm hàng hóa, dịch vụ sau: </w:t>
      </w:r>
      <w:r w:rsidRPr="00716812">
        <w:t xml:space="preserve">viễn thông, công nghệ thông tin, hoạt động tài chính, ngân hàng, chứng khoán, bảo hiểm, kinh doanh bất động sản, kim loại, sản phẩm từ </w:t>
      </w:r>
      <w:r w:rsidRPr="00716812">
        <w:lastRenderedPageBreak/>
        <w:t xml:space="preserve">kim loại đúc sẵn, sản phẩm khai khoáng (không kể khai thác than), than cốc, dầu mỏ tinh chế, sản phẩm hoá chất, sản phẩm hàng hóa và dịch vụ chịu thuế </w:t>
      </w:r>
      <w:r>
        <w:rPr>
          <w:lang w:val="en-US"/>
        </w:rPr>
        <w:t>tiêu thụ đặc biệt (</w:t>
      </w:r>
      <w:r w:rsidRPr="00716812">
        <w:rPr>
          <w:lang w:val="en-US"/>
        </w:rPr>
        <w:t>TTĐB</w:t>
      </w:r>
      <w:r>
        <w:rPr>
          <w:lang w:val="en-US"/>
        </w:rPr>
        <w:t>)</w:t>
      </w:r>
      <w:r w:rsidRPr="00EE15ED">
        <w:rPr>
          <w:lang w:val="it-IT"/>
        </w:rPr>
        <w:t xml:space="preserve"> tại các Nghị quyết số </w:t>
      </w:r>
      <w:r w:rsidRPr="00EE15ED">
        <w:rPr>
          <w:bCs/>
          <w:szCs w:val="28"/>
        </w:rPr>
        <w:t>43/2022/QH15</w:t>
      </w:r>
      <w:r w:rsidRPr="00EE15ED">
        <w:rPr>
          <w:bCs/>
          <w:szCs w:val="28"/>
          <w:lang w:val="en-US"/>
        </w:rPr>
        <w:t xml:space="preserve"> </w:t>
      </w:r>
      <w:r w:rsidRPr="00EE15ED">
        <w:rPr>
          <w:szCs w:val="28"/>
          <w:lang w:val="it-IT"/>
        </w:rPr>
        <w:t xml:space="preserve">ngày 11/01/2022 </w:t>
      </w:r>
      <w:r w:rsidRPr="00EE15ED">
        <w:rPr>
          <w:bCs/>
        </w:rPr>
        <w:t>về chính sách tài khóa, tiền tệ hỗ trợ Chương trình phục hồi và phát triển kinh tế - xã hội</w:t>
      </w:r>
      <w:r w:rsidRPr="00EE15ED">
        <w:rPr>
          <w:color w:val="000000"/>
          <w:sz w:val="20"/>
          <w:szCs w:val="20"/>
          <w:lang w:val="en-US"/>
        </w:rPr>
        <w:t xml:space="preserve">; </w:t>
      </w:r>
      <w:r w:rsidRPr="00EE15ED">
        <w:t>Nghị quyết số 101/2023/QH15 ngày 24/6/2023 về Kỳ họp thứ 5, Quốc hội khóa XV</w:t>
      </w:r>
      <w:r w:rsidRPr="00EE15ED">
        <w:rPr>
          <w:lang w:val="en-US"/>
        </w:rPr>
        <w:t xml:space="preserve">; </w:t>
      </w:r>
      <w:r w:rsidRPr="00EE15ED">
        <w:rPr>
          <w:szCs w:val="28"/>
          <w:lang w:val="it-IT"/>
        </w:rPr>
        <w:t xml:space="preserve">Nghị quyết số 110/2023/QH15 ngày </w:t>
      </w:r>
      <w:r w:rsidRPr="00EE15ED">
        <w:t>29/11/2023 về Kỳ họp thứ 6, Quốc hội khóa XV</w:t>
      </w:r>
      <w:r>
        <w:rPr>
          <w:lang w:val="en-US"/>
        </w:rPr>
        <w:t xml:space="preserve">; Nghị quyết số 142/2024/QH15 ngày 29/6/2024 về Kỳ họp thứ 7, Quốc hội khoá XV; </w:t>
      </w:r>
      <w:r w:rsidRPr="006C5D14">
        <w:rPr>
          <w:lang w:val="en-US"/>
        </w:rPr>
        <w:t>Nghị quyết số 174/2024/QH15 ngày 30/11/2024</w:t>
      </w:r>
      <w:r>
        <w:rPr>
          <w:lang w:val="en-US"/>
        </w:rPr>
        <w:t xml:space="preserve"> về Kỳ họp thứ 8, Quốc hội khoá XV. </w:t>
      </w:r>
      <w:r w:rsidRPr="00605155">
        <w:rPr>
          <w:bCs/>
          <w:iCs/>
          <w:szCs w:val="28"/>
          <w:lang w:val="pt-BR"/>
        </w:rPr>
        <w:t>Giải pháp giảm thuế GTGT cùng với các giải pháp hỗ trợ về thuế, phí, lệ phí khác đang tạo điều kiện rất lớn giúp doanh nghiệp giảm được chi phí sản xuất, tăng lợi nhuận, tăng khả năng kích cầu.</w:t>
      </w:r>
    </w:p>
    <w:p w:rsidR="00F37BF5" w:rsidRPr="008E51D0" w:rsidRDefault="00F37BF5" w:rsidP="00F37BF5">
      <w:pPr>
        <w:ind w:firstLine="720"/>
        <w:jc w:val="both"/>
        <w:rPr>
          <w:bCs/>
          <w:iCs/>
          <w:szCs w:val="28"/>
          <w:lang w:val="sv-SE"/>
        </w:rPr>
      </w:pPr>
      <w:r w:rsidRPr="008E51D0">
        <w:rPr>
          <w:bCs/>
          <w:iCs/>
          <w:szCs w:val="28"/>
          <w:lang w:val="sv-SE"/>
        </w:rPr>
        <w:t xml:space="preserve">Năm 2022, việc thực hiện chính sách giảm thuế GTGT theo Nghị quyết số 43/2022/QH15 đã </w:t>
      </w:r>
      <w:r w:rsidRPr="008E51D0">
        <w:rPr>
          <w:bCs/>
          <w:iCs/>
          <w:szCs w:val="28"/>
          <w:lang w:val="pt-BR"/>
        </w:rPr>
        <w:t xml:space="preserve">hỗ trợ cho doanh nghiệp và người dân tổng cộng khoảng </w:t>
      </w:r>
      <w:r w:rsidRPr="008E51D0">
        <w:rPr>
          <w:bCs/>
          <w:iCs/>
          <w:szCs w:val="28"/>
          <w:lang w:val="sv-SE"/>
        </w:rPr>
        <w:t>51,4</w:t>
      </w:r>
      <w:r w:rsidRPr="008E51D0">
        <w:rPr>
          <w:b/>
          <w:bCs/>
          <w:iCs/>
          <w:szCs w:val="28"/>
          <w:lang w:val="sv-SE"/>
        </w:rPr>
        <w:t xml:space="preserve"> </w:t>
      </w:r>
      <w:r w:rsidRPr="008E51D0">
        <w:rPr>
          <w:bCs/>
          <w:iCs/>
          <w:szCs w:val="28"/>
          <w:lang w:val="pt-BR"/>
        </w:rPr>
        <w:t xml:space="preserve">nghìn tỷ đồng, đã </w:t>
      </w:r>
      <w:r w:rsidRPr="008E51D0">
        <w:rPr>
          <w:bCs/>
          <w:iCs/>
          <w:szCs w:val="28"/>
          <w:lang w:val="sv-SE"/>
        </w:rPr>
        <w:t xml:space="preserve">góp phần kích cầu tiêu dùng nội địa tăng cao, tổng mức bán lẻ hàng hóa và doanh thu dịch vụ tiêu dùng năm 2022 tăng 19,8% so với năm 2021. </w:t>
      </w:r>
    </w:p>
    <w:p w:rsidR="00F37BF5" w:rsidRPr="006F3D5E" w:rsidRDefault="00F37BF5" w:rsidP="00F37BF5">
      <w:pPr>
        <w:ind w:firstLine="720"/>
        <w:jc w:val="both"/>
        <w:rPr>
          <w:bCs/>
          <w:iCs/>
          <w:szCs w:val="28"/>
          <w:lang w:val="en-US"/>
        </w:rPr>
      </w:pPr>
      <w:r w:rsidRPr="006F3D5E">
        <w:rPr>
          <w:bCs/>
          <w:iCs/>
          <w:szCs w:val="28"/>
          <w:lang w:val="it-IT"/>
        </w:rPr>
        <w:t>Năm</w:t>
      </w:r>
      <w:r>
        <w:rPr>
          <w:bCs/>
          <w:iCs/>
          <w:szCs w:val="28"/>
          <w:lang w:val="it-IT"/>
        </w:rPr>
        <w:t xml:space="preserve"> </w:t>
      </w:r>
      <w:r w:rsidRPr="006F3D5E">
        <w:rPr>
          <w:bCs/>
          <w:iCs/>
          <w:szCs w:val="28"/>
          <w:lang w:val="it-IT"/>
        </w:rPr>
        <w:t>2023, v</w:t>
      </w:r>
      <w:r w:rsidRPr="006F3D5E">
        <w:rPr>
          <w:bCs/>
          <w:iCs/>
          <w:szCs w:val="28"/>
          <w:lang w:val="nl-NL"/>
        </w:rPr>
        <w:t>iệc giảm thuế GTGT 2% theo Nghị quyết số</w:t>
      </w:r>
      <w:r>
        <w:rPr>
          <w:bCs/>
          <w:iCs/>
          <w:szCs w:val="28"/>
          <w:lang w:val="nl-NL"/>
        </w:rPr>
        <w:t xml:space="preserve"> 101/2023/QH15 </w:t>
      </w:r>
      <w:r w:rsidRPr="006F3D5E">
        <w:rPr>
          <w:bCs/>
          <w:iCs/>
          <w:szCs w:val="28"/>
          <w:lang w:val="nl-NL"/>
        </w:rPr>
        <w:t xml:space="preserve">trong 6 tháng cuối năm 2023 </w:t>
      </w:r>
      <w:r w:rsidRPr="006F3D5E">
        <w:rPr>
          <w:bCs/>
          <w:iCs/>
          <w:szCs w:val="28"/>
          <w:lang w:val="pt-BR"/>
        </w:rPr>
        <w:t>đã hỗ trợ cho doanh nghiệp và người dân tổng cộng khoảng 23,4 nghìn</w:t>
      </w:r>
      <w:r w:rsidRPr="006F3D5E">
        <w:rPr>
          <w:bCs/>
          <w:iCs/>
          <w:szCs w:val="28"/>
          <w:lang w:val="nl-NL"/>
        </w:rPr>
        <w:t xml:space="preserve"> tỷ đồng</w:t>
      </w:r>
      <w:r w:rsidRPr="006F3D5E">
        <w:rPr>
          <w:bCs/>
          <w:iCs/>
          <w:szCs w:val="28"/>
          <w:lang w:val="it-IT"/>
        </w:rPr>
        <w:t>.</w:t>
      </w:r>
      <w:r w:rsidRPr="006F3D5E">
        <w:rPr>
          <w:b/>
          <w:bCs/>
          <w:iCs/>
          <w:szCs w:val="28"/>
          <w:lang w:val="nl-NL"/>
        </w:rPr>
        <w:t xml:space="preserve"> </w:t>
      </w:r>
      <w:r w:rsidRPr="006F3D5E">
        <w:rPr>
          <w:bCs/>
          <w:iCs/>
          <w:szCs w:val="28"/>
          <w:lang w:val="en-US"/>
        </w:rPr>
        <w:t>T</w:t>
      </w:r>
      <w:r w:rsidRPr="006F3D5E">
        <w:rPr>
          <w:bCs/>
          <w:iCs/>
          <w:szCs w:val="28"/>
        </w:rPr>
        <w:t>ính chung năm 2023, tổng mức bán lẻ hàng hóa và doanh thu dịch vụ tiêu dùng tăng 9</w:t>
      </w:r>
      <w:proofErr w:type="gramStart"/>
      <w:r w:rsidRPr="006F3D5E">
        <w:rPr>
          <w:bCs/>
          <w:iCs/>
          <w:szCs w:val="28"/>
        </w:rPr>
        <w:t>,6</w:t>
      </w:r>
      <w:proofErr w:type="gramEnd"/>
      <w:r w:rsidRPr="006F3D5E">
        <w:rPr>
          <w:bCs/>
          <w:iCs/>
          <w:szCs w:val="28"/>
        </w:rPr>
        <w:t xml:space="preserve">% so với năm </w:t>
      </w:r>
      <w:r w:rsidRPr="006F3D5E">
        <w:rPr>
          <w:bCs/>
          <w:iCs/>
          <w:szCs w:val="28"/>
          <w:lang w:val="en-US"/>
        </w:rPr>
        <w:t>2022</w:t>
      </w:r>
      <w:r w:rsidRPr="006F3D5E">
        <w:rPr>
          <w:bCs/>
          <w:iCs/>
          <w:szCs w:val="28"/>
          <w:lang w:val="de-DE"/>
        </w:rPr>
        <w:t>.</w:t>
      </w:r>
      <w:r w:rsidRPr="006F3D5E">
        <w:rPr>
          <w:bCs/>
          <w:iCs/>
          <w:szCs w:val="28"/>
        </w:rPr>
        <w:t> </w:t>
      </w:r>
    </w:p>
    <w:p w:rsidR="00F37BF5" w:rsidRDefault="00F37BF5" w:rsidP="00F37BF5">
      <w:pPr>
        <w:ind w:firstLine="720"/>
        <w:jc w:val="both"/>
        <w:rPr>
          <w:bCs/>
          <w:iCs/>
          <w:szCs w:val="28"/>
          <w:lang w:val="de-DE"/>
        </w:rPr>
      </w:pPr>
      <w:r w:rsidRPr="00B47871">
        <w:rPr>
          <w:bCs/>
          <w:iCs/>
          <w:szCs w:val="28"/>
          <w:lang w:val="it-IT"/>
        </w:rPr>
        <w:t>Năm 2024, v</w:t>
      </w:r>
      <w:r w:rsidRPr="00B47871">
        <w:rPr>
          <w:bCs/>
          <w:iCs/>
          <w:szCs w:val="28"/>
          <w:lang w:val="nl-NL"/>
        </w:rPr>
        <w:t xml:space="preserve">iệc giảm thuế GTGT 2% theo Nghị quyết số 110/2023/QH15 và Nghị quyết số 142/2024/QH15 </w:t>
      </w:r>
      <w:r w:rsidRPr="00B47871">
        <w:rPr>
          <w:bCs/>
          <w:iCs/>
          <w:szCs w:val="28"/>
          <w:lang w:val="pt-BR"/>
        </w:rPr>
        <w:t>đã hỗ trợ cho doanh nghiệp và người dân tổng cộng khoảng 49 nghìn</w:t>
      </w:r>
      <w:r w:rsidRPr="00B47871">
        <w:rPr>
          <w:bCs/>
          <w:iCs/>
          <w:szCs w:val="28"/>
          <w:lang w:val="nl-NL"/>
        </w:rPr>
        <w:t xml:space="preserve"> tỷ đồng</w:t>
      </w:r>
      <w:r w:rsidRPr="00B47871">
        <w:rPr>
          <w:bCs/>
          <w:iCs/>
          <w:szCs w:val="28"/>
          <w:lang w:val="it-IT"/>
        </w:rPr>
        <w:t>.</w:t>
      </w:r>
      <w:r w:rsidRPr="00B47871">
        <w:rPr>
          <w:b/>
          <w:bCs/>
          <w:iCs/>
          <w:szCs w:val="28"/>
          <w:lang w:val="nl-NL"/>
        </w:rPr>
        <w:t xml:space="preserve"> </w:t>
      </w:r>
      <w:r w:rsidRPr="00B47871">
        <w:rPr>
          <w:bCs/>
          <w:iCs/>
          <w:szCs w:val="28"/>
          <w:lang w:val="en-US"/>
        </w:rPr>
        <w:t>T</w:t>
      </w:r>
      <w:r w:rsidRPr="00B47871">
        <w:rPr>
          <w:bCs/>
          <w:iCs/>
          <w:szCs w:val="28"/>
        </w:rPr>
        <w:t>ính chung năm 202</w:t>
      </w:r>
      <w:r w:rsidRPr="00B47871">
        <w:rPr>
          <w:bCs/>
          <w:iCs/>
          <w:szCs w:val="28"/>
          <w:lang w:val="en-US"/>
        </w:rPr>
        <w:t>4</w:t>
      </w:r>
      <w:r w:rsidRPr="00B47871">
        <w:rPr>
          <w:bCs/>
          <w:iCs/>
          <w:szCs w:val="28"/>
        </w:rPr>
        <w:t xml:space="preserve">, tổng mức bán lẻ hàng hóa và doanh thu dịch vụ tiêu dùng tăng </w:t>
      </w:r>
      <w:r w:rsidRPr="00B47871">
        <w:rPr>
          <w:bCs/>
          <w:iCs/>
          <w:szCs w:val="28"/>
          <w:lang w:val="en-US"/>
        </w:rPr>
        <w:t>9</w:t>
      </w:r>
      <w:proofErr w:type="gramStart"/>
      <w:r w:rsidRPr="00B47871">
        <w:rPr>
          <w:bCs/>
          <w:iCs/>
          <w:szCs w:val="28"/>
          <w:lang w:val="en-US"/>
        </w:rPr>
        <w:t>,0</w:t>
      </w:r>
      <w:proofErr w:type="gramEnd"/>
      <w:r w:rsidRPr="00B47871">
        <w:rPr>
          <w:bCs/>
          <w:iCs/>
          <w:szCs w:val="28"/>
          <w:lang w:val="en-US"/>
        </w:rPr>
        <w:t>%</w:t>
      </w:r>
      <w:r w:rsidRPr="00B47871">
        <w:rPr>
          <w:bCs/>
          <w:iCs/>
          <w:szCs w:val="28"/>
        </w:rPr>
        <w:t xml:space="preserve"> so với năm </w:t>
      </w:r>
      <w:r w:rsidRPr="00B47871">
        <w:rPr>
          <w:bCs/>
          <w:iCs/>
          <w:szCs w:val="28"/>
          <w:lang w:val="en-US"/>
        </w:rPr>
        <w:t>2023</w:t>
      </w:r>
      <w:r w:rsidRPr="00B47871">
        <w:rPr>
          <w:bCs/>
          <w:iCs/>
          <w:szCs w:val="28"/>
          <w:lang w:val="de-DE"/>
        </w:rPr>
        <w:t>.</w:t>
      </w:r>
    </w:p>
    <w:p w:rsidR="00F37BF5" w:rsidRPr="007C4DA8" w:rsidRDefault="00F37BF5" w:rsidP="00F37BF5">
      <w:pPr>
        <w:ind w:firstLine="720"/>
        <w:jc w:val="both"/>
        <w:rPr>
          <w:bCs/>
          <w:iCs/>
          <w:szCs w:val="28"/>
          <w:lang w:val="de-DE"/>
        </w:rPr>
      </w:pPr>
      <w:r w:rsidRPr="007C4DA8">
        <w:rPr>
          <w:bCs/>
          <w:iCs/>
          <w:szCs w:val="28"/>
          <w:lang w:val="de-DE"/>
        </w:rPr>
        <w:t>Ngoài ra, trong năm 2024, nước ta đã hoàn thành thắng lợi toàn diện các mục tiêu phát triển kinh tế - xã hội năm 2024, đạt và vượt toàn bộ 15/15 chỉ tiêu chủ yếu, trong đó:</w:t>
      </w:r>
    </w:p>
    <w:p w:rsidR="006719C1" w:rsidRPr="00C47871" w:rsidRDefault="006719C1" w:rsidP="006719C1">
      <w:pPr>
        <w:ind w:firstLine="720"/>
        <w:jc w:val="both"/>
        <w:rPr>
          <w:bCs/>
          <w:iCs/>
          <w:szCs w:val="28"/>
          <w:lang w:val="de-DE"/>
        </w:rPr>
      </w:pPr>
      <w:r w:rsidRPr="00C47871">
        <w:rPr>
          <w:bCs/>
          <w:iCs/>
          <w:szCs w:val="28"/>
          <w:lang w:val="de-DE"/>
        </w:rPr>
        <w:t xml:space="preserve">GDP năm 2024 ước tăng 7,09% so với năm 2023. GDP bình quân đầu người đạt 4.700 USD, đạt mục tiêu đề ra (4.700 – 4.730 USD). Lạm phát được kiểm soát tốt với chỉ số giá tiêu dùng (CPI) bình quân năm 2024 tăng 3,63%. Kim ngạch xuất nhập khẩu, xuất khẩu, nhập khẩu năm 2024 lần lượt tăng là 15,4%, 14,3% và 16,7% so với cùng kỳ; xuất siêu ước đạt 24,77 tỷ USD. Tổng thu ngân sách nhà nước (NSNN) vượt 19,8% so với dự toán (khoảng 336,5 nghìn tỷ đồng), tăng 16,2% so với thực hiện năm 2023. </w:t>
      </w:r>
    </w:p>
    <w:p w:rsidR="006719C1" w:rsidRPr="00C47871" w:rsidRDefault="006719C1" w:rsidP="006719C1">
      <w:pPr>
        <w:ind w:firstLine="720"/>
        <w:jc w:val="both"/>
        <w:rPr>
          <w:szCs w:val="28"/>
          <w:lang w:val="en-US"/>
        </w:rPr>
      </w:pPr>
      <w:r w:rsidRPr="00C47871">
        <w:rPr>
          <w:szCs w:val="28"/>
          <w:lang w:val="en-US"/>
        </w:rPr>
        <w:t>Trong 02 tháng đầu n</w:t>
      </w:r>
      <w:r w:rsidRPr="00C47871">
        <w:rPr>
          <w:szCs w:val="28"/>
        </w:rPr>
        <w:t>ăm 202</w:t>
      </w:r>
      <w:r w:rsidRPr="00C47871">
        <w:rPr>
          <w:szCs w:val="28"/>
          <w:lang w:val="en-US"/>
        </w:rPr>
        <w:t>5</w:t>
      </w:r>
      <w:r w:rsidRPr="00C47871">
        <w:rPr>
          <w:szCs w:val="28"/>
        </w:rPr>
        <w:t xml:space="preserve">, số thuế GTGT được giảm theo Nghị quyết số </w:t>
      </w:r>
      <w:r w:rsidRPr="00C47871">
        <w:rPr>
          <w:szCs w:val="28"/>
          <w:lang w:val="en-US"/>
        </w:rPr>
        <w:t>174</w:t>
      </w:r>
      <w:r w:rsidRPr="00C47871">
        <w:rPr>
          <w:szCs w:val="28"/>
        </w:rPr>
        <w:t>/202</w:t>
      </w:r>
      <w:r w:rsidRPr="00C47871">
        <w:rPr>
          <w:szCs w:val="28"/>
          <w:lang w:val="en-US"/>
        </w:rPr>
        <w:t>4</w:t>
      </w:r>
      <w:r w:rsidRPr="00C47871">
        <w:rPr>
          <w:szCs w:val="28"/>
        </w:rPr>
        <w:t xml:space="preserve">/QH15 ước khoảng </w:t>
      </w:r>
      <w:r w:rsidRPr="00C47871">
        <w:rPr>
          <w:szCs w:val="28"/>
          <w:lang w:val="en-US"/>
        </w:rPr>
        <w:t>8</w:t>
      </w:r>
      <w:proofErr w:type="gramStart"/>
      <w:r w:rsidRPr="00C47871">
        <w:rPr>
          <w:szCs w:val="28"/>
          <w:lang w:val="en-US"/>
        </w:rPr>
        <w:t>,3</w:t>
      </w:r>
      <w:proofErr w:type="gramEnd"/>
      <w:r w:rsidRPr="00C47871">
        <w:rPr>
          <w:szCs w:val="28"/>
        </w:rPr>
        <w:t xml:space="preserve"> nghìn tỷ đồng. </w:t>
      </w:r>
    </w:p>
    <w:p w:rsidR="006719C1" w:rsidRPr="00C47871" w:rsidRDefault="006719C1" w:rsidP="006719C1">
      <w:pPr>
        <w:ind w:firstLine="720"/>
        <w:jc w:val="both"/>
        <w:rPr>
          <w:bCs/>
          <w:iCs/>
          <w:szCs w:val="28"/>
          <w:lang w:val="en-US"/>
        </w:rPr>
      </w:pPr>
      <w:r w:rsidRPr="00C47871">
        <w:rPr>
          <w:bCs/>
          <w:iCs/>
          <w:szCs w:val="28"/>
          <w:lang w:val="en-US"/>
        </w:rPr>
        <w:t xml:space="preserve">Theo thông tin về diễn biến kinh tế - xã hội thời gian qua cho thấy nhiều điểm tích cực: </w:t>
      </w:r>
    </w:p>
    <w:p w:rsidR="006719C1" w:rsidRPr="00C47871" w:rsidRDefault="006719C1" w:rsidP="006719C1">
      <w:pPr>
        <w:ind w:firstLine="720"/>
        <w:jc w:val="both"/>
        <w:rPr>
          <w:bCs/>
          <w:iCs/>
          <w:szCs w:val="28"/>
          <w:lang w:val="en-US"/>
        </w:rPr>
      </w:pPr>
      <w:r w:rsidRPr="00C47871">
        <w:rPr>
          <w:bCs/>
          <w:iCs/>
          <w:szCs w:val="28"/>
          <w:lang w:val="it-IT"/>
        </w:rPr>
        <w:lastRenderedPageBreak/>
        <w:t xml:space="preserve">Tính chung trong 02 tháng đầu năm 2025: Tổng mức bán lẻ hàng hóa và doanh thu dịch vụ tiêu dùng ước đạt </w:t>
      </w:r>
      <w:r w:rsidRPr="00C47871">
        <w:rPr>
          <w:bCs/>
          <w:iCs/>
          <w:szCs w:val="28"/>
          <w:lang w:val="en-US"/>
        </w:rPr>
        <w:t>1.137,5</w:t>
      </w:r>
      <w:r w:rsidRPr="00C47871">
        <w:rPr>
          <w:bCs/>
          <w:iCs/>
          <w:szCs w:val="28"/>
          <w:lang w:val="it-IT"/>
        </w:rPr>
        <w:t xml:space="preserve"> nghìn tỷ đồng, tăng </w:t>
      </w:r>
      <w:r w:rsidRPr="00C47871">
        <w:rPr>
          <w:bCs/>
          <w:iCs/>
          <w:szCs w:val="28"/>
          <w:lang w:val="en-US"/>
        </w:rPr>
        <w:t>9,4</w:t>
      </w:r>
      <w:r w:rsidRPr="00C47871">
        <w:rPr>
          <w:bCs/>
          <w:iCs/>
          <w:szCs w:val="28"/>
          <w:lang w:val="it-IT"/>
        </w:rPr>
        <w:t xml:space="preserve">% </w:t>
      </w:r>
      <w:r w:rsidRPr="00C47871">
        <w:rPr>
          <w:bCs/>
          <w:iCs/>
          <w:szCs w:val="28"/>
          <w:lang w:val="en-US"/>
        </w:rPr>
        <w:t>so với cùng kỳ năm trước</w:t>
      </w:r>
      <w:r w:rsidRPr="00C47871">
        <w:rPr>
          <w:bCs/>
          <w:iCs/>
          <w:szCs w:val="28"/>
          <w:lang w:val="it-IT"/>
        </w:rPr>
        <w:t xml:space="preserve">; </w:t>
      </w:r>
      <w:r w:rsidRPr="00C47871">
        <w:rPr>
          <w:bCs/>
          <w:iCs/>
          <w:szCs w:val="28"/>
          <w:lang w:val="en-US"/>
        </w:rPr>
        <w:t xml:space="preserve">CPI tăng 3,27% so với cùng kỳ năm trước; lạm phát cơ bản tăng 2,97%. </w:t>
      </w:r>
      <w:r w:rsidRPr="00C47871">
        <w:rPr>
          <w:bCs/>
          <w:iCs/>
          <w:szCs w:val="28"/>
          <w:lang w:val="es-NI"/>
        </w:rPr>
        <w:t>Tổng kim ngạch xuất, nhập khẩu hàng hóa sơ bộ đạt 127,07 tỷ USD, tăng 12,0% so với cùng kỳ năm trước, trong đó xuất khẩu tăng 8,4%; nhập khẩu tăng 15,9%</w:t>
      </w:r>
      <w:r w:rsidRPr="00C47871">
        <w:rPr>
          <w:bCs/>
          <w:iCs/>
          <w:szCs w:val="28"/>
          <w:vertAlign w:val="superscript"/>
          <w:lang w:val="es-NI"/>
        </w:rPr>
        <w:footnoteReference w:id="2"/>
      </w:r>
      <w:r w:rsidRPr="00C47871">
        <w:rPr>
          <w:bCs/>
          <w:iCs/>
          <w:szCs w:val="28"/>
          <w:lang w:val="es-NI"/>
        </w:rPr>
        <w:t xml:space="preserve">. </w:t>
      </w:r>
      <w:r w:rsidRPr="00C47871">
        <w:rPr>
          <w:bCs/>
          <w:iCs/>
          <w:szCs w:val="28"/>
          <w:lang w:val="en-US"/>
        </w:rPr>
        <w:t>Cán cân thương mại hàng hóa xuất siêu 1</w:t>
      </w:r>
      <w:proofErr w:type="gramStart"/>
      <w:r w:rsidRPr="00C47871">
        <w:rPr>
          <w:bCs/>
          <w:iCs/>
          <w:szCs w:val="28"/>
          <w:lang w:val="en-US"/>
        </w:rPr>
        <w:t>,47</w:t>
      </w:r>
      <w:proofErr w:type="gramEnd"/>
      <w:r w:rsidRPr="00C47871">
        <w:rPr>
          <w:bCs/>
          <w:iCs/>
          <w:szCs w:val="28"/>
          <w:lang w:val="en-US"/>
        </w:rPr>
        <w:t xml:space="preserve"> tỷ USD.</w:t>
      </w:r>
      <w:r w:rsidRPr="00C47871">
        <w:rPr>
          <w:bCs/>
          <w:iCs/>
          <w:szCs w:val="28"/>
          <w:lang w:val="sv-SE"/>
        </w:rPr>
        <w:t xml:space="preserve"> </w:t>
      </w:r>
      <w:r w:rsidRPr="00C47871">
        <w:rPr>
          <w:bCs/>
          <w:iCs/>
          <w:szCs w:val="28"/>
          <w:lang w:val="en-US"/>
        </w:rPr>
        <w:t xml:space="preserve">Tổng thu NSNN đạt </w:t>
      </w:r>
      <w:r w:rsidRPr="00C47871">
        <w:rPr>
          <w:bCs/>
          <w:iCs/>
          <w:szCs w:val="28"/>
          <w:lang w:val="it-IT"/>
        </w:rPr>
        <w:t>499</w:t>
      </w:r>
      <w:proofErr w:type="gramStart"/>
      <w:r w:rsidRPr="00C47871">
        <w:rPr>
          <w:bCs/>
          <w:iCs/>
          <w:szCs w:val="28"/>
          <w:lang w:val="it-IT"/>
        </w:rPr>
        <w:t>,8</w:t>
      </w:r>
      <w:proofErr w:type="gramEnd"/>
      <w:r w:rsidRPr="00C47871">
        <w:rPr>
          <w:bCs/>
          <w:iCs/>
          <w:szCs w:val="28"/>
          <w:lang w:val="en-US"/>
        </w:rPr>
        <w:t xml:space="preserve"> nghìn tỷ đồng, bằng </w:t>
      </w:r>
      <w:r w:rsidRPr="00C47871">
        <w:rPr>
          <w:bCs/>
          <w:iCs/>
          <w:szCs w:val="28"/>
          <w:lang w:val="it-IT"/>
        </w:rPr>
        <w:t>25,4</w:t>
      </w:r>
      <w:r w:rsidRPr="00C47871">
        <w:rPr>
          <w:bCs/>
          <w:iCs/>
          <w:szCs w:val="28"/>
          <w:lang w:val="en-US"/>
        </w:rPr>
        <w:t xml:space="preserve">% dự toán năm và tăng </w:t>
      </w:r>
      <w:r w:rsidRPr="00C47871">
        <w:rPr>
          <w:bCs/>
          <w:iCs/>
          <w:szCs w:val="28"/>
          <w:lang w:val="it-IT"/>
        </w:rPr>
        <w:t>25,7</w:t>
      </w:r>
      <w:r w:rsidRPr="00C47871">
        <w:rPr>
          <w:bCs/>
          <w:iCs/>
          <w:szCs w:val="28"/>
          <w:lang w:val="en-US"/>
        </w:rPr>
        <w:t>% so với cùng kỳ năm trước.</w:t>
      </w:r>
    </w:p>
    <w:p w:rsidR="006719C1" w:rsidRPr="00C47871" w:rsidRDefault="006719C1" w:rsidP="006719C1">
      <w:pPr>
        <w:ind w:firstLine="720"/>
        <w:jc w:val="both"/>
        <w:rPr>
          <w:bCs/>
          <w:iCs/>
          <w:szCs w:val="28"/>
          <w:lang w:val="nl-NL"/>
        </w:rPr>
      </w:pPr>
      <w:r w:rsidRPr="00C47871">
        <w:rPr>
          <w:bCs/>
          <w:iCs/>
          <w:szCs w:val="28"/>
          <w:lang w:val="en-US"/>
        </w:rPr>
        <w:t>Từ kết quả đạt được nêu trên, có thể đánh giá rằng, chính sách giảm thuế GTGT 2% đã góp phần giúp giảm giá thành thông qua doanh nghiệp có hoạt động sản xuất kinh doanh hàng hóa, dịch vụ được giảm thuế GTGT dẫn đến giảm giá bán của hàng hóa, dịch vụ cho người tiêu dùng, từ đó thúc đẩy sản xuất kinh doanh của doanh nghiệp, tiêu dùng của người dân, góp phần tạo thêm công ăn việc làm cho người lao động và đạt được mục tiêu đề ra khi xây dựng chính sách giảm thuế GTGT là kích cầu tiêu dùng, thúc đẩy sản xuất kinh doanh phát triển.</w:t>
      </w:r>
      <w:r w:rsidRPr="00C47871">
        <w:rPr>
          <w:bCs/>
          <w:iCs/>
          <w:szCs w:val="28"/>
          <w:lang w:val="nl-NL"/>
        </w:rPr>
        <w:t xml:space="preserve"> </w:t>
      </w:r>
    </w:p>
    <w:p w:rsidR="00F37BF5" w:rsidRDefault="001B24A4" w:rsidP="00F37BF5">
      <w:pPr>
        <w:ind w:firstLine="720"/>
        <w:jc w:val="both"/>
        <w:rPr>
          <w:szCs w:val="28"/>
          <w:lang w:val="pt-BR"/>
        </w:rPr>
      </w:pPr>
      <w:r w:rsidRPr="001B24A4">
        <w:rPr>
          <w:szCs w:val="28"/>
          <w:lang w:val="pt-BR"/>
        </w:rPr>
        <w:t>Bên cạnh những kết quả đạt được là cơ bản, nền kinh tế nước ta còn những hạn chế, bất cập và tiếp tục gặp nhiều khó khăn, thách thức. Ổn định kinh tế vĩ mô còn tiềm ẩn rủi ro. Các động lực tăng trưởng chưa có sự bứt phá rõ nét theo yêu cầu tăng trưởng đặt ra như hoạt động sản xuất kinh doanh còn gặp khó khăn, chi phí sản xuất còn cao, sức mua trong nước đã được cải thiện nhưng còn chậm. Tổng cầu tiêu dùng trong nước được xem là một động lực quan trọng để thúc đẩy tăng trưởng kinh tế.</w:t>
      </w:r>
    </w:p>
    <w:p w:rsidR="00F37BF5" w:rsidRDefault="00572715" w:rsidP="00F37BF5">
      <w:pPr>
        <w:ind w:firstLine="720"/>
        <w:jc w:val="both"/>
        <w:rPr>
          <w:szCs w:val="28"/>
          <w:lang w:val="pt-BR"/>
        </w:rPr>
      </w:pPr>
      <w:r w:rsidRPr="006719C1">
        <w:rPr>
          <w:szCs w:val="28"/>
          <w:lang w:val="pt-BR"/>
        </w:rPr>
        <w:t xml:space="preserve">Để củng cố, chuẩn bị tốt các yếu tố nền tảng nhằm thực hiện thắng lợi Chiến lược phát triển kinh tế - xã hội 10 năm 2021 - 2030, đánh dấu thời điểm đất nước bước vào kỷ nguyên phát triển mới, tăng trưởng GDP năm 2025 đạt 8% trở lên, góp phần tạo nền tảng vững chắc để đạt tốc độ tăng trưởng hai con số trong giai đoạn 2026 - 2030, trên cơ sở yêu cầu tiếp tục giữ vững ổn định kinh tế vĩ mô, kiểm soát lạm phát, bảo đảm các cân đối lớn; phát triển hài hòa giữa kinh tế với xã hội và bảo vệ môi trường, bảo đảm quốc phòng, an ninh. Thực hiện chỉ đạo của </w:t>
      </w:r>
      <w:r w:rsidR="001614E5" w:rsidRPr="006719C1">
        <w:rPr>
          <w:szCs w:val="28"/>
          <w:lang w:val="pt-BR"/>
        </w:rPr>
        <w:t>lãnh đạo</w:t>
      </w:r>
      <w:r w:rsidRPr="006719C1">
        <w:rPr>
          <w:szCs w:val="28"/>
          <w:lang w:val="pt-BR"/>
        </w:rPr>
        <w:t xml:space="preserve"> Chính phủ </w:t>
      </w:r>
      <w:r w:rsidR="001614E5" w:rsidRPr="006719C1">
        <w:rPr>
          <w:szCs w:val="28"/>
          <w:lang w:val="pt-BR"/>
        </w:rPr>
        <w:t xml:space="preserve">và </w:t>
      </w:r>
      <w:r w:rsidRPr="006719C1">
        <w:rPr>
          <w:szCs w:val="28"/>
          <w:lang w:val="pt-BR"/>
        </w:rPr>
        <w:t xml:space="preserve"> kết luận của Thường trực Chính phủ, để góp phần tạo động lực thúc đẩy, phát triển cho nền kinh tế, hỗ trợ người dân, doanh nghiệp, thúc đẩy hoạt động sản xuất kinh doanh, du lịch, tiêu dùng trong nước trong năm 2025</w:t>
      </w:r>
      <w:r w:rsidR="00475A0B" w:rsidRPr="006719C1">
        <w:rPr>
          <w:szCs w:val="28"/>
          <w:lang w:val="pt-BR"/>
        </w:rPr>
        <w:t xml:space="preserve"> và năm 2026</w:t>
      </w:r>
      <w:r w:rsidRPr="006719C1">
        <w:rPr>
          <w:szCs w:val="28"/>
          <w:lang w:val="pt-BR"/>
        </w:rPr>
        <w:t>, cần tiếp tục thực hiện chính sách giảm thuế GTGT.</w:t>
      </w:r>
    </w:p>
    <w:p w:rsidR="00DB4949" w:rsidRPr="006F3D5E" w:rsidRDefault="007F3A87" w:rsidP="00DB4949">
      <w:pPr>
        <w:ind w:firstLine="720"/>
        <w:jc w:val="both"/>
        <w:rPr>
          <w:b/>
          <w:szCs w:val="28"/>
          <w:lang w:val="nl-NL"/>
        </w:rPr>
      </w:pPr>
      <w:r w:rsidRPr="005D445A">
        <w:rPr>
          <w:b/>
          <w:bCs/>
          <w:iCs/>
          <w:lang w:val="sv-SE"/>
        </w:rPr>
        <w:t>I</w:t>
      </w:r>
      <w:r w:rsidR="00C43D30" w:rsidRPr="005D445A">
        <w:rPr>
          <w:b/>
          <w:bCs/>
          <w:iCs/>
          <w:lang w:val="sv-SE"/>
        </w:rPr>
        <w:t>I</w:t>
      </w:r>
      <w:r w:rsidR="00E32E11" w:rsidRPr="005D445A">
        <w:rPr>
          <w:b/>
          <w:bCs/>
          <w:iCs/>
          <w:lang w:val="sv-SE"/>
        </w:rPr>
        <w:t xml:space="preserve">. </w:t>
      </w:r>
      <w:r w:rsidR="00DB4949" w:rsidRPr="006F3D5E">
        <w:rPr>
          <w:b/>
          <w:szCs w:val="28"/>
          <w:lang w:val="nl-NL"/>
        </w:rPr>
        <w:t>MỤC ĐÍCH BAN HÀNH, QUAN ĐIỂM XÂY DỰNG NGHỊ QUYẾT</w:t>
      </w:r>
    </w:p>
    <w:p w:rsidR="00DB4949" w:rsidRPr="006F3D5E" w:rsidRDefault="00DB4949" w:rsidP="00DB4949">
      <w:pPr>
        <w:widowControl w:val="0"/>
        <w:ind w:firstLine="720"/>
        <w:jc w:val="both"/>
        <w:rPr>
          <w:b/>
          <w:szCs w:val="28"/>
          <w:lang w:val="nl-NL"/>
        </w:rPr>
      </w:pPr>
      <w:r w:rsidRPr="006F3D5E">
        <w:rPr>
          <w:b/>
          <w:szCs w:val="28"/>
          <w:lang w:val="nl-NL"/>
        </w:rPr>
        <w:t>1. Mục đích ban hành Nghị quyết</w:t>
      </w:r>
    </w:p>
    <w:p w:rsidR="00DB4949" w:rsidRPr="0019103E" w:rsidRDefault="00DB4949" w:rsidP="0019103E">
      <w:pPr>
        <w:ind w:firstLine="720"/>
        <w:jc w:val="both"/>
        <w:rPr>
          <w:bCs/>
          <w:iCs/>
          <w:color w:val="000000"/>
          <w:lang w:val="nl-NL"/>
        </w:rPr>
      </w:pPr>
      <w:r w:rsidRPr="0019103E">
        <w:rPr>
          <w:bCs/>
          <w:iCs/>
          <w:color w:val="000000"/>
          <w:lang w:val="nl-NL"/>
        </w:rPr>
        <w:t xml:space="preserve">Kích cầu tiêu dùng, phù hợp với bối cảnh kinh tế hiện nay, qua đó </w:t>
      </w:r>
      <w:r w:rsidR="0019103E" w:rsidRPr="00A30E4D">
        <w:rPr>
          <w:bCs/>
          <w:iCs/>
          <w:color w:val="000000"/>
          <w:lang w:val="nl-NL"/>
        </w:rPr>
        <w:t xml:space="preserve">hỗ trợ người dân, doanh nghiệp, thúc đẩy hoạt động sản xuất kinh doanh, du lịch, tiêu </w:t>
      </w:r>
      <w:r w:rsidR="0019103E" w:rsidRPr="00A30E4D">
        <w:rPr>
          <w:bCs/>
          <w:iCs/>
          <w:color w:val="000000"/>
          <w:lang w:val="nl-NL"/>
        </w:rPr>
        <w:lastRenderedPageBreak/>
        <w:t>dùng trong nước</w:t>
      </w:r>
      <w:r w:rsidR="0019103E" w:rsidRPr="0019103E">
        <w:rPr>
          <w:bCs/>
          <w:iCs/>
          <w:color w:val="000000"/>
          <w:lang w:val="nl-NL"/>
        </w:rPr>
        <w:t xml:space="preserve"> </w:t>
      </w:r>
      <w:r w:rsidRPr="0019103E">
        <w:rPr>
          <w:bCs/>
          <w:iCs/>
          <w:color w:val="000000"/>
          <w:lang w:val="nl-NL"/>
        </w:rPr>
        <w:t xml:space="preserve">phát triển để đóng góp trở lại cho NSNN cũng như nền kinh tế để thực hiện Kế hoạch phát triển kinh tế - xã hội 5 năm 2021 - 2025, Kế hoạch phát triển kinh tế - xã hội hàng năm, Kế hoạch cơ cấu lại nền kinh tế giai đoạn 2021 </w:t>
      </w:r>
      <w:r w:rsidR="0019103E" w:rsidRPr="0019103E">
        <w:rPr>
          <w:bCs/>
          <w:iCs/>
          <w:color w:val="000000"/>
          <w:lang w:val="nl-NL"/>
        </w:rPr>
        <w:t>-</w:t>
      </w:r>
      <w:r w:rsidRPr="0019103E">
        <w:rPr>
          <w:bCs/>
          <w:iCs/>
          <w:color w:val="000000"/>
          <w:lang w:val="nl-NL"/>
        </w:rPr>
        <w:t xml:space="preserve"> 2025</w:t>
      </w:r>
      <w:r w:rsidR="0019103E" w:rsidRPr="0019103E">
        <w:rPr>
          <w:bCs/>
          <w:iCs/>
          <w:color w:val="000000"/>
          <w:lang w:val="nl-NL"/>
        </w:rPr>
        <w:t>, tạo đà tăng trưởng hai con số trong giai đoạn 2026 - 2030</w:t>
      </w:r>
      <w:r w:rsidRPr="0019103E">
        <w:rPr>
          <w:bCs/>
          <w:iCs/>
          <w:color w:val="000000"/>
          <w:lang w:val="nl-NL"/>
        </w:rPr>
        <w:t>.</w:t>
      </w:r>
    </w:p>
    <w:p w:rsidR="00DB4949" w:rsidRPr="006F3D5E" w:rsidRDefault="00DB4949" w:rsidP="00DB4949">
      <w:pPr>
        <w:widowControl w:val="0"/>
        <w:ind w:firstLine="720"/>
        <w:jc w:val="both"/>
        <w:rPr>
          <w:b/>
          <w:szCs w:val="28"/>
          <w:lang w:val="nl-NL"/>
        </w:rPr>
      </w:pPr>
      <w:r w:rsidRPr="006F3D5E">
        <w:rPr>
          <w:b/>
          <w:szCs w:val="28"/>
          <w:lang w:val="nl-NL"/>
        </w:rPr>
        <w:t>2. Quan điểm xây dựng Nghị quyết</w:t>
      </w:r>
    </w:p>
    <w:p w:rsidR="0019103E" w:rsidRPr="0019103E" w:rsidRDefault="00DB4949" w:rsidP="0019103E">
      <w:pPr>
        <w:ind w:firstLine="720"/>
        <w:jc w:val="both"/>
        <w:rPr>
          <w:bCs/>
          <w:iCs/>
          <w:color w:val="000000"/>
          <w:lang w:val="nl-NL"/>
        </w:rPr>
      </w:pPr>
      <w:r w:rsidRPr="0019103E">
        <w:rPr>
          <w:bCs/>
          <w:iCs/>
          <w:color w:val="000000"/>
          <w:lang w:val="nl-NL"/>
        </w:rPr>
        <w:t>- Bám sát chủ trương, định hướng của Đảng, các Nghị quyết của Quốc hội, kiên trì giữ vững ổn định kinh tế vĩ mô, nâng cao năng suất, chất lượng, năng lực cạnh tranh, tính tự chủ, khả năng chống chịu, thích ứng của nền kinh tế, đáp ứng kịp thời nhu cầu trước mắt và lâu dài, gắn kết chặt chẽ với Kế hoạch phát triển kinh tế - xã hội 5 năm 2021 - 2025, Kế hoạch phát triển kinh tế - xã hội hàng năm, Kế hoạch cơ cấu lại nền kinh tế giai đoạn 2021 - 2025</w:t>
      </w:r>
      <w:r w:rsidR="0019103E" w:rsidRPr="0019103E">
        <w:rPr>
          <w:bCs/>
          <w:iCs/>
          <w:color w:val="000000"/>
          <w:lang w:val="nl-NL"/>
        </w:rPr>
        <w:t>, tạo đà tăng trưởng hai con số trong giai đoạn 2026 - 2030.</w:t>
      </w:r>
    </w:p>
    <w:p w:rsidR="00DB4949" w:rsidRPr="00017E46" w:rsidRDefault="00DB4949" w:rsidP="00DB4949">
      <w:pPr>
        <w:ind w:firstLine="720"/>
        <w:jc w:val="both"/>
        <w:rPr>
          <w:bCs/>
          <w:iCs/>
          <w:color w:val="000000"/>
          <w:lang w:val="nl-NL"/>
        </w:rPr>
      </w:pPr>
      <w:r w:rsidRPr="00017E46">
        <w:rPr>
          <w:bCs/>
          <w:iCs/>
          <w:color w:val="000000"/>
          <w:lang w:val="nl-NL"/>
        </w:rPr>
        <w:t>- Góp phần giảm giá thành hàng hóa, dịch vụ để thúc đẩy sản xuất kinh doanh</w:t>
      </w:r>
      <w:r w:rsidR="00017E46" w:rsidRPr="00A30E4D">
        <w:rPr>
          <w:bCs/>
          <w:iCs/>
          <w:color w:val="000000"/>
          <w:lang w:val="nl-NL"/>
        </w:rPr>
        <w:t>, du lịch, tiêu dùng trong nước</w:t>
      </w:r>
      <w:r w:rsidR="00017E46" w:rsidRPr="0019103E">
        <w:rPr>
          <w:bCs/>
          <w:iCs/>
          <w:color w:val="000000"/>
          <w:lang w:val="nl-NL"/>
        </w:rPr>
        <w:t xml:space="preserve"> phát triển</w:t>
      </w:r>
      <w:r w:rsidRPr="00017E46">
        <w:rPr>
          <w:bCs/>
          <w:iCs/>
          <w:color w:val="000000"/>
          <w:lang w:val="nl-NL"/>
        </w:rPr>
        <w:t xml:space="preserve"> và tạo thêm công ăn việc làm cho người lao động.</w:t>
      </w:r>
    </w:p>
    <w:p w:rsidR="00DB4949" w:rsidRPr="00017E46" w:rsidRDefault="00DB4949" w:rsidP="00DB4949">
      <w:pPr>
        <w:ind w:firstLine="720"/>
        <w:jc w:val="both"/>
        <w:rPr>
          <w:bCs/>
          <w:iCs/>
          <w:color w:val="000000"/>
          <w:lang w:val="nl-NL"/>
        </w:rPr>
      </w:pPr>
      <w:r w:rsidRPr="00017E46">
        <w:rPr>
          <w:bCs/>
          <w:iCs/>
          <w:color w:val="000000"/>
          <w:lang w:val="nl-NL"/>
        </w:rPr>
        <w:t>- Đảm bảo dễ thực hiện nhằm tạo thuận lợi cho người nộp thuế, phù hợp với bối cảnh hiện nay.</w:t>
      </w:r>
    </w:p>
    <w:p w:rsidR="00E32E11" w:rsidRPr="005D445A" w:rsidRDefault="00DB4949" w:rsidP="007F450C">
      <w:pPr>
        <w:ind w:firstLine="720"/>
        <w:jc w:val="both"/>
        <w:rPr>
          <w:b/>
          <w:bCs/>
          <w:iCs/>
          <w:lang w:val="sv-SE"/>
        </w:rPr>
      </w:pPr>
      <w:r>
        <w:rPr>
          <w:b/>
          <w:bCs/>
          <w:iCs/>
          <w:lang w:val="sv-SE"/>
        </w:rPr>
        <w:t xml:space="preserve">III. </w:t>
      </w:r>
      <w:r w:rsidR="00E32E11" w:rsidRPr="005D445A">
        <w:rPr>
          <w:b/>
          <w:bCs/>
          <w:iCs/>
          <w:lang w:val="sv-SE"/>
        </w:rPr>
        <w:t xml:space="preserve">PHẠM VI ĐIỀU CHỈNH, ĐỐI TƯỢNG ÁP DỤNG CỦA </w:t>
      </w:r>
      <w:r w:rsidR="00C43D30" w:rsidRPr="005D445A">
        <w:rPr>
          <w:b/>
          <w:bCs/>
          <w:iCs/>
          <w:lang w:val="sv-SE"/>
        </w:rPr>
        <w:t>NGHỊ QUYẾT</w:t>
      </w:r>
    </w:p>
    <w:p w:rsidR="00E32E11" w:rsidRPr="00EE15ED" w:rsidRDefault="00E32E11" w:rsidP="007F450C">
      <w:pPr>
        <w:ind w:firstLine="720"/>
        <w:jc w:val="both"/>
        <w:rPr>
          <w:b/>
          <w:bCs/>
          <w:iCs/>
          <w:lang w:val="sv-SE"/>
        </w:rPr>
      </w:pPr>
      <w:r w:rsidRPr="005D445A">
        <w:rPr>
          <w:b/>
          <w:bCs/>
          <w:iCs/>
          <w:lang w:val="sv-SE"/>
        </w:rPr>
        <w:t>1. Phạm vi điều chỉnh</w:t>
      </w:r>
    </w:p>
    <w:p w:rsidR="00E32E11" w:rsidRPr="00EE15ED" w:rsidRDefault="00E32E11" w:rsidP="007F450C">
      <w:pPr>
        <w:ind w:firstLine="720"/>
        <w:jc w:val="both"/>
        <w:rPr>
          <w:bCs/>
          <w:iCs/>
          <w:lang w:val="pt-BR"/>
        </w:rPr>
      </w:pPr>
      <w:r w:rsidRPr="000F03E4">
        <w:rPr>
          <w:bCs/>
          <w:iCs/>
          <w:lang w:val="sv-SE"/>
        </w:rPr>
        <w:t xml:space="preserve">Nghị quyết này điều chỉnh đối với nhóm hàng hóa, dịch vụ </w:t>
      </w:r>
      <w:r w:rsidRPr="000F03E4">
        <w:rPr>
          <w:bCs/>
          <w:iCs/>
          <w:lang w:val="pt-BR"/>
        </w:rPr>
        <w:t>đang áp dụng mức thuế suất 10%</w:t>
      </w:r>
      <w:r w:rsidRPr="000F03E4">
        <w:rPr>
          <w:bCs/>
          <w:iCs/>
          <w:lang w:val="nl-NL"/>
        </w:rPr>
        <w:t xml:space="preserve">, </w:t>
      </w:r>
      <w:r w:rsidRPr="000F03E4">
        <w:rPr>
          <w:bCs/>
          <w:iCs/>
          <w:lang w:val="pt-BR"/>
        </w:rPr>
        <w:t xml:space="preserve">trừ một số nhóm hàng hóa, dịch vụ sau: </w:t>
      </w:r>
      <w:r w:rsidRPr="00BD6441">
        <w:rPr>
          <w:bCs/>
          <w:iCs/>
          <w:lang w:val="pt-BR"/>
        </w:rPr>
        <w:t xml:space="preserve">Viễn thông, hoạt động tài chính, ngân hàng, chứng khoán, bảo hiểm, kinh doanh bất động sản, </w:t>
      </w:r>
      <w:r w:rsidR="00F37BF5" w:rsidRPr="00BD6441">
        <w:rPr>
          <w:bCs/>
          <w:iCs/>
          <w:lang w:val="pt-BR"/>
        </w:rPr>
        <w:t xml:space="preserve">sản phẩm </w:t>
      </w:r>
      <w:r w:rsidRPr="00BD6441">
        <w:rPr>
          <w:bCs/>
          <w:iCs/>
          <w:lang w:val="pt-BR"/>
        </w:rPr>
        <w:t>kim loại</w:t>
      </w:r>
      <w:r w:rsidR="007F3A87" w:rsidRPr="00BD6441">
        <w:rPr>
          <w:bCs/>
          <w:iCs/>
          <w:lang w:val="pt-BR"/>
        </w:rPr>
        <w:t>,</w:t>
      </w:r>
      <w:r w:rsidRPr="00BD6441">
        <w:rPr>
          <w:bCs/>
          <w:iCs/>
          <w:lang w:val="pt-BR"/>
        </w:rPr>
        <w:t xml:space="preserve"> </w:t>
      </w:r>
      <w:r w:rsidR="0048103F" w:rsidRPr="00BD6441">
        <w:rPr>
          <w:bCs/>
          <w:iCs/>
          <w:lang w:val="pt-BR"/>
        </w:rPr>
        <w:t>sản phẩm</w:t>
      </w:r>
      <w:r w:rsidRPr="00BD6441">
        <w:rPr>
          <w:bCs/>
          <w:iCs/>
          <w:lang w:val="pt-BR"/>
        </w:rPr>
        <w:t xml:space="preserve"> khai khoáng (</w:t>
      </w:r>
      <w:r w:rsidR="00572715" w:rsidRPr="00BD6441">
        <w:rPr>
          <w:bCs/>
          <w:iCs/>
          <w:lang w:val="pt-BR"/>
        </w:rPr>
        <w:t>trừ</w:t>
      </w:r>
      <w:r w:rsidRPr="00BD6441">
        <w:rPr>
          <w:bCs/>
          <w:iCs/>
          <w:lang w:val="pt-BR"/>
        </w:rPr>
        <w:t xml:space="preserve"> than), sản phẩm hàng hóa và dịch vụ chịu thuế </w:t>
      </w:r>
      <w:r w:rsidR="00344EBC" w:rsidRPr="00BD6441">
        <w:rPr>
          <w:bCs/>
          <w:iCs/>
          <w:lang w:val="pt-BR"/>
        </w:rPr>
        <w:t>TTĐB</w:t>
      </w:r>
      <w:r w:rsidR="002D4192" w:rsidRPr="00BD6441">
        <w:rPr>
          <w:bCs/>
          <w:iCs/>
          <w:lang w:val="pt-BR"/>
        </w:rPr>
        <w:t xml:space="preserve"> </w:t>
      </w:r>
      <w:r w:rsidR="0048103F" w:rsidRPr="00BD6441">
        <w:rPr>
          <w:bCs/>
          <w:iCs/>
          <w:lang w:val="pt-BR"/>
        </w:rPr>
        <w:t xml:space="preserve">(trừ xăng) </w:t>
      </w:r>
      <w:r w:rsidR="002D4192" w:rsidRPr="00BD6441">
        <w:rPr>
          <w:bCs/>
          <w:iCs/>
          <w:lang w:val="pt-BR"/>
        </w:rPr>
        <w:t xml:space="preserve">trong 6 tháng </w:t>
      </w:r>
      <w:r w:rsidR="0048103F" w:rsidRPr="00BD6441">
        <w:rPr>
          <w:bCs/>
          <w:iCs/>
          <w:lang w:val="pt-BR"/>
        </w:rPr>
        <w:t>cuối</w:t>
      </w:r>
      <w:r w:rsidR="002D4192" w:rsidRPr="00BD6441">
        <w:rPr>
          <w:bCs/>
          <w:iCs/>
          <w:lang w:val="pt-BR"/>
        </w:rPr>
        <w:t xml:space="preserve"> năm 2025</w:t>
      </w:r>
      <w:r w:rsidR="008D0FA6" w:rsidRPr="00BD6441">
        <w:rPr>
          <w:bCs/>
          <w:iCs/>
          <w:lang w:val="pt-BR"/>
        </w:rPr>
        <w:t xml:space="preserve"> và cả năm 2026</w:t>
      </w:r>
      <w:r w:rsidRPr="00BD6441">
        <w:rPr>
          <w:bCs/>
          <w:iCs/>
          <w:lang w:val="pt-BR"/>
        </w:rPr>
        <w:t>.</w:t>
      </w:r>
    </w:p>
    <w:p w:rsidR="00E32E11" w:rsidRDefault="00E32E11" w:rsidP="007F450C">
      <w:pPr>
        <w:ind w:firstLine="720"/>
        <w:jc w:val="both"/>
        <w:rPr>
          <w:rFonts w:eastAsia="Times New Roman"/>
          <w:bCs/>
          <w:iCs/>
          <w:szCs w:val="28"/>
          <w:lang w:val="nl-NL"/>
        </w:rPr>
      </w:pPr>
      <w:r w:rsidRPr="00EE15ED">
        <w:rPr>
          <w:bCs/>
          <w:iCs/>
          <w:lang w:val="pt-BR"/>
        </w:rPr>
        <w:t xml:space="preserve">Phương án giảm thuế GTGT tại dự thảo Nghị quyết </w:t>
      </w:r>
      <w:r w:rsidR="0048103F">
        <w:rPr>
          <w:bCs/>
          <w:iCs/>
          <w:lang w:val="pt-BR"/>
        </w:rPr>
        <w:t>lần này có sự thay đổi</w:t>
      </w:r>
      <w:r w:rsidRPr="00EE15ED">
        <w:rPr>
          <w:bCs/>
          <w:iCs/>
          <w:lang w:val="pt-BR"/>
        </w:rPr>
        <w:t xml:space="preserve"> nội dung </w:t>
      </w:r>
      <w:r w:rsidR="0048103F">
        <w:rPr>
          <w:bCs/>
          <w:iCs/>
          <w:lang w:val="pt-BR"/>
        </w:rPr>
        <w:t>so với</w:t>
      </w:r>
      <w:r w:rsidRPr="00EE15ED">
        <w:rPr>
          <w:bCs/>
          <w:iCs/>
          <w:lang w:val="pt-BR"/>
        </w:rPr>
        <w:t xml:space="preserve"> quy định tại </w:t>
      </w:r>
      <w:r w:rsidRPr="00EE15ED">
        <w:rPr>
          <w:rFonts w:eastAsia="Times New Roman"/>
          <w:bCs/>
          <w:iCs/>
          <w:szCs w:val="28"/>
          <w:lang w:val="pt-BR"/>
        </w:rPr>
        <w:t>Nghị quyết số 43/2022/QH15</w:t>
      </w:r>
      <w:r w:rsidR="00F47D4C" w:rsidRPr="00EE15ED">
        <w:rPr>
          <w:rFonts w:eastAsia="Times New Roman"/>
          <w:bCs/>
          <w:iCs/>
          <w:szCs w:val="28"/>
          <w:lang w:val="pt-BR"/>
        </w:rPr>
        <w:t>,</w:t>
      </w:r>
      <w:r w:rsidRPr="00EE15ED">
        <w:rPr>
          <w:rFonts w:eastAsia="Times New Roman"/>
          <w:bCs/>
          <w:iCs/>
          <w:szCs w:val="28"/>
          <w:lang w:val="pt-BR"/>
        </w:rPr>
        <w:t xml:space="preserve"> </w:t>
      </w:r>
      <w:r w:rsidRPr="00EE15ED">
        <w:rPr>
          <w:rFonts w:eastAsia="Times New Roman"/>
          <w:bCs/>
          <w:iCs/>
          <w:szCs w:val="28"/>
          <w:lang w:val="nl-NL"/>
        </w:rPr>
        <w:t>Nghị quyết số 101/2023/QH15</w:t>
      </w:r>
      <w:r w:rsidR="00C65F67">
        <w:rPr>
          <w:rFonts w:eastAsia="Times New Roman"/>
          <w:bCs/>
          <w:iCs/>
          <w:szCs w:val="28"/>
          <w:lang w:val="nl-NL"/>
        </w:rPr>
        <w:t>,</w:t>
      </w:r>
      <w:r w:rsidR="00F47D4C" w:rsidRPr="00EE15ED">
        <w:rPr>
          <w:rFonts w:eastAsia="Times New Roman"/>
          <w:bCs/>
          <w:iCs/>
          <w:szCs w:val="28"/>
          <w:lang w:val="nl-NL"/>
        </w:rPr>
        <w:t xml:space="preserve"> Nghị quyết số 110/2023/QH15</w:t>
      </w:r>
      <w:r w:rsidR="0048103F">
        <w:rPr>
          <w:rFonts w:eastAsia="Times New Roman"/>
          <w:bCs/>
          <w:iCs/>
          <w:szCs w:val="28"/>
          <w:lang w:val="nl-NL"/>
        </w:rPr>
        <w:t>, Nghị quyết số 142/2024/QH15 và Nghị quyết số 174/2024/QH15</w:t>
      </w:r>
      <w:r w:rsidR="00D618EE">
        <w:rPr>
          <w:rFonts w:eastAsia="Times New Roman"/>
          <w:bCs/>
          <w:iCs/>
          <w:szCs w:val="28"/>
          <w:lang w:val="nl-NL"/>
        </w:rPr>
        <w:t xml:space="preserve"> (sau đây gọi chung là </w:t>
      </w:r>
      <w:r w:rsidR="00D618EE" w:rsidRPr="00EE15ED">
        <w:rPr>
          <w:rFonts w:eastAsia="Times New Roman"/>
          <w:bCs/>
          <w:iCs/>
          <w:szCs w:val="28"/>
          <w:lang w:val="pt-BR"/>
        </w:rPr>
        <w:t>Nghị quyết số 43/2022/QH15</w:t>
      </w:r>
      <w:r w:rsidR="00D618EE">
        <w:rPr>
          <w:rFonts w:eastAsia="Times New Roman"/>
          <w:bCs/>
          <w:iCs/>
          <w:szCs w:val="28"/>
          <w:lang w:val="pt-BR"/>
        </w:rPr>
        <w:t>)</w:t>
      </w:r>
      <w:r w:rsidR="0048103F">
        <w:rPr>
          <w:rFonts w:eastAsia="Times New Roman"/>
          <w:bCs/>
          <w:iCs/>
          <w:szCs w:val="28"/>
          <w:lang w:val="nl-NL"/>
        </w:rPr>
        <w:t>, cụ thể:</w:t>
      </w:r>
    </w:p>
    <w:p w:rsidR="008D0FA6" w:rsidRPr="00BD6441" w:rsidRDefault="008D0FA6" w:rsidP="008D0FA6">
      <w:pPr>
        <w:widowControl w:val="0"/>
        <w:ind w:firstLine="709"/>
        <w:jc w:val="both"/>
        <w:rPr>
          <w:b/>
          <w:szCs w:val="28"/>
        </w:rPr>
      </w:pPr>
      <w:r w:rsidRPr="00BD6441">
        <w:rPr>
          <w:b/>
          <w:szCs w:val="28"/>
          <w:lang w:val="en-US"/>
        </w:rPr>
        <w:t>1.</w:t>
      </w:r>
      <w:r w:rsidRPr="00BD6441">
        <w:rPr>
          <w:b/>
          <w:szCs w:val="28"/>
        </w:rPr>
        <w:t xml:space="preserve">1. Về nguyên tắc đề xuất giảm thuế </w:t>
      </w:r>
    </w:p>
    <w:p w:rsidR="008D0FA6" w:rsidRPr="00BD6441" w:rsidRDefault="008D0FA6" w:rsidP="008D0FA6">
      <w:pPr>
        <w:widowControl w:val="0"/>
        <w:ind w:firstLine="709"/>
        <w:jc w:val="both"/>
        <w:rPr>
          <w:szCs w:val="28"/>
        </w:rPr>
      </w:pPr>
      <w:r w:rsidRPr="00BD6441">
        <w:rPr>
          <w:szCs w:val="28"/>
        </w:rPr>
        <w:t>- Thuế GTGT có các loại hàng hoá, dịch vụ chịu thuế GTGT và không chịu thuế GTGT (có hàng hoá, dịch vụ không chịu thuế GTGT, có hàng hoá, dịch vụ xuất khẩu áp dụng thuế suất 0%, có hàng hoá, dịch vụ chịu thuế suất 5% và có hàng hoá, dịch vụ chịu thuế suất 10%) thì chỉ giảm thuế đối với hàng hoá, dịch vụ chịu thuế suất 10%.</w:t>
      </w:r>
    </w:p>
    <w:p w:rsidR="008D0FA6" w:rsidRPr="00BD6441" w:rsidRDefault="008D0FA6" w:rsidP="008D0FA6">
      <w:pPr>
        <w:widowControl w:val="0"/>
        <w:ind w:firstLine="709"/>
        <w:jc w:val="both"/>
        <w:rPr>
          <w:szCs w:val="28"/>
        </w:rPr>
      </w:pPr>
      <w:r w:rsidRPr="00BD6441">
        <w:rPr>
          <w:szCs w:val="28"/>
        </w:rPr>
        <w:t>- Trong nhóm hàng hoá, dịch vụ chịu thuế suất thuế GTGT 10% thì:</w:t>
      </w:r>
    </w:p>
    <w:p w:rsidR="008D0FA6" w:rsidRPr="00BD6441" w:rsidRDefault="008D0FA6" w:rsidP="008D0FA6">
      <w:pPr>
        <w:widowControl w:val="0"/>
        <w:ind w:firstLine="709"/>
        <w:jc w:val="both"/>
        <w:rPr>
          <w:szCs w:val="28"/>
        </w:rPr>
      </w:pPr>
      <w:r w:rsidRPr="00BD6441">
        <w:rPr>
          <w:szCs w:val="28"/>
        </w:rPr>
        <w:t xml:space="preserve">+ Giảm thuế suất thuế GTGT 2% đối với hàng hoá, dịch vụ phục vụ cho sản xuất, kinh doanh, du lịch, tiêu dùng nhằm hỗ trợ tăng sức mua, kích cầu </w:t>
      </w:r>
      <w:r w:rsidRPr="00BD6441">
        <w:rPr>
          <w:szCs w:val="28"/>
        </w:rPr>
        <w:lastRenderedPageBreak/>
        <w:t>tiêu dùng, du lịch nội địa.</w:t>
      </w:r>
    </w:p>
    <w:p w:rsidR="008D0FA6" w:rsidRPr="00BD6441" w:rsidRDefault="008D0FA6" w:rsidP="008D0FA6">
      <w:pPr>
        <w:widowControl w:val="0"/>
        <w:ind w:firstLine="709"/>
        <w:jc w:val="both"/>
        <w:rPr>
          <w:szCs w:val="28"/>
        </w:rPr>
      </w:pPr>
      <w:r w:rsidRPr="00BD6441">
        <w:rPr>
          <w:szCs w:val="28"/>
        </w:rPr>
        <w:t>+ Không giảm thuế GTGT đối với hàng hoá là tài nguyên khoáng sản, trừ hàng hoá đặc biệt góp phần quan trọng trong sản xuất kinh doanh.</w:t>
      </w:r>
    </w:p>
    <w:p w:rsidR="008D0FA6" w:rsidRPr="00BD6441" w:rsidRDefault="008D0FA6" w:rsidP="008D0FA6">
      <w:pPr>
        <w:ind w:firstLine="720"/>
        <w:jc w:val="both"/>
        <w:rPr>
          <w:szCs w:val="28"/>
        </w:rPr>
      </w:pPr>
      <w:r w:rsidRPr="00BD6441">
        <w:rPr>
          <w:szCs w:val="28"/>
        </w:rPr>
        <w:t>+ Không giảm thuế GTGT đối với hàng hoá, dịch vụ thuộc đối tượng chịu thuế TTĐB, trừ mặt hàng xăng.</w:t>
      </w:r>
    </w:p>
    <w:p w:rsidR="008D0FA6" w:rsidRPr="00BD6441" w:rsidRDefault="008D0FA6" w:rsidP="008D0FA6">
      <w:pPr>
        <w:ind w:firstLine="720"/>
        <w:jc w:val="both"/>
        <w:rPr>
          <w:b/>
          <w:szCs w:val="28"/>
        </w:rPr>
      </w:pPr>
      <w:r w:rsidRPr="00BD6441">
        <w:rPr>
          <w:b/>
          <w:szCs w:val="28"/>
          <w:lang w:val="en-US"/>
        </w:rPr>
        <w:t>1.</w:t>
      </w:r>
      <w:r w:rsidRPr="00BD6441">
        <w:rPr>
          <w:b/>
          <w:szCs w:val="28"/>
        </w:rPr>
        <w:t>2. Hàng hóa, dịch vụ đề xuất giảm thuế</w:t>
      </w:r>
    </w:p>
    <w:p w:rsidR="008D0FA6" w:rsidRPr="00BD6441" w:rsidRDefault="008D0FA6" w:rsidP="008D0FA6">
      <w:pPr>
        <w:ind w:firstLine="709"/>
        <w:jc w:val="both"/>
        <w:rPr>
          <w:szCs w:val="28"/>
          <w:lang w:val="nl-NL"/>
        </w:rPr>
      </w:pPr>
      <w:r w:rsidRPr="00BD6441">
        <w:rPr>
          <w:szCs w:val="28"/>
          <w:lang w:val="nl-NL"/>
        </w:rPr>
        <w:t>Theo nguyên tắc nêu tại điểm 1</w:t>
      </w:r>
      <w:r w:rsidR="00475A0B" w:rsidRPr="00BD6441">
        <w:rPr>
          <w:szCs w:val="28"/>
          <w:lang w:val="nl-NL"/>
        </w:rPr>
        <w:t>.1</w:t>
      </w:r>
      <w:r w:rsidRPr="00BD6441">
        <w:rPr>
          <w:szCs w:val="28"/>
          <w:lang w:val="nl-NL"/>
        </w:rPr>
        <w:t xml:space="preserve"> nêu trên, đề xuất giảm thuế suất thuế GTGT 2% như sau:</w:t>
      </w:r>
    </w:p>
    <w:p w:rsidR="008D0FA6" w:rsidRPr="00BD6441" w:rsidRDefault="008D0FA6" w:rsidP="008D0FA6">
      <w:pPr>
        <w:ind w:firstLine="709"/>
        <w:jc w:val="both"/>
        <w:rPr>
          <w:bCs/>
          <w:iCs/>
          <w:szCs w:val="28"/>
          <w:lang w:val="nl-NL"/>
        </w:rPr>
      </w:pPr>
      <w:r w:rsidRPr="00BD6441">
        <w:rPr>
          <w:szCs w:val="28"/>
          <w:lang w:val="nl-NL"/>
        </w:rPr>
        <w:t>- Giữ nguyên các hàng hoá, dịch vụ thuộc đối tượng được giảm thuế GTGT 2% theo Nghị quyết số 43/2022/QH15</w:t>
      </w:r>
      <w:r w:rsidRPr="00BD6441">
        <w:rPr>
          <w:bCs/>
          <w:iCs/>
          <w:szCs w:val="28"/>
          <w:lang w:val="nl-NL"/>
        </w:rPr>
        <w:t>.</w:t>
      </w:r>
    </w:p>
    <w:p w:rsidR="008D0FA6" w:rsidRPr="00BD6441" w:rsidRDefault="008D0FA6" w:rsidP="008D0FA6">
      <w:pPr>
        <w:ind w:firstLine="709"/>
        <w:jc w:val="both"/>
        <w:rPr>
          <w:szCs w:val="28"/>
          <w:lang w:val="nl-NL"/>
        </w:rPr>
      </w:pPr>
      <w:r w:rsidRPr="00BD6441">
        <w:rPr>
          <w:szCs w:val="28"/>
          <w:lang w:val="nl-NL"/>
        </w:rPr>
        <w:t>- Mở rộng đối tượng được giảm thuế suất thuế GTGT 2% đối với một số nhóm hàng hoá, dịch vụ không được giảm thuế GTGT theo Nghị quyết số 43/2022/QH15 nay đáp ứng nguyên tắc nêu trên gồm:</w:t>
      </w:r>
    </w:p>
    <w:p w:rsidR="008D0FA6" w:rsidRPr="00BD6441" w:rsidRDefault="008D0FA6" w:rsidP="008D0FA6">
      <w:pPr>
        <w:ind w:firstLine="709"/>
        <w:jc w:val="both"/>
        <w:rPr>
          <w:color w:val="000000"/>
          <w:szCs w:val="28"/>
          <w:lang w:val="nl-NL"/>
        </w:rPr>
      </w:pPr>
      <w:r w:rsidRPr="00BD6441">
        <w:rPr>
          <w:color w:val="000000"/>
          <w:szCs w:val="28"/>
          <w:lang w:val="nl-NL"/>
        </w:rPr>
        <w:t>+ Đối với sản phẩm, dịch vụ công nghệ thông tin (như máy giặt, lò vi sóng, dịch vụ xử lý dữ liệu, cho thuê và các hoạt động liên quan, cổng thông tin...), sản phẩm từ kim loại đúc sẵn (như thùng, bể chứa và dụng cụ chứa đựng bằng kim loại, nồi hơi...): Đây là những hàng hoá, dịch vụ phục vụ cho mục đích tiêu dùng trực tiếp của người dân.</w:t>
      </w:r>
    </w:p>
    <w:p w:rsidR="008D0FA6" w:rsidRPr="00BD6441" w:rsidRDefault="008D0FA6" w:rsidP="008D0FA6">
      <w:pPr>
        <w:ind w:firstLine="709"/>
        <w:jc w:val="both"/>
        <w:rPr>
          <w:color w:val="000000"/>
          <w:szCs w:val="28"/>
        </w:rPr>
      </w:pPr>
      <w:r w:rsidRPr="00BD6441">
        <w:rPr>
          <w:color w:val="000000"/>
          <w:szCs w:val="28"/>
          <w:lang w:val="nl-NL"/>
        </w:rPr>
        <w:t xml:space="preserve">+ Đối với than cốc, dầu mỏ tinh chế (như than cốc, </w:t>
      </w:r>
      <w:r w:rsidRPr="00BD6441">
        <w:rPr>
          <w:color w:val="000000"/>
          <w:szCs w:val="28"/>
        </w:rPr>
        <w:t>nhiên liệu dầu và xăng, dầu mỡ bôi trơn…), s</w:t>
      </w:r>
      <w:r w:rsidRPr="00BD6441">
        <w:rPr>
          <w:color w:val="000000"/>
          <w:szCs w:val="28"/>
          <w:lang w:val="nl-NL"/>
        </w:rPr>
        <w:t xml:space="preserve">ản phẩm hoá chất (như </w:t>
      </w:r>
      <w:r w:rsidRPr="00BD6441">
        <w:rPr>
          <w:color w:val="000000"/>
          <w:szCs w:val="28"/>
        </w:rPr>
        <w:t xml:space="preserve">phân bón và hợp chất ni tơ, plastic và cao su tổng hợp dạng nguyên sinh…), than ở khâu nhập khẩu và than bán ra ở khâu kinh doanh thương mại (than khai thác trong nước đã được giảm theo Nghị quyết 43/2022/QH15): Đây là những hàng hoá </w:t>
      </w:r>
      <w:r w:rsidRPr="00BD6441">
        <w:rPr>
          <w:color w:val="000000"/>
          <w:szCs w:val="28"/>
          <w:lang w:val="nl-NL"/>
        </w:rPr>
        <w:t>dùng trong quá trình sản xuất nguyên liệu đầu vào để phục vụ mục đích sản xuất các hàng hoá tiêu dùng trực tiếp cho người dân.</w:t>
      </w:r>
      <w:r w:rsidRPr="00BD6441">
        <w:rPr>
          <w:color w:val="000000"/>
          <w:szCs w:val="28"/>
        </w:rPr>
        <w:t xml:space="preserve"> </w:t>
      </w:r>
    </w:p>
    <w:p w:rsidR="008D0FA6" w:rsidRPr="00BD6441" w:rsidRDefault="008D0FA6" w:rsidP="008D0FA6">
      <w:pPr>
        <w:ind w:firstLine="709"/>
        <w:jc w:val="both"/>
        <w:rPr>
          <w:bCs/>
          <w:iCs/>
          <w:szCs w:val="28"/>
          <w:lang w:val="pt-BR"/>
        </w:rPr>
      </w:pPr>
      <w:r w:rsidRPr="00BD6441">
        <w:rPr>
          <w:color w:val="000000"/>
          <w:szCs w:val="28"/>
        </w:rPr>
        <w:t xml:space="preserve">+ </w:t>
      </w:r>
      <w:r w:rsidRPr="00BD6441">
        <w:rPr>
          <w:color w:val="000000"/>
          <w:szCs w:val="28"/>
          <w:lang w:val="nl-NL"/>
        </w:rPr>
        <w:t>Xăng, dầu: Mặc dù mặt hàng xăng thuộc đối tượng chịu thuế TTĐB và mặt hàng dầu thuộc danh mục sản phẩm khai khoáng, đây là những mặt hàng quan trọng đối với nhiều ngành sản xuất</w:t>
      </w:r>
      <w:r w:rsidRPr="00BD6441">
        <w:rPr>
          <w:color w:val="000000"/>
          <w:szCs w:val="28"/>
        </w:rPr>
        <w:t>, kinh doanh</w:t>
      </w:r>
      <w:r w:rsidRPr="00BD6441">
        <w:rPr>
          <w:color w:val="000000"/>
          <w:szCs w:val="28"/>
          <w:lang w:val="nl-NL"/>
        </w:rPr>
        <w:t xml:space="preserve"> cũng như đời sống người dân và giá xăng, dầu nói chung tăng hoặc giảm sẽ tác động trực tiếp đến sản xuất, tiêu dùng trong nước và ổn định kinh tế vĩ mô.</w:t>
      </w:r>
    </w:p>
    <w:p w:rsidR="008D0FA6" w:rsidRPr="00BD6441" w:rsidRDefault="008D0FA6" w:rsidP="008D0FA6">
      <w:pPr>
        <w:ind w:firstLine="720"/>
        <w:jc w:val="both"/>
        <w:rPr>
          <w:b/>
          <w:szCs w:val="28"/>
        </w:rPr>
      </w:pPr>
      <w:r w:rsidRPr="00BD6441">
        <w:rPr>
          <w:b/>
          <w:szCs w:val="28"/>
          <w:lang w:val="en-US"/>
        </w:rPr>
        <w:t>1.</w:t>
      </w:r>
      <w:r w:rsidRPr="00BD6441">
        <w:rPr>
          <w:b/>
          <w:szCs w:val="28"/>
        </w:rPr>
        <w:t>3. Hàng hóa, dịch vụ đề xuất không giảm thuế</w:t>
      </w:r>
    </w:p>
    <w:p w:rsidR="008D0FA6" w:rsidRPr="00BD6441" w:rsidRDefault="008D0FA6" w:rsidP="008D0FA6">
      <w:pPr>
        <w:ind w:firstLine="709"/>
        <w:jc w:val="both"/>
        <w:rPr>
          <w:bCs/>
          <w:iCs/>
          <w:szCs w:val="28"/>
          <w:lang w:val="nl-NL"/>
        </w:rPr>
      </w:pPr>
      <w:r w:rsidRPr="00BD6441">
        <w:rPr>
          <w:bCs/>
          <w:iCs/>
          <w:szCs w:val="28"/>
          <w:lang w:val="nl-NL"/>
        </w:rPr>
        <w:t>- Viễn thông, kinh doanh bất động sản: Đây là những ngành có tăng trưởng trong thời gian qua, mặc dù không thuộc đối tượng được giảm thuế GTGT theo quy định tại Nghị quyết số 43/2022/QH15 (như số lượng giao dịch đất nền trong năm 2024 tăng 33,6% so với cùng kỳ năm trước).</w:t>
      </w:r>
    </w:p>
    <w:p w:rsidR="008D0FA6" w:rsidRPr="00BD6441" w:rsidRDefault="008D0FA6" w:rsidP="008D0FA6">
      <w:pPr>
        <w:ind w:firstLine="709"/>
        <w:jc w:val="both"/>
        <w:rPr>
          <w:bCs/>
          <w:iCs/>
          <w:szCs w:val="28"/>
          <w:lang w:val="nl-NL"/>
        </w:rPr>
      </w:pPr>
      <w:r w:rsidRPr="00BD6441">
        <w:rPr>
          <w:bCs/>
          <w:iCs/>
          <w:szCs w:val="28"/>
          <w:lang w:val="nl-NL"/>
        </w:rPr>
        <w:t>- Hoạt động tài chính, ngân hàng, chứng khoán, bảo hiểm: Hầu hết những dịch vụ thuộc những lĩnh vực này đều thuộc đối tượng không chịu thuế GTGT theo quy định của pháp luật về thuế GTGT hiện hành (một số dịch vụ thuộc đối tượng chịu thuế GTGT 10%). Các dịch vụ tài chính này đều có mức tăng trưởng tốt trong thời gian qua.</w:t>
      </w:r>
    </w:p>
    <w:p w:rsidR="008D0FA6" w:rsidRPr="00BD6441" w:rsidRDefault="008D0FA6" w:rsidP="008D0FA6">
      <w:pPr>
        <w:ind w:firstLine="709"/>
        <w:jc w:val="both"/>
        <w:rPr>
          <w:bCs/>
          <w:iCs/>
          <w:szCs w:val="28"/>
          <w:lang w:val="nl-NL"/>
        </w:rPr>
      </w:pPr>
      <w:r w:rsidRPr="00BD6441">
        <w:rPr>
          <w:bCs/>
          <w:iCs/>
          <w:szCs w:val="28"/>
          <w:lang w:val="nl-NL"/>
        </w:rPr>
        <w:lastRenderedPageBreak/>
        <w:t>- Sản phẩm khai khoáng (trừ than), sản phẩm kim loại: Những mặt hàng này phải được quản lý, bảo vệ, khai thác, sử dụng hợp lý, tiết kiệm, có hiệu quả nhằm đáp ứng yêu cầu công nghiệp hóa, hiện đại hóa đất nước theo đúng chủ trương của Đảng, Nhà nước tại các Nghị quyết số 24-NQ/TW ngày 03/6/2013 của Ban chấp hành Trung ương khoá XI, Nghị quyết số 39-NQ/TW ngày 15/01/2019 và Nghị quyết số 10-NQ/TW ngày 10/02/2022 của Bộ Chính trị, Quyết định số 2427/QĐ-TTg ngày 22/12/2011 của Thủ tướng Chính phủ.</w:t>
      </w:r>
    </w:p>
    <w:p w:rsidR="00472820" w:rsidRPr="00BD6441" w:rsidRDefault="008D0FA6" w:rsidP="008D0FA6">
      <w:pPr>
        <w:ind w:firstLine="709"/>
        <w:jc w:val="both"/>
        <w:rPr>
          <w:bCs/>
          <w:iCs/>
          <w:szCs w:val="28"/>
          <w:lang w:val="pt-BR"/>
        </w:rPr>
      </w:pPr>
      <w:r w:rsidRPr="00BD6441">
        <w:rPr>
          <w:bCs/>
          <w:iCs/>
          <w:szCs w:val="28"/>
          <w:lang w:val="nl-NL"/>
        </w:rPr>
        <w:t>- Sản phẩm hàng hoá và dịch vụ chịu thuế TTĐB (trừ mặt hàng xăng): Những sản phẩm hàng hoá, dịch vụ cần điều tiết tiêu dùng, không phục vụ mục tiêu kích cầu tiêu dùng, du lịch nội địa.</w:t>
      </w:r>
    </w:p>
    <w:p w:rsidR="00E32E11" w:rsidRPr="005D445A" w:rsidRDefault="00E32E11" w:rsidP="007F450C">
      <w:pPr>
        <w:ind w:firstLine="720"/>
        <w:jc w:val="both"/>
        <w:rPr>
          <w:b/>
          <w:bCs/>
          <w:iCs/>
          <w:lang w:val="sv-SE"/>
        </w:rPr>
      </w:pPr>
      <w:r w:rsidRPr="00BD6441">
        <w:rPr>
          <w:b/>
          <w:bCs/>
          <w:iCs/>
          <w:lang w:val="sv-SE"/>
        </w:rPr>
        <w:t>2. Đối tượng áp dụng</w:t>
      </w:r>
    </w:p>
    <w:p w:rsidR="00603244" w:rsidRPr="005D445A" w:rsidRDefault="00603244" w:rsidP="007F450C">
      <w:pPr>
        <w:tabs>
          <w:tab w:val="left" w:pos="2780"/>
          <w:tab w:val="center" w:pos="4631"/>
        </w:tabs>
        <w:autoSpaceDE w:val="0"/>
        <w:autoSpaceDN w:val="0"/>
        <w:adjustRightInd w:val="0"/>
        <w:ind w:firstLine="720"/>
        <w:jc w:val="both"/>
        <w:rPr>
          <w:rFonts w:eastAsia="Times New Roman"/>
          <w:szCs w:val="28"/>
          <w:lang w:val="nl-NL"/>
        </w:rPr>
      </w:pPr>
      <w:r w:rsidRPr="005D445A">
        <w:rPr>
          <w:rFonts w:eastAsia="Times New Roman"/>
          <w:szCs w:val="28"/>
          <w:lang w:val="nl-NL"/>
        </w:rPr>
        <w:t>- Các tổ chức, cá nhân sản xuất, nhập khẩu hàng hóa và kinh doanh dịch vụ thuộc đối tượng chịu thuế GTGT.</w:t>
      </w:r>
    </w:p>
    <w:p w:rsidR="00603244" w:rsidRPr="005D445A" w:rsidRDefault="00603244" w:rsidP="007F450C">
      <w:pPr>
        <w:tabs>
          <w:tab w:val="left" w:pos="2780"/>
          <w:tab w:val="center" w:pos="4631"/>
        </w:tabs>
        <w:autoSpaceDE w:val="0"/>
        <w:autoSpaceDN w:val="0"/>
        <w:adjustRightInd w:val="0"/>
        <w:ind w:firstLine="720"/>
        <w:jc w:val="both"/>
        <w:rPr>
          <w:rFonts w:eastAsia="Times New Roman"/>
          <w:szCs w:val="28"/>
          <w:lang w:val="nl-NL"/>
        </w:rPr>
      </w:pPr>
      <w:r w:rsidRPr="005D445A">
        <w:rPr>
          <w:rFonts w:eastAsia="Times New Roman"/>
          <w:szCs w:val="28"/>
          <w:lang w:val="nl-NL"/>
        </w:rPr>
        <w:t>- Cơ quan quản lý thuế, cơ quan nhà nước, tổ chức, cá nhân khác có liên quan.</w:t>
      </w:r>
    </w:p>
    <w:p w:rsidR="00DB4949" w:rsidRDefault="00DB4949" w:rsidP="00DB4949">
      <w:pPr>
        <w:ind w:firstLine="720"/>
        <w:jc w:val="both"/>
        <w:rPr>
          <w:rFonts w:eastAsia="Times New Roman"/>
          <w:b/>
          <w:szCs w:val="28"/>
          <w:lang w:val="nl-NL"/>
        </w:rPr>
      </w:pPr>
      <w:r>
        <w:rPr>
          <w:b/>
          <w:bCs/>
          <w:iCs/>
          <w:lang w:val="sv-SE"/>
        </w:rPr>
        <w:t>I</w:t>
      </w:r>
      <w:r w:rsidRPr="00EE15ED">
        <w:rPr>
          <w:b/>
          <w:bCs/>
          <w:iCs/>
          <w:lang w:val="sv-SE"/>
        </w:rPr>
        <w:t xml:space="preserve">V. </w:t>
      </w:r>
      <w:r w:rsidRPr="005C0198">
        <w:rPr>
          <w:b/>
          <w:szCs w:val="28"/>
          <w:lang w:val="nl-NL"/>
        </w:rPr>
        <w:t>QUÁ TRÌNH XÂY DỰNG DỰ ÁN NGHỊ QUYẾT</w:t>
      </w:r>
      <w:r w:rsidRPr="00EE15ED">
        <w:rPr>
          <w:rFonts w:eastAsia="Times New Roman"/>
          <w:b/>
          <w:szCs w:val="28"/>
          <w:lang w:val="nl-NL"/>
        </w:rPr>
        <w:t xml:space="preserve"> </w:t>
      </w:r>
    </w:p>
    <w:p w:rsidR="000E4BD1" w:rsidRPr="00E25F62" w:rsidRDefault="00DB4949" w:rsidP="00602A45">
      <w:pPr>
        <w:ind w:firstLine="720"/>
        <w:jc w:val="both"/>
        <w:rPr>
          <w:bCs/>
          <w:iCs/>
          <w:szCs w:val="28"/>
          <w:lang w:val="nl-NL"/>
        </w:rPr>
      </w:pPr>
      <w:r w:rsidRPr="00570C2E">
        <w:rPr>
          <w:bCs/>
          <w:iCs/>
          <w:szCs w:val="28"/>
          <w:lang w:val="nl-NL"/>
        </w:rPr>
        <w:t xml:space="preserve">Căn cứ quy định tại Điều </w:t>
      </w:r>
      <w:r w:rsidR="00647A6D">
        <w:rPr>
          <w:bCs/>
          <w:iCs/>
          <w:szCs w:val="28"/>
          <w:lang w:val="nl-NL"/>
        </w:rPr>
        <w:t>50</w:t>
      </w:r>
      <w:r w:rsidRPr="00570C2E">
        <w:rPr>
          <w:bCs/>
          <w:iCs/>
          <w:szCs w:val="28"/>
          <w:lang w:val="nl-NL"/>
        </w:rPr>
        <w:t xml:space="preserve"> và Điều </w:t>
      </w:r>
      <w:r w:rsidR="00647A6D">
        <w:rPr>
          <w:bCs/>
          <w:iCs/>
          <w:szCs w:val="28"/>
          <w:lang w:val="nl-NL"/>
        </w:rPr>
        <w:t>51</w:t>
      </w:r>
      <w:r w:rsidRPr="00570C2E">
        <w:rPr>
          <w:bCs/>
          <w:iCs/>
          <w:szCs w:val="28"/>
          <w:lang w:val="nl-NL"/>
        </w:rPr>
        <w:t xml:space="preserve"> Luật Ban hành văn bản quy phạm pháp luật </w:t>
      </w:r>
      <w:r w:rsidR="00FA1455" w:rsidRPr="00936BAC">
        <w:rPr>
          <w:szCs w:val="28"/>
          <w:lang w:val="nl-NL"/>
        </w:rPr>
        <w:t>số 64/2025/QH15</w:t>
      </w:r>
      <w:r w:rsidR="00FA1455">
        <w:rPr>
          <w:bCs/>
          <w:iCs/>
          <w:szCs w:val="28"/>
          <w:lang w:val="nl-NL"/>
        </w:rPr>
        <w:t xml:space="preserve"> </w:t>
      </w:r>
      <w:r w:rsidR="00F911B5">
        <w:rPr>
          <w:bCs/>
          <w:iCs/>
          <w:szCs w:val="28"/>
          <w:lang w:val="nl-NL"/>
        </w:rPr>
        <w:t xml:space="preserve">(VBQPPL) </w:t>
      </w:r>
      <w:r w:rsidRPr="00570C2E">
        <w:rPr>
          <w:bCs/>
          <w:iCs/>
          <w:szCs w:val="28"/>
          <w:lang w:val="nl-NL"/>
        </w:rPr>
        <w:t xml:space="preserve">về </w:t>
      </w:r>
      <w:r w:rsidR="00647A6D">
        <w:rPr>
          <w:bCs/>
          <w:iCs/>
          <w:szCs w:val="28"/>
          <w:lang w:val="nl-NL"/>
        </w:rPr>
        <w:t>t</w:t>
      </w:r>
      <w:r w:rsidR="00647A6D" w:rsidRPr="00DD79F8">
        <w:rPr>
          <w:bCs/>
          <w:iCs/>
          <w:szCs w:val="28"/>
          <w:lang w:val="nl-NL"/>
        </w:rPr>
        <w:t>rường hợp và thẩm quyền quyết định xây dựng, ban hành văn bản quy phạm pháp luật theo trình tự, thủ tục rút gọn</w:t>
      </w:r>
      <w:r w:rsidR="00647A6D" w:rsidRPr="00570C2E">
        <w:rPr>
          <w:bCs/>
          <w:iCs/>
          <w:szCs w:val="28"/>
          <w:lang w:val="nl-NL"/>
        </w:rPr>
        <w:t xml:space="preserve"> </w:t>
      </w:r>
      <w:r w:rsidR="00647A6D">
        <w:rPr>
          <w:bCs/>
          <w:iCs/>
          <w:szCs w:val="28"/>
          <w:lang w:val="nl-NL"/>
        </w:rPr>
        <w:t>và t</w:t>
      </w:r>
      <w:r w:rsidR="00647A6D" w:rsidRPr="00DD79F8">
        <w:rPr>
          <w:bCs/>
          <w:iCs/>
          <w:szCs w:val="28"/>
          <w:lang w:val="nl-NL"/>
        </w:rPr>
        <w:t xml:space="preserve">rình tự, thủ tục rút gọn trong xây dựng văn bản quy phạm pháp </w:t>
      </w:r>
      <w:r w:rsidR="00647A6D" w:rsidRPr="00E25F62">
        <w:rPr>
          <w:bCs/>
          <w:iCs/>
          <w:szCs w:val="28"/>
          <w:lang w:val="nl-NL"/>
        </w:rPr>
        <w:t xml:space="preserve">luật, </w:t>
      </w:r>
      <w:r w:rsidRPr="00E25F62">
        <w:rPr>
          <w:bCs/>
          <w:iCs/>
          <w:szCs w:val="28"/>
          <w:lang w:val="nl-NL"/>
        </w:rPr>
        <w:t>ngày   /</w:t>
      </w:r>
      <w:r w:rsidR="00647A6D" w:rsidRPr="00E25F62">
        <w:rPr>
          <w:bCs/>
          <w:iCs/>
          <w:szCs w:val="28"/>
          <w:lang w:val="nl-NL"/>
        </w:rPr>
        <w:t xml:space="preserve">  </w:t>
      </w:r>
      <w:r w:rsidRPr="00E25F62">
        <w:rPr>
          <w:bCs/>
          <w:iCs/>
          <w:szCs w:val="28"/>
          <w:lang w:val="nl-NL"/>
        </w:rPr>
        <w:t>/202</w:t>
      </w:r>
      <w:r w:rsidR="00647A6D" w:rsidRPr="00E25F62">
        <w:rPr>
          <w:bCs/>
          <w:iCs/>
          <w:szCs w:val="28"/>
          <w:lang w:val="nl-NL"/>
        </w:rPr>
        <w:t>5</w:t>
      </w:r>
      <w:r w:rsidRPr="00E25F62">
        <w:rPr>
          <w:bCs/>
          <w:iCs/>
          <w:szCs w:val="28"/>
          <w:lang w:val="nl-NL"/>
        </w:rPr>
        <w:t xml:space="preserve"> Chính phủ đã có Nghị quyết số    /NQ-CP thông qua đề nghị </w:t>
      </w:r>
      <w:r w:rsidR="00DD79F8" w:rsidRPr="00E25F62">
        <w:rPr>
          <w:bCs/>
          <w:iCs/>
          <w:szCs w:val="28"/>
          <w:lang w:val="nl-NL"/>
        </w:rPr>
        <w:t xml:space="preserve">áp dụng trình tự, thủ tục rút gọn trong </w:t>
      </w:r>
      <w:r w:rsidRPr="00E25F62">
        <w:rPr>
          <w:bCs/>
          <w:iCs/>
          <w:szCs w:val="28"/>
          <w:lang w:val="nl-NL"/>
        </w:rPr>
        <w:t>xây dựng</w:t>
      </w:r>
      <w:r w:rsidR="00DD79F8" w:rsidRPr="00E25F62">
        <w:rPr>
          <w:bCs/>
          <w:iCs/>
          <w:szCs w:val="28"/>
          <w:lang w:val="nl-NL"/>
        </w:rPr>
        <w:t>, ban hành</w:t>
      </w:r>
      <w:r w:rsidRPr="00E25F62">
        <w:rPr>
          <w:bCs/>
          <w:iCs/>
          <w:szCs w:val="28"/>
          <w:lang w:val="nl-NL"/>
        </w:rPr>
        <w:t xml:space="preserve"> dự án Nghị quyết của Quốc hội về giảm thuế GTGT và giao Bộ trưởng Bộ Tư pháp ký Tờ trình của Chính phủ để báo cáo </w:t>
      </w:r>
      <w:r w:rsidR="00DD79F8" w:rsidRPr="00E25F62">
        <w:rPr>
          <w:bCs/>
          <w:iCs/>
          <w:szCs w:val="28"/>
          <w:lang w:val="nl-NL"/>
        </w:rPr>
        <w:t xml:space="preserve">Ủy ban Thường vụ </w:t>
      </w:r>
      <w:r w:rsidRPr="00E25F62">
        <w:rPr>
          <w:bCs/>
          <w:iCs/>
          <w:szCs w:val="28"/>
          <w:lang w:val="nl-NL"/>
        </w:rPr>
        <w:t>Quốc hội</w:t>
      </w:r>
      <w:r w:rsidR="00DD79F8" w:rsidRPr="00E25F62">
        <w:rPr>
          <w:bCs/>
          <w:iCs/>
          <w:szCs w:val="28"/>
          <w:lang w:val="nl-NL"/>
        </w:rPr>
        <w:t xml:space="preserve"> (</w:t>
      </w:r>
      <w:r w:rsidRPr="00E25F62">
        <w:rPr>
          <w:bCs/>
          <w:iCs/>
          <w:szCs w:val="28"/>
          <w:lang w:val="nl-NL"/>
        </w:rPr>
        <w:t>UBTVQH</w:t>
      </w:r>
      <w:r w:rsidR="00DD79F8" w:rsidRPr="00E25F62">
        <w:rPr>
          <w:bCs/>
          <w:iCs/>
          <w:szCs w:val="28"/>
          <w:lang w:val="nl-NL"/>
        </w:rPr>
        <w:t>)</w:t>
      </w:r>
      <w:r w:rsidRPr="00E25F62">
        <w:rPr>
          <w:bCs/>
          <w:iCs/>
          <w:szCs w:val="28"/>
          <w:lang w:val="nl-NL"/>
        </w:rPr>
        <w:t xml:space="preserve"> bổ sung dự án Nghị quyết </w:t>
      </w:r>
      <w:r w:rsidR="00DD79F8" w:rsidRPr="00E25F62">
        <w:rPr>
          <w:bCs/>
          <w:iCs/>
          <w:szCs w:val="28"/>
          <w:lang w:val="nl-NL"/>
        </w:rPr>
        <w:t xml:space="preserve">vào Chương trình </w:t>
      </w:r>
      <w:r w:rsidR="005266ED" w:rsidRPr="00E25F62">
        <w:rPr>
          <w:bCs/>
          <w:iCs/>
          <w:szCs w:val="28"/>
          <w:lang w:val="nl-NL"/>
        </w:rPr>
        <w:t>lập pháp</w:t>
      </w:r>
      <w:r w:rsidR="00DD79F8" w:rsidRPr="00E25F62">
        <w:rPr>
          <w:bCs/>
          <w:iCs/>
          <w:szCs w:val="28"/>
          <w:lang w:val="nl-NL"/>
        </w:rPr>
        <w:t xml:space="preserve"> </w:t>
      </w:r>
      <w:r w:rsidRPr="00E25F62">
        <w:rPr>
          <w:bCs/>
          <w:iCs/>
          <w:szCs w:val="28"/>
          <w:lang w:val="nl-NL"/>
        </w:rPr>
        <w:t>năm 202</w:t>
      </w:r>
      <w:r w:rsidR="00DD79F8" w:rsidRPr="00E25F62">
        <w:rPr>
          <w:bCs/>
          <w:iCs/>
          <w:szCs w:val="28"/>
          <w:lang w:val="nl-NL"/>
        </w:rPr>
        <w:t>5 của Quốc hội</w:t>
      </w:r>
      <w:r w:rsidR="000E4BD1" w:rsidRPr="00E25F62">
        <w:rPr>
          <w:bCs/>
          <w:iCs/>
          <w:szCs w:val="28"/>
          <w:lang w:val="nl-NL"/>
        </w:rPr>
        <w:t xml:space="preserve">, </w:t>
      </w:r>
      <w:r w:rsidR="00F911B5" w:rsidRPr="00E25F62">
        <w:rPr>
          <w:rFonts w:eastAsia="Arial"/>
          <w:szCs w:val="28"/>
          <w:lang w:val="nl-NL"/>
        </w:rPr>
        <w:t xml:space="preserve">Chương trình </w:t>
      </w:r>
      <w:r w:rsidR="000E4BD1" w:rsidRPr="00E25F62">
        <w:rPr>
          <w:rFonts w:eastAsia="Arial"/>
          <w:szCs w:val="28"/>
          <w:lang w:val="nl-NL"/>
        </w:rPr>
        <w:t>Kỳ họp thứ 9, Quốc hội khóa XV</w:t>
      </w:r>
      <w:r w:rsidR="00602A45" w:rsidRPr="00E25F62">
        <w:rPr>
          <w:bCs/>
          <w:iCs/>
          <w:szCs w:val="28"/>
          <w:lang w:val="nl-NL"/>
        </w:rPr>
        <w:t xml:space="preserve"> </w:t>
      </w:r>
      <w:r w:rsidRPr="00E25F62">
        <w:rPr>
          <w:bCs/>
          <w:iCs/>
          <w:szCs w:val="28"/>
          <w:lang w:val="nl-NL"/>
        </w:rPr>
        <w:t>theo trình tự, thủ tục rút gọn</w:t>
      </w:r>
      <w:r w:rsidR="000E4BD1" w:rsidRPr="00E25F62">
        <w:rPr>
          <w:bCs/>
          <w:iCs/>
          <w:szCs w:val="28"/>
          <w:lang w:val="nl-NL"/>
        </w:rPr>
        <w:t>.</w:t>
      </w:r>
    </w:p>
    <w:p w:rsidR="000E7972" w:rsidRPr="00E25F62" w:rsidRDefault="00DB4949" w:rsidP="00602A45">
      <w:pPr>
        <w:ind w:firstLine="720"/>
        <w:jc w:val="both"/>
        <w:rPr>
          <w:rFonts w:eastAsia="Arial"/>
          <w:szCs w:val="28"/>
          <w:lang w:val="nl-NL"/>
        </w:rPr>
      </w:pPr>
      <w:r w:rsidRPr="00E25F62">
        <w:rPr>
          <w:bCs/>
          <w:iCs/>
          <w:szCs w:val="28"/>
          <w:lang w:val="nl-NL"/>
        </w:rPr>
        <w:t>Ngày   /</w:t>
      </w:r>
      <w:r w:rsidR="009A0DBE" w:rsidRPr="00E25F62">
        <w:rPr>
          <w:bCs/>
          <w:iCs/>
          <w:szCs w:val="28"/>
          <w:lang w:val="nl-NL"/>
        </w:rPr>
        <w:t xml:space="preserve">   </w:t>
      </w:r>
      <w:r w:rsidRPr="00E25F62">
        <w:rPr>
          <w:bCs/>
          <w:iCs/>
          <w:szCs w:val="28"/>
          <w:lang w:val="nl-NL"/>
        </w:rPr>
        <w:t>/202</w:t>
      </w:r>
      <w:r w:rsidR="009A0DBE" w:rsidRPr="00E25F62">
        <w:rPr>
          <w:bCs/>
          <w:iCs/>
          <w:szCs w:val="28"/>
          <w:lang w:val="nl-NL"/>
        </w:rPr>
        <w:t>5</w:t>
      </w:r>
      <w:r w:rsidRPr="00E25F62">
        <w:rPr>
          <w:bCs/>
          <w:iCs/>
          <w:szCs w:val="28"/>
          <w:lang w:val="nl-NL"/>
        </w:rPr>
        <w:t xml:space="preserve">, Bộ trưởng Bộ Tư pháp đã thừa ủy quyền Thủ tướng Chính phủ ký Tờ trình số    /TTr-CP đề nghị bổ sung Nghị quyết của Quốc hội về giảm thuế GTGT vào </w:t>
      </w:r>
      <w:r w:rsidR="001C6CD6" w:rsidRPr="00E25F62">
        <w:rPr>
          <w:bCs/>
          <w:iCs/>
          <w:szCs w:val="28"/>
          <w:lang w:val="nl-NL"/>
        </w:rPr>
        <w:t xml:space="preserve">Chương trình lập pháp năm 2025 </w:t>
      </w:r>
      <w:r w:rsidR="00E3021F" w:rsidRPr="00E25F62">
        <w:rPr>
          <w:bCs/>
          <w:iCs/>
          <w:szCs w:val="28"/>
          <w:lang w:val="nl-NL"/>
        </w:rPr>
        <w:t>của Quốc hội</w:t>
      </w:r>
      <w:r w:rsidR="000E4BD1" w:rsidRPr="00E25F62">
        <w:rPr>
          <w:bCs/>
          <w:iCs/>
          <w:szCs w:val="28"/>
          <w:lang w:val="nl-NL"/>
        </w:rPr>
        <w:t xml:space="preserve">, </w:t>
      </w:r>
      <w:r w:rsidR="000E4BD1" w:rsidRPr="00E25F62">
        <w:rPr>
          <w:rFonts w:eastAsia="Arial"/>
          <w:szCs w:val="28"/>
          <w:lang w:val="nl-NL"/>
        </w:rPr>
        <w:t>Chương trình Kỳ họp thứ 9, Quốc hội khóa XV</w:t>
      </w:r>
      <w:r w:rsidR="00E3021F" w:rsidRPr="00E25F62">
        <w:rPr>
          <w:bCs/>
          <w:iCs/>
          <w:szCs w:val="28"/>
          <w:lang w:val="nl-NL"/>
        </w:rPr>
        <w:t xml:space="preserve"> theo trình tự, thủ tục rút gọn, </w:t>
      </w:r>
      <w:r w:rsidR="000E7972" w:rsidRPr="00E25F62">
        <w:rPr>
          <w:rFonts w:eastAsia="Arial"/>
          <w:szCs w:val="28"/>
          <w:lang w:val="nl-NL"/>
        </w:rPr>
        <w:t>theo quy định của Luật Ban hành VBQPPL.</w:t>
      </w:r>
    </w:p>
    <w:p w:rsidR="00FA1455" w:rsidRPr="00E25F62" w:rsidRDefault="00DB4949" w:rsidP="00DB4949">
      <w:pPr>
        <w:widowControl w:val="0"/>
        <w:spacing w:before="80" w:after="80"/>
        <w:ind w:firstLine="720"/>
        <w:jc w:val="both"/>
        <w:rPr>
          <w:szCs w:val="28"/>
          <w:lang w:val="nl-NL"/>
        </w:rPr>
      </w:pPr>
      <w:r w:rsidRPr="00E25F62">
        <w:rPr>
          <w:bCs/>
          <w:iCs/>
          <w:color w:val="000000"/>
          <w:lang w:val="nl-NL"/>
        </w:rPr>
        <w:t>Ngày    /</w:t>
      </w:r>
      <w:r w:rsidR="000E7972" w:rsidRPr="00E25F62">
        <w:rPr>
          <w:bCs/>
          <w:iCs/>
          <w:color w:val="000000"/>
          <w:lang w:val="nl-NL"/>
        </w:rPr>
        <w:t xml:space="preserve">   </w:t>
      </w:r>
      <w:r w:rsidRPr="00E25F62">
        <w:rPr>
          <w:bCs/>
          <w:iCs/>
          <w:color w:val="000000"/>
          <w:lang w:val="nl-NL"/>
        </w:rPr>
        <w:t>/202</w:t>
      </w:r>
      <w:r w:rsidR="000E7972" w:rsidRPr="00E25F62">
        <w:rPr>
          <w:bCs/>
          <w:iCs/>
          <w:color w:val="000000"/>
          <w:lang w:val="nl-NL"/>
        </w:rPr>
        <w:t>5</w:t>
      </w:r>
      <w:r w:rsidRPr="00E25F62">
        <w:rPr>
          <w:bCs/>
          <w:iCs/>
          <w:color w:val="000000"/>
          <w:lang w:val="nl-NL"/>
        </w:rPr>
        <w:t>,  Bộ Tài chính đã có công văn số .../BTC-CST gửi xin ý kiến các Bộ, ngành, địa phương,</w:t>
      </w:r>
      <w:r w:rsidRPr="00E25F62">
        <w:rPr>
          <w:lang w:val="nl-NL"/>
        </w:rPr>
        <w:t xml:space="preserve"> </w:t>
      </w:r>
      <w:r w:rsidRPr="00E25F62">
        <w:rPr>
          <w:lang w:val="en-US"/>
        </w:rPr>
        <w:t xml:space="preserve">Ủy ban trung ương </w:t>
      </w:r>
      <w:r w:rsidRPr="00E25F62">
        <w:rPr>
          <w:lang w:val="pt-BR"/>
        </w:rPr>
        <w:t>Mặt trận Tổ quốc Việt Nam,</w:t>
      </w:r>
      <w:r w:rsidRPr="00E25F62">
        <w:rPr>
          <w:lang w:val="nl-NL"/>
        </w:rPr>
        <w:t xml:space="preserve"> Liên đoàn Thương mại và Công nghiệp Việt Nam và đăng dự thảo trên Cổng thông tin điện tử của Chính phủ, của Bộ Tài chính </w:t>
      </w:r>
      <w:r w:rsidRPr="00E25F62">
        <w:rPr>
          <w:szCs w:val="28"/>
          <w:lang w:val="nl-NL"/>
        </w:rPr>
        <w:t>để xin ý kiến rộng rãi của các tổ chức, cá nhân</w:t>
      </w:r>
      <w:r w:rsidRPr="00E25F62">
        <w:rPr>
          <w:bCs/>
          <w:iCs/>
          <w:color w:val="000000"/>
          <w:lang w:val="nl-NL"/>
        </w:rPr>
        <w:t xml:space="preserve"> về d</w:t>
      </w:r>
      <w:r w:rsidRPr="00E25F62">
        <w:rPr>
          <w:szCs w:val="28"/>
          <w:lang w:val="sv-SE"/>
        </w:rPr>
        <w:t xml:space="preserve">ự án </w:t>
      </w:r>
      <w:r w:rsidRPr="00E25F62">
        <w:rPr>
          <w:szCs w:val="28"/>
          <w:lang w:val="nl-NL"/>
        </w:rPr>
        <w:t>Nghị quyết</w:t>
      </w:r>
      <w:r w:rsidR="00FA1455" w:rsidRPr="00E25F62">
        <w:rPr>
          <w:szCs w:val="28"/>
          <w:lang w:val="nl-NL"/>
        </w:rPr>
        <w:t>.</w:t>
      </w:r>
    </w:p>
    <w:p w:rsidR="00DB4949" w:rsidRDefault="00DB4949" w:rsidP="00DB4949">
      <w:pPr>
        <w:widowControl w:val="0"/>
        <w:ind w:firstLine="720"/>
        <w:jc w:val="both"/>
        <w:rPr>
          <w:lang w:val="nl-NL"/>
        </w:rPr>
      </w:pPr>
      <w:r w:rsidRPr="00E25F62">
        <w:rPr>
          <w:bCs/>
          <w:iCs/>
          <w:color w:val="000000"/>
          <w:lang w:val="nl-NL"/>
        </w:rPr>
        <w:t xml:space="preserve">Ngày </w:t>
      </w:r>
      <w:r w:rsidR="00F911B5" w:rsidRPr="00E25F62">
        <w:rPr>
          <w:bCs/>
          <w:iCs/>
          <w:color w:val="000000"/>
          <w:lang w:val="nl-NL"/>
        </w:rPr>
        <w:t xml:space="preserve">  </w:t>
      </w:r>
      <w:r w:rsidRPr="00E25F62">
        <w:rPr>
          <w:bCs/>
          <w:iCs/>
          <w:color w:val="000000"/>
          <w:lang w:val="nl-NL"/>
        </w:rPr>
        <w:t>/</w:t>
      </w:r>
      <w:r w:rsidR="000E7972" w:rsidRPr="00E25F62">
        <w:rPr>
          <w:bCs/>
          <w:iCs/>
          <w:color w:val="000000"/>
          <w:lang w:val="nl-NL"/>
        </w:rPr>
        <w:t xml:space="preserve">  </w:t>
      </w:r>
      <w:r w:rsidRPr="00E25F62">
        <w:rPr>
          <w:bCs/>
          <w:iCs/>
          <w:color w:val="000000"/>
          <w:lang w:val="nl-NL"/>
        </w:rPr>
        <w:t>/202</w:t>
      </w:r>
      <w:r w:rsidR="000E7972" w:rsidRPr="00E25F62">
        <w:rPr>
          <w:bCs/>
          <w:iCs/>
          <w:color w:val="000000"/>
          <w:lang w:val="nl-NL"/>
        </w:rPr>
        <w:t>5</w:t>
      </w:r>
      <w:r w:rsidRPr="00E25F62">
        <w:rPr>
          <w:bCs/>
          <w:iCs/>
          <w:color w:val="000000"/>
          <w:lang w:val="nl-NL"/>
        </w:rPr>
        <w:t>, Bộ Tài chính đã có công văn số .../BTC</w:t>
      </w:r>
      <w:r>
        <w:rPr>
          <w:bCs/>
          <w:iCs/>
          <w:color w:val="000000"/>
          <w:lang w:val="nl-NL"/>
        </w:rPr>
        <w:t xml:space="preserve">-CST </w:t>
      </w:r>
      <w:r w:rsidRPr="00EE15ED">
        <w:rPr>
          <w:lang w:val="nl-NL"/>
        </w:rPr>
        <w:t xml:space="preserve">gửi Bộ Tư pháp </w:t>
      </w:r>
      <w:r w:rsidRPr="00EE15ED">
        <w:rPr>
          <w:bCs/>
          <w:color w:val="000000"/>
          <w:shd w:val="clear" w:color="auto" w:fill="FFFFFF"/>
          <w:lang w:val="nl-NL"/>
        </w:rPr>
        <w:t xml:space="preserve">xin ý kiến thẩm định về </w:t>
      </w:r>
      <w:r w:rsidRPr="00EE15ED">
        <w:rPr>
          <w:lang w:val="nl-NL"/>
        </w:rPr>
        <w:t>dự án</w:t>
      </w:r>
      <w:r w:rsidRPr="00F6486A">
        <w:rPr>
          <w:bCs/>
          <w:iCs/>
          <w:color w:val="000000"/>
          <w:lang w:val="nl-NL"/>
        </w:rPr>
        <w:t xml:space="preserve"> Nghị quyết</w:t>
      </w:r>
      <w:r>
        <w:rPr>
          <w:bCs/>
          <w:iCs/>
          <w:color w:val="000000"/>
          <w:lang w:val="nl-NL"/>
        </w:rPr>
        <w:t xml:space="preserve">. </w:t>
      </w:r>
      <w:r w:rsidRPr="00EE15ED">
        <w:rPr>
          <w:szCs w:val="28"/>
          <w:lang w:val="nl-NL"/>
        </w:rPr>
        <w:t xml:space="preserve">Bộ Tư pháp </w:t>
      </w:r>
      <w:r>
        <w:rPr>
          <w:szCs w:val="28"/>
          <w:lang w:val="nl-NL"/>
        </w:rPr>
        <w:t xml:space="preserve">đã </w:t>
      </w:r>
      <w:r w:rsidRPr="00EE15ED">
        <w:rPr>
          <w:szCs w:val="28"/>
          <w:lang w:val="nl-NL"/>
        </w:rPr>
        <w:t xml:space="preserve">có </w:t>
      </w:r>
      <w:r w:rsidRPr="00EE15ED">
        <w:rPr>
          <w:lang w:val="nl-NL"/>
        </w:rPr>
        <w:t xml:space="preserve">Báo cáo thẩm định </w:t>
      </w:r>
      <w:r>
        <w:rPr>
          <w:lang w:val="nl-NL"/>
        </w:rPr>
        <w:t xml:space="preserve">về </w:t>
      </w:r>
      <w:r w:rsidRPr="00EE15ED">
        <w:rPr>
          <w:lang w:val="nl-NL"/>
        </w:rPr>
        <w:t>dự án Nghị quyết</w:t>
      </w:r>
      <w:r>
        <w:rPr>
          <w:lang w:val="nl-NL"/>
        </w:rPr>
        <w:t xml:space="preserve"> và </w:t>
      </w:r>
      <w:r w:rsidRPr="00BF6A45">
        <w:rPr>
          <w:rFonts w:eastAsia="Times New Roman"/>
          <w:bCs/>
          <w:iCs/>
          <w:szCs w:val="28"/>
          <w:lang w:val="pt-BR"/>
        </w:rPr>
        <w:t>Bộ Tài chính đã nghiên cứu, giải trình, tiếp thu ý kiến thẩm định của Bộ Tư pháp</w:t>
      </w:r>
      <w:r>
        <w:rPr>
          <w:rFonts w:eastAsia="Times New Roman"/>
          <w:bCs/>
          <w:iCs/>
          <w:szCs w:val="28"/>
          <w:lang w:val="pt-BR"/>
        </w:rPr>
        <w:t xml:space="preserve"> và hoàn thiện hồ sơ dự án Nghị quyết.</w:t>
      </w:r>
    </w:p>
    <w:p w:rsidR="00DB4949" w:rsidRDefault="00DB4949" w:rsidP="00DB4949">
      <w:pPr>
        <w:ind w:firstLine="720"/>
        <w:jc w:val="both"/>
        <w:rPr>
          <w:b/>
          <w:bCs/>
          <w:szCs w:val="28"/>
          <w:lang w:val="nb-NO"/>
        </w:rPr>
      </w:pPr>
      <w:r w:rsidRPr="005C0198">
        <w:rPr>
          <w:b/>
          <w:bCs/>
          <w:iCs/>
          <w:szCs w:val="28"/>
          <w:lang w:val="sv-SE"/>
        </w:rPr>
        <w:lastRenderedPageBreak/>
        <w:t>V.</w:t>
      </w:r>
      <w:r w:rsidRPr="005C0198">
        <w:rPr>
          <w:bCs/>
          <w:iCs/>
          <w:szCs w:val="28"/>
          <w:lang w:val="sv-SE"/>
        </w:rPr>
        <w:t xml:space="preserve"> </w:t>
      </w:r>
      <w:r w:rsidRPr="005C0198">
        <w:rPr>
          <w:b/>
          <w:bCs/>
          <w:szCs w:val="28"/>
          <w:lang w:val="nl-NL"/>
        </w:rPr>
        <w:t xml:space="preserve">BỐ CỤC VÀ </w:t>
      </w:r>
      <w:r w:rsidRPr="005C0198">
        <w:rPr>
          <w:b/>
          <w:bCs/>
          <w:szCs w:val="28"/>
        </w:rPr>
        <w:t>NỘI</w:t>
      </w:r>
      <w:r w:rsidRPr="005C0198">
        <w:rPr>
          <w:b/>
          <w:bCs/>
          <w:szCs w:val="28"/>
          <w:lang w:val="nl-NL"/>
        </w:rPr>
        <w:t xml:space="preserve"> </w:t>
      </w:r>
      <w:r w:rsidRPr="005C0198">
        <w:rPr>
          <w:b/>
          <w:bCs/>
          <w:szCs w:val="28"/>
        </w:rPr>
        <w:t xml:space="preserve">DUNG </w:t>
      </w:r>
      <w:r w:rsidR="0089022B">
        <w:rPr>
          <w:b/>
          <w:bCs/>
          <w:szCs w:val="28"/>
          <w:lang w:val="en-US"/>
        </w:rPr>
        <w:t xml:space="preserve">CƠ BẢN </w:t>
      </w:r>
      <w:r w:rsidRPr="005C0198">
        <w:rPr>
          <w:b/>
          <w:bCs/>
          <w:szCs w:val="28"/>
        </w:rPr>
        <w:t>CỦA DỰ THẢO</w:t>
      </w:r>
      <w:r w:rsidRPr="005C0198">
        <w:rPr>
          <w:b/>
          <w:bCs/>
          <w:szCs w:val="28"/>
          <w:lang w:val="nb-NO"/>
        </w:rPr>
        <w:t xml:space="preserve"> NGHỊ QUYẾT</w:t>
      </w:r>
    </w:p>
    <w:p w:rsidR="00E0455E" w:rsidRPr="00E0455E" w:rsidRDefault="00E0455E" w:rsidP="00E0455E">
      <w:pPr>
        <w:ind w:firstLine="720"/>
        <w:jc w:val="both"/>
        <w:rPr>
          <w:bCs/>
          <w:iCs/>
          <w:szCs w:val="28"/>
          <w:lang w:val="pt-BR"/>
        </w:rPr>
      </w:pPr>
      <w:r w:rsidRPr="00E0455E">
        <w:rPr>
          <w:bCs/>
          <w:iCs/>
          <w:szCs w:val="28"/>
          <w:lang w:val="pt-BR"/>
        </w:rPr>
        <w:t xml:space="preserve">Luật thuế GTGT hiện hành quy định 02 mức thuế suất thuế GTGT 5% và 10% (không kể mức 0% áp dụng đối với hàng hóa, dịch vụ xuất khẩu; đối tượng không chịu thuế GTGT). Số thuế phải nộp = số thuế GTGT đầu ra - số thuế GTGT đầu vào. Hàng hóa, dịch vụ mua vào của cơ sở kinh doanh có loại áp dụng thuế suất 10%, 5% hoặc không chịu thuế GTGT. Do vậy, đối với hàng hóa, dịch vụ thuộc đối tượng chịu thuế GTGT 5% thì cơ bản số thuế GTGT đầu ra nhỏ hơn số thuế GTGT đầu vào nên cơ sở kinh doanh thường không phát sinh số thuế GTGT phải nộp. </w:t>
      </w:r>
      <w:r w:rsidR="00945EF5" w:rsidRPr="00945EF5">
        <w:rPr>
          <w:bCs/>
          <w:iCs/>
          <w:szCs w:val="28"/>
          <w:lang w:val="pt-BR"/>
        </w:rPr>
        <w:t xml:space="preserve">Ngoài ra, kể từ ngày Luật Thuế GTGT số 48/2024/QH15 ngày 26/11/2025 có hiệu lực (từ ngày 01/7/2025) thì </w:t>
      </w:r>
      <w:r w:rsidR="00945EF5" w:rsidRPr="00945EF5">
        <w:rPr>
          <w:bCs/>
          <w:iCs/>
          <w:szCs w:val="28"/>
          <w:lang w:val="sv-SE"/>
        </w:rPr>
        <w:t>cơ sở kinh doanh chỉ sản xuất hàng hóa, cung cấp dịch vụ chịu thuế suất thuế GTGT 5% nếu có số thuế GTGT đầu vào chưa được khấu trừ hết từ 300 triệu đồng trở lên sau 12 tháng liên tục hoặc 04 quý liên tục thì được hoàn thuế GTGT.</w:t>
      </w:r>
      <w:r w:rsidR="00945EF5" w:rsidRPr="00945EF5">
        <w:rPr>
          <w:bCs/>
          <w:iCs/>
          <w:szCs w:val="28"/>
          <w:lang w:val="pt-BR"/>
        </w:rPr>
        <w:t xml:space="preserve"> Đối với hàng hóa, dịch vụ thuộc đối tượng chịu thuế GTGT 10% thì sẽ phát sinh số thuế GTGT phải nộp (thuế GTGT đầu ra lớn hơn thuế GTGT đầu vào).</w:t>
      </w:r>
    </w:p>
    <w:p w:rsidR="00810324" w:rsidRDefault="00E0455E" w:rsidP="00E0455E">
      <w:pPr>
        <w:ind w:firstLine="720"/>
        <w:jc w:val="both"/>
        <w:rPr>
          <w:bCs/>
          <w:iCs/>
          <w:szCs w:val="28"/>
          <w:lang w:val="pt-BR"/>
        </w:rPr>
      </w:pPr>
      <w:r w:rsidRPr="00E0455E">
        <w:rPr>
          <w:bCs/>
          <w:iCs/>
          <w:szCs w:val="28"/>
          <w:lang w:val="pt-BR"/>
        </w:rPr>
        <w:t xml:space="preserve">Trên cơ sở chính sách giảm 2% đã được thực hiện ổn định trong giai đoạn </w:t>
      </w:r>
      <w:r>
        <w:rPr>
          <w:bCs/>
          <w:iCs/>
          <w:szCs w:val="28"/>
          <w:lang w:val="pt-BR"/>
        </w:rPr>
        <w:t xml:space="preserve">từ năm </w:t>
      </w:r>
      <w:r w:rsidRPr="00E0455E">
        <w:rPr>
          <w:bCs/>
          <w:iCs/>
          <w:szCs w:val="28"/>
          <w:lang w:val="pt-BR"/>
        </w:rPr>
        <w:t>2022</w:t>
      </w:r>
      <w:r>
        <w:rPr>
          <w:bCs/>
          <w:iCs/>
          <w:szCs w:val="28"/>
          <w:lang w:val="pt-BR"/>
        </w:rPr>
        <w:t xml:space="preserve"> đến nay</w:t>
      </w:r>
      <w:r w:rsidRPr="00E0455E">
        <w:rPr>
          <w:bCs/>
          <w:iCs/>
          <w:szCs w:val="28"/>
          <w:lang w:val="pt-BR"/>
        </w:rPr>
        <w:t xml:space="preserve"> theo Nghị quyết số 43/2022/QH15, Nghị quyết số 101/2023/QH15, </w:t>
      </w:r>
      <w:r w:rsidRPr="00E0455E">
        <w:rPr>
          <w:bCs/>
          <w:iCs/>
          <w:szCs w:val="28"/>
          <w:lang w:val="nl-NL"/>
        </w:rPr>
        <w:t>Nghị quyết số 110/2023/QH15, Nghị quyết số 142/2024/QH15,</w:t>
      </w:r>
      <w:r w:rsidRPr="00E0455E">
        <w:rPr>
          <w:bCs/>
          <w:iCs/>
          <w:szCs w:val="28"/>
          <w:lang w:val="pt-BR"/>
        </w:rPr>
        <w:t xml:space="preserve"> </w:t>
      </w:r>
      <w:r>
        <w:rPr>
          <w:bCs/>
          <w:iCs/>
          <w:szCs w:val="28"/>
          <w:lang w:val="pt-BR"/>
        </w:rPr>
        <w:t xml:space="preserve">Nghị quyết số 174/2024/QH15, đồng thời bảo đảm đạt mục tiêu </w:t>
      </w:r>
      <w:r w:rsidRPr="007F3A87">
        <w:rPr>
          <w:bCs/>
          <w:iCs/>
          <w:szCs w:val="28"/>
          <w:lang w:val="nl-NL"/>
        </w:rPr>
        <w:t xml:space="preserve">thúc đẩy hoạt động sản xuất kinh doanh, du lịch, tiêu dùng trong nước </w:t>
      </w:r>
      <w:r>
        <w:rPr>
          <w:szCs w:val="28"/>
          <w:lang w:val="pt-BR"/>
        </w:rPr>
        <w:t>và</w:t>
      </w:r>
      <w:r w:rsidRPr="00A30E4D">
        <w:rPr>
          <w:bCs/>
          <w:iCs/>
          <w:color w:val="000000"/>
          <w:lang w:val="nl-NL"/>
        </w:rPr>
        <w:t xml:space="preserve"> mục tiêu tăng trưởng cả nước năm 2025 đạt 8% trở lên</w:t>
      </w:r>
      <w:r>
        <w:rPr>
          <w:bCs/>
          <w:iCs/>
          <w:color w:val="000000"/>
          <w:lang w:val="nl-NL"/>
        </w:rPr>
        <w:t>,</w:t>
      </w:r>
      <w:r>
        <w:rPr>
          <w:bCs/>
          <w:iCs/>
          <w:szCs w:val="28"/>
          <w:lang w:val="pt-BR"/>
        </w:rPr>
        <w:t xml:space="preserve"> </w:t>
      </w:r>
      <w:r w:rsidRPr="00E0455E">
        <w:rPr>
          <w:bCs/>
          <w:iCs/>
          <w:szCs w:val="28"/>
          <w:lang w:val="pt-BR"/>
        </w:rPr>
        <w:t xml:space="preserve">đề xuất </w:t>
      </w:r>
      <w:r w:rsidRPr="00E0455E">
        <w:rPr>
          <w:bCs/>
          <w:iCs/>
          <w:szCs w:val="28"/>
          <w:lang w:val="nl-NL"/>
        </w:rPr>
        <w:t xml:space="preserve">thực hiện chính sách giảm </w:t>
      </w:r>
      <w:r w:rsidRPr="00E0455E">
        <w:rPr>
          <w:szCs w:val="28"/>
          <w:lang w:val="pt-BR"/>
        </w:rPr>
        <w:t xml:space="preserve">2% </w:t>
      </w:r>
      <w:r w:rsidRPr="00E0455E">
        <w:rPr>
          <w:bCs/>
          <w:iCs/>
          <w:szCs w:val="28"/>
          <w:lang w:val="pt-BR"/>
        </w:rPr>
        <w:t xml:space="preserve">thuế </w:t>
      </w:r>
      <w:r w:rsidRPr="00E0455E">
        <w:rPr>
          <w:bCs/>
          <w:iCs/>
          <w:szCs w:val="28"/>
          <w:lang w:val="nl-NL"/>
        </w:rPr>
        <w:t xml:space="preserve">suất thuế </w:t>
      </w:r>
      <w:r w:rsidRPr="00E0455E">
        <w:rPr>
          <w:bCs/>
          <w:iCs/>
          <w:szCs w:val="28"/>
          <w:lang w:val="pt-BR"/>
        </w:rPr>
        <w:t xml:space="preserve">GTGT </w:t>
      </w:r>
      <w:r w:rsidR="00662647">
        <w:rPr>
          <w:bCs/>
          <w:iCs/>
          <w:szCs w:val="28"/>
          <w:lang w:val="pt-BR"/>
        </w:rPr>
        <w:t xml:space="preserve">theo hướng mở rộng đối tượng được giảm thuế GTGT 2% so với </w:t>
      </w:r>
      <w:r w:rsidR="00662647" w:rsidRPr="00E0455E">
        <w:rPr>
          <w:bCs/>
          <w:iCs/>
          <w:szCs w:val="28"/>
          <w:lang w:val="pt-BR"/>
        </w:rPr>
        <w:t>Nghị quyết số 43/2022/QH15</w:t>
      </w:r>
      <w:r w:rsidR="00662647">
        <w:rPr>
          <w:bCs/>
          <w:iCs/>
          <w:szCs w:val="28"/>
          <w:lang w:val="pt-BR"/>
        </w:rPr>
        <w:t xml:space="preserve"> </w:t>
      </w:r>
      <w:r w:rsidR="00945EF5">
        <w:rPr>
          <w:bCs/>
          <w:iCs/>
          <w:szCs w:val="28"/>
          <w:lang w:val="pt-BR"/>
        </w:rPr>
        <w:t xml:space="preserve">theo nguyên tắc và nội dung đã rà soát để giảm thuế tại mục III </w:t>
      </w:r>
      <w:r>
        <w:rPr>
          <w:bCs/>
          <w:iCs/>
          <w:szCs w:val="28"/>
          <w:lang w:val="pt-BR"/>
        </w:rPr>
        <w:t>như sau</w:t>
      </w:r>
      <w:r w:rsidRPr="00E0455E">
        <w:rPr>
          <w:bCs/>
          <w:iCs/>
          <w:szCs w:val="28"/>
          <w:lang w:val="pt-BR"/>
        </w:rPr>
        <w:t xml:space="preserve">: </w:t>
      </w:r>
    </w:p>
    <w:p w:rsidR="00E0455E" w:rsidRPr="00E733D1" w:rsidRDefault="00810324" w:rsidP="00E0455E">
      <w:pPr>
        <w:ind w:firstLine="720"/>
        <w:jc w:val="both"/>
        <w:rPr>
          <w:szCs w:val="28"/>
          <w:lang w:val="pt-BR"/>
        </w:rPr>
      </w:pPr>
      <w:r w:rsidRPr="00E733D1">
        <w:rPr>
          <w:bCs/>
          <w:iCs/>
          <w:szCs w:val="28"/>
          <w:lang w:val="pt-BR"/>
        </w:rPr>
        <w:t>“</w:t>
      </w:r>
      <w:r w:rsidR="00E0455E" w:rsidRPr="00E733D1">
        <w:rPr>
          <w:bCs/>
          <w:iCs/>
          <w:szCs w:val="28"/>
          <w:lang w:val="pt-BR"/>
        </w:rPr>
        <w:t>Giảm 2% thuế suất thuế GTGT đối với các nhóm hàng hóa, dịch vụ đang áp dụng mức thuế suất 10% (còn 8%)</w:t>
      </w:r>
      <w:r w:rsidR="00E0455E" w:rsidRPr="00E733D1">
        <w:rPr>
          <w:bCs/>
          <w:iCs/>
          <w:szCs w:val="28"/>
          <w:lang w:val="nl-NL"/>
        </w:rPr>
        <w:t xml:space="preserve">, </w:t>
      </w:r>
      <w:r w:rsidR="00E0455E" w:rsidRPr="00E733D1">
        <w:rPr>
          <w:bCs/>
          <w:iCs/>
          <w:szCs w:val="28"/>
          <w:lang w:val="pt-BR"/>
        </w:rPr>
        <w:t>trừ một số nhóm hàng hóa, dịch vụ sau:</w:t>
      </w:r>
      <w:r w:rsidR="00E0455E" w:rsidRPr="00E733D1">
        <w:rPr>
          <w:bCs/>
          <w:iCs/>
          <w:szCs w:val="28"/>
        </w:rPr>
        <w:t xml:space="preserve"> </w:t>
      </w:r>
      <w:r w:rsidR="00E0455E" w:rsidRPr="00E733D1">
        <w:rPr>
          <w:szCs w:val="28"/>
          <w:lang w:val="pt-BR"/>
        </w:rPr>
        <w:t xml:space="preserve">Viễn thông, hoạt động tài chính, ngân hàng, chứng khoán, bảo hiểm, kinh doanh bất động sản, </w:t>
      </w:r>
      <w:r w:rsidR="00FA1455" w:rsidRPr="00E733D1">
        <w:rPr>
          <w:szCs w:val="28"/>
          <w:lang w:val="pt-BR"/>
        </w:rPr>
        <w:t xml:space="preserve">sản phẩm </w:t>
      </w:r>
      <w:r w:rsidR="00E0455E" w:rsidRPr="00E733D1">
        <w:rPr>
          <w:szCs w:val="28"/>
          <w:lang w:val="pt-BR"/>
        </w:rPr>
        <w:t>kim loại, sản phẩm khai khoáng (</w:t>
      </w:r>
      <w:r w:rsidR="00572715" w:rsidRPr="00E733D1">
        <w:rPr>
          <w:szCs w:val="28"/>
          <w:lang w:val="pt-BR"/>
        </w:rPr>
        <w:t>trừ</w:t>
      </w:r>
      <w:r w:rsidR="00E0455E" w:rsidRPr="00E733D1">
        <w:rPr>
          <w:szCs w:val="28"/>
          <w:lang w:val="pt-BR"/>
        </w:rPr>
        <w:t xml:space="preserve"> than), sản phẩm hàng hóa và dịch vụ chịu thuế tiêu thụ đặc biệt</w:t>
      </w:r>
      <w:r w:rsidR="00662647" w:rsidRPr="00E733D1">
        <w:rPr>
          <w:szCs w:val="28"/>
          <w:lang w:val="pt-BR"/>
        </w:rPr>
        <w:t xml:space="preserve"> (trừ xăng)</w:t>
      </w:r>
      <w:r w:rsidRPr="00E733D1">
        <w:rPr>
          <w:szCs w:val="28"/>
          <w:lang w:val="pt-BR"/>
        </w:rPr>
        <w:t>”</w:t>
      </w:r>
      <w:r w:rsidR="00E0455E" w:rsidRPr="00E733D1">
        <w:rPr>
          <w:szCs w:val="28"/>
          <w:lang w:val="pt-BR"/>
        </w:rPr>
        <w:t>.</w:t>
      </w:r>
    </w:p>
    <w:p w:rsidR="00E0455E" w:rsidRPr="00E733D1" w:rsidRDefault="00E0455E" w:rsidP="00E0455E">
      <w:pPr>
        <w:ind w:firstLine="720"/>
        <w:jc w:val="both"/>
        <w:rPr>
          <w:bCs/>
          <w:iCs/>
          <w:szCs w:val="28"/>
          <w:lang w:val="nl-NL"/>
        </w:rPr>
      </w:pPr>
      <w:proofErr w:type="gramStart"/>
      <w:r w:rsidRPr="00E733D1">
        <w:rPr>
          <w:bCs/>
          <w:iCs/>
          <w:szCs w:val="28"/>
          <w:lang w:val="en-US"/>
        </w:rPr>
        <w:t xml:space="preserve">Đồng thời giao Chính phủ </w:t>
      </w:r>
      <w:r w:rsidRPr="00E733D1">
        <w:rPr>
          <w:bCs/>
          <w:iCs/>
          <w:szCs w:val="28"/>
          <w:lang w:val="nl-NL"/>
        </w:rPr>
        <w:t>hướng dẫn việc giảm thuế suất thuế GTGT và tổ chức triển khai thực hiện chính sách này bảo đảm công khai minh bạch, hiệu quả.</w:t>
      </w:r>
      <w:proofErr w:type="gramEnd"/>
    </w:p>
    <w:p w:rsidR="00E0455E" w:rsidRPr="00E733D1" w:rsidRDefault="00E0455E" w:rsidP="00E0455E">
      <w:pPr>
        <w:ind w:firstLine="720"/>
        <w:jc w:val="both"/>
        <w:rPr>
          <w:bCs/>
          <w:iCs/>
          <w:szCs w:val="28"/>
          <w:lang w:val="pt-BR"/>
        </w:rPr>
      </w:pPr>
      <w:r w:rsidRPr="00E733D1">
        <w:rPr>
          <w:bCs/>
          <w:i/>
          <w:iCs/>
          <w:szCs w:val="28"/>
        </w:rPr>
        <w:t>- Về thời gian áp dụng:</w:t>
      </w:r>
      <w:r w:rsidRPr="00E733D1">
        <w:rPr>
          <w:bCs/>
          <w:iCs/>
          <w:szCs w:val="28"/>
        </w:rPr>
        <w:t xml:space="preserve"> </w:t>
      </w:r>
      <w:r w:rsidRPr="00E733D1">
        <w:rPr>
          <w:bCs/>
          <w:iCs/>
          <w:szCs w:val="28"/>
          <w:lang w:val="pt-BR"/>
        </w:rPr>
        <w:t>Từ ngày 01/</w:t>
      </w:r>
      <w:r w:rsidR="00662647" w:rsidRPr="00E733D1">
        <w:rPr>
          <w:bCs/>
          <w:iCs/>
          <w:szCs w:val="28"/>
          <w:lang w:val="pt-BR"/>
        </w:rPr>
        <w:t>7</w:t>
      </w:r>
      <w:r w:rsidRPr="00E733D1">
        <w:rPr>
          <w:bCs/>
          <w:iCs/>
          <w:szCs w:val="28"/>
          <w:lang w:val="pt-BR"/>
        </w:rPr>
        <w:t xml:space="preserve">/2025 đến hết ngày </w:t>
      </w:r>
      <w:r w:rsidR="00662647" w:rsidRPr="00E733D1">
        <w:rPr>
          <w:bCs/>
          <w:iCs/>
          <w:szCs w:val="28"/>
          <w:lang w:val="pt-BR"/>
        </w:rPr>
        <w:t>31</w:t>
      </w:r>
      <w:r w:rsidRPr="00E733D1">
        <w:rPr>
          <w:bCs/>
          <w:iCs/>
          <w:szCs w:val="28"/>
          <w:lang w:val="pt-BR"/>
        </w:rPr>
        <w:t>/</w:t>
      </w:r>
      <w:r w:rsidR="00662647" w:rsidRPr="00E733D1">
        <w:rPr>
          <w:bCs/>
          <w:iCs/>
          <w:szCs w:val="28"/>
          <w:lang w:val="pt-BR"/>
        </w:rPr>
        <w:t>12</w:t>
      </w:r>
      <w:r w:rsidRPr="00E733D1">
        <w:rPr>
          <w:bCs/>
          <w:iCs/>
          <w:szCs w:val="28"/>
          <w:lang w:val="pt-BR"/>
        </w:rPr>
        <w:t>/202</w:t>
      </w:r>
      <w:r w:rsidR="009718E5" w:rsidRPr="00E733D1">
        <w:rPr>
          <w:bCs/>
          <w:iCs/>
          <w:szCs w:val="28"/>
          <w:lang w:val="pt-BR"/>
        </w:rPr>
        <w:t>6</w:t>
      </w:r>
      <w:r w:rsidRPr="00E733D1">
        <w:rPr>
          <w:bCs/>
          <w:iCs/>
          <w:szCs w:val="28"/>
          <w:lang w:val="pt-BR"/>
        </w:rPr>
        <w:t>.</w:t>
      </w:r>
    </w:p>
    <w:p w:rsidR="00E0455E" w:rsidRPr="00E733D1" w:rsidRDefault="00E0455E" w:rsidP="00E0455E">
      <w:pPr>
        <w:ind w:firstLine="720"/>
        <w:jc w:val="both"/>
        <w:rPr>
          <w:szCs w:val="28"/>
          <w:lang w:val="pt-BR"/>
        </w:rPr>
      </w:pPr>
      <w:r w:rsidRPr="00E733D1">
        <w:rPr>
          <w:bCs/>
          <w:i/>
          <w:iCs/>
          <w:szCs w:val="28"/>
          <w:lang w:val="sv-SE"/>
        </w:rPr>
        <w:t xml:space="preserve">- </w:t>
      </w:r>
      <w:r w:rsidR="00DA1CDB" w:rsidRPr="00E733D1">
        <w:rPr>
          <w:bCs/>
          <w:i/>
          <w:iCs/>
          <w:szCs w:val="28"/>
          <w:lang w:val="sv-SE"/>
        </w:rPr>
        <w:t>Về h</w:t>
      </w:r>
      <w:r w:rsidRPr="00E733D1">
        <w:rPr>
          <w:bCs/>
          <w:i/>
          <w:iCs/>
          <w:szCs w:val="28"/>
          <w:lang w:val="sv-SE"/>
        </w:rPr>
        <w:t>ình thức thực hiện:</w:t>
      </w:r>
      <w:r w:rsidRPr="00E733D1">
        <w:rPr>
          <w:bCs/>
          <w:iCs/>
          <w:szCs w:val="28"/>
          <w:lang w:val="sv-SE"/>
        </w:rPr>
        <w:t xml:space="preserve"> </w:t>
      </w:r>
      <w:r w:rsidRPr="00E733D1">
        <w:rPr>
          <w:szCs w:val="28"/>
          <w:lang w:val="pt-BR"/>
        </w:rPr>
        <w:t xml:space="preserve">Nghị quyết của Quốc hội. </w:t>
      </w:r>
    </w:p>
    <w:p w:rsidR="000E7972" w:rsidRPr="00E733D1" w:rsidRDefault="000E7972" w:rsidP="000E7972">
      <w:pPr>
        <w:ind w:firstLine="720"/>
        <w:jc w:val="both"/>
        <w:rPr>
          <w:b/>
          <w:bCs/>
          <w:iCs/>
          <w:szCs w:val="28"/>
          <w:lang w:val="nl-NL"/>
        </w:rPr>
      </w:pPr>
      <w:r w:rsidRPr="00E733D1">
        <w:rPr>
          <w:b/>
          <w:bCs/>
          <w:iCs/>
          <w:szCs w:val="28"/>
          <w:lang w:val="nl-NL"/>
        </w:rPr>
        <w:t xml:space="preserve">1. Bố cục </w:t>
      </w:r>
    </w:p>
    <w:p w:rsidR="000E7972" w:rsidRPr="00E733D1" w:rsidRDefault="000E7972" w:rsidP="000E7972">
      <w:pPr>
        <w:ind w:firstLine="720"/>
        <w:jc w:val="both"/>
        <w:rPr>
          <w:bCs/>
          <w:iCs/>
          <w:szCs w:val="28"/>
          <w:lang w:val="nl-NL"/>
        </w:rPr>
      </w:pPr>
      <w:r w:rsidRPr="00E733D1">
        <w:rPr>
          <w:bCs/>
          <w:iCs/>
          <w:szCs w:val="28"/>
          <w:lang w:val="nl-NL"/>
        </w:rPr>
        <w:t>Bố cục dự thảo Nghị quyết gồm 2 Điều:</w:t>
      </w:r>
    </w:p>
    <w:p w:rsidR="000E7972" w:rsidRPr="00E733D1" w:rsidRDefault="000E7972" w:rsidP="000E7972">
      <w:pPr>
        <w:ind w:firstLine="720"/>
        <w:jc w:val="both"/>
        <w:rPr>
          <w:bCs/>
          <w:iCs/>
          <w:szCs w:val="28"/>
          <w:lang w:val="sv-SE"/>
        </w:rPr>
      </w:pPr>
      <w:r w:rsidRPr="00E733D1">
        <w:rPr>
          <w:bCs/>
          <w:iCs/>
          <w:szCs w:val="28"/>
          <w:lang w:val="nl-NL"/>
        </w:rPr>
        <w:t xml:space="preserve">- Điều 1: </w:t>
      </w:r>
      <w:r w:rsidRPr="00E733D1">
        <w:rPr>
          <w:bCs/>
          <w:iCs/>
          <w:szCs w:val="28"/>
          <w:lang w:val="sv-SE"/>
        </w:rPr>
        <w:t>Điều chỉnh giảm thuế suất thuế GTGT đối với hàng hoá, dịch vụ thuộc đối tượng chịu thuế suất 10%.</w:t>
      </w:r>
    </w:p>
    <w:p w:rsidR="000E7972" w:rsidRPr="00E733D1" w:rsidRDefault="000E7972" w:rsidP="000E7972">
      <w:pPr>
        <w:ind w:firstLine="720"/>
        <w:jc w:val="both"/>
        <w:rPr>
          <w:bCs/>
          <w:iCs/>
          <w:szCs w:val="28"/>
          <w:lang w:val="nl-NL"/>
        </w:rPr>
      </w:pPr>
      <w:r w:rsidRPr="00E733D1">
        <w:rPr>
          <w:bCs/>
          <w:iCs/>
          <w:szCs w:val="28"/>
          <w:lang w:val="nl-NL"/>
        </w:rPr>
        <w:t>- Điều 2: Quy định về hiệu lực thi hành</w:t>
      </w:r>
      <w:r w:rsidR="00472C1D" w:rsidRPr="00E733D1">
        <w:rPr>
          <w:bCs/>
          <w:iCs/>
          <w:szCs w:val="28"/>
          <w:lang w:val="nl-NL"/>
        </w:rPr>
        <w:t xml:space="preserve"> và tổ chức thực hiện.</w:t>
      </w:r>
    </w:p>
    <w:p w:rsidR="000E7972" w:rsidRPr="00E733D1" w:rsidRDefault="000E7972" w:rsidP="000E7972">
      <w:pPr>
        <w:ind w:firstLine="720"/>
        <w:jc w:val="both"/>
        <w:rPr>
          <w:b/>
          <w:bCs/>
          <w:iCs/>
          <w:szCs w:val="28"/>
          <w:lang w:val="nl-NL"/>
        </w:rPr>
      </w:pPr>
      <w:r w:rsidRPr="00E733D1">
        <w:rPr>
          <w:b/>
          <w:bCs/>
          <w:iCs/>
          <w:szCs w:val="28"/>
          <w:lang w:val="nl-NL"/>
        </w:rPr>
        <w:t xml:space="preserve">2. Nội dung </w:t>
      </w:r>
      <w:r w:rsidR="0089022B" w:rsidRPr="00E733D1">
        <w:rPr>
          <w:b/>
          <w:bCs/>
          <w:iCs/>
          <w:szCs w:val="28"/>
          <w:lang w:val="nl-NL"/>
        </w:rPr>
        <w:t xml:space="preserve">cơ bản </w:t>
      </w:r>
      <w:r w:rsidRPr="00E733D1">
        <w:rPr>
          <w:b/>
          <w:bCs/>
          <w:iCs/>
          <w:szCs w:val="28"/>
          <w:lang w:val="nl-NL"/>
        </w:rPr>
        <w:t>của dự thảo Nghị quyết</w:t>
      </w:r>
    </w:p>
    <w:p w:rsidR="000E7972" w:rsidRPr="00E733D1" w:rsidRDefault="000E7972" w:rsidP="000E7972">
      <w:pPr>
        <w:ind w:firstLine="720"/>
        <w:jc w:val="both"/>
        <w:rPr>
          <w:szCs w:val="28"/>
          <w:lang w:val="nl-NL"/>
        </w:rPr>
      </w:pPr>
      <w:r w:rsidRPr="00E733D1">
        <w:rPr>
          <w:bCs/>
          <w:iCs/>
          <w:szCs w:val="28"/>
          <w:lang w:val="nl-NL"/>
        </w:rPr>
        <w:lastRenderedPageBreak/>
        <w:t>“</w:t>
      </w:r>
      <w:r w:rsidRPr="00E733D1">
        <w:rPr>
          <w:b/>
          <w:szCs w:val="28"/>
          <w:lang w:val="nl-NL"/>
        </w:rPr>
        <w:t>Điều 1</w:t>
      </w:r>
      <w:r w:rsidRPr="00E733D1">
        <w:rPr>
          <w:szCs w:val="28"/>
          <w:lang w:val="nl-NL"/>
        </w:rPr>
        <w:t xml:space="preserve">. </w:t>
      </w:r>
      <w:r w:rsidRPr="00E733D1">
        <w:rPr>
          <w:b/>
          <w:szCs w:val="28"/>
          <w:lang w:val="nl-NL"/>
        </w:rPr>
        <w:t>Phạm vi áp dụng</w:t>
      </w:r>
    </w:p>
    <w:p w:rsidR="000E7972" w:rsidRPr="00E733D1" w:rsidRDefault="000E7972" w:rsidP="000E7972">
      <w:pPr>
        <w:ind w:firstLine="720"/>
        <w:jc w:val="both"/>
        <w:rPr>
          <w:szCs w:val="28"/>
          <w:lang w:val="pt-BR"/>
        </w:rPr>
      </w:pPr>
      <w:r w:rsidRPr="00E733D1">
        <w:rPr>
          <w:szCs w:val="28"/>
          <w:lang w:val="sv-SE"/>
        </w:rPr>
        <w:t xml:space="preserve">1. </w:t>
      </w:r>
      <w:r w:rsidR="000465EF" w:rsidRPr="00E733D1">
        <w:rPr>
          <w:bCs/>
          <w:iCs/>
          <w:szCs w:val="28"/>
          <w:lang w:val="pt-BR"/>
        </w:rPr>
        <w:t>Giảm 2% thuế suất thuế GTGT đối với các nhóm hàng hóa, dịch vụ đang áp dụng mức thuế suất 10% (còn 8%)</w:t>
      </w:r>
      <w:r w:rsidR="000465EF" w:rsidRPr="00E733D1">
        <w:rPr>
          <w:bCs/>
          <w:iCs/>
          <w:szCs w:val="28"/>
          <w:lang w:val="nl-NL"/>
        </w:rPr>
        <w:t xml:space="preserve">, </w:t>
      </w:r>
      <w:r w:rsidR="000465EF" w:rsidRPr="00E733D1">
        <w:rPr>
          <w:bCs/>
          <w:iCs/>
          <w:szCs w:val="28"/>
          <w:lang w:val="pt-BR"/>
        </w:rPr>
        <w:t>trừ một số nhóm hàng hóa, dịch vụ sau:</w:t>
      </w:r>
      <w:r w:rsidR="000465EF" w:rsidRPr="00E733D1">
        <w:rPr>
          <w:bCs/>
          <w:iCs/>
          <w:szCs w:val="28"/>
        </w:rPr>
        <w:t xml:space="preserve"> </w:t>
      </w:r>
      <w:r w:rsidR="000465EF" w:rsidRPr="00E733D1">
        <w:rPr>
          <w:bCs/>
          <w:iCs/>
          <w:szCs w:val="28"/>
          <w:lang w:val="pt-BR"/>
        </w:rPr>
        <w:t xml:space="preserve">Viễn thông, hoạt động tài chính, ngân hàng, chứng khoán, bảo hiểm, kinh doanh bất động sản, </w:t>
      </w:r>
      <w:r w:rsidR="00D90FDD" w:rsidRPr="00E733D1">
        <w:rPr>
          <w:bCs/>
          <w:iCs/>
          <w:szCs w:val="28"/>
          <w:lang w:val="pt-BR"/>
        </w:rPr>
        <w:t xml:space="preserve">sản phẩm </w:t>
      </w:r>
      <w:r w:rsidR="000465EF" w:rsidRPr="00E733D1">
        <w:rPr>
          <w:bCs/>
          <w:iCs/>
          <w:szCs w:val="28"/>
          <w:lang w:val="pt-BR"/>
        </w:rPr>
        <w:t>kim loại, sản phẩm khai khoáng (</w:t>
      </w:r>
      <w:r w:rsidR="009718E5" w:rsidRPr="00E733D1">
        <w:rPr>
          <w:bCs/>
          <w:iCs/>
          <w:szCs w:val="28"/>
          <w:lang w:val="pt-BR"/>
        </w:rPr>
        <w:t>trừ</w:t>
      </w:r>
      <w:r w:rsidR="000465EF" w:rsidRPr="00E733D1">
        <w:rPr>
          <w:bCs/>
          <w:iCs/>
          <w:szCs w:val="28"/>
          <w:lang w:val="pt-BR"/>
        </w:rPr>
        <w:t xml:space="preserve"> than), sản phẩm hàng hóa và dịch vụ chịu thuế tiêu thụ đặc biệt (trừ xăng)</w:t>
      </w:r>
      <w:r w:rsidRPr="00E733D1">
        <w:rPr>
          <w:szCs w:val="28"/>
          <w:lang w:val="pt-BR"/>
        </w:rPr>
        <w:t>.</w:t>
      </w:r>
    </w:p>
    <w:p w:rsidR="000E7972" w:rsidRPr="00E733D1" w:rsidRDefault="000E7972" w:rsidP="000E7972">
      <w:pPr>
        <w:ind w:firstLine="720"/>
        <w:jc w:val="both"/>
        <w:rPr>
          <w:szCs w:val="28"/>
          <w:lang w:val="sv-SE"/>
        </w:rPr>
      </w:pPr>
      <w:bookmarkStart w:id="0" w:name="bookmark8"/>
      <w:r w:rsidRPr="00E733D1">
        <w:rPr>
          <w:szCs w:val="28"/>
          <w:lang w:val="sv-SE"/>
        </w:rPr>
        <w:t>2</w:t>
      </w:r>
      <w:bookmarkEnd w:id="0"/>
      <w:r w:rsidRPr="00E733D1">
        <w:rPr>
          <w:szCs w:val="28"/>
          <w:lang w:val="sv-SE"/>
        </w:rPr>
        <w:t xml:space="preserve">. Thời gian áp dụng giảm thuế giá trị gia tăng 2% quy định tại khoản 1 Điều này từ ngày 01 tháng </w:t>
      </w:r>
      <w:r w:rsidR="000465EF" w:rsidRPr="00E733D1">
        <w:rPr>
          <w:szCs w:val="28"/>
          <w:lang w:val="sv-SE"/>
        </w:rPr>
        <w:t>7</w:t>
      </w:r>
      <w:r w:rsidRPr="00E733D1">
        <w:rPr>
          <w:szCs w:val="28"/>
          <w:lang w:val="sv-SE"/>
        </w:rPr>
        <w:t xml:space="preserve"> năm 2025 đến hết ngày 3</w:t>
      </w:r>
      <w:r w:rsidR="000465EF" w:rsidRPr="00E733D1">
        <w:rPr>
          <w:szCs w:val="28"/>
          <w:lang w:val="sv-SE"/>
        </w:rPr>
        <w:t>1</w:t>
      </w:r>
      <w:r w:rsidRPr="00E733D1">
        <w:rPr>
          <w:szCs w:val="28"/>
          <w:lang w:val="sv-SE"/>
        </w:rPr>
        <w:t xml:space="preserve"> tháng </w:t>
      </w:r>
      <w:r w:rsidR="000465EF" w:rsidRPr="00E733D1">
        <w:rPr>
          <w:szCs w:val="28"/>
          <w:lang w:val="sv-SE"/>
        </w:rPr>
        <w:t>12</w:t>
      </w:r>
      <w:r w:rsidRPr="00E733D1">
        <w:rPr>
          <w:szCs w:val="28"/>
          <w:lang w:val="sv-SE"/>
        </w:rPr>
        <w:t xml:space="preserve"> năm 202</w:t>
      </w:r>
      <w:r w:rsidR="009718E5" w:rsidRPr="00E733D1">
        <w:rPr>
          <w:szCs w:val="28"/>
          <w:lang w:val="sv-SE"/>
        </w:rPr>
        <w:t>6</w:t>
      </w:r>
      <w:r w:rsidRPr="00E733D1">
        <w:rPr>
          <w:szCs w:val="28"/>
          <w:lang w:val="sv-SE"/>
        </w:rPr>
        <w:t>.</w:t>
      </w:r>
    </w:p>
    <w:p w:rsidR="000E7972" w:rsidRPr="00E733D1" w:rsidRDefault="000E7972" w:rsidP="000E7972">
      <w:pPr>
        <w:ind w:firstLine="720"/>
        <w:jc w:val="both"/>
        <w:rPr>
          <w:szCs w:val="28"/>
          <w:lang w:val="nl-NL"/>
        </w:rPr>
      </w:pPr>
      <w:r w:rsidRPr="00E733D1">
        <w:rPr>
          <w:b/>
          <w:szCs w:val="28"/>
          <w:lang w:val="nl-NL"/>
        </w:rPr>
        <w:t>Điều 2</w:t>
      </w:r>
      <w:r w:rsidRPr="00E733D1">
        <w:rPr>
          <w:szCs w:val="28"/>
          <w:lang w:val="nl-NL"/>
        </w:rPr>
        <w:t xml:space="preserve">. </w:t>
      </w:r>
      <w:r w:rsidRPr="00E733D1">
        <w:rPr>
          <w:b/>
          <w:szCs w:val="28"/>
          <w:lang w:val="nl-NL"/>
        </w:rPr>
        <w:t>Hiệu lực thi hành và tổ chức thực hiện</w:t>
      </w:r>
    </w:p>
    <w:p w:rsidR="000E7972" w:rsidRPr="00E733D1" w:rsidRDefault="000E7972" w:rsidP="000E7972">
      <w:pPr>
        <w:ind w:firstLine="720"/>
        <w:jc w:val="both"/>
        <w:rPr>
          <w:szCs w:val="28"/>
          <w:lang w:val="nl-NL"/>
        </w:rPr>
      </w:pPr>
      <w:r w:rsidRPr="00E733D1">
        <w:rPr>
          <w:szCs w:val="28"/>
          <w:lang w:val="nl-NL"/>
        </w:rPr>
        <w:t>1. Nghị quyết này có hiệu lực thi hành kể từ ngày     tháng    năm      .</w:t>
      </w:r>
    </w:p>
    <w:p w:rsidR="000E7972" w:rsidRPr="00E733D1" w:rsidRDefault="000E7972" w:rsidP="000E7972">
      <w:pPr>
        <w:ind w:firstLine="720"/>
        <w:jc w:val="both"/>
        <w:rPr>
          <w:bCs/>
          <w:iCs/>
          <w:szCs w:val="28"/>
          <w:lang w:val="nl-NL"/>
        </w:rPr>
      </w:pPr>
      <w:r w:rsidRPr="00E733D1">
        <w:rPr>
          <w:szCs w:val="28"/>
          <w:lang w:val="nl-NL"/>
        </w:rPr>
        <w:t>2. Giao Chính phủ quy định chi tiết Điều 1 và triển khai thực hiện Nghị quyết này.</w:t>
      </w:r>
      <w:r w:rsidRPr="00E733D1">
        <w:rPr>
          <w:bCs/>
          <w:iCs/>
          <w:szCs w:val="28"/>
          <w:lang w:val="nl-NL"/>
        </w:rPr>
        <w:t>”.</w:t>
      </w:r>
    </w:p>
    <w:p w:rsidR="00662647" w:rsidRPr="00E733D1" w:rsidRDefault="000E7972" w:rsidP="000E7972">
      <w:pPr>
        <w:ind w:firstLine="720"/>
        <w:jc w:val="both"/>
        <w:rPr>
          <w:b/>
          <w:szCs w:val="28"/>
          <w:lang w:val="nl-NL"/>
        </w:rPr>
      </w:pPr>
      <w:r w:rsidRPr="00E733D1">
        <w:rPr>
          <w:b/>
          <w:bCs/>
          <w:iCs/>
          <w:szCs w:val="28"/>
          <w:lang w:val="en-US"/>
        </w:rPr>
        <w:t xml:space="preserve">3. </w:t>
      </w:r>
      <w:r w:rsidR="00662647" w:rsidRPr="00E733D1">
        <w:rPr>
          <w:b/>
          <w:bCs/>
          <w:iCs/>
          <w:szCs w:val="28"/>
        </w:rPr>
        <w:t>Đánh giá tác động</w:t>
      </w:r>
      <w:r w:rsidR="00662647" w:rsidRPr="00E733D1">
        <w:rPr>
          <w:b/>
          <w:bCs/>
          <w:iCs/>
          <w:szCs w:val="28"/>
          <w:lang w:val="en-US"/>
        </w:rPr>
        <w:t xml:space="preserve"> của </w:t>
      </w:r>
      <w:r w:rsidR="00662647" w:rsidRPr="00E733D1">
        <w:rPr>
          <w:b/>
          <w:szCs w:val="28"/>
          <w:lang w:val="nl-NL"/>
        </w:rPr>
        <w:t>dự thảo Nghị quyết</w:t>
      </w:r>
    </w:p>
    <w:p w:rsidR="00662647" w:rsidRPr="00E733D1" w:rsidRDefault="00662647" w:rsidP="00662647">
      <w:pPr>
        <w:ind w:firstLine="720"/>
        <w:jc w:val="both"/>
        <w:rPr>
          <w:szCs w:val="28"/>
          <w:lang w:val="nl-NL"/>
        </w:rPr>
      </w:pPr>
      <w:r w:rsidRPr="00E733D1">
        <w:rPr>
          <w:b/>
          <w:bCs/>
          <w:i/>
          <w:iCs/>
          <w:szCs w:val="28"/>
          <w:lang w:val="nl-NL"/>
        </w:rPr>
        <w:t xml:space="preserve">a) </w:t>
      </w:r>
      <w:r w:rsidRPr="00E733D1">
        <w:rPr>
          <w:b/>
          <w:i/>
          <w:szCs w:val="28"/>
          <w:lang w:val="nl-NL"/>
        </w:rPr>
        <w:t>Tác động đến thu NSNN</w:t>
      </w:r>
    </w:p>
    <w:p w:rsidR="00C32B6B" w:rsidRDefault="00662647" w:rsidP="00662647">
      <w:pPr>
        <w:ind w:firstLine="720"/>
        <w:jc w:val="both"/>
        <w:rPr>
          <w:bCs/>
          <w:iCs/>
          <w:szCs w:val="28"/>
          <w:lang w:val="sv-SE"/>
        </w:rPr>
      </w:pPr>
      <w:r w:rsidRPr="00E733D1">
        <w:rPr>
          <w:iCs/>
          <w:szCs w:val="28"/>
          <w:lang w:val="en-US"/>
        </w:rPr>
        <w:t>D</w:t>
      </w:r>
      <w:r w:rsidRPr="00E733D1">
        <w:rPr>
          <w:bCs/>
          <w:iCs/>
          <w:szCs w:val="28"/>
          <w:lang w:val="sv-SE"/>
        </w:rPr>
        <w:t>ự kiến số giảm thu NSNN trong 6 tháng cuối năm 2025</w:t>
      </w:r>
      <w:r w:rsidR="00C32B6B">
        <w:rPr>
          <w:bCs/>
          <w:iCs/>
          <w:szCs w:val="28"/>
          <w:lang w:val="sv-SE"/>
        </w:rPr>
        <w:t xml:space="preserve"> và cả năm 2026</w:t>
      </w:r>
      <w:r w:rsidRPr="00E733D1">
        <w:rPr>
          <w:bCs/>
          <w:iCs/>
          <w:szCs w:val="28"/>
          <w:lang w:val="sv-SE"/>
        </w:rPr>
        <w:t xml:space="preserve"> tương đương</w:t>
      </w:r>
      <w:r w:rsidRPr="00E733D1">
        <w:rPr>
          <w:b/>
          <w:bCs/>
          <w:iCs/>
          <w:szCs w:val="28"/>
          <w:lang w:val="sv-SE"/>
        </w:rPr>
        <w:t xml:space="preserve"> </w:t>
      </w:r>
      <w:r w:rsidRPr="00E733D1">
        <w:rPr>
          <w:bCs/>
          <w:iCs/>
          <w:szCs w:val="28"/>
          <w:lang w:val="sv-SE"/>
        </w:rPr>
        <w:t>khoảng</w:t>
      </w:r>
      <w:r w:rsidRPr="00E733D1">
        <w:rPr>
          <w:b/>
          <w:bCs/>
          <w:iCs/>
          <w:szCs w:val="28"/>
          <w:lang w:val="sv-SE"/>
        </w:rPr>
        <w:t xml:space="preserve"> </w:t>
      </w:r>
      <w:r w:rsidR="00C32B6B">
        <w:rPr>
          <w:b/>
          <w:bCs/>
          <w:iCs/>
          <w:szCs w:val="28"/>
          <w:lang w:val="sv-SE"/>
        </w:rPr>
        <w:t xml:space="preserve">121,74 </w:t>
      </w:r>
      <w:r w:rsidRPr="00E733D1">
        <w:rPr>
          <w:b/>
          <w:bCs/>
          <w:iCs/>
          <w:szCs w:val="28"/>
          <w:lang w:val="sv-SE"/>
        </w:rPr>
        <w:t xml:space="preserve">nghìn tỷ đồng </w:t>
      </w:r>
      <w:r w:rsidRPr="00E733D1">
        <w:rPr>
          <w:bCs/>
          <w:iCs/>
          <w:szCs w:val="28"/>
          <w:lang w:val="sv-SE"/>
        </w:rPr>
        <w:t>(</w:t>
      </w:r>
      <w:r w:rsidR="00C32B6B">
        <w:rPr>
          <w:bCs/>
          <w:iCs/>
          <w:szCs w:val="28"/>
          <w:lang w:val="sv-SE"/>
        </w:rPr>
        <w:t xml:space="preserve">trong đó: 6 tháng cuối năm 2025 giảm </w:t>
      </w:r>
      <w:r w:rsidRPr="00E733D1">
        <w:rPr>
          <w:bCs/>
          <w:iCs/>
          <w:szCs w:val="28"/>
          <w:lang w:val="sv-SE"/>
        </w:rPr>
        <w:t xml:space="preserve">khoảng </w:t>
      </w:r>
      <w:r w:rsidR="00C32B6B" w:rsidRPr="00C32B6B">
        <w:rPr>
          <w:b/>
          <w:bCs/>
          <w:iCs/>
          <w:szCs w:val="28"/>
          <w:lang w:val="sv-SE"/>
        </w:rPr>
        <w:t>39,54</w:t>
      </w:r>
      <w:r w:rsidRPr="00C32B6B">
        <w:rPr>
          <w:b/>
          <w:bCs/>
          <w:iCs/>
          <w:szCs w:val="28"/>
          <w:lang w:val="sv-SE"/>
        </w:rPr>
        <w:t xml:space="preserve"> nghìn tỷ đồng</w:t>
      </w:r>
      <w:r w:rsidR="00C32B6B">
        <w:rPr>
          <w:bCs/>
          <w:iCs/>
          <w:szCs w:val="28"/>
          <w:lang w:val="sv-SE"/>
        </w:rPr>
        <w:t xml:space="preserve">, năm 2026 giảm </w:t>
      </w:r>
      <w:r w:rsidR="00C32B6B" w:rsidRPr="00E733D1">
        <w:rPr>
          <w:bCs/>
          <w:iCs/>
          <w:szCs w:val="28"/>
          <w:lang w:val="sv-SE"/>
        </w:rPr>
        <w:t xml:space="preserve">khoảng </w:t>
      </w:r>
      <w:r w:rsidR="00C32B6B" w:rsidRPr="00C32B6B">
        <w:rPr>
          <w:b/>
          <w:bCs/>
          <w:iCs/>
          <w:szCs w:val="28"/>
          <w:lang w:val="sv-SE"/>
        </w:rPr>
        <w:t>82,2 nghìn tỷ đồng</w:t>
      </w:r>
      <w:r w:rsidR="00C32B6B">
        <w:rPr>
          <w:bCs/>
          <w:iCs/>
          <w:szCs w:val="28"/>
          <w:lang w:val="sv-SE"/>
        </w:rPr>
        <w:t>).</w:t>
      </w:r>
    </w:p>
    <w:p w:rsidR="00662647" w:rsidRPr="005D445A" w:rsidRDefault="00662647" w:rsidP="00662647">
      <w:pPr>
        <w:ind w:firstLine="720"/>
        <w:jc w:val="both"/>
        <w:rPr>
          <w:bCs/>
          <w:iCs/>
          <w:szCs w:val="28"/>
          <w:lang w:val="sv-SE"/>
        </w:rPr>
      </w:pPr>
      <w:r w:rsidRPr="00E733D1">
        <w:rPr>
          <w:iCs/>
          <w:szCs w:val="28"/>
          <w:lang w:val="en-US"/>
        </w:rPr>
        <w:t xml:space="preserve">Trong </w:t>
      </w:r>
      <w:r w:rsidR="00475A0B" w:rsidRPr="00E733D1">
        <w:rPr>
          <w:iCs/>
          <w:szCs w:val="28"/>
          <w:lang w:val="en-US"/>
        </w:rPr>
        <w:t>0</w:t>
      </w:r>
      <w:r w:rsidR="00D90FDD" w:rsidRPr="00E733D1">
        <w:rPr>
          <w:iCs/>
          <w:szCs w:val="28"/>
          <w:lang w:val="en-US"/>
        </w:rPr>
        <w:t>2</w:t>
      </w:r>
      <w:r w:rsidRPr="00E733D1">
        <w:rPr>
          <w:iCs/>
          <w:szCs w:val="28"/>
          <w:lang w:val="en-US"/>
        </w:rPr>
        <w:t xml:space="preserve"> tháng đầu năm </w:t>
      </w:r>
      <w:r w:rsidRPr="00E733D1">
        <w:rPr>
          <w:iCs/>
          <w:szCs w:val="28"/>
        </w:rPr>
        <w:t>202</w:t>
      </w:r>
      <w:r w:rsidRPr="00E733D1">
        <w:rPr>
          <w:iCs/>
          <w:szCs w:val="28"/>
          <w:lang w:val="en-US"/>
        </w:rPr>
        <w:t>5</w:t>
      </w:r>
      <w:r w:rsidRPr="00E733D1">
        <w:rPr>
          <w:iCs/>
          <w:szCs w:val="28"/>
        </w:rPr>
        <w:t>, số thuế GTGT được giảm</w:t>
      </w:r>
      <w:r w:rsidRPr="00D90FDD">
        <w:rPr>
          <w:iCs/>
          <w:szCs w:val="28"/>
        </w:rPr>
        <w:t xml:space="preserve"> theo </w:t>
      </w:r>
      <w:r w:rsidRPr="00D90FDD">
        <w:rPr>
          <w:iCs/>
          <w:szCs w:val="28"/>
          <w:lang w:val="en-US"/>
        </w:rPr>
        <w:t xml:space="preserve">Nghị quyết số 174/2024/QH15 ước </w:t>
      </w:r>
      <w:r w:rsidRPr="00D90FDD">
        <w:rPr>
          <w:iCs/>
          <w:szCs w:val="28"/>
        </w:rPr>
        <w:t xml:space="preserve">khoảng </w:t>
      </w:r>
      <w:r w:rsidR="00D90FDD" w:rsidRPr="00D90FDD">
        <w:rPr>
          <w:bCs/>
          <w:iCs/>
          <w:szCs w:val="28"/>
          <w:lang w:val="en-US"/>
        </w:rPr>
        <w:t>8</w:t>
      </w:r>
      <w:proofErr w:type="gramStart"/>
      <w:r w:rsidR="00D90FDD" w:rsidRPr="00D90FDD">
        <w:rPr>
          <w:bCs/>
          <w:iCs/>
          <w:szCs w:val="28"/>
          <w:lang w:val="en-US"/>
        </w:rPr>
        <w:t>,3</w:t>
      </w:r>
      <w:proofErr w:type="gramEnd"/>
      <w:r w:rsidRPr="00D90FDD">
        <w:rPr>
          <w:bCs/>
          <w:iCs/>
          <w:szCs w:val="28"/>
        </w:rPr>
        <w:t xml:space="preserve"> nghìn tỷ đồng</w:t>
      </w:r>
      <w:r w:rsidRPr="00D90FDD">
        <w:rPr>
          <w:iCs/>
          <w:szCs w:val="28"/>
        </w:rPr>
        <w:t>.</w:t>
      </w:r>
      <w:r w:rsidRPr="005D445A">
        <w:rPr>
          <w:bCs/>
          <w:iCs/>
          <w:szCs w:val="28"/>
          <w:lang w:val="sv-SE"/>
        </w:rPr>
        <w:t xml:space="preserve"> </w:t>
      </w:r>
    </w:p>
    <w:p w:rsidR="000E7972" w:rsidRPr="001D74AA" w:rsidRDefault="00522C3E" w:rsidP="000E7972">
      <w:pPr>
        <w:ind w:firstLine="720"/>
        <w:jc w:val="both"/>
        <w:rPr>
          <w:szCs w:val="28"/>
          <w:lang w:val="en-US"/>
        </w:rPr>
      </w:pPr>
      <w:r w:rsidRPr="001D74AA">
        <w:rPr>
          <w:szCs w:val="28"/>
          <w:lang w:val="nl-NL"/>
        </w:rPr>
        <w:t>Dự toán thu NSNN năm 2025 là 1.966,8 nghìn tỷ đồng. Kết quả thực hiện thu NSNN lũy kế 2 tháng đầu năm</w:t>
      </w:r>
      <w:r w:rsidRPr="001D74AA">
        <w:rPr>
          <w:szCs w:val="28"/>
          <w:vertAlign w:val="superscript"/>
          <w:lang w:val="nl-NL"/>
        </w:rPr>
        <w:footnoteReference w:id="3"/>
      </w:r>
      <w:r w:rsidRPr="001D74AA">
        <w:rPr>
          <w:szCs w:val="28"/>
          <w:lang w:val="nl-NL"/>
        </w:rPr>
        <w:t xml:space="preserve"> đạt 525,1 nghìn tỷ </w:t>
      </w:r>
      <w:r w:rsidRPr="001D74AA">
        <w:rPr>
          <w:rFonts w:hint="eastAsia"/>
          <w:szCs w:val="28"/>
          <w:lang w:val="nl-NL"/>
        </w:rPr>
        <w:t>đ</w:t>
      </w:r>
      <w:r w:rsidRPr="001D74AA">
        <w:rPr>
          <w:szCs w:val="28"/>
          <w:lang w:val="nl-NL"/>
        </w:rPr>
        <w:t>ồng, bằng 26,7% dự toán (</w:t>
      </w:r>
      <w:r w:rsidR="00054456" w:rsidRPr="001D74AA">
        <w:rPr>
          <w:szCs w:val="28"/>
          <w:lang w:val="nl-NL"/>
        </w:rPr>
        <w:t>ngân sách trung ương</w:t>
      </w:r>
      <w:r w:rsidRPr="001D74AA">
        <w:rPr>
          <w:szCs w:val="28"/>
          <w:lang w:val="nl-NL"/>
        </w:rPr>
        <w:t xml:space="preserve"> thu đạt 26,4% dự toán; </w:t>
      </w:r>
      <w:r w:rsidR="00054456" w:rsidRPr="001D74AA">
        <w:rPr>
          <w:szCs w:val="28"/>
          <w:lang w:val="nl-NL"/>
        </w:rPr>
        <w:t>ngân sách địa phương</w:t>
      </w:r>
      <w:r w:rsidRPr="001D74AA">
        <w:rPr>
          <w:szCs w:val="28"/>
          <w:lang w:val="nl-NL"/>
        </w:rPr>
        <w:t xml:space="preserve"> thu đạt 27% dự toán), tăng 33% so với cùng kỳ năm 2024. Trong đó, thu nội địa </w:t>
      </w:r>
      <w:r w:rsidRPr="001D74AA">
        <w:rPr>
          <w:szCs w:val="28"/>
          <w:lang w:val="it-IT"/>
        </w:rPr>
        <w:t xml:space="preserve">đạt </w:t>
      </w:r>
      <w:r w:rsidRPr="001D74AA">
        <w:rPr>
          <w:szCs w:val="28"/>
          <w:lang w:val="nl-NL"/>
        </w:rPr>
        <w:t>480,1 nghìn tỷ đồng, bằng 28,8% dự toán, tăng xấp xỉ 37% so cùng kỳ năm 2024</w:t>
      </w:r>
      <w:r w:rsidRPr="001D74AA">
        <w:rPr>
          <w:szCs w:val="28"/>
          <w:lang w:val="it-IT"/>
        </w:rPr>
        <w:t xml:space="preserve">. Kết quả thu nội </w:t>
      </w:r>
      <w:r w:rsidRPr="001D74AA">
        <w:rPr>
          <w:rFonts w:hint="eastAsia"/>
          <w:szCs w:val="28"/>
          <w:lang w:val="it-IT"/>
        </w:rPr>
        <w:t>đ</w:t>
      </w:r>
      <w:r w:rsidRPr="001D74AA">
        <w:rPr>
          <w:szCs w:val="28"/>
          <w:lang w:val="it-IT"/>
        </w:rPr>
        <w:t xml:space="preserve">ịa </w:t>
      </w:r>
      <w:r w:rsidRPr="001D74AA">
        <w:rPr>
          <w:rFonts w:hint="eastAsia"/>
          <w:szCs w:val="28"/>
          <w:lang w:val="it-IT"/>
        </w:rPr>
        <w:t>đ</w:t>
      </w:r>
      <w:r w:rsidRPr="001D74AA">
        <w:rPr>
          <w:szCs w:val="28"/>
          <w:lang w:val="it-IT"/>
        </w:rPr>
        <w:t xml:space="preserve">ạt khá so </w:t>
      </w:r>
      <w:r w:rsidR="00054456" w:rsidRPr="001D74AA">
        <w:rPr>
          <w:szCs w:val="28"/>
          <w:lang w:val="it-IT"/>
        </w:rPr>
        <w:t xml:space="preserve">với </w:t>
      </w:r>
      <w:r w:rsidRPr="001D74AA">
        <w:rPr>
          <w:szCs w:val="28"/>
          <w:lang w:val="it-IT"/>
        </w:rPr>
        <w:t>dự toán và t</w:t>
      </w:r>
      <w:r w:rsidRPr="001D74AA">
        <w:rPr>
          <w:rFonts w:hint="eastAsia"/>
          <w:szCs w:val="28"/>
          <w:lang w:val="it-IT"/>
        </w:rPr>
        <w:t>ă</w:t>
      </w:r>
      <w:r w:rsidRPr="001D74AA">
        <w:rPr>
          <w:szCs w:val="28"/>
          <w:lang w:val="it-IT"/>
        </w:rPr>
        <w:t xml:space="preserve">ng so </w:t>
      </w:r>
      <w:r w:rsidR="00054456" w:rsidRPr="001D74AA">
        <w:rPr>
          <w:szCs w:val="28"/>
          <w:lang w:val="it-IT"/>
        </w:rPr>
        <w:t xml:space="preserve">với </w:t>
      </w:r>
      <w:r w:rsidRPr="001D74AA">
        <w:rPr>
          <w:szCs w:val="28"/>
          <w:lang w:val="it-IT"/>
        </w:rPr>
        <w:t>cùng kỳ</w:t>
      </w:r>
      <w:r w:rsidR="00054456" w:rsidRPr="001D74AA">
        <w:rPr>
          <w:szCs w:val="28"/>
          <w:lang w:val="it-IT"/>
        </w:rPr>
        <w:t>,</w:t>
      </w:r>
      <w:r w:rsidRPr="001D74AA">
        <w:rPr>
          <w:szCs w:val="28"/>
          <w:lang w:val="it-IT"/>
        </w:rPr>
        <w:t xml:space="preserve"> chủ yếu </w:t>
      </w:r>
      <w:r w:rsidRPr="001D74AA">
        <w:rPr>
          <w:szCs w:val="28"/>
          <w:lang w:val="nl-NL"/>
        </w:rPr>
        <w:t>nhờ kinh tế năm 202</w:t>
      </w:r>
      <w:r w:rsidR="00945EF5">
        <w:rPr>
          <w:szCs w:val="28"/>
          <w:lang w:val="nl-NL"/>
        </w:rPr>
        <w:t>4</w:t>
      </w:r>
      <w:r w:rsidRPr="001D74AA">
        <w:rPr>
          <w:szCs w:val="28"/>
          <w:lang w:val="nl-NL"/>
        </w:rPr>
        <w:t xml:space="preserve"> tăng trưởng khá (GDP quý IV</w:t>
      </w:r>
      <w:r w:rsidR="00945EF5">
        <w:rPr>
          <w:szCs w:val="28"/>
          <w:lang w:val="nl-NL"/>
        </w:rPr>
        <w:t xml:space="preserve">/2024 </w:t>
      </w:r>
      <w:r w:rsidRPr="001D74AA">
        <w:rPr>
          <w:szCs w:val="28"/>
          <w:lang w:val="nl-NL"/>
        </w:rPr>
        <w:t>tăng 7,55% so</w:t>
      </w:r>
      <w:r w:rsidR="00054456" w:rsidRPr="001D74AA">
        <w:rPr>
          <w:szCs w:val="28"/>
          <w:lang w:val="nl-NL"/>
        </w:rPr>
        <w:t xml:space="preserve"> với</w:t>
      </w:r>
      <w:r w:rsidRPr="001D74AA">
        <w:rPr>
          <w:szCs w:val="28"/>
          <w:lang w:val="nl-NL"/>
        </w:rPr>
        <w:t xml:space="preserve"> cùng kỳ, cả năm tăng 7,09%) tác động làm tăng thu thuế thu nhập doanh nghiệp, thuế </w:t>
      </w:r>
      <w:r w:rsidR="00054456" w:rsidRPr="001D74AA">
        <w:rPr>
          <w:szCs w:val="28"/>
          <w:lang w:val="nl-NL"/>
        </w:rPr>
        <w:t>GTGT</w:t>
      </w:r>
      <w:r w:rsidRPr="001D74AA">
        <w:rPr>
          <w:szCs w:val="28"/>
          <w:lang w:val="nl-NL"/>
        </w:rPr>
        <w:t xml:space="preserve"> quý IV/2024 (của các doanh nghiệp kê khai nộp thuế theo quý) nộp NSNN 2 tháng đầu năm 2025. Bên cạnh đó,</w:t>
      </w:r>
      <w:r w:rsidRPr="001D74AA">
        <w:rPr>
          <w:szCs w:val="28"/>
          <w:lang w:val="it-IT"/>
        </w:rPr>
        <w:t xml:space="preserve"> </w:t>
      </w:r>
      <w:r w:rsidRPr="001D74AA">
        <w:rPr>
          <w:szCs w:val="28"/>
          <w:lang w:val="nl-NL"/>
        </w:rPr>
        <w:t>chênh lệch thu, chi của Ngân hàng Nhà nước</w:t>
      </w:r>
      <w:r w:rsidRPr="001D74AA">
        <w:rPr>
          <w:szCs w:val="28"/>
          <w:lang w:val="it-IT"/>
        </w:rPr>
        <w:t xml:space="preserve"> phát sinh quý IV/2024 theo chế </w:t>
      </w:r>
      <w:r w:rsidRPr="001D74AA">
        <w:rPr>
          <w:rFonts w:hint="eastAsia"/>
          <w:szCs w:val="28"/>
          <w:lang w:val="it-IT"/>
        </w:rPr>
        <w:t>đ</w:t>
      </w:r>
      <w:r w:rsidRPr="001D74AA">
        <w:rPr>
          <w:szCs w:val="28"/>
          <w:lang w:val="it-IT"/>
        </w:rPr>
        <w:t xml:space="preserve">ộ nộp NSNN </w:t>
      </w:r>
      <w:r w:rsidRPr="001D74AA">
        <w:rPr>
          <w:rFonts w:hint="eastAsia"/>
          <w:szCs w:val="28"/>
          <w:lang w:val="it-IT"/>
        </w:rPr>
        <w:t>đ</w:t>
      </w:r>
      <w:r w:rsidRPr="001D74AA">
        <w:rPr>
          <w:szCs w:val="28"/>
          <w:lang w:val="it-IT"/>
        </w:rPr>
        <w:t xml:space="preserve">ầu </w:t>
      </w:r>
      <w:r w:rsidRPr="001D74AA">
        <w:rPr>
          <w:rFonts w:hint="eastAsia"/>
          <w:szCs w:val="28"/>
          <w:lang w:val="it-IT"/>
        </w:rPr>
        <w:t>nă</w:t>
      </w:r>
      <w:r w:rsidRPr="001D74AA">
        <w:rPr>
          <w:szCs w:val="28"/>
          <w:lang w:val="it-IT"/>
        </w:rPr>
        <w:t xml:space="preserve">m 2025 khoảng 34,4 nghìn tỷ đồng, tăng 59,3% so </w:t>
      </w:r>
      <w:r w:rsidR="00054456" w:rsidRPr="001D74AA">
        <w:rPr>
          <w:szCs w:val="28"/>
          <w:lang w:val="it-IT"/>
        </w:rPr>
        <w:t xml:space="preserve">với </w:t>
      </w:r>
      <w:r w:rsidRPr="001D74AA">
        <w:rPr>
          <w:szCs w:val="28"/>
          <w:lang w:val="it-IT"/>
        </w:rPr>
        <w:t>cùng kỳ. Không kể thu tiền sử dụng đất, thu xổ số kiến thiết, thu hồi vốn, thu cổ tức, lợi nhuận, lợi nhuận sau thuế và chênh lệch thu, chi của Ngân hàng Nhà nước</w:t>
      </w:r>
      <w:r w:rsidR="00054456" w:rsidRPr="001D74AA">
        <w:rPr>
          <w:szCs w:val="28"/>
          <w:lang w:val="it-IT"/>
        </w:rPr>
        <w:t xml:space="preserve"> thì</w:t>
      </w:r>
      <w:r w:rsidRPr="001D74AA">
        <w:rPr>
          <w:szCs w:val="28"/>
          <w:lang w:val="it-IT"/>
        </w:rPr>
        <w:t xml:space="preserve"> số thu thuế, phí nội địa </w:t>
      </w:r>
      <w:r w:rsidRPr="001D74AA">
        <w:rPr>
          <w:rFonts w:hint="eastAsia"/>
          <w:szCs w:val="28"/>
          <w:lang w:val="it-IT"/>
        </w:rPr>
        <w:t>ư</w:t>
      </w:r>
      <w:r w:rsidRPr="001D74AA">
        <w:rPr>
          <w:szCs w:val="28"/>
          <w:lang w:val="it-IT"/>
        </w:rPr>
        <w:t xml:space="preserve">ớc đạt 27,2% dự toán, tăng 24,1% so </w:t>
      </w:r>
      <w:r w:rsidR="00054456" w:rsidRPr="001D74AA">
        <w:rPr>
          <w:szCs w:val="28"/>
          <w:lang w:val="it-IT"/>
        </w:rPr>
        <w:t xml:space="preserve">với </w:t>
      </w:r>
      <w:r w:rsidRPr="001D74AA">
        <w:rPr>
          <w:szCs w:val="28"/>
          <w:lang w:val="it-IT"/>
        </w:rPr>
        <w:t>cùng kỳ.</w:t>
      </w:r>
    </w:p>
    <w:p w:rsidR="000465EF" w:rsidRPr="001D74AA" w:rsidRDefault="000465EF" w:rsidP="000465EF">
      <w:pPr>
        <w:ind w:firstLine="720"/>
        <w:jc w:val="both"/>
        <w:rPr>
          <w:szCs w:val="28"/>
          <w:lang w:val="nl-NL"/>
        </w:rPr>
      </w:pPr>
      <w:r w:rsidRPr="001D74AA">
        <w:rPr>
          <w:szCs w:val="28"/>
          <w:lang w:val="nl-NL"/>
        </w:rPr>
        <w:t xml:space="preserve">Việc giảm thuế GTGT tác động làm giảm thu NSNN nhưng cũng có tác động kích thích sản xuất, thúc đẩy hoạt động sản xuất kinh doanh, qua đó cũng góp phần tạo thêm nguồn thu cho NSNN. Nhằm bù đắp số hụt thu do thực hiện </w:t>
      </w:r>
      <w:r w:rsidRPr="001D74AA">
        <w:rPr>
          <w:szCs w:val="28"/>
          <w:lang w:val="nl-NL"/>
        </w:rPr>
        <w:lastRenderedPageBreak/>
        <w:t>chính sách, Chính phủ tập trung chỉ đạo các Bộ, cơ quan trung ương, địa phương thực hiện các giải pháp như sau:</w:t>
      </w:r>
    </w:p>
    <w:p w:rsidR="000465EF" w:rsidRPr="001D74AA" w:rsidRDefault="000465EF" w:rsidP="000465EF">
      <w:pPr>
        <w:ind w:firstLine="720"/>
        <w:jc w:val="both"/>
        <w:rPr>
          <w:szCs w:val="28"/>
          <w:lang w:val="nl-NL"/>
        </w:rPr>
      </w:pPr>
      <w:r w:rsidRPr="001D74AA">
        <w:rPr>
          <w:szCs w:val="28"/>
          <w:lang w:val="nl-NL"/>
        </w:rPr>
        <w:t>Một là, tập trung thực hiện các nhiệm vụ, giải pháp, chính sách tài khóa theo các Nghị quyết của Quốc hội, Chính phủ đã ban hành để tháo gỡ khó khăn cho doanh nghiệp và người dân, thúc đẩy các động lực tăng trưởng GDP năm 2025 đạt ít nhất 8% và phấn đấu hai con số trong điều kiện thuận lợi hơn, qua đó tạo thêm nguồ</w:t>
      </w:r>
      <w:r w:rsidR="00E008F4" w:rsidRPr="001D74AA">
        <w:rPr>
          <w:szCs w:val="28"/>
          <w:lang w:val="nl-NL"/>
        </w:rPr>
        <w:t>n thu cho NSNN.</w:t>
      </w:r>
      <w:r w:rsidRPr="001D74AA">
        <w:rPr>
          <w:szCs w:val="28"/>
          <w:lang w:val="nl-NL"/>
        </w:rPr>
        <w:t xml:space="preserve"> </w:t>
      </w:r>
    </w:p>
    <w:p w:rsidR="000465EF" w:rsidRPr="001D74AA" w:rsidRDefault="000465EF" w:rsidP="000465EF">
      <w:pPr>
        <w:ind w:firstLine="720"/>
        <w:jc w:val="both"/>
        <w:rPr>
          <w:szCs w:val="28"/>
          <w:lang w:val="nl-NL"/>
        </w:rPr>
      </w:pPr>
      <w:r w:rsidRPr="001D74AA">
        <w:rPr>
          <w:szCs w:val="28"/>
          <w:lang w:val="nl-NL"/>
        </w:rPr>
        <w:t xml:space="preserve">Hai là, quyết liệt </w:t>
      </w:r>
      <w:r w:rsidR="00E008F4" w:rsidRPr="001D74AA">
        <w:rPr>
          <w:szCs w:val="28"/>
          <w:lang w:val="nl-NL"/>
        </w:rPr>
        <w:t xml:space="preserve">trong </w:t>
      </w:r>
      <w:r w:rsidRPr="001D74AA">
        <w:rPr>
          <w:szCs w:val="28"/>
          <w:lang w:val="nl-NL"/>
        </w:rPr>
        <w:t>công tác thu NSNN, tăng cường quản lý</w:t>
      </w:r>
      <w:r w:rsidR="00E008F4" w:rsidRPr="001D74AA">
        <w:rPr>
          <w:szCs w:val="28"/>
          <w:lang w:val="nl-NL"/>
        </w:rPr>
        <w:t>,</w:t>
      </w:r>
      <w:r w:rsidRPr="001D74AA">
        <w:rPr>
          <w:szCs w:val="28"/>
          <w:lang w:val="nl-NL"/>
        </w:rPr>
        <w:t xml:space="preserve"> thanh tra, kiểm tra, cải cách thủ tục hành chính, đẩy mạnh chuyển đổi số trong công tác quản lý thuế, nhất là trong các lĩnh vực, địa bàn trọng điểm, thu từ đất, chuyển nhượng bất động sản, hoạt động thương mại điện tử, hoạt động kinh doanh trên nền tảng số, nâng cấp ứng dụng nhằm vận hành ổn định hệ thống hóa đơn điện tử trên toàn quốc, hệ thống Cổng thông tin điện tử dành cho nhà cung cấp nước ngoài, các </w:t>
      </w:r>
      <w:r w:rsidRPr="001D74AA">
        <w:rPr>
          <w:szCs w:val="28"/>
          <w:lang w:val="it-IT"/>
        </w:rPr>
        <w:t xml:space="preserve">hộ, cá nhân kinh doanh kê khai, nộp thuế từ hoạt động thương mại điện tử; mở rộng hóa đơn điện tử khởi tạo từ máy tính tiền trong các lĩnh vực kinh doanh, dịch vụ ăn uống, nhà hàng khách sạn theo chuỗi, kinh doanh xăng dầu, vàng, </w:t>
      </w:r>
      <w:r w:rsidRPr="001D74AA">
        <w:rPr>
          <w:szCs w:val="28"/>
          <w:lang w:val="nl-NL"/>
        </w:rPr>
        <w:t xml:space="preserve">đôn đốc thu nộp, phấn đấu tăng thu ở những địa bàn, lĩnh vực để bù đắp số thu bị giảm do thực hiện chính sách; </w:t>
      </w:r>
      <w:r w:rsidRPr="001D74AA">
        <w:rPr>
          <w:szCs w:val="28"/>
          <w:lang w:val="it-IT"/>
        </w:rPr>
        <w:t>ứng dụng trí tuệ nhân tạo (AI), cơ sở dữ liệu lớn (BIG DATA) vào công tác hỗ trợ người nộp thuế, quản lý nợ thuế, phân loại hồ sơ hoàn thuế...</w:t>
      </w:r>
      <w:r w:rsidR="00945EF5">
        <w:rPr>
          <w:szCs w:val="28"/>
          <w:lang w:val="it-IT"/>
        </w:rPr>
        <w:t xml:space="preserve"> </w:t>
      </w:r>
      <w:r w:rsidRPr="001D74AA">
        <w:rPr>
          <w:szCs w:val="28"/>
          <w:lang w:val="nl-NL"/>
        </w:rPr>
        <w:t>Phấn đấu thu NSNN năm 2025 cao hơn khoảng 10% so với ước thực hiện năm 2024.</w:t>
      </w:r>
    </w:p>
    <w:p w:rsidR="000E7972" w:rsidRPr="001D74AA" w:rsidRDefault="000465EF" w:rsidP="000465EF">
      <w:pPr>
        <w:ind w:firstLine="720"/>
        <w:jc w:val="both"/>
        <w:rPr>
          <w:szCs w:val="28"/>
          <w:lang w:val="nl-NL"/>
        </w:rPr>
      </w:pPr>
      <w:r w:rsidRPr="001D74AA">
        <w:rPr>
          <w:szCs w:val="28"/>
          <w:lang w:val="nl-NL"/>
        </w:rPr>
        <w:t>Ba là, điều hành chi NSNN chặt chẽ, tăng cường tiết kiệm chi; Chủ động sử dụng dự phòng, dự trữ và các nguồn lực hợp pháp khác để chi phòng, chống thiên tai, dịch bệnh và các nhiệm vụ cấp bách phát sinh theo quy định, đảm bảo cân đối ngân sách các cấp.</w:t>
      </w:r>
      <w:r w:rsidR="000E7972" w:rsidRPr="001D74AA">
        <w:rPr>
          <w:szCs w:val="28"/>
          <w:lang w:val="nl-NL"/>
        </w:rPr>
        <w:t xml:space="preserve"> </w:t>
      </w:r>
    </w:p>
    <w:p w:rsidR="00662647" w:rsidRPr="005D445A" w:rsidRDefault="00662647" w:rsidP="00662647">
      <w:pPr>
        <w:ind w:firstLine="720"/>
        <w:jc w:val="both"/>
        <w:rPr>
          <w:szCs w:val="28"/>
          <w:lang w:val="nl-NL"/>
        </w:rPr>
      </w:pPr>
      <w:r w:rsidRPr="005D445A">
        <w:rPr>
          <w:b/>
          <w:bCs/>
          <w:i/>
          <w:iCs/>
          <w:szCs w:val="28"/>
          <w:lang w:val="nl-NL"/>
        </w:rPr>
        <w:t xml:space="preserve">b) </w:t>
      </w:r>
      <w:r w:rsidRPr="005D445A">
        <w:rPr>
          <w:b/>
          <w:i/>
          <w:szCs w:val="28"/>
          <w:lang w:val="nl-NL"/>
        </w:rPr>
        <w:t>Tác động đến tăng trưởng kinh tế</w:t>
      </w:r>
      <w:r w:rsidRPr="005D445A">
        <w:rPr>
          <w:szCs w:val="28"/>
          <w:lang w:val="nl-NL"/>
        </w:rPr>
        <w:t xml:space="preserve"> </w:t>
      </w:r>
    </w:p>
    <w:p w:rsidR="00662647" w:rsidRPr="005D445A" w:rsidRDefault="00662647" w:rsidP="00662647">
      <w:pPr>
        <w:ind w:firstLine="720"/>
        <w:jc w:val="both"/>
        <w:rPr>
          <w:szCs w:val="28"/>
          <w:lang w:val="nl-NL"/>
        </w:rPr>
      </w:pPr>
      <w:r w:rsidRPr="005D445A">
        <w:rPr>
          <w:szCs w:val="28"/>
          <w:lang w:val="nl-NL"/>
        </w:rPr>
        <w:t xml:space="preserve">Việc giảm thuế GTGT sẽ góp phần giảm giá thành hàng hóa, dịch vụ, từ đó thúc đẩy sản xuất kinh doanh và tạo thêm công ăn việc làm cho người lao động, góp phần ổn định kinh tế vĩ mô và tăng trưởng kinh tế trong </w:t>
      </w:r>
      <w:r w:rsidR="0005386A" w:rsidRPr="005D445A">
        <w:rPr>
          <w:szCs w:val="28"/>
          <w:lang w:val="nl-NL"/>
        </w:rPr>
        <w:t xml:space="preserve">6 tháng cuối </w:t>
      </w:r>
      <w:r w:rsidRPr="005D445A">
        <w:rPr>
          <w:szCs w:val="28"/>
          <w:lang w:val="nl-NL"/>
        </w:rPr>
        <w:t>năm 2025.</w:t>
      </w:r>
    </w:p>
    <w:p w:rsidR="00662647" w:rsidRPr="005D445A" w:rsidRDefault="00662647" w:rsidP="00662647">
      <w:pPr>
        <w:ind w:firstLine="720"/>
        <w:jc w:val="both"/>
        <w:rPr>
          <w:b/>
          <w:i/>
          <w:szCs w:val="28"/>
          <w:lang w:val="nl-NL"/>
        </w:rPr>
      </w:pPr>
      <w:r w:rsidRPr="005D445A">
        <w:rPr>
          <w:b/>
          <w:i/>
          <w:szCs w:val="28"/>
          <w:lang w:val="nl-NL"/>
        </w:rPr>
        <w:t>c) Tác động đến người dân và doanh nghiệp</w:t>
      </w:r>
    </w:p>
    <w:p w:rsidR="00662647" w:rsidRPr="005D445A" w:rsidRDefault="00662647" w:rsidP="00662647">
      <w:pPr>
        <w:ind w:firstLine="720"/>
        <w:jc w:val="both"/>
        <w:rPr>
          <w:szCs w:val="28"/>
          <w:lang w:val="nl-NL"/>
        </w:rPr>
      </w:pPr>
      <w:r w:rsidRPr="005D445A">
        <w:rPr>
          <w:i/>
          <w:szCs w:val="28"/>
          <w:lang w:val="nl-NL"/>
        </w:rPr>
        <w:t>- Đối với người dân:</w:t>
      </w:r>
      <w:r w:rsidRPr="005D445A">
        <w:rPr>
          <w:szCs w:val="28"/>
          <w:lang w:val="nl-NL"/>
        </w:rPr>
        <w:t xml:space="preserve"> Đây là đối tượng sẽ được hưởng lợi trực tiếp của chính sách này, việc giảm 2% mức thuế GTGT sẽ </w:t>
      </w:r>
      <w:r w:rsidRPr="005D445A">
        <w:rPr>
          <w:bCs/>
          <w:szCs w:val="28"/>
          <w:lang w:val="en-US"/>
        </w:rPr>
        <w:t xml:space="preserve">góp phần </w:t>
      </w:r>
      <w:r w:rsidRPr="005D445A">
        <w:rPr>
          <w:szCs w:val="28"/>
          <w:lang w:val="nl-NL"/>
        </w:rPr>
        <w:t>giảm trực tiếp chi phí của người dân trong việc tiêu dùng hàng hóa, dịch vụ phục vụ đời sống nhân dân.</w:t>
      </w:r>
    </w:p>
    <w:p w:rsidR="00662647" w:rsidRPr="005D445A" w:rsidRDefault="00662647" w:rsidP="00662647">
      <w:pPr>
        <w:ind w:firstLine="720"/>
        <w:jc w:val="both"/>
        <w:rPr>
          <w:bCs/>
          <w:szCs w:val="28"/>
          <w:lang w:val="en-US"/>
        </w:rPr>
      </w:pPr>
      <w:r w:rsidRPr="005D445A">
        <w:rPr>
          <w:i/>
          <w:szCs w:val="28"/>
          <w:lang w:val="nl-NL"/>
        </w:rPr>
        <w:t>- Đối với doanh nghiệp:</w:t>
      </w:r>
      <w:r w:rsidRPr="005D445A">
        <w:rPr>
          <w:szCs w:val="28"/>
          <w:lang w:val="nl-NL"/>
        </w:rPr>
        <w:t xml:space="preserve"> Việc giảm 2% mức thuế GTGT sẽ </w:t>
      </w:r>
      <w:r w:rsidRPr="005D445A">
        <w:rPr>
          <w:bCs/>
          <w:szCs w:val="28"/>
          <w:lang w:val="en-US"/>
        </w:rPr>
        <w:t xml:space="preserve">góp phần </w:t>
      </w:r>
      <w:r w:rsidRPr="005D445A">
        <w:rPr>
          <w:szCs w:val="28"/>
          <w:lang w:val="nl-NL"/>
        </w:rPr>
        <w:t>làm giảm chi phí sản xuất, hạ giá thành sản phẩm</w:t>
      </w:r>
      <w:r w:rsidRPr="005D445A">
        <w:rPr>
          <w:bCs/>
          <w:szCs w:val="28"/>
          <w:lang w:val="en-US"/>
        </w:rPr>
        <w:t xml:space="preserve"> thông qua doanh nghiệp có hoạt động sản xuất kinh doanh hàng hóa, cung ứng dịch vụ được giảm thuế GTGT dẫn đến giảm giá bán của hàng hóa, dịch vụ cho người tiêu dùng, từ đó </w:t>
      </w:r>
      <w:r w:rsidRPr="005D445A">
        <w:rPr>
          <w:szCs w:val="28"/>
          <w:lang w:val="nl-NL"/>
        </w:rPr>
        <w:t>giúp sản phẩm của doanh nghiệp tăng khả năng cạnh tranh, tiêu thụ hàng hóa, dịch vụ và mở rộng sản xuất kinh doanh</w:t>
      </w:r>
      <w:r w:rsidRPr="005D445A">
        <w:rPr>
          <w:bCs/>
          <w:szCs w:val="28"/>
          <w:lang w:val="en-US"/>
        </w:rPr>
        <w:t>, góp phần tạo thêm công ăn việc làm cho người lao động.</w:t>
      </w:r>
    </w:p>
    <w:p w:rsidR="00662647" w:rsidRPr="005D445A" w:rsidRDefault="00662647" w:rsidP="00662647">
      <w:pPr>
        <w:ind w:firstLine="720"/>
        <w:jc w:val="both"/>
        <w:rPr>
          <w:b/>
          <w:i/>
          <w:szCs w:val="28"/>
          <w:lang w:val="nl-NL"/>
        </w:rPr>
      </w:pPr>
      <w:r w:rsidRPr="005D445A">
        <w:rPr>
          <w:b/>
          <w:i/>
          <w:szCs w:val="28"/>
          <w:lang w:val="nl-NL"/>
        </w:rPr>
        <w:lastRenderedPageBreak/>
        <w:t xml:space="preserve">d) Tác động đến </w:t>
      </w:r>
      <w:r w:rsidR="002C174B" w:rsidRPr="005D445A">
        <w:rPr>
          <w:b/>
          <w:i/>
          <w:szCs w:val="28"/>
          <w:lang w:val="nl-NL"/>
        </w:rPr>
        <w:t>cam kết quốc tế</w:t>
      </w:r>
    </w:p>
    <w:p w:rsidR="0005386A" w:rsidRPr="005D445A" w:rsidRDefault="00662647" w:rsidP="00662647">
      <w:pPr>
        <w:ind w:firstLine="720"/>
        <w:jc w:val="both"/>
        <w:rPr>
          <w:szCs w:val="28"/>
          <w:lang w:val="en-US"/>
        </w:rPr>
      </w:pPr>
      <w:r w:rsidRPr="005D445A">
        <w:rPr>
          <w:szCs w:val="28"/>
          <w:lang w:val="en-US"/>
        </w:rPr>
        <w:t>Qua rà soát về các Điều ước quốc tế có liên quan mà Việt Nam là thành viên, các nội dung được đề xuất tại dự án Nghị quyết đều đảm bảo phù hợp với các cam kết quốc tế của Việt Nam và không trái với các cam kết tại các Điều ước quốc tế mà Việt Nam đã tham gia và là thành viên.</w:t>
      </w:r>
    </w:p>
    <w:p w:rsidR="002C174B" w:rsidRPr="005D445A" w:rsidRDefault="0005386A" w:rsidP="00662647">
      <w:pPr>
        <w:ind w:firstLine="720"/>
        <w:jc w:val="both"/>
        <w:rPr>
          <w:b/>
          <w:i/>
          <w:szCs w:val="28"/>
          <w:lang w:val="en-US"/>
        </w:rPr>
      </w:pPr>
      <w:r w:rsidRPr="005D445A">
        <w:rPr>
          <w:b/>
          <w:i/>
          <w:szCs w:val="28"/>
          <w:lang w:val="en-US"/>
        </w:rPr>
        <w:t xml:space="preserve">đ) Tác động đến hệ thống </w:t>
      </w:r>
      <w:r w:rsidR="002C174B" w:rsidRPr="005D445A">
        <w:rPr>
          <w:b/>
          <w:i/>
          <w:szCs w:val="28"/>
          <w:lang w:val="en-US"/>
        </w:rPr>
        <w:t>pháp luật</w:t>
      </w:r>
    </w:p>
    <w:p w:rsidR="00DC4526" w:rsidRPr="005D445A" w:rsidRDefault="002C174B" w:rsidP="00662647">
      <w:pPr>
        <w:ind w:firstLine="720"/>
        <w:jc w:val="both"/>
        <w:rPr>
          <w:szCs w:val="28"/>
          <w:lang w:val="pt-BR"/>
        </w:rPr>
      </w:pPr>
      <w:r w:rsidRPr="005D445A">
        <w:rPr>
          <w:szCs w:val="28"/>
        </w:rPr>
        <w:t>Hoàn thiện hệ thống chính sách.</w:t>
      </w:r>
      <w:r w:rsidR="0005386A" w:rsidRPr="005D445A">
        <w:rPr>
          <w:szCs w:val="28"/>
          <w:lang w:val="en-US"/>
        </w:rPr>
        <w:t xml:space="preserve"> </w:t>
      </w:r>
      <w:r w:rsidR="00DC4526" w:rsidRPr="005D445A">
        <w:rPr>
          <w:szCs w:val="28"/>
          <w:lang w:val="pt-BR"/>
        </w:rPr>
        <w:t xml:space="preserve"> </w:t>
      </w:r>
    </w:p>
    <w:p w:rsidR="00A832FD" w:rsidRPr="00EE15ED" w:rsidRDefault="00A832FD" w:rsidP="00A832FD">
      <w:pPr>
        <w:ind w:firstLine="720"/>
        <w:jc w:val="both"/>
        <w:rPr>
          <w:b/>
          <w:szCs w:val="28"/>
          <w:lang w:val="it-IT"/>
        </w:rPr>
      </w:pPr>
      <w:r w:rsidRPr="00EE15ED">
        <w:rPr>
          <w:b/>
          <w:szCs w:val="28"/>
          <w:lang w:val="it-IT"/>
        </w:rPr>
        <w:t>V</w:t>
      </w:r>
      <w:r>
        <w:rPr>
          <w:b/>
          <w:szCs w:val="28"/>
          <w:lang w:val="it-IT"/>
        </w:rPr>
        <w:t>I</w:t>
      </w:r>
      <w:r w:rsidRPr="00EE15ED">
        <w:rPr>
          <w:b/>
          <w:szCs w:val="28"/>
          <w:lang w:val="it-IT"/>
        </w:rPr>
        <w:t xml:space="preserve">. </w:t>
      </w:r>
      <w:r w:rsidRPr="00EE15ED">
        <w:rPr>
          <w:b/>
          <w:szCs w:val="28"/>
          <w:lang w:val="nl-NL"/>
        </w:rPr>
        <w:t xml:space="preserve">DỰ KIẾN NGUỒN LỰC, ĐIỀU KIỆN BẢO ĐẢM CHO VIỆC </w:t>
      </w:r>
      <w:r>
        <w:rPr>
          <w:b/>
          <w:szCs w:val="28"/>
          <w:lang w:val="nl-NL"/>
        </w:rPr>
        <w:t>THI HÀNH</w:t>
      </w:r>
      <w:r w:rsidRPr="00EE15ED">
        <w:rPr>
          <w:b/>
          <w:szCs w:val="28"/>
          <w:lang w:val="nl-NL"/>
        </w:rPr>
        <w:t xml:space="preserve"> NGHỊ QUYẾT</w:t>
      </w:r>
    </w:p>
    <w:p w:rsidR="00A832FD" w:rsidRPr="009856F1" w:rsidRDefault="00A832FD" w:rsidP="00A832FD">
      <w:pPr>
        <w:spacing w:before="140" w:after="140"/>
        <w:ind w:firstLine="720"/>
        <w:jc w:val="both"/>
        <w:rPr>
          <w:szCs w:val="28"/>
          <w:lang w:val="nl-NL"/>
        </w:rPr>
      </w:pPr>
      <w:r w:rsidRPr="009856F1">
        <w:rPr>
          <w:b/>
          <w:szCs w:val="28"/>
          <w:lang w:val="nl-NL"/>
        </w:rPr>
        <w:t xml:space="preserve">1. </w:t>
      </w:r>
      <w:r w:rsidRPr="009856F1">
        <w:rPr>
          <w:szCs w:val="28"/>
          <w:lang w:val="nl-NL"/>
        </w:rPr>
        <w:t>Dự kiến nguồn lực để thi hành Nghị quyết như sau:</w:t>
      </w:r>
    </w:p>
    <w:p w:rsidR="00A832FD" w:rsidRPr="009856F1" w:rsidRDefault="00A832FD" w:rsidP="00A832FD">
      <w:pPr>
        <w:spacing w:before="140" w:after="140"/>
        <w:ind w:firstLine="720"/>
        <w:jc w:val="both"/>
        <w:rPr>
          <w:szCs w:val="28"/>
          <w:lang w:val="nl-NL"/>
        </w:rPr>
      </w:pPr>
      <w:r w:rsidRPr="009856F1">
        <w:rPr>
          <w:szCs w:val="28"/>
          <w:lang w:val="nl-NL"/>
        </w:rPr>
        <w:t>- Từ nguồn ngân sách trung ương và ngân sách địa phương</w:t>
      </w:r>
      <w:r>
        <w:rPr>
          <w:szCs w:val="28"/>
          <w:lang w:val="nl-NL"/>
        </w:rPr>
        <w:t>.</w:t>
      </w:r>
    </w:p>
    <w:p w:rsidR="00A832FD" w:rsidRPr="009856F1" w:rsidRDefault="00A832FD" w:rsidP="00A832FD">
      <w:pPr>
        <w:spacing w:before="140" w:after="140"/>
        <w:ind w:firstLine="720"/>
        <w:jc w:val="both"/>
        <w:rPr>
          <w:szCs w:val="28"/>
          <w:lang w:val="nl-NL"/>
        </w:rPr>
      </w:pPr>
      <w:r w:rsidRPr="009856F1">
        <w:rPr>
          <w:szCs w:val="28"/>
          <w:lang w:val="nl-NL"/>
        </w:rPr>
        <w:t>- Từ các nguồn lực hợp pháp khác.</w:t>
      </w:r>
    </w:p>
    <w:p w:rsidR="00A832FD" w:rsidRPr="009856F1" w:rsidRDefault="00A832FD" w:rsidP="00A832FD">
      <w:pPr>
        <w:spacing w:before="140" w:after="140"/>
        <w:ind w:firstLine="720"/>
        <w:jc w:val="both"/>
        <w:rPr>
          <w:szCs w:val="28"/>
          <w:lang w:val="nl-NL"/>
        </w:rPr>
      </w:pPr>
      <w:r w:rsidRPr="009856F1">
        <w:rPr>
          <w:b/>
          <w:szCs w:val="28"/>
          <w:lang w:val="nl-NL"/>
        </w:rPr>
        <w:t>2.</w:t>
      </w:r>
      <w:r w:rsidRPr="009856F1">
        <w:rPr>
          <w:szCs w:val="28"/>
          <w:lang w:val="nl-NL"/>
        </w:rPr>
        <w:t xml:space="preserve"> Điều kiện bảo đảm cho việc thi hành Nghị quyết</w:t>
      </w:r>
    </w:p>
    <w:p w:rsidR="00A832FD" w:rsidRPr="009856F1" w:rsidRDefault="00A832FD" w:rsidP="00A832FD">
      <w:pPr>
        <w:spacing w:before="140" w:after="140"/>
        <w:ind w:firstLine="720"/>
        <w:jc w:val="both"/>
        <w:rPr>
          <w:szCs w:val="28"/>
          <w:lang w:val="nl-NL"/>
        </w:rPr>
      </w:pPr>
      <w:r w:rsidRPr="009856F1">
        <w:rPr>
          <w:szCs w:val="28"/>
          <w:lang w:val="nl-NL"/>
        </w:rPr>
        <w:t>Điều kiện bảo đảm cho việc thi hành Nghị quyết bao gồm các nội dung được xác định như sau:</w:t>
      </w:r>
    </w:p>
    <w:p w:rsidR="00A832FD" w:rsidRPr="009856F1" w:rsidRDefault="00A832FD" w:rsidP="00A832FD">
      <w:pPr>
        <w:spacing w:before="140" w:after="140"/>
        <w:ind w:firstLine="720"/>
        <w:jc w:val="both"/>
        <w:rPr>
          <w:szCs w:val="28"/>
          <w:lang w:val="nl-NL"/>
        </w:rPr>
      </w:pPr>
      <w:r w:rsidRPr="009856F1">
        <w:rPr>
          <w:szCs w:val="28"/>
          <w:lang w:val="nl-NL"/>
        </w:rPr>
        <w:t>- Tuyên truyền, phổ biến Nghị quyết: Các Bộ, cơ quan ngang Bộ, cơ quan thuộc Chính phủ trong phạm vi chức năng, nhiệm vụ thực hiện phổ biến, giáo dục Nghị quyết và các quy định liên quan; Bộ Tài chính xây dựng nội dung thông tin, tuyên truyền phổ biến những yêu cầu, nội dung và các quy định của Nghị quyết kịp thời đến các cơ quan, tổ chức và người dân, giúp hiểu biết, nắm bắt pháp luật kịp thời để thực hiện.</w:t>
      </w:r>
    </w:p>
    <w:p w:rsidR="00A832FD" w:rsidRDefault="00A832FD" w:rsidP="00A832FD">
      <w:pPr>
        <w:spacing w:before="140" w:after="140"/>
        <w:ind w:firstLine="720"/>
        <w:jc w:val="both"/>
        <w:rPr>
          <w:bCs/>
          <w:iCs/>
          <w:szCs w:val="28"/>
          <w:lang w:val="nl-NL"/>
        </w:rPr>
      </w:pPr>
      <w:r w:rsidRPr="009856F1">
        <w:rPr>
          <w:szCs w:val="28"/>
          <w:lang w:val="nl-NL"/>
        </w:rPr>
        <w:t xml:space="preserve">- Bảo đảm nguồn lực thực hiện: Bộ Tài chính có hướng dẫn cụ thể để </w:t>
      </w:r>
      <w:r w:rsidR="00945EF5">
        <w:rPr>
          <w:szCs w:val="28"/>
          <w:lang w:val="nl-NL"/>
        </w:rPr>
        <w:t>cơ quan thuế và cơ quan hải quan</w:t>
      </w:r>
      <w:r w:rsidR="00623FEC">
        <w:rPr>
          <w:szCs w:val="28"/>
          <w:lang w:val="nl-NL"/>
        </w:rPr>
        <w:t xml:space="preserve"> </w:t>
      </w:r>
      <w:r w:rsidRPr="009856F1">
        <w:rPr>
          <w:szCs w:val="28"/>
          <w:lang w:val="nl-NL"/>
        </w:rPr>
        <w:t xml:space="preserve">tổ chức triển khai thực hiện Nghị quyết. Đồng thời, để khắc phục </w:t>
      </w:r>
      <w:r w:rsidRPr="009856F1">
        <w:rPr>
          <w:szCs w:val="28"/>
          <w:lang w:val="da-DK"/>
        </w:rPr>
        <w:t xml:space="preserve">và bù đắp các tác động đến thu NSNN trong ngắn hạn cũng như đảm bảo sự chủ động trong điều hành dự toán NSNN, Bộ Tài chính </w:t>
      </w:r>
      <w:r>
        <w:rPr>
          <w:szCs w:val="28"/>
          <w:lang w:val="da-DK"/>
        </w:rPr>
        <w:t xml:space="preserve">sẽ </w:t>
      </w:r>
      <w:r w:rsidRPr="009856F1">
        <w:rPr>
          <w:szCs w:val="28"/>
          <w:lang w:val="da-DK"/>
        </w:rPr>
        <w:t>phối hợp với các Bộ, ngành có liên quan và địa phương chú trọng chỉ đạo thực hiện và triển khai hiệu quả</w:t>
      </w:r>
      <w:r>
        <w:rPr>
          <w:szCs w:val="28"/>
          <w:lang w:val="da-DK"/>
        </w:rPr>
        <w:t xml:space="preserve"> các giải</w:t>
      </w:r>
      <w:r w:rsidRPr="009856F1">
        <w:rPr>
          <w:szCs w:val="28"/>
          <w:lang w:val="da-DK"/>
        </w:rPr>
        <w:t xml:space="preserve"> pháp như đã nêu </w:t>
      </w:r>
      <w:r w:rsidRPr="00E25F62">
        <w:rPr>
          <w:szCs w:val="28"/>
          <w:lang w:val="da-DK"/>
        </w:rPr>
        <w:t>tại điểm a khoản 3 mục V nêu trên</w:t>
      </w:r>
      <w:r w:rsidRPr="00E25F62">
        <w:rPr>
          <w:bCs/>
          <w:iCs/>
          <w:szCs w:val="28"/>
          <w:lang w:val="nl-NL"/>
        </w:rPr>
        <w:t>.</w:t>
      </w:r>
    </w:p>
    <w:p w:rsidR="00A832FD" w:rsidRDefault="00A832FD" w:rsidP="00A832FD">
      <w:pPr>
        <w:ind w:firstLine="720"/>
        <w:jc w:val="both"/>
        <w:rPr>
          <w:szCs w:val="28"/>
          <w:lang w:val="nl-NL"/>
        </w:rPr>
      </w:pPr>
      <w:r w:rsidRPr="009856F1">
        <w:rPr>
          <w:szCs w:val="28"/>
          <w:lang w:val="nl-NL"/>
        </w:rPr>
        <w:t xml:space="preserve">Từ nội dung báo cáo nêu trên, căn cứ Luật Ban hành văn bản quy phạm pháp luật, </w:t>
      </w:r>
      <w:r w:rsidRPr="009856F1">
        <w:rPr>
          <w:bCs/>
          <w:szCs w:val="28"/>
          <w:lang w:val="sv-SE"/>
        </w:rPr>
        <w:t>Bộ Tài chính trình Chính phủ phê duyệt hồ sơ dự án Nghị quyết để trình Quốc hội và g</w:t>
      </w:r>
      <w:r w:rsidRPr="009856F1">
        <w:rPr>
          <w:szCs w:val="28"/>
          <w:lang w:val="nl-NL"/>
        </w:rPr>
        <w:t>iao Bộ trưởng Bộ Tài chính thay mặt Chính phủ thừa ủy quyền Thủ tướng Chính phủ ký Tờ trình Ủy ban Thường vụ Quốc hội, Quốc hội về dự án Nghị quyết của Quốc hội về giảm thuế GTGT và phối hợp với các cơ quan của Quốc hội trong quá trình thẩm tra dự án Nghị quyết.</w:t>
      </w:r>
    </w:p>
    <w:p w:rsidR="00A832FD" w:rsidRPr="009856F1" w:rsidRDefault="00A832FD" w:rsidP="00A832FD">
      <w:pPr>
        <w:ind w:firstLine="720"/>
        <w:jc w:val="both"/>
        <w:rPr>
          <w:szCs w:val="28"/>
          <w:lang w:val="nl-NL"/>
        </w:rPr>
      </w:pPr>
      <w:r w:rsidRPr="009856F1">
        <w:rPr>
          <w:szCs w:val="28"/>
          <w:lang w:val="nl-NL"/>
        </w:rPr>
        <w:t>Trên đây là Tờ trình dự án Nghị quyết của Quốc hội về giảm thuế GTGT. Bộ Tài chính trình Chính phủ xem xét, quyết định./.</w:t>
      </w:r>
    </w:p>
    <w:p w:rsidR="00A832FD" w:rsidRPr="00F136CE" w:rsidRDefault="00A832FD" w:rsidP="00A832FD">
      <w:pPr>
        <w:ind w:firstLine="720"/>
        <w:jc w:val="both"/>
        <w:rPr>
          <w:i/>
          <w:szCs w:val="28"/>
          <w:lang w:val="nl-NL"/>
        </w:rPr>
      </w:pPr>
      <w:r w:rsidRPr="00FE1B35">
        <w:rPr>
          <w:i/>
          <w:szCs w:val="28"/>
          <w:lang w:val="nl-NL"/>
        </w:rPr>
        <w:t xml:space="preserve">(Xin trình kèm: </w:t>
      </w:r>
      <w:r>
        <w:rPr>
          <w:i/>
          <w:szCs w:val="28"/>
          <w:lang w:val="nl-NL"/>
        </w:rPr>
        <w:t xml:space="preserve">1. </w:t>
      </w:r>
      <w:r w:rsidRPr="00FE1B35">
        <w:rPr>
          <w:i/>
          <w:szCs w:val="28"/>
          <w:lang w:val="nl-NL"/>
        </w:rPr>
        <w:t xml:space="preserve">Dự thảo Nghị quyết; </w:t>
      </w:r>
      <w:r>
        <w:rPr>
          <w:i/>
          <w:szCs w:val="28"/>
          <w:lang w:val="nl-NL"/>
        </w:rPr>
        <w:t xml:space="preserve">2. </w:t>
      </w:r>
      <w:r>
        <w:rPr>
          <w:rFonts w:eastAsia="Times New Roman"/>
          <w:i/>
          <w:szCs w:val="24"/>
          <w:lang w:val="nl-NL"/>
        </w:rPr>
        <w:t xml:space="preserve">Báo cáo </w:t>
      </w:r>
      <w:r w:rsidRPr="0062391F">
        <w:rPr>
          <w:i/>
          <w:szCs w:val="28"/>
          <w:lang w:val="nl-NL"/>
        </w:rPr>
        <w:t>giải trình, tiếp thu ý kiến thẩm định của Bộ Tư pháp</w:t>
      </w:r>
      <w:r>
        <w:rPr>
          <w:i/>
          <w:szCs w:val="28"/>
          <w:lang w:val="nl-NL"/>
        </w:rPr>
        <w:t>; 3.</w:t>
      </w:r>
      <w:r w:rsidRPr="00F136CE">
        <w:rPr>
          <w:rFonts w:eastAsia="Times New Roman"/>
          <w:i/>
          <w:szCs w:val="24"/>
          <w:lang w:val="nl-NL"/>
        </w:rPr>
        <w:t xml:space="preserve"> </w:t>
      </w:r>
      <w:r>
        <w:rPr>
          <w:rFonts w:eastAsia="Times New Roman"/>
          <w:i/>
          <w:szCs w:val="24"/>
          <w:lang w:val="nl-NL"/>
        </w:rPr>
        <w:t>Bản</w:t>
      </w:r>
      <w:r w:rsidRPr="001E5BAB">
        <w:rPr>
          <w:rFonts w:eastAsia="Times New Roman"/>
          <w:i/>
          <w:szCs w:val="24"/>
          <w:lang w:val="nl-NL"/>
        </w:rPr>
        <w:t xml:space="preserve"> tiếp thu, giải trình ý kiến góp ý </w:t>
      </w:r>
      <w:r>
        <w:rPr>
          <w:rFonts w:eastAsia="Times New Roman"/>
          <w:i/>
          <w:szCs w:val="24"/>
          <w:lang w:val="nl-NL"/>
        </w:rPr>
        <w:t xml:space="preserve">về dự </w:t>
      </w:r>
      <w:r>
        <w:rPr>
          <w:rFonts w:eastAsia="Times New Roman"/>
          <w:i/>
          <w:szCs w:val="24"/>
          <w:lang w:val="nl-NL"/>
        </w:rPr>
        <w:lastRenderedPageBreak/>
        <w:t xml:space="preserve">án Nghị quyết; </w:t>
      </w:r>
      <w:r w:rsidR="009C0E06">
        <w:rPr>
          <w:i/>
          <w:szCs w:val="28"/>
          <w:lang w:val="nl-NL"/>
        </w:rPr>
        <w:t>4</w:t>
      </w:r>
      <w:r>
        <w:rPr>
          <w:i/>
          <w:szCs w:val="28"/>
          <w:lang w:val="nl-NL"/>
        </w:rPr>
        <w:t>.</w:t>
      </w:r>
      <w:r w:rsidR="000465EF">
        <w:rPr>
          <w:i/>
          <w:szCs w:val="28"/>
          <w:lang w:val="nl-NL"/>
        </w:rPr>
        <w:t xml:space="preserve"> </w:t>
      </w:r>
      <w:r w:rsidR="000465EF">
        <w:rPr>
          <w:bCs/>
          <w:i/>
          <w:szCs w:val="28"/>
          <w:lang w:val="en-US"/>
        </w:rPr>
        <w:t>B</w:t>
      </w:r>
      <w:r w:rsidR="000465EF" w:rsidRPr="000465EF">
        <w:rPr>
          <w:bCs/>
          <w:i/>
          <w:szCs w:val="28"/>
          <w:lang w:val="en-US"/>
        </w:rPr>
        <w:t xml:space="preserve">ản so sánh dự thảo </w:t>
      </w:r>
      <w:r w:rsidR="00945EF5">
        <w:rPr>
          <w:bCs/>
          <w:i/>
          <w:szCs w:val="28"/>
          <w:lang w:val="en-US"/>
        </w:rPr>
        <w:t>N</w:t>
      </w:r>
      <w:r w:rsidR="000465EF" w:rsidRPr="000465EF">
        <w:rPr>
          <w:bCs/>
          <w:i/>
          <w:szCs w:val="28"/>
          <w:lang w:val="en-US"/>
        </w:rPr>
        <w:t xml:space="preserve">ghị quyết của Quốc hội </w:t>
      </w:r>
      <w:r w:rsidR="00945EF5">
        <w:rPr>
          <w:bCs/>
          <w:i/>
          <w:szCs w:val="28"/>
          <w:lang w:val="en-US"/>
        </w:rPr>
        <w:t>về giảm thuế GTGT</w:t>
      </w:r>
      <w:r w:rsidRPr="00FE1B35">
        <w:rPr>
          <w:rFonts w:eastAsia="Times New Roman"/>
          <w:i/>
          <w:szCs w:val="28"/>
          <w:lang w:val="nl-NL"/>
        </w:rPr>
        <w:t>)</w:t>
      </w:r>
      <w:r w:rsidR="00945EF5">
        <w:rPr>
          <w:rFonts w:eastAsia="Times New Roman"/>
          <w:i/>
          <w:szCs w:val="28"/>
          <w:lang w:val="nl-NL"/>
        </w:rPr>
        <w:t>.</w:t>
      </w:r>
    </w:p>
    <w:tbl>
      <w:tblPr>
        <w:tblW w:w="20504" w:type="dxa"/>
        <w:tblCellSpacing w:w="0" w:type="dxa"/>
        <w:tblInd w:w="63" w:type="dxa"/>
        <w:shd w:val="clear" w:color="auto" w:fill="FFFFFF"/>
        <w:tblCellMar>
          <w:left w:w="0" w:type="dxa"/>
          <w:right w:w="0" w:type="dxa"/>
        </w:tblCellMar>
        <w:tblLook w:val="04A0"/>
      </w:tblPr>
      <w:tblGrid>
        <w:gridCol w:w="10550"/>
        <w:gridCol w:w="9954"/>
      </w:tblGrid>
      <w:tr w:rsidR="008B5107" w:rsidRPr="005C11B5" w:rsidTr="00A934A1">
        <w:trPr>
          <w:tblCellSpacing w:w="0" w:type="dxa"/>
        </w:trPr>
        <w:tc>
          <w:tcPr>
            <w:tcW w:w="10550" w:type="dxa"/>
            <w:shd w:val="clear" w:color="auto" w:fill="FFFFFF"/>
            <w:tcMar>
              <w:top w:w="0" w:type="dxa"/>
              <w:left w:w="108" w:type="dxa"/>
              <w:bottom w:w="0" w:type="dxa"/>
              <w:right w:w="108" w:type="dxa"/>
            </w:tcMar>
            <w:hideMark/>
          </w:tcPr>
          <w:tbl>
            <w:tblPr>
              <w:tblpPr w:leftFromText="180" w:rightFromText="180" w:vertAnchor="page" w:horzAnchor="margin" w:tblpY="1"/>
              <w:tblOverlap w:val="never"/>
              <w:tblW w:w="10334" w:type="dxa"/>
              <w:tblLook w:val="0000"/>
            </w:tblPr>
            <w:tblGrid>
              <w:gridCol w:w="3828"/>
              <w:gridCol w:w="6506"/>
            </w:tblGrid>
            <w:tr w:rsidR="007F450C" w:rsidRPr="00EE15ED" w:rsidTr="00A934A1">
              <w:trPr>
                <w:trHeight w:val="1259"/>
              </w:trPr>
              <w:tc>
                <w:tcPr>
                  <w:tcW w:w="3828" w:type="dxa"/>
                </w:tcPr>
                <w:p w:rsidR="007F450C" w:rsidRPr="00EE15ED" w:rsidRDefault="007F450C" w:rsidP="007F450C">
                  <w:pPr>
                    <w:spacing w:before="0" w:after="0"/>
                    <w:jc w:val="both"/>
                    <w:rPr>
                      <w:rFonts w:eastAsia="Times New Roman"/>
                      <w:b/>
                      <w:i/>
                      <w:sz w:val="24"/>
                      <w:szCs w:val="24"/>
                      <w:lang w:val="it-IT"/>
                    </w:rPr>
                  </w:pPr>
                  <w:r w:rsidRPr="00EE15ED">
                    <w:rPr>
                      <w:rFonts w:eastAsia="Times New Roman"/>
                      <w:b/>
                      <w:i/>
                      <w:sz w:val="24"/>
                      <w:szCs w:val="24"/>
                      <w:lang w:val="it-IT"/>
                    </w:rPr>
                    <w:t>Nơi nhận:</w:t>
                  </w:r>
                </w:p>
                <w:p w:rsidR="007F450C" w:rsidRPr="00EE15ED" w:rsidRDefault="007F450C" w:rsidP="007F450C">
                  <w:pPr>
                    <w:spacing w:before="0" w:after="0"/>
                    <w:jc w:val="both"/>
                    <w:rPr>
                      <w:rFonts w:eastAsia="Times New Roman"/>
                      <w:bCs/>
                      <w:sz w:val="22"/>
                      <w:szCs w:val="28"/>
                      <w:lang w:val="it-IT"/>
                    </w:rPr>
                  </w:pPr>
                  <w:r w:rsidRPr="00EE15ED">
                    <w:rPr>
                      <w:rFonts w:eastAsia="Times New Roman"/>
                      <w:bCs/>
                      <w:sz w:val="22"/>
                      <w:szCs w:val="28"/>
                      <w:lang w:val="it-IT"/>
                    </w:rPr>
                    <w:t>- Như trên;</w:t>
                  </w:r>
                </w:p>
                <w:p w:rsidR="007F450C" w:rsidRPr="00EE15ED" w:rsidRDefault="00936351" w:rsidP="007F450C">
                  <w:pPr>
                    <w:spacing w:before="0" w:after="0"/>
                    <w:jc w:val="both"/>
                    <w:rPr>
                      <w:rFonts w:eastAsia="Times New Roman"/>
                      <w:bCs/>
                      <w:sz w:val="22"/>
                      <w:szCs w:val="28"/>
                      <w:lang w:val="nl-NL"/>
                    </w:rPr>
                  </w:pPr>
                  <w:r>
                    <w:rPr>
                      <w:rFonts w:eastAsia="Times New Roman"/>
                      <w:bCs/>
                      <w:sz w:val="22"/>
                      <w:szCs w:val="28"/>
                      <w:lang w:val="nl-NL"/>
                    </w:rPr>
                    <w:t xml:space="preserve">- </w:t>
                  </w:r>
                  <w:r w:rsidR="007F450C" w:rsidRPr="00EE15ED">
                    <w:rPr>
                      <w:rFonts w:eastAsia="Times New Roman"/>
                      <w:bCs/>
                      <w:sz w:val="22"/>
                      <w:szCs w:val="28"/>
                      <w:lang w:val="nl-NL"/>
                    </w:rPr>
                    <w:t xml:space="preserve">Thủ tướng Chính phủ (để </w:t>
                  </w:r>
                  <w:r w:rsidR="00A934A1">
                    <w:rPr>
                      <w:rFonts w:eastAsia="Times New Roman"/>
                      <w:bCs/>
                      <w:sz w:val="22"/>
                      <w:szCs w:val="28"/>
                      <w:lang w:val="nl-NL"/>
                    </w:rPr>
                    <w:t>b/c</w:t>
                  </w:r>
                  <w:r w:rsidR="007F450C" w:rsidRPr="00EE15ED">
                    <w:rPr>
                      <w:rFonts w:eastAsia="Times New Roman"/>
                      <w:bCs/>
                      <w:sz w:val="22"/>
                      <w:szCs w:val="28"/>
                      <w:lang w:val="nl-NL"/>
                    </w:rPr>
                    <w:t>);</w:t>
                  </w:r>
                </w:p>
                <w:p w:rsidR="007F450C" w:rsidRDefault="00DF65AD" w:rsidP="007F450C">
                  <w:pPr>
                    <w:spacing w:before="0" w:after="0"/>
                    <w:jc w:val="both"/>
                    <w:rPr>
                      <w:rFonts w:eastAsia="Times New Roman"/>
                      <w:bCs/>
                      <w:sz w:val="22"/>
                      <w:szCs w:val="28"/>
                      <w:lang w:val="nl-NL"/>
                    </w:rPr>
                  </w:pPr>
                  <w:r>
                    <w:rPr>
                      <w:rFonts w:eastAsia="Times New Roman"/>
                      <w:bCs/>
                      <w:sz w:val="22"/>
                      <w:szCs w:val="28"/>
                      <w:lang w:val="nl-NL"/>
                    </w:rPr>
                    <w:t xml:space="preserve">-  </w:t>
                  </w:r>
                  <w:r w:rsidR="007F450C" w:rsidRPr="00EE15ED">
                    <w:rPr>
                      <w:rFonts w:eastAsia="Times New Roman"/>
                      <w:bCs/>
                      <w:sz w:val="22"/>
                      <w:szCs w:val="28"/>
                      <w:lang w:val="nl-NL"/>
                    </w:rPr>
                    <w:t xml:space="preserve">Phó Thủ tướng </w:t>
                  </w:r>
                  <w:r w:rsidR="007F450C">
                    <w:rPr>
                      <w:rFonts w:eastAsia="Times New Roman"/>
                      <w:bCs/>
                      <w:sz w:val="22"/>
                      <w:szCs w:val="28"/>
                      <w:lang w:val="nl-NL"/>
                    </w:rPr>
                    <w:t>Hồ Đức Phớc</w:t>
                  </w:r>
                  <w:r w:rsidR="007F450C" w:rsidRPr="00EE15ED">
                    <w:rPr>
                      <w:rFonts w:eastAsia="Times New Roman"/>
                      <w:bCs/>
                      <w:sz w:val="22"/>
                      <w:szCs w:val="28"/>
                      <w:lang w:val="nl-NL"/>
                    </w:rPr>
                    <w:t xml:space="preserve"> (để </w:t>
                  </w:r>
                  <w:r w:rsidR="00A934A1">
                    <w:rPr>
                      <w:rFonts w:eastAsia="Times New Roman"/>
                      <w:bCs/>
                      <w:sz w:val="22"/>
                      <w:szCs w:val="28"/>
                      <w:lang w:val="nl-NL"/>
                    </w:rPr>
                    <w:t>b/c</w:t>
                  </w:r>
                  <w:r w:rsidR="007F450C" w:rsidRPr="00EE15ED">
                    <w:rPr>
                      <w:rFonts w:eastAsia="Times New Roman"/>
                      <w:bCs/>
                      <w:sz w:val="22"/>
                      <w:szCs w:val="28"/>
                      <w:lang w:val="nl-NL"/>
                    </w:rPr>
                    <w:t>);</w:t>
                  </w:r>
                </w:p>
                <w:p w:rsidR="00A934A1" w:rsidRPr="00EE15ED" w:rsidRDefault="00A934A1" w:rsidP="007F450C">
                  <w:pPr>
                    <w:spacing w:before="0" w:after="0"/>
                    <w:jc w:val="both"/>
                    <w:rPr>
                      <w:rFonts w:eastAsia="Times New Roman"/>
                      <w:bCs/>
                      <w:sz w:val="22"/>
                      <w:szCs w:val="28"/>
                      <w:lang w:val="nl-NL"/>
                    </w:rPr>
                  </w:pPr>
                  <w:r>
                    <w:rPr>
                      <w:rFonts w:eastAsia="Times New Roman"/>
                      <w:bCs/>
                      <w:sz w:val="22"/>
                      <w:szCs w:val="28"/>
                      <w:lang w:val="nl-NL"/>
                    </w:rPr>
                    <w:t>- Bộ trưởng (để b/c);</w:t>
                  </w:r>
                </w:p>
                <w:p w:rsidR="007F450C" w:rsidRPr="00EE15ED" w:rsidRDefault="007F450C" w:rsidP="007F450C">
                  <w:pPr>
                    <w:spacing w:before="0" w:after="0"/>
                    <w:jc w:val="both"/>
                    <w:rPr>
                      <w:rFonts w:eastAsia="Times New Roman"/>
                      <w:bCs/>
                      <w:sz w:val="22"/>
                      <w:szCs w:val="28"/>
                      <w:lang w:val="it-IT"/>
                    </w:rPr>
                  </w:pPr>
                  <w:r w:rsidRPr="00EE15ED">
                    <w:rPr>
                      <w:rFonts w:eastAsia="Times New Roman"/>
                      <w:bCs/>
                      <w:sz w:val="22"/>
                      <w:szCs w:val="28"/>
                      <w:lang w:val="it-IT"/>
                    </w:rPr>
                    <w:t xml:space="preserve">- Văn phòng Chính phủ (để phối hợp); </w:t>
                  </w:r>
                </w:p>
                <w:p w:rsidR="007F450C" w:rsidRPr="00EE15ED" w:rsidRDefault="007F450C" w:rsidP="007F450C">
                  <w:pPr>
                    <w:spacing w:before="0" w:after="0"/>
                    <w:jc w:val="both"/>
                    <w:rPr>
                      <w:rFonts w:eastAsia="Times New Roman"/>
                      <w:b/>
                      <w:i/>
                      <w:sz w:val="23"/>
                      <w:szCs w:val="23"/>
                      <w:lang w:val="it-IT"/>
                    </w:rPr>
                  </w:pPr>
                  <w:r w:rsidRPr="00EE15ED">
                    <w:rPr>
                      <w:rFonts w:eastAsia="Times New Roman"/>
                      <w:bCs/>
                      <w:sz w:val="22"/>
                      <w:szCs w:val="28"/>
                      <w:lang w:val="it-IT"/>
                    </w:rPr>
                    <w:t>- Lưu: VT, CST (GTGT).</w:t>
                  </w:r>
                </w:p>
              </w:tc>
              <w:tc>
                <w:tcPr>
                  <w:tcW w:w="6506" w:type="dxa"/>
                </w:tcPr>
                <w:p w:rsidR="007F450C" w:rsidRPr="00EE15ED" w:rsidRDefault="007F450C" w:rsidP="007F450C">
                  <w:pPr>
                    <w:spacing w:before="0" w:after="0"/>
                    <w:jc w:val="center"/>
                    <w:rPr>
                      <w:rFonts w:eastAsia="Times New Roman"/>
                      <w:b/>
                      <w:bCs/>
                      <w:sz w:val="26"/>
                      <w:szCs w:val="26"/>
                      <w:lang w:val="it-IT"/>
                    </w:rPr>
                  </w:pPr>
                  <w:r w:rsidRPr="00EE15ED">
                    <w:rPr>
                      <w:rFonts w:eastAsia="Times New Roman"/>
                      <w:b/>
                      <w:bCs/>
                      <w:sz w:val="26"/>
                      <w:szCs w:val="26"/>
                      <w:lang w:val="it-IT"/>
                    </w:rPr>
                    <w:t>KT. BỘ TRƯỞNG</w:t>
                  </w:r>
                </w:p>
                <w:p w:rsidR="007F450C" w:rsidRPr="00EE15ED" w:rsidRDefault="007F450C" w:rsidP="007F450C">
                  <w:pPr>
                    <w:spacing w:before="0" w:after="0"/>
                    <w:jc w:val="center"/>
                    <w:rPr>
                      <w:rFonts w:eastAsia="Times New Roman"/>
                      <w:b/>
                      <w:bCs/>
                      <w:sz w:val="26"/>
                      <w:szCs w:val="26"/>
                      <w:lang w:val="it-IT"/>
                    </w:rPr>
                  </w:pPr>
                  <w:r w:rsidRPr="00EE15ED">
                    <w:rPr>
                      <w:rFonts w:eastAsia="Times New Roman"/>
                      <w:b/>
                      <w:bCs/>
                      <w:sz w:val="26"/>
                      <w:szCs w:val="26"/>
                      <w:lang w:val="it-IT"/>
                    </w:rPr>
                    <w:t>THỨ TRƯỞNG</w:t>
                  </w:r>
                </w:p>
                <w:p w:rsidR="007F450C" w:rsidRPr="00EE15ED" w:rsidRDefault="007F450C" w:rsidP="007F450C">
                  <w:pPr>
                    <w:spacing w:before="0" w:after="0"/>
                    <w:jc w:val="center"/>
                    <w:rPr>
                      <w:rFonts w:eastAsia="Times New Roman"/>
                      <w:b/>
                      <w:bCs/>
                      <w:sz w:val="26"/>
                      <w:szCs w:val="26"/>
                      <w:lang w:val="it-IT"/>
                    </w:rPr>
                  </w:pPr>
                </w:p>
                <w:p w:rsidR="007F450C" w:rsidRPr="00EE15ED" w:rsidRDefault="007F450C" w:rsidP="007F450C">
                  <w:pPr>
                    <w:spacing w:before="0" w:after="0"/>
                    <w:jc w:val="center"/>
                    <w:rPr>
                      <w:rFonts w:eastAsia="Times New Roman"/>
                      <w:b/>
                      <w:sz w:val="26"/>
                      <w:szCs w:val="26"/>
                      <w:lang w:val="it-IT"/>
                    </w:rPr>
                  </w:pPr>
                </w:p>
                <w:p w:rsidR="007F450C" w:rsidRPr="00EE15ED" w:rsidRDefault="007F450C" w:rsidP="007F450C">
                  <w:pPr>
                    <w:spacing w:before="0" w:after="0"/>
                    <w:rPr>
                      <w:rFonts w:eastAsia="Times New Roman"/>
                      <w:sz w:val="26"/>
                      <w:szCs w:val="26"/>
                      <w:lang w:val="it-IT"/>
                    </w:rPr>
                  </w:pPr>
                </w:p>
                <w:p w:rsidR="007F450C" w:rsidRPr="00EE15ED" w:rsidRDefault="007F450C" w:rsidP="007F450C">
                  <w:pPr>
                    <w:spacing w:before="0" w:after="0"/>
                    <w:rPr>
                      <w:rFonts w:eastAsia="Times New Roman"/>
                      <w:sz w:val="26"/>
                      <w:szCs w:val="26"/>
                      <w:lang w:val="it-IT"/>
                    </w:rPr>
                  </w:pPr>
                </w:p>
                <w:p w:rsidR="007F450C" w:rsidRPr="00EE15ED" w:rsidRDefault="007F450C" w:rsidP="007F450C">
                  <w:pPr>
                    <w:spacing w:before="0" w:after="0"/>
                    <w:jc w:val="center"/>
                    <w:rPr>
                      <w:rFonts w:eastAsia="Times New Roman"/>
                      <w:b/>
                      <w:szCs w:val="28"/>
                      <w:lang w:val="it-IT"/>
                    </w:rPr>
                  </w:pPr>
                </w:p>
                <w:p w:rsidR="007F450C" w:rsidRPr="00EE15ED" w:rsidRDefault="007F450C" w:rsidP="007F450C">
                  <w:pPr>
                    <w:spacing w:before="0" w:after="0"/>
                    <w:jc w:val="center"/>
                    <w:rPr>
                      <w:rFonts w:eastAsia="Times New Roman"/>
                      <w:b/>
                      <w:szCs w:val="28"/>
                      <w:lang w:val="it-IT"/>
                    </w:rPr>
                  </w:pPr>
                  <w:r w:rsidRPr="00EE15ED">
                    <w:rPr>
                      <w:rFonts w:eastAsia="Times New Roman"/>
                      <w:b/>
                      <w:szCs w:val="28"/>
                      <w:lang w:val="it-IT"/>
                    </w:rPr>
                    <w:t>Cao Anh Tuấn</w:t>
                  </w:r>
                </w:p>
              </w:tc>
            </w:tr>
          </w:tbl>
          <w:p w:rsidR="008B5107" w:rsidRPr="00EE15ED" w:rsidRDefault="008B5107"/>
        </w:tc>
        <w:tc>
          <w:tcPr>
            <w:tcW w:w="9954" w:type="dxa"/>
            <w:shd w:val="clear" w:color="auto" w:fill="FFFFFF"/>
            <w:tcMar>
              <w:top w:w="0" w:type="dxa"/>
              <w:left w:w="108" w:type="dxa"/>
              <w:bottom w:w="0" w:type="dxa"/>
              <w:right w:w="108" w:type="dxa"/>
            </w:tcMar>
            <w:hideMark/>
          </w:tcPr>
          <w:tbl>
            <w:tblPr>
              <w:tblW w:w="9630" w:type="dxa"/>
              <w:tblInd w:w="108" w:type="dxa"/>
              <w:tblLook w:val="0000"/>
            </w:tblPr>
            <w:tblGrid>
              <w:gridCol w:w="4395"/>
              <w:gridCol w:w="5235"/>
            </w:tblGrid>
            <w:tr w:rsidR="008B5107" w:rsidRPr="005C11B5" w:rsidTr="004C2F3B">
              <w:trPr>
                <w:trHeight w:val="1259"/>
              </w:trPr>
              <w:tc>
                <w:tcPr>
                  <w:tcW w:w="4395" w:type="dxa"/>
                </w:tcPr>
                <w:p w:rsidR="008B5107" w:rsidRPr="00EE15ED" w:rsidRDefault="008B5107" w:rsidP="004C2F3B">
                  <w:pPr>
                    <w:spacing w:before="0" w:after="0"/>
                    <w:jc w:val="both"/>
                    <w:rPr>
                      <w:rFonts w:eastAsia="Times New Roman"/>
                      <w:b/>
                      <w:i/>
                      <w:sz w:val="24"/>
                      <w:szCs w:val="24"/>
                      <w:lang w:val="it-IT"/>
                    </w:rPr>
                  </w:pPr>
                  <w:r w:rsidRPr="00EE15ED">
                    <w:rPr>
                      <w:rFonts w:eastAsia="Times New Roman"/>
                      <w:b/>
                      <w:i/>
                      <w:sz w:val="24"/>
                      <w:szCs w:val="24"/>
                      <w:lang w:val="it-IT"/>
                    </w:rPr>
                    <w:t>Nơi nhận:</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Như trên;</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Thủ tướng Chính phủ, Phó Thủ tướng Lê Minh Khái (để báo cáo);</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Bộ trưởng (để báo cáo);</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Văn phòng Trung ương Đảng (để báo cáo Bộ Chính trị);</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xml:space="preserve">- Văn phòng Chính phủ (để phối hợp); </w:t>
                  </w:r>
                </w:p>
                <w:p w:rsidR="008B5107" w:rsidRPr="00EE15ED" w:rsidRDefault="008B5107" w:rsidP="004C2F3B">
                  <w:pPr>
                    <w:spacing w:before="0" w:after="0"/>
                    <w:jc w:val="both"/>
                    <w:rPr>
                      <w:rFonts w:eastAsia="Times New Roman"/>
                      <w:bCs/>
                      <w:sz w:val="22"/>
                      <w:szCs w:val="28"/>
                      <w:lang w:val="it-IT"/>
                    </w:rPr>
                  </w:pPr>
                  <w:r w:rsidRPr="00EE15ED">
                    <w:rPr>
                      <w:rFonts w:eastAsia="Times New Roman"/>
                      <w:bCs/>
                      <w:sz w:val="22"/>
                      <w:szCs w:val="28"/>
                      <w:lang w:val="it-IT"/>
                    </w:rPr>
                    <w:t>- Các đơn vị: TCT, PC, TCHQ;</w:t>
                  </w:r>
                </w:p>
                <w:p w:rsidR="008B5107" w:rsidRPr="00EE15ED" w:rsidRDefault="008B5107" w:rsidP="004C2F3B">
                  <w:pPr>
                    <w:spacing w:before="0" w:after="0"/>
                    <w:jc w:val="both"/>
                    <w:rPr>
                      <w:rFonts w:eastAsia="Times New Roman"/>
                      <w:b/>
                      <w:i/>
                      <w:sz w:val="23"/>
                      <w:szCs w:val="23"/>
                      <w:lang w:val="it-IT"/>
                    </w:rPr>
                  </w:pPr>
                  <w:r w:rsidRPr="00EE15ED">
                    <w:rPr>
                      <w:rFonts w:eastAsia="Times New Roman"/>
                      <w:bCs/>
                      <w:sz w:val="22"/>
                      <w:szCs w:val="28"/>
                      <w:lang w:val="it-IT"/>
                    </w:rPr>
                    <w:t>- Lưu: VT, CST(P2).</w:t>
                  </w:r>
                </w:p>
              </w:tc>
              <w:tc>
                <w:tcPr>
                  <w:tcW w:w="5235" w:type="dxa"/>
                </w:tcPr>
                <w:p w:rsidR="008B5107" w:rsidRPr="00EE15ED" w:rsidRDefault="008B5107" w:rsidP="004C2F3B">
                  <w:pPr>
                    <w:spacing w:before="0" w:after="0"/>
                    <w:jc w:val="center"/>
                    <w:rPr>
                      <w:rFonts w:eastAsia="Times New Roman"/>
                      <w:b/>
                      <w:bCs/>
                      <w:sz w:val="26"/>
                      <w:szCs w:val="26"/>
                      <w:lang w:val="it-IT"/>
                    </w:rPr>
                  </w:pPr>
                  <w:r w:rsidRPr="00EE15ED">
                    <w:rPr>
                      <w:rFonts w:eastAsia="Times New Roman"/>
                      <w:b/>
                      <w:bCs/>
                      <w:sz w:val="26"/>
                      <w:szCs w:val="26"/>
                      <w:lang w:val="it-IT"/>
                    </w:rPr>
                    <w:t>KT. BỘ TRƯỞNG</w:t>
                  </w:r>
                </w:p>
                <w:p w:rsidR="008B5107" w:rsidRPr="00EE15ED" w:rsidRDefault="008B5107" w:rsidP="004C2F3B">
                  <w:pPr>
                    <w:spacing w:before="0" w:after="0"/>
                    <w:jc w:val="center"/>
                    <w:rPr>
                      <w:rFonts w:eastAsia="Times New Roman"/>
                      <w:b/>
                      <w:bCs/>
                      <w:sz w:val="26"/>
                      <w:szCs w:val="26"/>
                      <w:lang w:val="it-IT"/>
                    </w:rPr>
                  </w:pPr>
                  <w:r w:rsidRPr="00EE15ED">
                    <w:rPr>
                      <w:rFonts w:eastAsia="Times New Roman"/>
                      <w:b/>
                      <w:bCs/>
                      <w:sz w:val="26"/>
                      <w:szCs w:val="26"/>
                      <w:lang w:val="it-IT"/>
                    </w:rPr>
                    <w:t>THỨ TRƯỞNG</w:t>
                  </w:r>
                </w:p>
                <w:p w:rsidR="008B5107" w:rsidRPr="00EE15ED" w:rsidRDefault="008B5107" w:rsidP="004C2F3B">
                  <w:pPr>
                    <w:spacing w:before="0" w:after="0"/>
                    <w:jc w:val="center"/>
                    <w:rPr>
                      <w:rFonts w:eastAsia="Times New Roman"/>
                      <w:b/>
                      <w:bCs/>
                      <w:sz w:val="26"/>
                      <w:szCs w:val="26"/>
                      <w:lang w:val="it-IT"/>
                    </w:rPr>
                  </w:pPr>
                </w:p>
                <w:p w:rsidR="008B5107" w:rsidRPr="00EE15ED" w:rsidRDefault="008B5107" w:rsidP="004C2F3B">
                  <w:pPr>
                    <w:spacing w:before="0" w:after="0"/>
                    <w:jc w:val="center"/>
                    <w:rPr>
                      <w:rFonts w:eastAsia="Times New Roman"/>
                      <w:b/>
                      <w:sz w:val="26"/>
                      <w:szCs w:val="26"/>
                      <w:lang w:val="it-IT"/>
                    </w:rPr>
                  </w:pPr>
                </w:p>
                <w:p w:rsidR="008B5107" w:rsidRPr="00EE15ED" w:rsidRDefault="008B5107" w:rsidP="004C2F3B">
                  <w:pPr>
                    <w:spacing w:before="0" w:after="0"/>
                    <w:rPr>
                      <w:rFonts w:eastAsia="Times New Roman"/>
                      <w:sz w:val="26"/>
                      <w:szCs w:val="26"/>
                      <w:lang w:val="it-IT"/>
                    </w:rPr>
                  </w:pPr>
                </w:p>
                <w:p w:rsidR="008B5107" w:rsidRPr="00EE15ED" w:rsidRDefault="008B5107" w:rsidP="004C2F3B">
                  <w:pPr>
                    <w:spacing w:before="0" w:after="0"/>
                    <w:rPr>
                      <w:rFonts w:eastAsia="Times New Roman"/>
                      <w:sz w:val="26"/>
                      <w:szCs w:val="26"/>
                      <w:lang w:val="it-IT"/>
                    </w:rPr>
                  </w:pPr>
                </w:p>
                <w:p w:rsidR="008B5107" w:rsidRPr="00EE15ED" w:rsidRDefault="008B5107" w:rsidP="004C2F3B">
                  <w:pPr>
                    <w:spacing w:before="0" w:after="0"/>
                    <w:jc w:val="center"/>
                    <w:rPr>
                      <w:rFonts w:eastAsia="Times New Roman"/>
                      <w:b/>
                      <w:szCs w:val="28"/>
                      <w:lang w:val="it-IT"/>
                    </w:rPr>
                  </w:pPr>
                </w:p>
                <w:p w:rsidR="008B5107" w:rsidRPr="00D40A08" w:rsidRDefault="008B5107" w:rsidP="004C2F3B">
                  <w:pPr>
                    <w:spacing w:before="0" w:after="0"/>
                    <w:jc w:val="center"/>
                    <w:rPr>
                      <w:rFonts w:eastAsia="Times New Roman"/>
                      <w:b/>
                      <w:szCs w:val="28"/>
                      <w:lang w:val="it-IT"/>
                    </w:rPr>
                  </w:pPr>
                  <w:r w:rsidRPr="00EE15ED">
                    <w:rPr>
                      <w:rFonts w:eastAsia="Times New Roman"/>
                      <w:b/>
                      <w:szCs w:val="28"/>
                      <w:lang w:val="it-IT"/>
                    </w:rPr>
                    <w:t>Võ Thành Hưng</w:t>
                  </w:r>
                </w:p>
              </w:tc>
            </w:tr>
          </w:tbl>
          <w:p w:rsidR="008B5107" w:rsidRPr="005C11B5" w:rsidRDefault="008B5107"/>
        </w:tc>
      </w:tr>
    </w:tbl>
    <w:p w:rsidR="00232766" w:rsidRPr="00B1221B" w:rsidRDefault="00232766" w:rsidP="00C65F67">
      <w:pPr>
        <w:spacing w:before="0" w:after="0"/>
        <w:jc w:val="both"/>
        <w:rPr>
          <w:rFonts w:eastAsia="Times New Roman"/>
          <w:i/>
          <w:szCs w:val="28"/>
          <w:lang w:val="en-US"/>
        </w:rPr>
      </w:pPr>
    </w:p>
    <w:sectPr w:rsidR="00232766" w:rsidRPr="00B1221B" w:rsidSect="00E915DE">
      <w:headerReference w:type="default" r:id="rId8"/>
      <w:pgSz w:w="11906" w:h="16838" w:code="9"/>
      <w:pgMar w:top="1134" w:right="1304" w:bottom="1134" w:left="1701" w:header="454"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441" w:rsidRDefault="00BD6441" w:rsidP="00304222">
      <w:pPr>
        <w:spacing w:before="0" w:after="0"/>
      </w:pPr>
      <w:r>
        <w:separator/>
      </w:r>
    </w:p>
  </w:endnote>
  <w:endnote w:type="continuationSeparator" w:id="0">
    <w:p w:rsidR="00BD6441" w:rsidRDefault="00BD6441" w:rsidP="0030422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VnFre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441" w:rsidRDefault="00BD6441" w:rsidP="00304222">
      <w:pPr>
        <w:spacing w:before="0" w:after="0"/>
      </w:pPr>
      <w:r>
        <w:separator/>
      </w:r>
    </w:p>
  </w:footnote>
  <w:footnote w:type="continuationSeparator" w:id="0">
    <w:p w:rsidR="00BD6441" w:rsidRDefault="00BD6441" w:rsidP="00304222">
      <w:pPr>
        <w:spacing w:before="0" w:after="0"/>
      </w:pPr>
      <w:r>
        <w:continuationSeparator/>
      </w:r>
    </w:p>
  </w:footnote>
  <w:footnote w:id="1">
    <w:p w:rsidR="00BD6441" w:rsidRPr="009B122D" w:rsidRDefault="00BD6441">
      <w:pPr>
        <w:pStyle w:val="FootnoteText"/>
        <w:rPr>
          <w:lang w:val="en-US"/>
        </w:rPr>
      </w:pPr>
      <w:r>
        <w:rPr>
          <w:rStyle w:val="FootnoteReference"/>
        </w:rPr>
        <w:footnoteRef/>
      </w:r>
      <w:r>
        <w:t xml:space="preserve"> </w:t>
      </w:r>
      <w:r>
        <w:rPr>
          <w:lang w:val="en-US"/>
        </w:rPr>
        <w:t xml:space="preserve">Năm 2024, tổng </w:t>
      </w:r>
      <w:r w:rsidRPr="009B122D">
        <w:rPr>
          <w:lang w:val="en-US"/>
        </w:rPr>
        <w:t xml:space="preserve">mức </w:t>
      </w:r>
      <w:r w:rsidRPr="009B122D">
        <w:t xml:space="preserve">bán lẻ hàng hóa và doanh thu dịch vụ tiêu dùng (giá hiện hành) </w:t>
      </w:r>
      <w:r w:rsidRPr="009B122D">
        <w:rPr>
          <w:lang w:val="en-US"/>
        </w:rPr>
        <w:t>ước</w:t>
      </w:r>
      <w:r w:rsidRPr="009B122D">
        <w:t xml:space="preserve"> tăng khoảng </w:t>
      </w:r>
      <w:r w:rsidRPr="009B122D">
        <w:rPr>
          <w:lang w:val="en-US"/>
        </w:rPr>
        <w:t>9</w:t>
      </w:r>
      <w:r w:rsidRPr="009B122D">
        <w:t xml:space="preserve">% </w:t>
      </w:r>
    </w:p>
  </w:footnote>
  <w:footnote w:id="2">
    <w:p w:rsidR="00BD6441" w:rsidRPr="009F297E" w:rsidRDefault="00BD6441" w:rsidP="006719C1">
      <w:pPr>
        <w:pStyle w:val="FootnoteText"/>
        <w:spacing w:before="20" w:after="20"/>
        <w:jc w:val="both"/>
      </w:pPr>
      <w:r w:rsidRPr="00BC5895">
        <w:rPr>
          <w:rStyle w:val="FootnoteReference"/>
        </w:rPr>
        <w:footnoteRef/>
      </w:r>
      <w:r w:rsidRPr="009F297E">
        <w:t xml:space="preserve"> </w:t>
      </w:r>
      <w:r w:rsidRPr="00387210">
        <w:t>Tổng kim ngạch xuất, nhập khẩu hàng hóa hai tháng đầu năm 2024 đạt 113,5 tỷ USD, tăng 18,2% so với cùng kỳ năm trước, trong đó xuất khẩu đạt 59,3 tỷ USD, tăng 19,2%; nhập khẩu đạt 54,2 tỷ USD, tăng 17,1%.</w:t>
      </w:r>
    </w:p>
  </w:footnote>
  <w:footnote w:id="3">
    <w:p w:rsidR="00BD6441" w:rsidRDefault="00BD6441" w:rsidP="00522C3E">
      <w:pPr>
        <w:pStyle w:val="FootnoteText"/>
        <w:jc w:val="both"/>
      </w:pPr>
      <w:r>
        <w:rPr>
          <w:rStyle w:val="FootnoteReference"/>
        </w:rPr>
        <w:footnoteRef/>
      </w:r>
      <w:r>
        <w:t xml:space="preserve"> T</w:t>
      </w:r>
      <w:r w:rsidRPr="001F6054">
        <w:t xml:space="preserve">heo báo cáo của </w:t>
      </w:r>
      <w:r>
        <w:rPr>
          <w:lang w:val="en-US"/>
        </w:rPr>
        <w:t>Kho bạc Nhà nước</w:t>
      </w:r>
      <w:r>
        <w:t xml:space="preserve"> đến hết ngày 28/02/2025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41" w:rsidRDefault="00D6222F">
    <w:pPr>
      <w:pStyle w:val="Header"/>
      <w:jc w:val="center"/>
    </w:pPr>
    <w:r w:rsidRPr="00471089">
      <w:rPr>
        <w:sz w:val="24"/>
        <w:szCs w:val="24"/>
      </w:rPr>
      <w:fldChar w:fldCharType="begin"/>
    </w:r>
    <w:r w:rsidR="00BD6441" w:rsidRPr="00471089">
      <w:rPr>
        <w:sz w:val="24"/>
        <w:szCs w:val="24"/>
      </w:rPr>
      <w:instrText xml:space="preserve"> PAGE   \* MERGEFORMAT </w:instrText>
    </w:r>
    <w:r w:rsidRPr="00471089">
      <w:rPr>
        <w:sz w:val="24"/>
        <w:szCs w:val="24"/>
      </w:rPr>
      <w:fldChar w:fldCharType="separate"/>
    </w:r>
    <w:r w:rsidR="00945EF5">
      <w:rPr>
        <w:noProof/>
        <w:sz w:val="24"/>
        <w:szCs w:val="24"/>
      </w:rPr>
      <w:t>11</w:t>
    </w:r>
    <w:r w:rsidRPr="00471089">
      <w:rPr>
        <w:sz w:val="24"/>
        <w:szCs w:val="24"/>
      </w:rPr>
      <w:fldChar w:fldCharType="end"/>
    </w:r>
  </w:p>
  <w:p w:rsidR="00BD6441" w:rsidRDefault="00BD6441" w:rsidP="00592DBD">
    <w:pPr>
      <w:pStyle w:val="Header"/>
      <w:tabs>
        <w:tab w:val="clear" w:pos="4513"/>
        <w:tab w:val="clear" w:pos="9026"/>
        <w:tab w:val="left" w:pos="27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2DA0"/>
    <w:multiLevelType w:val="hybridMultilevel"/>
    <w:tmpl w:val="8B80112A"/>
    <w:lvl w:ilvl="0" w:tplc="B2FC25F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31B41000"/>
    <w:multiLevelType w:val="hybridMultilevel"/>
    <w:tmpl w:val="2618B878"/>
    <w:lvl w:ilvl="0" w:tplc="8B023F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8FC54C1"/>
    <w:multiLevelType w:val="hybridMultilevel"/>
    <w:tmpl w:val="35D0F0A4"/>
    <w:lvl w:ilvl="0" w:tplc="04F4518E">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14017"/>
  </w:hdrShapeDefaults>
  <w:footnotePr>
    <w:footnote w:id="-1"/>
    <w:footnote w:id="0"/>
  </w:footnotePr>
  <w:endnotePr>
    <w:endnote w:id="-1"/>
    <w:endnote w:id="0"/>
  </w:endnotePr>
  <w:compat/>
  <w:rsids>
    <w:rsidRoot w:val="005270A8"/>
    <w:rsid w:val="00001138"/>
    <w:rsid w:val="000037BC"/>
    <w:rsid w:val="000049F8"/>
    <w:rsid w:val="00006086"/>
    <w:rsid w:val="000076E1"/>
    <w:rsid w:val="000105E5"/>
    <w:rsid w:val="00011180"/>
    <w:rsid w:val="0001438A"/>
    <w:rsid w:val="00017298"/>
    <w:rsid w:val="00017E46"/>
    <w:rsid w:val="00022E54"/>
    <w:rsid w:val="00022F21"/>
    <w:rsid w:val="000231F6"/>
    <w:rsid w:val="00023643"/>
    <w:rsid w:val="00034456"/>
    <w:rsid w:val="00034512"/>
    <w:rsid w:val="00035559"/>
    <w:rsid w:val="0003626B"/>
    <w:rsid w:val="00036EAE"/>
    <w:rsid w:val="00041282"/>
    <w:rsid w:val="00041B64"/>
    <w:rsid w:val="00043F36"/>
    <w:rsid w:val="000465EF"/>
    <w:rsid w:val="000478B5"/>
    <w:rsid w:val="000509A3"/>
    <w:rsid w:val="0005386A"/>
    <w:rsid w:val="00054456"/>
    <w:rsid w:val="00061E3D"/>
    <w:rsid w:val="0006200C"/>
    <w:rsid w:val="00062279"/>
    <w:rsid w:val="00062785"/>
    <w:rsid w:val="00064893"/>
    <w:rsid w:val="0006711E"/>
    <w:rsid w:val="00074522"/>
    <w:rsid w:val="00081D82"/>
    <w:rsid w:val="00085DA0"/>
    <w:rsid w:val="00091B26"/>
    <w:rsid w:val="000964C4"/>
    <w:rsid w:val="000970AE"/>
    <w:rsid w:val="000A1781"/>
    <w:rsid w:val="000A3363"/>
    <w:rsid w:val="000A35F8"/>
    <w:rsid w:val="000A4DC5"/>
    <w:rsid w:val="000A5B34"/>
    <w:rsid w:val="000A5E99"/>
    <w:rsid w:val="000A7523"/>
    <w:rsid w:val="000B1B8A"/>
    <w:rsid w:val="000B78AA"/>
    <w:rsid w:val="000C0D47"/>
    <w:rsid w:val="000C7899"/>
    <w:rsid w:val="000C7DF8"/>
    <w:rsid w:val="000D13C3"/>
    <w:rsid w:val="000D26EC"/>
    <w:rsid w:val="000D49BA"/>
    <w:rsid w:val="000D7D65"/>
    <w:rsid w:val="000E15F6"/>
    <w:rsid w:val="000E1D7E"/>
    <w:rsid w:val="000E1FFC"/>
    <w:rsid w:val="000E4BD1"/>
    <w:rsid w:val="000E5CB5"/>
    <w:rsid w:val="000E5E6D"/>
    <w:rsid w:val="000E7972"/>
    <w:rsid w:val="000F03E4"/>
    <w:rsid w:val="000F47B7"/>
    <w:rsid w:val="000F7973"/>
    <w:rsid w:val="000F7F71"/>
    <w:rsid w:val="001032A2"/>
    <w:rsid w:val="001066AD"/>
    <w:rsid w:val="0010737B"/>
    <w:rsid w:val="00107CE4"/>
    <w:rsid w:val="00112C6C"/>
    <w:rsid w:val="00120432"/>
    <w:rsid w:val="001215DD"/>
    <w:rsid w:val="0012430A"/>
    <w:rsid w:val="001273F6"/>
    <w:rsid w:val="00127C88"/>
    <w:rsid w:val="00131BF3"/>
    <w:rsid w:val="00133760"/>
    <w:rsid w:val="001344D9"/>
    <w:rsid w:val="001374A2"/>
    <w:rsid w:val="001410CD"/>
    <w:rsid w:val="0014238C"/>
    <w:rsid w:val="00142FC2"/>
    <w:rsid w:val="00144EAC"/>
    <w:rsid w:val="001473BD"/>
    <w:rsid w:val="00155B7C"/>
    <w:rsid w:val="001565D4"/>
    <w:rsid w:val="0015697F"/>
    <w:rsid w:val="001614E5"/>
    <w:rsid w:val="00164595"/>
    <w:rsid w:val="00165955"/>
    <w:rsid w:val="00165A3C"/>
    <w:rsid w:val="00166B36"/>
    <w:rsid w:val="00167294"/>
    <w:rsid w:val="001707A8"/>
    <w:rsid w:val="001720DF"/>
    <w:rsid w:val="001724DF"/>
    <w:rsid w:val="001736B5"/>
    <w:rsid w:val="001755F8"/>
    <w:rsid w:val="00182344"/>
    <w:rsid w:val="00183239"/>
    <w:rsid w:val="00186C9E"/>
    <w:rsid w:val="00186D88"/>
    <w:rsid w:val="0019103E"/>
    <w:rsid w:val="001914DE"/>
    <w:rsid w:val="001931F2"/>
    <w:rsid w:val="00194CAF"/>
    <w:rsid w:val="001A00D9"/>
    <w:rsid w:val="001A0142"/>
    <w:rsid w:val="001A3995"/>
    <w:rsid w:val="001A3B2E"/>
    <w:rsid w:val="001A699E"/>
    <w:rsid w:val="001A7B4D"/>
    <w:rsid w:val="001B0099"/>
    <w:rsid w:val="001B24A4"/>
    <w:rsid w:val="001B3AE8"/>
    <w:rsid w:val="001C6CD6"/>
    <w:rsid w:val="001D0C09"/>
    <w:rsid w:val="001D329A"/>
    <w:rsid w:val="001D3335"/>
    <w:rsid w:val="001D4EC0"/>
    <w:rsid w:val="001D590B"/>
    <w:rsid w:val="001D6D09"/>
    <w:rsid w:val="001D74AA"/>
    <w:rsid w:val="001D793C"/>
    <w:rsid w:val="001E0DCD"/>
    <w:rsid w:val="001E22A6"/>
    <w:rsid w:val="001E2A6D"/>
    <w:rsid w:val="001E5BAB"/>
    <w:rsid w:val="001E7B03"/>
    <w:rsid w:val="001F3DED"/>
    <w:rsid w:val="001F4129"/>
    <w:rsid w:val="001F5C18"/>
    <w:rsid w:val="001F6001"/>
    <w:rsid w:val="001F77E6"/>
    <w:rsid w:val="001F7EB8"/>
    <w:rsid w:val="00200017"/>
    <w:rsid w:val="00201037"/>
    <w:rsid w:val="002029AB"/>
    <w:rsid w:val="00203F69"/>
    <w:rsid w:val="002043AF"/>
    <w:rsid w:val="002108F2"/>
    <w:rsid w:val="00213480"/>
    <w:rsid w:val="002137DE"/>
    <w:rsid w:val="00217D0A"/>
    <w:rsid w:val="00221DCE"/>
    <w:rsid w:val="00222A1F"/>
    <w:rsid w:val="0022751E"/>
    <w:rsid w:val="0023181C"/>
    <w:rsid w:val="002323C3"/>
    <w:rsid w:val="002326A4"/>
    <w:rsid w:val="00232749"/>
    <w:rsid w:val="00232766"/>
    <w:rsid w:val="002329B0"/>
    <w:rsid w:val="0023481E"/>
    <w:rsid w:val="00237152"/>
    <w:rsid w:val="00242E2C"/>
    <w:rsid w:val="00243755"/>
    <w:rsid w:val="002509DD"/>
    <w:rsid w:val="00260966"/>
    <w:rsid w:val="002634D9"/>
    <w:rsid w:val="002678AB"/>
    <w:rsid w:val="0027022F"/>
    <w:rsid w:val="0027048D"/>
    <w:rsid w:val="00270E13"/>
    <w:rsid w:val="00272430"/>
    <w:rsid w:val="002735DD"/>
    <w:rsid w:val="0027644D"/>
    <w:rsid w:val="0027693A"/>
    <w:rsid w:val="00284CF1"/>
    <w:rsid w:val="0029125B"/>
    <w:rsid w:val="00296E17"/>
    <w:rsid w:val="00297BFE"/>
    <w:rsid w:val="002A77CE"/>
    <w:rsid w:val="002B02FC"/>
    <w:rsid w:val="002B0EA7"/>
    <w:rsid w:val="002B33C0"/>
    <w:rsid w:val="002B56AF"/>
    <w:rsid w:val="002B7E0A"/>
    <w:rsid w:val="002C174B"/>
    <w:rsid w:val="002C2A34"/>
    <w:rsid w:val="002C317C"/>
    <w:rsid w:val="002C3188"/>
    <w:rsid w:val="002C47AA"/>
    <w:rsid w:val="002C6A16"/>
    <w:rsid w:val="002D2B17"/>
    <w:rsid w:val="002D3162"/>
    <w:rsid w:val="002D4192"/>
    <w:rsid w:val="002D764F"/>
    <w:rsid w:val="002E0D1D"/>
    <w:rsid w:val="002E1D23"/>
    <w:rsid w:val="002E20EE"/>
    <w:rsid w:val="002F053F"/>
    <w:rsid w:val="002F16F8"/>
    <w:rsid w:val="002F1C75"/>
    <w:rsid w:val="002F1E8F"/>
    <w:rsid w:val="002F22BF"/>
    <w:rsid w:val="002F7103"/>
    <w:rsid w:val="00300366"/>
    <w:rsid w:val="00300F33"/>
    <w:rsid w:val="003013CD"/>
    <w:rsid w:val="00304222"/>
    <w:rsid w:val="003055FD"/>
    <w:rsid w:val="003102F3"/>
    <w:rsid w:val="00311641"/>
    <w:rsid w:val="00311BF5"/>
    <w:rsid w:val="00314C77"/>
    <w:rsid w:val="00317238"/>
    <w:rsid w:val="00317318"/>
    <w:rsid w:val="003237FE"/>
    <w:rsid w:val="003264AF"/>
    <w:rsid w:val="003265B5"/>
    <w:rsid w:val="00326FCF"/>
    <w:rsid w:val="003271A7"/>
    <w:rsid w:val="003324BE"/>
    <w:rsid w:val="003348DF"/>
    <w:rsid w:val="0033645D"/>
    <w:rsid w:val="00343D5A"/>
    <w:rsid w:val="00344EBC"/>
    <w:rsid w:val="00345E4D"/>
    <w:rsid w:val="0035363F"/>
    <w:rsid w:val="00353A20"/>
    <w:rsid w:val="003540BE"/>
    <w:rsid w:val="00363123"/>
    <w:rsid w:val="00366797"/>
    <w:rsid w:val="00367D51"/>
    <w:rsid w:val="00370A12"/>
    <w:rsid w:val="0037546F"/>
    <w:rsid w:val="00382CC2"/>
    <w:rsid w:val="00383E5A"/>
    <w:rsid w:val="00383EED"/>
    <w:rsid w:val="003878D9"/>
    <w:rsid w:val="00391904"/>
    <w:rsid w:val="003935A3"/>
    <w:rsid w:val="00397853"/>
    <w:rsid w:val="003A1F28"/>
    <w:rsid w:val="003A372A"/>
    <w:rsid w:val="003A676D"/>
    <w:rsid w:val="003B14C1"/>
    <w:rsid w:val="003B2119"/>
    <w:rsid w:val="003C0CC0"/>
    <w:rsid w:val="003C18AC"/>
    <w:rsid w:val="003C2EEB"/>
    <w:rsid w:val="003C3800"/>
    <w:rsid w:val="003C4DFE"/>
    <w:rsid w:val="003C5E35"/>
    <w:rsid w:val="003D1CE6"/>
    <w:rsid w:val="003D2D65"/>
    <w:rsid w:val="003D4D5C"/>
    <w:rsid w:val="003D61E6"/>
    <w:rsid w:val="003D6B96"/>
    <w:rsid w:val="003E0E4D"/>
    <w:rsid w:val="003E19BA"/>
    <w:rsid w:val="003E19CF"/>
    <w:rsid w:val="003E523A"/>
    <w:rsid w:val="003E5D61"/>
    <w:rsid w:val="003F0564"/>
    <w:rsid w:val="003F067C"/>
    <w:rsid w:val="003F0EFD"/>
    <w:rsid w:val="003F3E72"/>
    <w:rsid w:val="003F4E08"/>
    <w:rsid w:val="003F71C1"/>
    <w:rsid w:val="00401B9D"/>
    <w:rsid w:val="004061D5"/>
    <w:rsid w:val="00417AF8"/>
    <w:rsid w:val="00422EAD"/>
    <w:rsid w:val="00425A06"/>
    <w:rsid w:val="0043194E"/>
    <w:rsid w:val="0043316F"/>
    <w:rsid w:val="00434F05"/>
    <w:rsid w:val="004366AC"/>
    <w:rsid w:val="00440289"/>
    <w:rsid w:val="00440FF6"/>
    <w:rsid w:val="004424BB"/>
    <w:rsid w:val="00442614"/>
    <w:rsid w:val="00443D1B"/>
    <w:rsid w:val="00446CC7"/>
    <w:rsid w:val="004531FF"/>
    <w:rsid w:val="00456972"/>
    <w:rsid w:val="00457CCF"/>
    <w:rsid w:val="004627D6"/>
    <w:rsid w:val="00465871"/>
    <w:rsid w:val="00465AFE"/>
    <w:rsid w:val="00471089"/>
    <w:rsid w:val="00471384"/>
    <w:rsid w:val="00471980"/>
    <w:rsid w:val="00472820"/>
    <w:rsid w:val="00472C1D"/>
    <w:rsid w:val="00472EA0"/>
    <w:rsid w:val="004744B1"/>
    <w:rsid w:val="00475162"/>
    <w:rsid w:val="00475A0B"/>
    <w:rsid w:val="0048103F"/>
    <w:rsid w:val="00481409"/>
    <w:rsid w:val="0048560B"/>
    <w:rsid w:val="00487E2C"/>
    <w:rsid w:val="00495909"/>
    <w:rsid w:val="004A20CB"/>
    <w:rsid w:val="004A3EB5"/>
    <w:rsid w:val="004A4C46"/>
    <w:rsid w:val="004A556D"/>
    <w:rsid w:val="004A58FF"/>
    <w:rsid w:val="004B32E3"/>
    <w:rsid w:val="004B66F5"/>
    <w:rsid w:val="004B6A8F"/>
    <w:rsid w:val="004B7C8B"/>
    <w:rsid w:val="004B7FF7"/>
    <w:rsid w:val="004C07B4"/>
    <w:rsid w:val="004C17E6"/>
    <w:rsid w:val="004C2BFC"/>
    <w:rsid w:val="004C2F3B"/>
    <w:rsid w:val="004C6815"/>
    <w:rsid w:val="004D3F6D"/>
    <w:rsid w:val="004D69DF"/>
    <w:rsid w:val="004D6BAF"/>
    <w:rsid w:val="004E07A2"/>
    <w:rsid w:val="004E1D48"/>
    <w:rsid w:val="004E215A"/>
    <w:rsid w:val="004E4CE0"/>
    <w:rsid w:val="004E75E0"/>
    <w:rsid w:val="004E7FC1"/>
    <w:rsid w:val="004F173D"/>
    <w:rsid w:val="004F4DD0"/>
    <w:rsid w:val="004F5628"/>
    <w:rsid w:val="004F673E"/>
    <w:rsid w:val="00501565"/>
    <w:rsid w:val="005056E7"/>
    <w:rsid w:val="005073DA"/>
    <w:rsid w:val="00507F96"/>
    <w:rsid w:val="005121D8"/>
    <w:rsid w:val="00512A44"/>
    <w:rsid w:val="00513281"/>
    <w:rsid w:val="005147B9"/>
    <w:rsid w:val="00520049"/>
    <w:rsid w:val="00520F0A"/>
    <w:rsid w:val="00522C3E"/>
    <w:rsid w:val="00522EFE"/>
    <w:rsid w:val="00525DF5"/>
    <w:rsid w:val="0052647F"/>
    <w:rsid w:val="005266ED"/>
    <w:rsid w:val="005270A8"/>
    <w:rsid w:val="00530876"/>
    <w:rsid w:val="00532B97"/>
    <w:rsid w:val="005331A6"/>
    <w:rsid w:val="005339B9"/>
    <w:rsid w:val="00533AD0"/>
    <w:rsid w:val="0053448C"/>
    <w:rsid w:val="00541C18"/>
    <w:rsid w:val="00543262"/>
    <w:rsid w:val="00547DCA"/>
    <w:rsid w:val="00550771"/>
    <w:rsid w:val="005521EB"/>
    <w:rsid w:val="005565D4"/>
    <w:rsid w:val="00557FE5"/>
    <w:rsid w:val="00560202"/>
    <w:rsid w:val="00561C64"/>
    <w:rsid w:val="00564B21"/>
    <w:rsid w:val="00565E18"/>
    <w:rsid w:val="00567BEC"/>
    <w:rsid w:val="0057014A"/>
    <w:rsid w:val="00572715"/>
    <w:rsid w:val="00572BB9"/>
    <w:rsid w:val="00573391"/>
    <w:rsid w:val="00575171"/>
    <w:rsid w:val="00575A90"/>
    <w:rsid w:val="00575B53"/>
    <w:rsid w:val="00576715"/>
    <w:rsid w:val="005819C0"/>
    <w:rsid w:val="00582B7F"/>
    <w:rsid w:val="00583AA4"/>
    <w:rsid w:val="00585E44"/>
    <w:rsid w:val="00586355"/>
    <w:rsid w:val="00586E8A"/>
    <w:rsid w:val="00592859"/>
    <w:rsid w:val="00592D8E"/>
    <w:rsid w:val="00592DBD"/>
    <w:rsid w:val="0059315A"/>
    <w:rsid w:val="00593909"/>
    <w:rsid w:val="0059768E"/>
    <w:rsid w:val="00597C4E"/>
    <w:rsid w:val="005A0737"/>
    <w:rsid w:val="005A1588"/>
    <w:rsid w:val="005A1C14"/>
    <w:rsid w:val="005A2FB1"/>
    <w:rsid w:val="005A5891"/>
    <w:rsid w:val="005A7FBB"/>
    <w:rsid w:val="005B29AC"/>
    <w:rsid w:val="005B2F37"/>
    <w:rsid w:val="005B34D6"/>
    <w:rsid w:val="005C11B5"/>
    <w:rsid w:val="005C1278"/>
    <w:rsid w:val="005C2839"/>
    <w:rsid w:val="005C3E16"/>
    <w:rsid w:val="005C5383"/>
    <w:rsid w:val="005C793A"/>
    <w:rsid w:val="005D2F89"/>
    <w:rsid w:val="005D42F8"/>
    <w:rsid w:val="005D445A"/>
    <w:rsid w:val="005D6593"/>
    <w:rsid w:val="005D67BA"/>
    <w:rsid w:val="005E4BE2"/>
    <w:rsid w:val="005E6F57"/>
    <w:rsid w:val="005F170D"/>
    <w:rsid w:val="00600359"/>
    <w:rsid w:val="00602A45"/>
    <w:rsid w:val="00602CDA"/>
    <w:rsid w:val="00603244"/>
    <w:rsid w:val="00605155"/>
    <w:rsid w:val="0060531D"/>
    <w:rsid w:val="00605983"/>
    <w:rsid w:val="00611BA4"/>
    <w:rsid w:val="006132E5"/>
    <w:rsid w:val="00616AD2"/>
    <w:rsid w:val="006204CB"/>
    <w:rsid w:val="0062085C"/>
    <w:rsid w:val="00621E25"/>
    <w:rsid w:val="00623FEC"/>
    <w:rsid w:val="006246C2"/>
    <w:rsid w:val="00626453"/>
    <w:rsid w:val="00626CBC"/>
    <w:rsid w:val="00636007"/>
    <w:rsid w:val="00636ABC"/>
    <w:rsid w:val="006406D1"/>
    <w:rsid w:val="00640B7C"/>
    <w:rsid w:val="0064459C"/>
    <w:rsid w:val="0064486E"/>
    <w:rsid w:val="00646E1E"/>
    <w:rsid w:val="00647A6D"/>
    <w:rsid w:val="00650A00"/>
    <w:rsid w:val="00650A57"/>
    <w:rsid w:val="00654203"/>
    <w:rsid w:val="00656037"/>
    <w:rsid w:val="00656E96"/>
    <w:rsid w:val="00656ED8"/>
    <w:rsid w:val="006619E4"/>
    <w:rsid w:val="00662647"/>
    <w:rsid w:val="006626C7"/>
    <w:rsid w:val="00662AF9"/>
    <w:rsid w:val="00663F63"/>
    <w:rsid w:val="0066465C"/>
    <w:rsid w:val="006672B7"/>
    <w:rsid w:val="00671345"/>
    <w:rsid w:val="006719C1"/>
    <w:rsid w:val="00671A6B"/>
    <w:rsid w:val="0067405C"/>
    <w:rsid w:val="006778B8"/>
    <w:rsid w:val="006808E1"/>
    <w:rsid w:val="00681459"/>
    <w:rsid w:val="006816A0"/>
    <w:rsid w:val="00681ED6"/>
    <w:rsid w:val="006839AC"/>
    <w:rsid w:val="00683C4C"/>
    <w:rsid w:val="0068753E"/>
    <w:rsid w:val="006939CA"/>
    <w:rsid w:val="00693A59"/>
    <w:rsid w:val="00697B75"/>
    <w:rsid w:val="006A0849"/>
    <w:rsid w:val="006A281A"/>
    <w:rsid w:val="006A3688"/>
    <w:rsid w:val="006A5261"/>
    <w:rsid w:val="006A6292"/>
    <w:rsid w:val="006A7FCC"/>
    <w:rsid w:val="006C037A"/>
    <w:rsid w:val="006C315B"/>
    <w:rsid w:val="006C42E3"/>
    <w:rsid w:val="006C5D14"/>
    <w:rsid w:val="006C6102"/>
    <w:rsid w:val="006C6AD3"/>
    <w:rsid w:val="006D1539"/>
    <w:rsid w:val="006D2231"/>
    <w:rsid w:val="006D5EA1"/>
    <w:rsid w:val="006E23C9"/>
    <w:rsid w:val="006E3751"/>
    <w:rsid w:val="006E4D87"/>
    <w:rsid w:val="006E665F"/>
    <w:rsid w:val="006E73E4"/>
    <w:rsid w:val="006E7BDA"/>
    <w:rsid w:val="006F0823"/>
    <w:rsid w:val="006F3715"/>
    <w:rsid w:val="006F3C9B"/>
    <w:rsid w:val="006F3D5E"/>
    <w:rsid w:val="006F66F2"/>
    <w:rsid w:val="006F6805"/>
    <w:rsid w:val="006F6A7A"/>
    <w:rsid w:val="00700FEF"/>
    <w:rsid w:val="00703BBA"/>
    <w:rsid w:val="00703C17"/>
    <w:rsid w:val="00705EAC"/>
    <w:rsid w:val="00706712"/>
    <w:rsid w:val="007079B9"/>
    <w:rsid w:val="00710D5F"/>
    <w:rsid w:val="00714BA8"/>
    <w:rsid w:val="00716812"/>
    <w:rsid w:val="00716A22"/>
    <w:rsid w:val="00721A0B"/>
    <w:rsid w:val="007232C1"/>
    <w:rsid w:val="007235CD"/>
    <w:rsid w:val="0072480C"/>
    <w:rsid w:val="00725F4B"/>
    <w:rsid w:val="007277F9"/>
    <w:rsid w:val="007278A6"/>
    <w:rsid w:val="0073514B"/>
    <w:rsid w:val="00740515"/>
    <w:rsid w:val="00740DE6"/>
    <w:rsid w:val="007417E2"/>
    <w:rsid w:val="00742B23"/>
    <w:rsid w:val="007439F2"/>
    <w:rsid w:val="007441EC"/>
    <w:rsid w:val="007513EE"/>
    <w:rsid w:val="0075442D"/>
    <w:rsid w:val="007562D4"/>
    <w:rsid w:val="007564F6"/>
    <w:rsid w:val="00756BE1"/>
    <w:rsid w:val="00756DC3"/>
    <w:rsid w:val="00757A33"/>
    <w:rsid w:val="007605ED"/>
    <w:rsid w:val="00762503"/>
    <w:rsid w:val="0076293F"/>
    <w:rsid w:val="007636FD"/>
    <w:rsid w:val="007700F2"/>
    <w:rsid w:val="00771F33"/>
    <w:rsid w:val="00780405"/>
    <w:rsid w:val="0079530E"/>
    <w:rsid w:val="00797798"/>
    <w:rsid w:val="00797C0C"/>
    <w:rsid w:val="00797FC7"/>
    <w:rsid w:val="007A0406"/>
    <w:rsid w:val="007A0A44"/>
    <w:rsid w:val="007A124C"/>
    <w:rsid w:val="007A3A10"/>
    <w:rsid w:val="007A4D29"/>
    <w:rsid w:val="007A7A71"/>
    <w:rsid w:val="007B0AFF"/>
    <w:rsid w:val="007B2A6A"/>
    <w:rsid w:val="007B3DB7"/>
    <w:rsid w:val="007B418B"/>
    <w:rsid w:val="007B4451"/>
    <w:rsid w:val="007B4BF1"/>
    <w:rsid w:val="007B7CB5"/>
    <w:rsid w:val="007C10BC"/>
    <w:rsid w:val="007C13E7"/>
    <w:rsid w:val="007C38D0"/>
    <w:rsid w:val="007C4DA8"/>
    <w:rsid w:val="007D43E5"/>
    <w:rsid w:val="007E09E9"/>
    <w:rsid w:val="007E0A8E"/>
    <w:rsid w:val="007E5F28"/>
    <w:rsid w:val="007E76F5"/>
    <w:rsid w:val="007F0516"/>
    <w:rsid w:val="007F24EF"/>
    <w:rsid w:val="007F3A87"/>
    <w:rsid w:val="007F450C"/>
    <w:rsid w:val="007F4763"/>
    <w:rsid w:val="007F6752"/>
    <w:rsid w:val="0080459F"/>
    <w:rsid w:val="00810324"/>
    <w:rsid w:val="00811A41"/>
    <w:rsid w:val="008151A4"/>
    <w:rsid w:val="008157A1"/>
    <w:rsid w:val="00816087"/>
    <w:rsid w:val="0082036B"/>
    <w:rsid w:val="00821A5E"/>
    <w:rsid w:val="00830089"/>
    <w:rsid w:val="008318B6"/>
    <w:rsid w:val="00832887"/>
    <w:rsid w:val="00833E19"/>
    <w:rsid w:val="008341FC"/>
    <w:rsid w:val="00835503"/>
    <w:rsid w:val="00837E99"/>
    <w:rsid w:val="008411AC"/>
    <w:rsid w:val="008413D3"/>
    <w:rsid w:val="00841FFF"/>
    <w:rsid w:val="00845F3F"/>
    <w:rsid w:val="00847783"/>
    <w:rsid w:val="008511D1"/>
    <w:rsid w:val="008534BB"/>
    <w:rsid w:val="008554C0"/>
    <w:rsid w:val="008571DD"/>
    <w:rsid w:val="00857EEC"/>
    <w:rsid w:val="00860C9A"/>
    <w:rsid w:val="008642E2"/>
    <w:rsid w:val="00864958"/>
    <w:rsid w:val="00864B0B"/>
    <w:rsid w:val="00864FD0"/>
    <w:rsid w:val="00866F93"/>
    <w:rsid w:val="008704B5"/>
    <w:rsid w:val="00872743"/>
    <w:rsid w:val="00873705"/>
    <w:rsid w:val="00873C7E"/>
    <w:rsid w:val="00874A4E"/>
    <w:rsid w:val="00875FC0"/>
    <w:rsid w:val="0087671D"/>
    <w:rsid w:val="00880808"/>
    <w:rsid w:val="0088525B"/>
    <w:rsid w:val="00887272"/>
    <w:rsid w:val="0089022B"/>
    <w:rsid w:val="00891830"/>
    <w:rsid w:val="00892FB5"/>
    <w:rsid w:val="0089301A"/>
    <w:rsid w:val="008950FE"/>
    <w:rsid w:val="008951DF"/>
    <w:rsid w:val="008973D5"/>
    <w:rsid w:val="008A46B9"/>
    <w:rsid w:val="008B0E8A"/>
    <w:rsid w:val="008B5107"/>
    <w:rsid w:val="008C156C"/>
    <w:rsid w:val="008C4C98"/>
    <w:rsid w:val="008C67B0"/>
    <w:rsid w:val="008D0C28"/>
    <w:rsid w:val="008D0FA6"/>
    <w:rsid w:val="008D1003"/>
    <w:rsid w:val="008D2591"/>
    <w:rsid w:val="008D26F2"/>
    <w:rsid w:val="008D29E8"/>
    <w:rsid w:val="008D54EB"/>
    <w:rsid w:val="008E1CCD"/>
    <w:rsid w:val="008E49AC"/>
    <w:rsid w:val="008E51D0"/>
    <w:rsid w:val="008E62DC"/>
    <w:rsid w:val="008F0076"/>
    <w:rsid w:val="008F4478"/>
    <w:rsid w:val="008F5DF0"/>
    <w:rsid w:val="008F684B"/>
    <w:rsid w:val="008F7584"/>
    <w:rsid w:val="00901047"/>
    <w:rsid w:val="00902389"/>
    <w:rsid w:val="00904A70"/>
    <w:rsid w:val="00907D52"/>
    <w:rsid w:val="00911789"/>
    <w:rsid w:val="0091453D"/>
    <w:rsid w:val="009153C6"/>
    <w:rsid w:val="009154B5"/>
    <w:rsid w:val="00917C3F"/>
    <w:rsid w:val="0092015C"/>
    <w:rsid w:val="009210EE"/>
    <w:rsid w:val="0092203D"/>
    <w:rsid w:val="00922218"/>
    <w:rsid w:val="009247B5"/>
    <w:rsid w:val="00925DB4"/>
    <w:rsid w:val="00931577"/>
    <w:rsid w:val="009348F6"/>
    <w:rsid w:val="00935270"/>
    <w:rsid w:val="009361D6"/>
    <w:rsid w:val="00936351"/>
    <w:rsid w:val="00941D7B"/>
    <w:rsid w:val="00942CFB"/>
    <w:rsid w:val="0094418E"/>
    <w:rsid w:val="00945EF5"/>
    <w:rsid w:val="00950656"/>
    <w:rsid w:val="00953793"/>
    <w:rsid w:val="00955EE2"/>
    <w:rsid w:val="009566C7"/>
    <w:rsid w:val="00962C98"/>
    <w:rsid w:val="00962F1E"/>
    <w:rsid w:val="00963EF3"/>
    <w:rsid w:val="0096477D"/>
    <w:rsid w:val="00965A88"/>
    <w:rsid w:val="009718E5"/>
    <w:rsid w:val="0097297E"/>
    <w:rsid w:val="00974C46"/>
    <w:rsid w:val="009757F2"/>
    <w:rsid w:val="00982630"/>
    <w:rsid w:val="00982905"/>
    <w:rsid w:val="00985730"/>
    <w:rsid w:val="0099460B"/>
    <w:rsid w:val="009A0DBE"/>
    <w:rsid w:val="009A536A"/>
    <w:rsid w:val="009A608B"/>
    <w:rsid w:val="009B122D"/>
    <w:rsid w:val="009B1A5C"/>
    <w:rsid w:val="009C0E06"/>
    <w:rsid w:val="009C266E"/>
    <w:rsid w:val="009C3E3F"/>
    <w:rsid w:val="009C4D3D"/>
    <w:rsid w:val="009C5629"/>
    <w:rsid w:val="009C703B"/>
    <w:rsid w:val="009C7B32"/>
    <w:rsid w:val="009D28D4"/>
    <w:rsid w:val="009D792D"/>
    <w:rsid w:val="009E04CD"/>
    <w:rsid w:val="009E29BC"/>
    <w:rsid w:val="009E39B2"/>
    <w:rsid w:val="009E690E"/>
    <w:rsid w:val="009F2283"/>
    <w:rsid w:val="009F77DF"/>
    <w:rsid w:val="00A009AE"/>
    <w:rsid w:val="00A01809"/>
    <w:rsid w:val="00A01879"/>
    <w:rsid w:val="00A06E79"/>
    <w:rsid w:val="00A07B09"/>
    <w:rsid w:val="00A1148C"/>
    <w:rsid w:val="00A120C3"/>
    <w:rsid w:val="00A12431"/>
    <w:rsid w:val="00A146BC"/>
    <w:rsid w:val="00A21434"/>
    <w:rsid w:val="00A214D3"/>
    <w:rsid w:val="00A217A3"/>
    <w:rsid w:val="00A21CBA"/>
    <w:rsid w:val="00A22A7F"/>
    <w:rsid w:val="00A2472B"/>
    <w:rsid w:val="00A25533"/>
    <w:rsid w:val="00A25CBA"/>
    <w:rsid w:val="00A27F5E"/>
    <w:rsid w:val="00A30E4D"/>
    <w:rsid w:val="00A30E8F"/>
    <w:rsid w:val="00A323E8"/>
    <w:rsid w:val="00A34CFA"/>
    <w:rsid w:val="00A36EA3"/>
    <w:rsid w:val="00A370AA"/>
    <w:rsid w:val="00A3759A"/>
    <w:rsid w:val="00A37B27"/>
    <w:rsid w:val="00A404D3"/>
    <w:rsid w:val="00A42DE4"/>
    <w:rsid w:val="00A44E5F"/>
    <w:rsid w:val="00A47149"/>
    <w:rsid w:val="00A51E73"/>
    <w:rsid w:val="00A52C7A"/>
    <w:rsid w:val="00A53497"/>
    <w:rsid w:val="00A56873"/>
    <w:rsid w:val="00A56BC2"/>
    <w:rsid w:val="00A6032E"/>
    <w:rsid w:val="00A6080B"/>
    <w:rsid w:val="00A614EB"/>
    <w:rsid w:val="00A618DA"/>
    <w:rsid w:val="00A61BA1"/>
    <w:rsid w:val="00A62539"/>
    <w:rsid w:val="00A65965"/>
    <w:rsid w:val="00A66B1B"/>
    <w:rsid w:val="00A6754E"/>
    <w:rsid w:val="00A72CBF"/>
    <w:rsid w:val="00A76B12"/>
    <w:rsid w:val="00A80BA1"/>
    <w:rsid w:val="00A820BC"/>
    <w:rsid w:val="00A832FD"/>
    <w:rsid w:val="00A83984"/>
    <w:rsid w:val="00A83C27"/>
    <w:rsid w:val="00A84A94"/>
    <w:rsid w:val="00A85F9C"/>
    <w:rsid w:val="00A87DFE"/>
    <w:rsid w:val="00A934A1"/>
    <w:rsid w:val="00A95B72"/>
    <w:rsid w:val="00AA0E3D"/>
    <w:rsid w:val="00AA1344"/>
    <w:rsid w:val="00AA5A73"/>
    <w:rsid w:val="00AA62F7"/>
    <w:rsid w:val="00AA64B2"/>
    <w:rsid w:val="00AA7C33"/>
    <w:rsid w:val="00AB19F8"/>
    <w:rsid w:val="00AB1CFC"/>
    <w:rsid w:val="00AB2243"/>
    <w:rsid w:val="00AB2A20"/>
    <w:rsid w:val="00AC12F9"/>
    <w:rsid w:val="00AC3B3F"/>
    <w:rsid w:val="00AC622F"/>
    <w:rsid w:val="00AD0B84"/>
    <w:rsid w:val="00AD5106"/>
    <w:rsid w:val="00AD7AC4"/>
    <w:rsid w:val="00AE0A9E"/>
    <w:rsid w:val="00AE2339"/>
    <w:rsid w:val="00AE24BB"/>
    <w:rsid w:val="00AE4987"/>
    <w:rsid w:val="00AF1459"/>
    <w:rsid w:val="00AF551A"/>
    <w:rsid w:val="00AF5E96"/>
    <w:rsid w:val="00AF7082"/>
    <w:rsid w:val="00B005A9"/>
    <w:rsid w:val="00B0291B"/>
    <w:rsid w:val="00B041D7"/>
    <w:rsid w:val="00B04EFA"/>
    <w:rsid w:val="00B05129"/>
    <w:rsid w:val="00B0522D"/>
    <w:rsid w:val="00B056F1"/>
    <w:rsid w:val="00B07E8E"/>
    <w:rsid w:val="00B101D8"/>
    <w:rsid w:val="00B10E57"/>
    <w:rsid w:val="00B1220F"/>
    <w:rsid w:val="00B1221B"/>
    <w:rsid w:val="00B1246E"/>
    <w:rsid w:val="00B1293B"/>
    <w:rsid w:val="00B140BC"/>
    <w:rsid w:val="00B1606A"/>
    <w:rsid w:val="00B16D1E"/>
    <w:rsid w:val="00B177CE"/>
    <w:rsid w:val="00B2228F"/>
    <w:rsid w:val="00B2425D"/>
    <w:rsid w:val="00B24974"/>
    <w:rsid w:val="00B346E1"/>
    <w:rsid w:val="00B42026"/>
    <w:rsid w:val="00B44EA6"/>
    <w:rsid w:val="00B47871"/>
    <w:rsid w:val="00B47A0F"/>
    <w:rsid w:val="00B52FAC"/>
    <w:rsid w:val="00B6004B"/>
    <w:rsid w:val="00B6043C"/>
    <w:rsid w:val="00B60AA7"/>
    <w:rsid w:val="00B618DA"/>
    <w:rsid w:val="00B633FE"/>
    <w:rsid w:val="00B64802"/>
    <w:rsid w:val="00B650A4"/>
    <w:rsid w:val="00B6688C"/>
    <w:rsid w:val="00B66DA2"/>
    <w:rsid w:val="00B674D8"/>
    <w:rsid w:val="00B74629"/>
    <w:rsid w:val="00B81098"/>
    <w:rsid w:val="00B814B2"/>
    <w:rsid w:val="00B829CD"/>
    <w:rsid w:val="00B8491A"/>
    <w:rsid w:val="00B86856"/>
    <w:rsid w:val="00B86EFA"/>
    <w:rsid w:val="00B87F8A"/>
    <w:rsid w:val="00B91EC6"/>
    <w:rsid w:val="00B92F5A"/>
    <w:rsid w:val="00B969DB"/>
    <w:rsid w:val="00B971FB"/>
    <w:rsid w:val="00BA1146"/>
    <w:rsid w:val="00BA4285"/>
    <w:rsid w:val="00BA747A"/>
    <w:rsid w:val="00BA765F"/>
    <w:rsid w:val="00BB0C8C"/>
    <w:rsid w:val="00BB112C"/>
    <w:rsid w:val="00BB1E70"/>
    <w:rsid w:val="00BB41C7"/>
    <w:rsid w:val="00BB6D5E"/>
    <w:rsid w:val="00BC0160"/>
    <w:rsid w:val="00BC06DC"/>
    <w:rsid w:val="00BC0EC3"/>
    <w:rsid w:val="00BC2805"/>
    <w:rsid w:val="00BC3F26"/>
    <w:rsid w:val="00BC4DD7"/>
    <w:rsid w:val="00BD0976"/>
    <w:rsid w:val="00BD395E"/>
    <w:rsid w:val="00BD49E9"/>
    <w:rsid w:val="00BD6441"/>
    <w:rsid w:val="00BD729C"/>
    <w:rsid w:val="00BE1E1C"/>
    <w:rsid w:val="00BE2CF2"/>
    <w:rsid w:val="00BE3057"/>
    <w:rsid w:val="00BE3C0E"/>
    <w:rsid w:val="00BE6E96"/>
    <w:rsid w:val="00BF3B5A"/>
    <w:rsid w:val="00BF5D57"/>
    <w:rsid w:val="00C02FAA"/>
    <w:rsid w:val="00C0592E"/>
    <w:rsid w:val="00C06753"/>
    <w:rsid w:val="00C1467C"/>
    <w:rsid w:val="00C16831"/>
    <w:rsid w:val="00C26469"/>
    <w:rsid w:val="00C26D34"/>
    <w:rsid w:val="00C2792B"/>
    <w:rsid w:val="00C30C8B"/>
    <w:rsid w:val="00C318E6"/>
    <w:rsid w:val="00C32592"/>
    <w:rsid w:val="00C32B6B"/>
    <w:rsid w:val="00C32E94"/>
    <w:rsid w:val="00C35342"/>
    <w:rsid w:val="00C356E3"/>
    <w:rsid w:val="00C35C2E"/>
    <w:rsid w:val="00C379BE"/>
    <w:rsid w:val="00C4082F"/>
    <w:rsid w:val="00C41628"/>
    <w:rsid w:val="00C42442"/>
    <w:rsid w:val="00C429A5"/>
    <w:rsid w:val="00C4371E"/>
    <w:rsid w:val="00C43D30"/>
    <w:rsid w:val="00C4417D"/>
    <w:rsid w:val="00C4469F"/>
    <w:rsid w:val="00C466AF"/>
    <w:rsid w:val="00C46C77"/>
    <w:rsid w:val="00C473B7"/>
    <w:rsid w:val="00C50CBF"/>
    <w:rsid w:val="00C61007"/>
    <w:rsid w:val="00C62A6D"/>
    <w:rsid w:val="00C62FED"/>
    <w:rsid w:val="00C65F67"/>
    <w:rsid w:val="00C663D2"/>
    <w:rsid w:val="00C71B16"/>
    <w:rsid w:val="00C74DDA"/>
    <w:rsid w:val="00C77F2B"/>
    <w:rsid w:val="00C8118F"/>
    <w:rsid w:val="00C84B02"/>
    <w:rsid w:val="00C856C8"/>
    <w:rsid w:val="00C86795"/>
    <w:rsid w:val="00C91B73"/>
    <w:rsid w:val="00C93605"/>
    <w:rsid w:val="00C94871"/>
    <w:rsid w:val="00C94EC9"/>
    <w:rsid w:val="00C95742"/>
    <w:rsid w:val="00C96C34"/>
    <w:rsid w:val="00CA147C"/>
    <w:rsid w:val="00CA38D3"/>
    <w:rsid w:val="00CA4373"/>
    <w:rsid w:val="00CA5B42"/>
    <w:rsid w:val="00CB02CD"/>
    <w:rsid w:val="00CB103E"/>
    <w:rsid w:val="00CB2DF6"/>
    <w:rsid w:val="00CB473D"/>
    <w:rsid w:val="00CB530A"/>
    <w:rsid w:val="00CB714F"/>
    <w:rsid w:val="00CC0BBA"/>
    <w:rsid w:val="00CC1B20"/>
    <w:rsid w:val="00CC4690"/>
    <w:rsid w:val="00CC5BA0"/>
    <w:rsid w:val="00CC5D9D"/>
    <w:rsid w:val="00CC742D"/>
    <w:rsid w:val="00CD09DC"/>
    <w:rsid w:val="00CD2758"/>
    <w:rsid w:val="00CD5DC8"/>
    <w:rsid w:val="00CD6BFA"/>
    <w:rsid w:val="00CE0629"/>
    <w:rsid w:val="00CE2C30"/>
    <w:rsid w:val="00CE32B1"/>
    <w:rsid w:val="00CE4CF2"/>
    <w:rsid w:val="00CE4FD0"/>
    <w:rsid w:val="00CE5EF0"/>
    <w:rsid w:val="00CE743C"/>
    <w:rsid w:val="00CF0783"/>
    <w:rsid w:val="00CF11EB"/>
    <w:rsid w:val="00CF1409"/>
    <w:rsid w:val="00CF1A78"/>
    <w:rsid w:val="00CF4BF5"/>
    <w:rsid w:val="00CF5FEB"/>
    <w:rsid w:val="00D022D5"/>
    <w:rsid w:val="00D03B92"/>
    <w:rsid w:val="00D0648C"/>
    <w:rsid w:val="00D07188"/>
    <w:rsid w:val="00D071E0"/>
    <w:rsid w:val="00D1044C"/>
    <w:rsid w:val="00D15B2C"/>
    <w:rsid w:val="00D22A69"/>
    <w:rsid w:val="00D23B34"/>
    <w:rsid w:val="00D306DF"/>
    <w:rsid w:val="00D316BD"/>
    <w:rsid w:val="00D31CB7"/>
    <w:rsid w:val="00D3224F"/>
    <w:rsid w:val="00D32E5A"/>
    <w:rsid w:val="00D43DCD"/>
    <w:rsid w:val="00D44AF7"/>
    <w:rsid w:val="00D4558E"/>
    <w:rsid w:val="00D46BBD"/>
    <w:rsid w:val="00D50254"/>
    <w:rsid w:val="00D50F3B"/>
    <w:rsid w:val="00D51259"/>
    <w:rsid w:val="00D55EAB"/>
    <w:rsid w:val="00D601D5"/>
    <w:rsid w:val="00D609BB"/>
    <w:rsid w:val="00D618EE"/>
    <w:rsid w:val="00D6222F"/>
    <w:rsid w:val="00D63814"/>
    <w:rsid w:val="00D76238"/>
    <w:rsid w:val="00D80276"/>
    <w:rsid w:val="00D82E02"/>
    <w:rsid w:val="00D8483C"/>
    <w:rsid w:val="00D8507F"/>
    <w:rsid w:val="00D86C06"/>
    <w:rsid w:val="00D86DFF"/>
    <w:rsid w:val="00D90FDD"/>
    <w:rsid w:val="00D93EBF"/>
    <w:rsid w:val="00DA1CDB"/>
    <w:rsid w:val="00DA59EF"/>
    <w:rsid w:val="00DA612E"/>
    <w:rsid w:val="00DB1C25"/>
    <w:rsid w:val="00DB239D"/>
    <w:rsid w:val="00DB4949"/>
    <w:rsid w:val="00DB5DFB"/>
    <w:rsid w:val="00DB76F4"/>
    <w:rsid w:val="00DC04F4"/>
    <w:rsid w:val="00DC15BA"/>
    <w:rsid w:val="00DC2937"/>
    <w:rsid w:val="00DC333D"/>
    <w:rsid w:val="00DC3DE2"/>
    <w:rsid w:val="00DC4526"/>
    <w:rsid w:val="00DC4642"/>
    <w:rsid w:val="00DC6A2A"/>
    <w:rsid w:val="00DC6B80"/>
    <w:rsid w:val="00DD5185"/>
    <w:rsid w:val="00DD79F8"/>
    <w:rsid w:val="00DD7B7A"/>
    <w:rsid w:val="00DE1714"/>
    <w:rsid w:val="00DE1F95"/>
    <w:rsid w:val="00DE2616"/>
    <w:rsid w:val="00DE2B50"/>
    <w:rsid w:val="00DF65AD"/>
    <w:rsid w:val="00DF744A"/>
    <w:rsid w:val="00DF7AEB"/>
    <w:rsid w:val="00E008F4"/>
    <w:rsid w:val="00E01542"/>
    <w:rsid w:val="00E03DF4"/>
    <w:rsid w:val="00E0455E"/>
    <w:rsid w:val="00E1007E"/>
    <w:rsid w:val="00E11C89"/>
    <w:rsid w:val="00E12531"/>
    <w:rsid w:val="00E12749"/>
    <w:rsid w:val="00E20405"/>
    <w:rsid w:val="00E2251C"/>
    <w:rsid w:val="00E2495A"/>
    <w:rsid w:val="00E2509D"/>
    <w:rsid w:val="00E25576"/>
    <w:rsid w:val="00E25F62"/>
    <w:rsid w:val="00E26937"/>
    <w:rsid w:val="00E3021F"/>
    <w:rsid w:val="00E30840"/>
    <w:rsid w:val="00E30994"/>
    <w:rsid w:val="00E30CE0"/>
    <w:rsid w:val="00E32E11"/>
    <w:rsid w:val="00E3648B"/>
    <w:rsid w:val="00E36933"/>
    <w:rsid w:val="00E401BB"/>
    <w:rsid w:val="00E41478"/>
    <w:rsid w:val="00E42393"/>
    <w:rsid w:val="00E426C1"/>
    <w:rsid w:val="00E461B9"/>
    <w:rsid w:val="00E464C0"/>
    <w:rsid w:val="00E47201"/>
    <w:rsid w:val="00E5182B"/>
    <w:rsid w:val="00E51A7B"/>
    <w:rsid w:val="00E546B5"/>
    <w:rsid w:val="00E54DCB"/>
    <w:rsid w:val="00E56CEA"/>
    <w:rsid w:val="00E57480"/>
    <w:rsid w:val="00E616A5"/>
    <w:rsid w:val="00E71741"/>
    <w:rsid w:val="00E733D1"/>
    <w:rsid w:val="00E73AFF"/>
    <w:rsid w:val="00E743AB"/>
    <w:rsid w:val="00E74F8E"/>
    <w:rsid w:val="00E76265"/>
    <w:rsid w:val="00E76A71"/>
    <w:rsid w:val="00E81CD6"/>
    <w:rsid w:val="00E8288D"/>
    <w:rsid w:val="00E83044"/>
    <w:rsid w:val="00E830D7"/>
    <w:rsid w:val="00E834AB"/>
    <w:rsid w:val="00E85DA8"/>
    <w:rsid w:val="00E85F3E"/>
    <w:rsid w:val="00E8630E"/>
    <w:rsid w:val="00E915DE"/>
    <w:rsid w:val="00E92995"/>
    <w:rsid w:val="00E9353A"/>
    <w:rsid w:val="00E93FB7"/>
    <w:rsid w:val="00E9464A"/>
    <w:rsid w:val="00E948B4"/>
    <w:rsid w:val="00E9583F"/>
    <w:rsid w:val="00E95C96"/>
    <w:rsid w:val="00EA30F3"/>
    <w:rsid w:val="00EA3431"/>
    <w:rsid w:val="00EA37DC"/>
    <w:rsid w:val="00EA4F1A"/>
    <w:rsid w:val="00EA586E"/>
    <w:rsid w:val="00EA5DEA"/>
    <w:rsid w:val="00EB03A9"/>
    <w:rsid w:val="00EB1502"/>
    <w:rsid w:val="00EB7D89"/>
    <w:rsid w:val="00EB7FDD"/>
    <w:rsid w:val="00EC00A3"/>
    <w:rsid w:val="00EE0EDB"/>
    <w:rsid w:val="00EE15ED"/>
    <w:rsid w:val="00EE42DA"/>
    <w:rsid w:val="00EE5FB8"/>
    <w:rsid w:val="00EE6BF3"/>
    <w:rsid w:val="00EF06E0"/>
    <w:rsid w:val="00EF3789"/>
    <w:rsid w:val="00EF3D5E"/>
    <w:rsid w:val="00EF5826"/>
    <w:rsid w:val="00EF5DCB"/>
    <w:rsid w:val="00EF736B"/>
    <w:rsid w:val="00F01FC5"/>
    <w:rsid w:val="00F04274"/>
    <w:rsid w:val="00F04831"/>
    <w:rsid w:val="00F058C5"/>
    <w:rsid w:val="00F11035"/>
    <w:rsid w:val="00F110F7"/>
    <w:rsid w:val="00F11814"/>
    <w:rsid w:val="00F21031"/>
    <w:rsid w:val="00F22097"/>
    <w:rsid w:val="00F2410F"/>
    <w:rsid w:val="00F24251"/>
    <w:rsid w:val="00F278A7"/>
    <w:rsid w:val="00F31C45"/>
    <w:rsid w:val="00F37BF5"/>
    <w:rsid w:val="00F409D8"/>
    <w:rsid w:val="00F42514"/>
    <w:rsid w:val="00F425E2"/>
    <w:rsid w:val="00F42ACE"/>
    <w:rsid w:val="00F44289"/>
    <w:rsid w:val="00F44564"/>
    <w:rsid w:val="00F47D4C"/>
    <w:rsid w:val="00F56C67"/>
    <w:rsid w:val="00F56D41"/>
    <w:rsid w:val="00F64978"/>
    <w:rsid w:val="00F64B42"/>
    <w:rsid w:val="00F64FC9"/>
    <w:rsid w:val="00F7094E"/>
    <w:rsid w:val="00F71848"/>
    <w:rsid w:val="00F7397D"/>
    <w:rsid w:val="00F76FB5"/>
    <w:rsid w:val="00F82181"/>
    <w:rsid w:val="00F8225C"/>
    <w:rsid w:val="00F83023"/>
    <w:rsid w:val="00F853F1"/>
    <w:rsid w:val="00F86483"/>
    <w:rsid w:val="00F86DC4"/>
    <w:rsid w:val="00F90C89"/>
    <w:rsid w:val="00F911B5"/>
    <w:rsid w:val="00F91481"/>
    <w:rsid w:val="00F9289A"/>
    <w:rsid w:val="00F935C4"/>
    <w:rsid w:val="00F94042"/>
    <w:rsid w:val="00F95144"/>
    <w:rsid w:val="00FA1455"/>
    <w:rsid w:val="00FA2248"/>
    <w:rsid w:val="00FA5070"/>
    <w:rsid w:val="00FA53A1"/>
    <w:rsid w:val="00FA6179"/>
    <w:rsid w:val="00FA70F2"/>
    <w:rsid w:val="00FB1D0A"/>
    <w:rsid w:val="00FB2ED5"/>
    <w:rsid w:val="00FB3341"/>
    <w:rsid w:val="00FB421D"/>
    <w:rsid w:val="00FB5E0C"/>
    <w:rsid w:val="00FB77E5"/>
    <w:rsid w:val="00FB7D52"/>
    <w:rsid w:val="00FC073D"/>
    <w:rsid w:val="00FC3388"/>
    <w:rsid w:val="00FD5A5A"/>
    <w:rsid w:val="00FD609D"/>
    <w:rsid w:val="00FD6606"/>
    <w:rsid w:val="00FE11B1"/>
    <w:rsid w:val="00FE1B35"/>
    <w:rsid w:val="00FE1F7F"/>
    <w:rsid w:val="00FE39C3"/>
    <w:rsid w:val="00FE4018"/>
    <w:rsid w:val="00FF21F2"/>
    <w:rsid w:val="00FF4956"/>
    <w:rsid w:val="00FF5497"/>
    <w:rsid w:val="00FF6F01"/>
    <w:rsid w:val="00FF7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30"/>
    <w:pPr>
      <w:spacing w:before="120" w:after="120"/>
    </w:pPr>
    <w:rPr>
      <w:sz w:val="28"/>
      <w:szCs w:val="22"/>
      <w:lang w:val="vi-VN"/>
    </w:rPr>
  </w:style>
  <w:style w:type="paragraph" w:styleId="Heading4">
    <w:name w:val="heading 4"/>
    <w:basedOn w:val="Normal"/>
    <w:next w:val="Normal"/>
    <w:link w:val="Heading4Char"/>
    <w:uiPriority w:val="9"/>
    <w:semiHidden/>
    <w:unhideWhenUsed/>
    <w:qFormat/>
    <w:rsid w:val="008411A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222"/>
    <w:pPr>
      <w:tabs>
        <w:tab w:val="center" w:pos="4513"/>
        <w:tab w:val="right" w:pos="9026"/>
      </w:tabs>
      <w:spacing w:before="0" w:after="0"/>
    </w:pPr>
  </w:style>
  <w:style w:type="character" w:customStyle="1" w:styleId="HeaderChar">
    <w:name w:val="Header Char"/>
    <w:basedOn w:val="DefaultParagraphFont"/>
    <w:link w:val="Header"/>
    <w:uiPriority w:val="99"/>
    <w:rsid w:val="00304222"/>
  </w:style>
  <w:style w:type="paragraph" w:styleId="Footer">
    <w:name w:val="footer"/>
    <w:basedOn w:val="Normal"/>
    <w:link w:val="FooterChar"/>
    <w:uiPriority w:val="99"/>
    <w:semiHidden/>
    <w:unhideWhenUsed/>
    <w:rsid w:val="00304222"/>
    <w:pPr>
      <w:tabs>
        <w:tab w:val="center" w:pos="4513"/>
        <w:tab w:val="right" w:pos="9026"/>
      </w:tabs>
      <w:spacing w:before="0" w:after="0"/>
    </w:pPr>
  </w:style>
  <w:style w:type="character" w:customStyle="1" w:styleId="FooterChar">
    <w:name w:val="Footer Char"/>
    <w:basedOn w:val="DefaultParagraphFont"/>
    <w:link w:val="Footer"/>
    <w:uiPriority w:val="99"/>
    <w:semiHidden/>
    <w:rsid w:val="00304222"/>
  </w:style>
  <w:style w:type="table" w:styleId="TableGrid">
    <w:name w:val="Table Grid"/>
    <w:basedOn w:val="TableNormal"/>
    <w:uiPriority w:val="59"/>
    <w:unhideWhenUsed/>
    <w:rsid w:val="002C6A16"/>
    <w:rPr>
      <w:rFonts w:ascii="Calibri" w:hAnsi="Calibri"/>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FD5A5A"/>
    <w:pPr>
      <w:spacing w:before="0" w:after="160" w:line="240" w:lineRule="exact"/>
    </w:pPr>
    <w:rPr>
      <w:rFonts w:ascii="Verdana" w:eastAsia="Times New Roman" w:hAnsi="Verdana"/>
      <w:sz w:val="20"/>
      <w:szCs w:val="20"/>
      <w:lang w:val="en-US"/>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
    <w:basedOn w:val="Normal"/>
    <w:link w:val="FootnoteTextChar"/>
    <w:uiPriority w:val="99"/>
    <w:unhideWhenUsed/>
    <w:qFormat/>
    <w:rsid w:val="003F3E72"/>
    <w:pPr>
      <w:spacing w:before="0" w:after="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 Char"/>
    <w:basedOn w:val="DefaultParagraphFont"/>
    <w:link w:val="FootnoteText"/>
    <w:qFormat/>
    <w:rsid w:val="003F3E72"/>
    <w:rPr>
      <w:sz w:val="20"/>
      <w:szCs w:val="20"/>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Black,R"/>
    <w:basedOn w:val="DefaultParagraphFont"/>
    <w:link w:val="CharChar1CharCharCharChar1CharCharCharCharCharCharCharChar"/>
    <w:uiPriority w:val="99"/>
    <w:unhideWhenUsed/>
    <w:qFormat/>
    <w:rsid w:val="003F3E72"/>
    <w:rPr>
      <w:vertAlign w:val="superscript"/>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CF4BF5"/>
    <w:rPr>
      <w:sz w:val="24"/>
      <w:szCs w:val="24"/>
    </w:rPr>
  </w:style>
  <w:style w:type="paragraph" w:styleId="ListParagraph">
    <w:name w:val="List Paragraph"/>
    <w:basedOn w:val="Normal"/>
    <w:uiPriority w:val="34"/>
    <w:qFormat/>
    <w:rsid w:val="00E12749"/>
    <w:pPr>
      <w:spacing w:before="0" w:after="0"/>
      <w:ind w:left="720"/>
      <w:contextualSpacing/>
    </w:pPr>
    <w:rPr>
      <w:rFonts w:eastAsia="Times New Roman"/>
      <w:noProof/>
      <w:sz w:val="24"/>
      <w:szCs w:val="24"/>
      <w:lang w:val="en-US"/>
    </w:rPr>
  </w:style>
  <w:style w:type="character" w:customStyle="1" w:styleId="Heading4Char">
    <w:name w:val="Heading 4 Char"/>
    <w:basedOn w:val="DefaultParagraphFont"/>
    <w:link w:val="Heading4"/>
    <w:uiPriority w:val="9"/>
    <w:semiHidden/>
    <w:rsid w:val="008411AC"/>
    <w:rPr>
      <w:rFonts w:ascii="Cambria" w:eastAsia="Times New Roman" w:hAnsi="Cambria" w:cs="Times New Roman"/>
      <w:b/>
      <w:bCs/>
      <w:i/>
      <w:iCs/>
      <w:color w:val="4F81BD"/>
    </w:rPr>
  </w:style>
  <w:style w:type="character" w:styleId="Hyperlink">
    <w:name w:val="Hyperlink"/>
    <w:basedOn w:val="DefaultParagraphFont"/>
    <w:uiPriority w:val="99"/>
    <w:unhideWhenUsed/>
    <w:rsid w:val="00B04EFA"/>
    <w:rPr>
      <w:color w:val="0000FF"/>
      <w:u w:val="single"/>
    </w:rPr>
  </w:style>
  <w:style w:type="paragraph" w:customStyle="1" w:styleId="phead">
    <w:name w:val="phead"/>
    <w:basedOn w:val="Normal"/>
    <w:rsid w:val="00064893"/>
    <w:pPr>
      <w:spacing w:before="100" w:beforeAutospacing="1" w:after="100" w:afterAutospacing="1"/>
    </w:pPr>
    <w:rPr>
      <w:rFonts w:eastAsia="Times New Roman"/>
      <w:sz w:val="24"/>
      <w:szCs w:val="24"/>
      <w:lang w:val="en-US"/>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66B1B"/>
    <w:rPr>
      <w:rFonts w:cs="Times New Roman"/>
      <w:sz w:val="24"/>
      <w:szCs w:val="24"/>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BA1146"/>
    <w:pPr>
      <w:spacing w:before="0" w:after="0"/>
      <w:ind w:firstLine="851"/>
      <w:jc w:val="both"/>
    </w:pPr>
    <w:rPr>
      <w:rFonts w:ascii=".VnTime" w:eastAsia="Times New Roman" w:hAnsi=".VnTime"/>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rsid w:val="00BA1146"/>
    <w:rPr>
      <w:rFonts w:ascii=".VnTime" w:eastAsia="Times New Roman" w:hAnsi=".VnTime" w:cs="Times New Roman"/>
      <w:color w:val="0000FF"/>
      <w:sz w:val="26"/>
      <w:szCs w:val="20"/>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6A0849"/>
    <w:pPr>
      <w:spacing w:before="0" w:after="160" w:line="240" w:lineRule="exact"/>
    </w:pPr>
    <w:rPr>
      <w:vertAlign w:val="superscript"/>
    </w:rPr>
  </w:style>
  <w:style w:type="paragraph" w:styleId="BodyText">
    <w:name w:val="Body Text"/>
    <w:basedOn w:val="Normal"/>
    <w:link w:val="BodyTextChar"/>
    <w:uiPriority w:val="99"/>
    <w:semiHidden/>
    <w:unhideWhenUsed/>
    <w:rsid w:val="006F6A7A"/>
  </w:style>
  <w:style w:type="character" w:customStyle="1" w:styleId="BodyTextChar">
    <w:name w:val="Body Text Char"/>
    <w:basedOn w:val="DefaultParagraphFont"/>
    <w:link w:val="BodyText"/>
    <w:uiPriority w:val="99"/>
    <w:semiHidden/>
    <w:rsid w:val="006F6A7A"/>
  </w:style>
  <w:style w:type="paragraph" w:styleId="Title">
    <w:name w:val="Title"/>
    <w:basedOn w:val="Normal"/>
    <w:next w:val="Normal"/>
    <w:link w:val="TitleChar"/>
    <w:uiPriority w:val="10"/>
    <w:qFormat/>
    <w:rsid w:val="007A040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0406"/>
    <w:rPr>
      <w:rFonts w:asciiTheme="majorHAnsi" w:eastAsiaTheme="majorEastAsia" w:hAnsiTheme="majorHAnsi" w:cstheme="majorBidi"/>
      <w:color w:val="17365D" w:themeColor="text2" w:themeShade="BF"/>
      <w:spacing w:val="5"/>
      <w:kern w:val="28"/>
      <w:sz w:val="52"/>
      <w:szCs w:val="52"/>
      <w:lang w:val="vi-VN"/>
    </w:rPr>
  </w:style>
  <w:style w:type="character" w:customStyle="1" w:styleId="normal-h1">
    <w:name w:val="normal-h1"/>
    <w:qFormat/>
    <w:rsid w:val="00A3759A"/>
    <w:rPr>
      <w:rFonts w:ascii="Times New Roman" w:hAnsi="Times New Roman" w:cs="Times New Roman" w:hint="default"/>
      <w:sz w:val="28"/>
      <w:szCs w:val="28"/>
    </w:rPr>
  </w:style>
  <w:style w:type="paragraph" w:customStyle="1" w:styleId="n-dieund-p">
    <w:name w:val="n-dieund-p"/>
    <w:basedOn w:val="Normal"/>
    <w:rsid w:val="00A3759A"/>
    <w:pPr>
      <w:spacing w:line="360" w:lineRule="exact"/>
      <w:ind w:firstLine="567"/>
      <w:jc w:val="both"/>
    </w:pPr>
    <w:rPr>
      <w:rFonts w:eastAsia="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38870421">
      <w:bodyDiv w:val="1"/>
      <w:marLeft w:val="0"/>
      <w:marRight w:val="0"/>
      <w:marTop w:val="0"/>
      <w:marBottom w:val="0"/>
      <w:divBdr>
        <w:top w:val="none" w:sz="0" w:space="0" w:color="auto"/>
        <w:left w:val="none" w:sz="0" w:space="0" w:color="auto"/>
        <w:bottom w:val="none" w:sz="0" w:space="0" w:color="auto"/>
        <w:right w:val="none" w:sz="0" w:space="0" w:color="auto"/>
      </w:divBdr>
    </w:div>
    <w:div w:id="186992084">
      <w:bodyDiv w:val="1"/>
      <w:marLeft w:val="0"/>
      <w:marRight w:val="0"/>
      <w:marTop w:val="0"/>
      <w:marBottom w:val="0"/>
      <w:divBdr>
        <w:top w:val="none" w:sz="0" w:space="0" w:color="auto"/>
        <w:left w:val="none" w:sz="0" w:space="0" w:color="auto"/>
        <w:bottom w:val="none" w:sz="0" w:space="0" w:color="auto"/>
        <w:right w:val="none" w:sz="0" w:space="0" w:color="auto"/>
      </w:divBdr>
    </w:div>
    <w:div w:id="189269191">
      <w:bodyDiv w:val="1"/>
      <w:marLeft w:val="0"/>
      <w:marRight w:val="0"/>
      <w:marTop w:val="0"/>
      <w:marBottom w:val="0"/>
      <w:divBdr>
        <w:top w:val="none" w:sz="0" w:space="0" w:color="auto"/>
        <w:left w:val="none" w:sz="0" w:space="0" w:color="auto"/>
        <w:bottom w:val="none" w:sz="0" w:space="0" w:color="auto"/>
        <w:right w:val="none" w:sz="0" w:space="0" w:color="auto"/>
      </w:divBdr>
    </w:div>
    <w:div w:id="944506431">
      <w:bodyDiv w:val="1"/>
      <w:marLeft w:val="0"/>
      <w:marRight w:val="0"/>
      <w:marTop w:val="0"/>
      <w:marBottom w:val="0"/>
      <w:divBdr>
        <w:top w:val="none" w:sz="0" w:space="0" w:color="auto"/>
        <w:left w:val="none" w:sz="0" w:space="0" w:color="auto"/>
        <w:bottom w:val="none" w:sz="0" w:space="0" w:color="auto"/>
        <w:right w:val="none" w:sz="0" w:space="0" w:color="auto"/>
      </w:divBdr>
    </w:div>
    <w:div w:id="958418314">
      <w:bodyDiv w:val="1"/>
      <w:marLeft w:val="0"/>
      <w:marRight w:val="0"/>
      <w:marTop w:val="0"/>
      <w:marBottom w:val="0"/>
      <w:divBdr>
        <w:top w:val="none" w:sz="0" w:space="0" w:color="auto"/>
        <w:left w:val="none" w:sz="0" w:space="0" w:color="auto"/>
        <w:bottom w:val="none" w:sz="0" w:space="0" w:color="auto"/>
        <w:right w:val="none" w:sz="0" w:space="0" w:color="auto"/>
      </w:divBdr>
    </w:div>
    <w:div w:id="1239631074">
      <w:bodyDiv w:val="1"/>
      <w:marLeft w:val="0"/>
      <w:marRight w:val="0"/>
      <w:marTop w:val="0"/>
      <w:marBottom w:val="0"/>
      <w:divBdr>
        <w:top w:val="none" w:sz="0" w:space="0" w:color="auto"/>
        <w:left w:val="none" w:sz="0" w:space="0" w:color="auto"/>
        <w:bottom w:val="none" w:sz="0" w:space="0" w:color="auto"/>
        <w:right w:val="none" w:sz="0" w:space="0" w:color="auto"/>
      </w:divBdr>
    </w:div>
    <w:div w:id="1512837404">
      <w:bodyDiv w:val="1"/>
      <w:marLeft w:val="0"/>
      <w:marRight w:val="0"/>
      <w:marTop w:val="0"/>
      <w:marBottom w:val="0"/>
      <w:divBdr>
        <w:top w:val="none" w:sz="0" w:space="0" w:color="auto"/>
        <w:left w:val="none" w:sz="0" w:space="0" w:color="auto"/>
        <w:bottom w:val="none" w:sz="0" w:space="0" w:color="auto"/>
        <w:right w:val="none" w:sz="0" w:space="0" w:color="auto"/>
      </w:divBdr>
    </w:div>
    <w:div w:id="1655990163">
      <w:bodyDiv w:val="1"/>
      <w:marLeft w:val="0"/>
      <w:marRight w:val="0"/>
      <w:marTop w:val="0"/>
      <w:marBottom w:val="0"/>
      <w:divBdr>
        <w:top w:val="none" w:sz="0" w:space="0" w:color="auto"/>
        <w:left w:val="none" w:sz="0" w:space="0" w:color="auto"/>
        <w:bottom w:val="none" w:sz="0" w:space="0" w:color="auto"/>
        <w:right w:val="none" w:sz="0" w:space="0" w:color="auto"/>
      </w:divBdr>
    </w:div>
    <w:div w:id="1777289680">
      <w:bodyDiv w:val="1"/>
      <w:marLeft w:val="0"/>
      <w:marRight w:val="0"/>
      <w:marTop w:val="0"/>
      <w:marBottom w:val="0"/>
      <w:divBdr>
        <w:top w:val="none" w:sz="0" w:space="0" w:color="auto"/>
        <w:left w:val="none" w:sz="0" w:space="0" w:color="auto"/>
        <w:bottom w:val="none" w:sz="0" w:space="0" w:color="auto"/>
        <w:right w:val="none" w:sz="0" w:space="0" w:color="auto"/>
      </w:divBdr>
    </w:div>
    <w:div w:id="1868105380">
      <w:bodyDiv w:val="1"/>
      <w:marLeft w:val="0"/>
      <w:marRight w:val="0"/>
      <w:marTop w:val="0"/>
      <w:marBottom w:val="0"/>
      <w:divBdr>
        <w:top w:val="none" w:sz="0" w:space="0" w:color="auto"/>
        <w:left w:val="none" w:sz="0" w:space="0" w:color="auto"/>
        <w:bottom w:val="none" w:sz="0" w:space="0" w:color="auto"/>
        <w:right w:val="none" w:sz="0" w:space="0" w:color="auto"/>
      </w:divBdr>
    </w:div>
    <w:div w:id="18795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29A97-9A11-4560-A419-8866B5D6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leminhkhiem</dc:creator>
  <cp:lastModifiedBy>Nguyen Tien Cong</cp:lastModifiedBy>
  <cp:revision>3</cp:revision>
  <cp:lastPrinted>2025-03-18T06:35:00Z</cp:lastPrinted>
  <dcterms:created xsi:type="dcterms:W3CDTF">2025-03-18T10:22:00Z</dcterms:created>
  <dcterms:modified xsi:type="dcterms:W3CDTF">2025-03-18T10:32:00Z</dcterms:modified>
</cp:coreProperties>
</file>