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0" w:type="dxa"/>
        <w:tblInd w:w="-630" w:type="dxa"/>
        <w:tblLook w:val="01E0"/>
      </w:tblPr>
      <w:tblGrid>
        <w:gridCol w:w="4050"/>
        <w:gridCol w:w="6160"/>
      </w:tblGrid>
      <w:tr w:rsidR="00685702" w:rsidRPr="00970EF5" w:rsidTr="00A94545">
        <w:tc>
          <w:tcPr>
            <w:tcW w:w="4050" w:type="dxa"/>
          </w:tcPr>
          <w:p w:rsidR="005526DD" w:rsidRPr="00970EF5" w:rsidRDefault="002D402B" w:rsidP="00D519E4">
            <w:pPr>
              <w:jc w:val="center"/>
              <w:rPr>
                <w:b/>
                <w:sz w:val="28"/>
                <w:szCs w:val="28"/>
                <w:lang w:val="vi-VN"/>
              </w:rPr>
            </w:pPr>
            <w:r w:rsidRPr="002D402B">
              <w:rPr>
                <w:noProof/>
                <w:sz w:val="28"/>
                <w:szCs w:val="28"/>
              </w:rPr>
              <w:pict>
                <v:shapetype id="_x0000_t32" coordsize="21600,21600" o:spt="32" o:oned="t" path="m,l21600,21600e" filled="f">
                  <v:path arrowok="t" fillok="f" o:connecttype="none"/>
                  <o:lock v:ext="edit" shapetype="t"/>
                </v:shapetype>
                <v:shape id="_x0000_s2052" type="#_x0000_t32" style="position:absolute;left:0;text-align:left;margin-left:59.1pt;margin-top:21.6pt;width:73.15pt;height:0;z-index:251660800;visibility:visible"/>
              </w:pict>
            </w:r>
            <w:r w:rsidR="00A94545" w:rsidRPr="00970EF5">
              <w:rPr>
                <w:b/>
                <w:sz w:val="28"/>
                <w:szCs w:val="28"/>
              </w:rPr>
              <w:t xml:space="preserve">BỘ </w:t>
            </w:r>
            <w:r w:rsidR="004134FD" w:rsidRPr="00970EF5">
              <w:rPr>
                <w:b/>
                <w:sz w:val="28"/>
                <w:szCs w:val="28"/>
                <w:lang w:val="vi-VN"/>
              </w:rPr>
              <w:t>TÀI CHÍNH</w:t>
            </w:r>
          </w:p>
        </w:tc>
        <w:tc>
          <w:tcPr>
            <w:tcW w:w="6160" w:type="dxa"/>
          </w:tcPr>
          <w:p w:rsidR="005526DD" w:rsidRPr="00D519E4" w:rsidRDefault="005526DD" w:rsidP="00D519E4">
            <w:pPr>
              <w:jc w:val="center"/>
              <w:rPr>
                <w:b/>
                <w:sz w:val="26"/>
                <w:szCs w:val="26"/>
                <w:lang w:val="vi-VN"/>
              </w:rPr>
            </w:pPr>
            <w:r w:rsidRPr="00D519E4">
              <w:rPr>
                <w:b/>
                <w:sz w:val="26"/>
                <w:szCs w:val="26"/>
                <w:lang w:val="vi-VN"/>
              </w:rPr>
              <w:t>CỘNG HÒA XÃ HỘI CHỦ NGHĨA VIỆT NAM</w:t>
            </w:r>
          </w:p>
          <w:p w:rsidR="005526DD" w:rsidRPr="00970EF5" w:rsidRDefault="005526DD" w:rsidP="00D519E4">
            <w:pPr>
              <w:jc w:val="center"/>
              <w:rPr>
                <w:b/>
                <w:sz w:val="28"/>
                <w:szCs w:val="28"/>
              </w:rPr>
            </w:pPr>
            <w:r w:rsidRPr="00970EF5">
              <w:rPr>
                <w:b/>
                <w:sz w:val="28"/>
                <w:szCs w:val="28"/>
              </w:rPr>
              <w:t>Độc lập – Tự do – Hạnh phúc</w:t>
            </w:r>
          </w:p>
          <w:p w:rsidR="005526DD" w:rsidRPr="00970EF5" w:rsidRDefault="002D402B" w:rsidP="00D519E4">
            <w:pPr>
              <w:jc w:val="center"/>
              <w:rPr>
                <w:b/>
                <w:sz w:val="28"/>
                <w:szCs w:val="28"/>
              </w:rPr>
            </w:pPr>
            <w:r w:rsidRPr="002D402B">
              <w:rPr>
                <w:b/>
                <w:noProof/>
                <w:sz w:val="28"/>
                <w:szCs w:val="28"/>
              </w:rPr>
              <w:pict>
                <v:line id="Line 3" o:spid="_x0000_s2051" style="position:absolute;left:0;text-align:left;z-index:251656704;visibility:visible" from="59.85pt,2.5pt" to="235.35pt,2.5pt"/>
              </w:pict>
            </w:r>
          </w:p>
        </w:tc>
      </w:tr>
      <w:tr w:rsidR="00685702" w:rsidRPr="00970EF5" w:rsidTr="00A94545">
        <w:tc>
          <w:tcPr>
            <w:tcW w:w="4050" w:type="dxa"/>
          </w:tcPr>
          <w:p w:rsidR="005526DD" w:rsidRPr="00970EF5" w:rsidRDefault="0028040D" w:rsidP="00D519E4">
            <w:pPr>
              <w:jc w:val="center"/>
              <w:rPr>
                <w:sz w:val="28"/>
                <w:szCs w:val="28"/>
              </w:rPr>
            </w:pPr>
            <w:r w:rsidRPr="00970EF5">
              <w:rPr>
                <w:sz w:val="28"/>
                <w:szCs w:val="28"/>
              </w:rPr>
              <w:t>Số</w:t>
            </w:r>
            <w:r w:rsidR="002B0C91" w:rsidRPr="00970EF5">
              <w:rPr>
                <w:sz w:val="28"/>
                <w:szCs w:val="28"/>
              </w:rPr>
              <w:t xml:space="preserve">: </w:t>
            </w:r>
            <w:r w:rsidR="001C6CFF" w:rsidRPr="00970EF5">
              <w:rPr>
                <w:sz w:val="28"/>
                <w:szCs w:val="28"/>
              </w:rPr>
              <w:t xml:space="preserve">       </w:t>
            </w:r>
            <w:r w:rsidRPr="00970EF5">
              <w:rPr>
                <w:sz w:val="28"/>
                <w:szCs w:val="28"/>
              </w:rPr>
              <w:t>/TTr-</w:t>
            </w:r>
            <w:r w:rsidR="00A94545" w:rsidRPr="00970EF5">
              <w:rPr>
                <w:sz w:val="28"/>
                <w:szCs w:val="28"/>
              </w:rPr>
              <w:t>BKHĐT</w:t>
            </w:r>
          </w:p>
        </w:tc>
        <w:tc>
          <w:tcPr>
            <w:tcW w:w="6160" w:type="dxa"/>
          </w:tcPr>
          <w:p w:rsidR="005526DD" w:rsidRPr="00970EF5" w:rsidRDefault="005526DD" w:rsidP="00D519E4">
            <w:pPr>
              <w:jc w:val="center"/>
              <w:rPr>
                <w:i/>
                <w:sz w:val="28"/>
                <w:szCs w:val="28"/>
                <w:lang w:val="vi-VN"/>
              </w:rPr>
            </w:pPr>
            <w:r w:rsidRPr="00970EF5">
              <w:rPr>
                <w:i/>
                <w:sz w:val="28"/>
                <w:szCs w:val="28"/>
              </w:rPr>
              <w:t xml:space="preserve">Hà Nội, </w:t>
            </w:r>
            <w:r w:rsidR="002B0C91" w:rsidRPr="00970EF5">
              <w:rPr>
                <w:i/>
                <w:sz w:val="28"/>
                <w:szCs w:val="28"/>
              </w:rPr>
              <w:t xml:space="preserve">ngày </w:t>
            </w:r>
            <w:r w:rsidR="001C6CFF" w:rsidRPr="00970EF5">
              <w:rPr>
                <w:i/>
                <w:sz w:val="28"/>
                <w:szCs w:val="28"/>
              </w:rPr>
              <w:t xml:space="preserve">    </w:t>
            </w:r>
            <w:r w:rsidR="002B0C91" w:rsidRPr="00970EF5">
              <w:rPr>
                <w:i/>
                <w:sz w:val="28"/>
                <w:szCs w:val="28"/>
              </w:rPr>
              <w:t xml:space="preserve"> </w:t>
            </w:r>
            <w:r w:rsidR="00BA384F" w:rsidRPr="00970EF5">
              <w:rPr>
                <w:i/>
                <w:sz w:val="28"/>
                <w:szCs w:val="28"/>
              </w:rPr>
              <w:t xml:space="preserve">tháng </w:t>
            </w:r>
            <w:r w:rsidR="00EE534B">
              <w:rPr>
                <w:i/>
                <w:sz w:val="28"/>
                <w:szCs w:val="28"/>
              </w:rPr>
              <w:t xml:space="preserve">  </w:t>
            </w:r>
            <w:r w:rsidR="002B0C91" w:rsidRPr="00970EF5">
              <w:rPr>
                <w:i/>
                <w:sz w:val="28"/>
                <w:szCs w:val="28"/>
              </w:rPr>
              <w:t xml:space="preserve"> </w:t>
            </w:r>
            <w:r w:rsidRPr="00970EF5">
              <w:rPr>
                <w:i/>
                <w:sz w:val="28"/>
                <w:szCs w:val="28"/>
              </w:rPr>
              <w:t>năm 20</w:t>
            </w:r>
            <w:r w:rsidR="001C6CFF" w:rsidRPr="00970EF5">
              <w:rPr>
                <w:i/>
                <w:sz w:val="28"/>
                <w:szCs w:val="28"/>
              </w:rPr>
              <w:t>2</w:t>
            </w:r>
            <w:r w:rsidR="004134FD" w:rsidRPr="00970EF5">
              <w:rPr>
                <w:i/>
                <w:sz w:val="28"/>
                <w:szCs w:val="28"/>
                <w:lang w:val="vi-VN"/>
              </w:rPr>
              <w:t>5</w:t>
            </w:r>
          </w:p>
        </w:tc>
      </w:tr>
    </w:tbl>
    <w:p w:rsidR="005526DD" w:rsidRPr="00970EF5" w:rsidRDefault="005526DD" w:rsidP="00970EF5">
      <w:pPr>
        <w:spacing w:before="120" w:after="120"/>
        <w:ind w:firstLine="720"/>
        <w:jc w:val="center"/>
        <w:rPr>
          <w:b/>
          <w:sz w:val="28"/>
          <w:szCs w:val="28"/>
        </w:rPr>
      </w:pPr>
    </w:p>
    <w:p w:rsidR="002C5276" w:rsidRPr="00970EF5" w:rsidRDefault="002C5276" w:rsidP="00970EF5">
      <w:pPr>
        <w:spacing w:before="120" w:after="120"/>
        <w:jc w:val="center"/>
        <w:rPr>
          <w:b/>
          <w:sz w:val="30"/>
          <w:szCs w:val="30"/>
        </w:rPr>
      </w:pPr>
    </w:p>
    <w:p w:rsidR="00135DFE" w:rsidRDefault="00135DFE" w:rsidP="00970EF5">
      <w:pPr>
        <w:spacing w:before="120" w:after="120"/>
        <w:jc w:val="center"/>
        <w:rPr>
          <w:b/>
          <w:sz w:val="30"/>
          <w:szCs w:val="30"/>
        </w:rPr>
      </w:pPr>
    </w:p>
    <w:p w:rsidR="00135DFE" w:rsidRDefault="00135DFE" w:rsidP="00970EF5">
      <w:pPr>
        <w:spacing w:before="120" w:after="120"/>
        <w:jc w:val="center"/>
        <w:rPr>
          <w:b/>
          <w:sz w:val="30"/>
          <w:szCs w:val="30"/>
        </w:rPr>
      </w:pPr>
    </w:p>
    <w:p w:rsidR="00A2364A" w:rsidRDefault="00A2364A" w:rsidP="00970EF5">
      <w:pPr>
        <w:spacing w:before="120" w:after="120"/>
        <w:jc w:val="center"/>
        <w:rPr>
          <w:b/>
          <w:sz w:val="30"/>
          <w:szCs w:val="30"/>
        </w:rPr>
      </w:pPr>
    </w:p>
    <w:p w:rsidR="00A2364A" w:rsidRDefault="00A2364A" w:rsidP="00970EF5">
      <w:pPr>
        <w:spacing w:before="120" w:after="120"/>
        <w:jc w:val="center"/>
        <w:rPr>
          <w:b/>
          <w:sz w:val="30"/>
          <w:szCs w:val="30"/>
        </w:rPr>
      </w:pPr>
    </w:p>
    <w:p w:rsidR="005526DD" w:rsidRPr="00970EF5" w:rsidRDefault="005526DD" w:rsidP="00970EF5">
      <w:pPr>
        <w:spacing w:before="120" w:after="120"/>
        <w:jc w:val="center"/>
        <w:rPr>
          <w:b/>
          <w:sz w:val="30"/>
          <w:szCs w:val="30"/>
        </w:rPr>
      </w:pPr>
      <w:r w:rsidRPr="00970EF5">
        <w:rPr>
          <w:b/>
          <w:sz w:val="30"/>
          <w:szCs w:val="30"/>
        </w:rPr>
        <w:t>TỜ TRÌNH</w:t>
      </w:r>
    </w:p>
    <w:p w:rsidR="005526DD" w:rsidRPr="00970EF5" w:rsidRDefault="004134FD" w:rsidP="00970EF5">
      <w:pPr>
        <w:spacing w:before="120" w:after="120"/>
        <w:jc w:val="center"/>
        <w:rPr>
          <w:b/>
          <w:spacing w:val="2"/>
          <w:sz w:val="29"/>
          <w:szCs w:val="29"/>
          <w:lang w:val="vi-VN"/>
        </w:rPr>
      </w:pPr>
      <w:r w:rsidRPr="00970EF5">
        <w:rPr>
          <w:b/>
          <w:spacing w:val="2"/>
          <w:sz w:val="29"/>
          <w:szCs w:val="29"/>
          <w:lang w:val="vi-VN"/>
        </w:rPr>
        <w:t>Về việc ban hành Nghị định quy định cơ chế quản lý tài chính dự án đầu tư theo phương thức đối tác công tư và cơ chế thanh toán, quyết toán đối với dự án áp dụng loại hợp đồng BT</w:t>
      </w:r>
    </w:p>
    <w:p w:rsidR="00970EF5" w:rsidRDefault="002D402B" w:rsidP="00DE4BF3">
      <w:pPr>
        <w:spacing w:before="120" w:after="120"/>
        <w:rPr>
          <w:sz w:val="28"/>
          <w:szCs w:val="28"/>
        </w:rPr>
      </w:pPr>
      <w:r w:rsidRPr="002D402B">
        <w:rPr>
          <w:noProof/>
          <w:sz w:val="28"/>
          <w:szCs w:val="28"/>
        </w:rPr>
        <w:pict>
          <v:shape id="AutoShape 2" o:spid="_x0000_s2050" type="#_x0000_t32" style="position:absolute;margin-left:156.3pt;margin-top:.85pt;width:133.2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"/>
        </w:pict>
      </w:r>
    </w:p>
    <w:p w:rsidR="005526DD" w:rsidRPr="00970EF5" w:rsidRDefault="005526DD" w:rsidP="00970EF5">
      <w:pPr>
        <w:spacing w:before="120" w:after="120"/>
        <w:jc w:val="center"/>
        <w:rPr>
          <w:sz w:val="28"/>
          <w:szCs w:val="28"/>
        </w:rPr>
      </w:pPr>
      <w:r w:rsidRPr="00970EF5">
        <w:rPr>
          <w:sz w:val="28"/>
          <w:szCs w:val="28"/>
        </w:rPr>
        <w:t xml:space="preserve">Kính gửi:  </w:t>
      </w:r>
      <w:r w:rsidR="00A94545" w:rsidRPr="00970EF5">
        <w:rPr>
          <w:sz w:val="28"/>
          <w:szCs w:val="28"/>
        </w:rPr>
        <w:t>Chính phủ</w:t>
      </w:r>
    </w:p>
    <w:p w:rsidR="0092689F" w:rsidRPr="00970EF5" w:rsidRDefault="00B23490" w:rsidP="00970EF5">
      <w:pPr>
        <w:spacing w:before="120" w:after="120"/>
        <w:ind w:firstLine="567"/>
        <w:jc w:val="both"/>
        <w:rPr>
          <w:sz w:val="28"/>
          <w:szCs w:val="28"/>
          <w:lang w:val="vi-VN"/>
        </w:rPr>
      </w:pPr>
      <w:r w:rsidRPr="00970EF5">
        <w:rPr>
          <w:sz w:val="28"/>
          <w:szCs w:val="28"/>
        </w:rPr>
        <w:t>Thực hiện</w:t>
      </w:r>
      <w:r w:rsidR="00460AC7" w:rsidRPr="00970EF5">
        <w:rPr>
          <w:sz w:val="28"/>
          <w:szCs w:val="28"/>
        </w:rPr>
        <w:t xml:space="preserve"> quy định của Luật Ban hành văn bản quy phạm pháp </w:t>
      </w:r>
      <w:r w:rsidR="00B2698D" w:rsidRPr="00970EF5">
        <w:rPr>
          <w:sz w:val="28"/>
          <w:szCs w:val="28"/>
        </w:rPr>
        <w:t>luật</w:t>
      </w:r>
      <w:r w:rsidR="00FC3051" w:rsidRPr="00970EF5">
        <w:rPr>
          <w:sz w:val="28"/>
          <w:szCs w:val="28"/>
          <w:lang w:val="vi-VN"/>
        </w:rPr>
        <w:t xml:space="preserve"> và nhiệm vụ được Thủ tướng Chính phủ giao tại Quyết định số 1601/QĐ-TTg ngày 19 tháng 12 năm 2024 về việc ban hành danh mục và phân công cơ quan chủ trì soạn thảo văn bản quy định chi tiết thi hành các luật, nghị quyết được Quốc hội khoá XV thông qua tại Kỳ họp thứ 8</w:t>
      </w:r>
      <w:r w:rsidR="006C2612" w:rsidRPr="00970EF5">
        <w:rPr>
          <w:sz w:val="28"/>
          <w:szCs w:val="28"/>
          <w:lang w:val="vi-VN"/>
        </w:rPr>
        <w:t xml:space="preserve">, Bộ Tài chính kính trình Thủ tướng Chính phủ xem xét, ban hành Nghị định quy định cơ chế quản lý tài chính dự án đầu tư theo phương thức đối tác công tư và cơ chế thanh toán, quyết toán đối với dự án áp dụng loại hợp đồng BT </w:t>
      </w:r>
      <w:r w:rsidR="00B2698D" w:rsidRPr="00970EF5">
        <w:rPr>
          <w:sz w:val="28"/>
          <w:szCs w:val="28"/>
        </w:rPr>
        <w:t>theo</w:t>
      </w:r>
      <w:r w:rsidR="00104E3C" w:rsidRPr="00970EF5">
        <w:rPr>
          <w:sz w:val="28"/>
          <w:szCs w:val="28"/>
        </w:rPr>
        <w:t xml:space="preserve"> những nội dung </w:t>
      </w:r>
      <w:r w:rsidR="0092689F" w:rsidRPr="00970EF5">
        <w:rPr>
          <w:sz w:val="28"/>
          <w:szCs w:val="28"/>
        </w:rPr>
        <w:t>sau:</w:t>
      </w:r>
    </w:p>
    <w:p w:rsidR="005526DD" w:rsidRPr="00970EF5" w:rsidRDefault="0092689F" w:rsidP="00970EF5">
      <w:pPr>
        <w:spacing w:before="120" w:after="120"/>
        <w:ind w:firstLine="567"/>
        <w:jc w:val="both"/>
        <w:rPr>
          <w:b/>
          <w:sz w:val="26"/>
          <w:szCs w:val="26"/>
        </w:rPr>
      </w:pPr>
      <w:r w:rsidRPr="00970EF5">
        <w:rPr>
          <w:b/>
          <w:sz w:val="26"/>
          <w:szCs w:val="26"/>
        </w:rPr>
        <w:t>I. SỰ CẦN THIẾT BAN HÀNH</w:t>
      </w:r>
      <w:r w:rsidR="005526DD" w:rsidRPr="00970EF5">
        <w:rPr>
          <w:b/>
          <w:sz w:val="26"/>
          <w:szCs w:val="26"/>
        </w:rPr>
        <w:t xml:space="preserve"> </w:t>
      </w:r>
    </w:p>
    <w:p w:rsidR="00E24D03" w:rsidRPr="00970EF5" w:rsidRDefault="00E24D03" w:rsidP="00970EF5">
      <w:pPr>
        <w:spacing w:before="120" w:after="120"/>
        <w:ind w:firstLine="567"/>
        <w:jc w:val="both"/>
        <w:rPr>
          <w:b/>
          <w:sz w:val="28"/>
          <w:szCs w:val="28"/>
          <w:lang w:val="vi-VN"/>
        </w:rPr>
      </w:pPr>
      <w:r w:rsidRPr="00970EF5">
        <w:rPr>
          <w:b/>
          <w:sz w:val="28"/>
          <w:szCs w:val="28"/>
        </w:rPr>
        <w:t xml:space="preserve">1. </w:t>
      </w:r>
      <w:r w:rsidR="00D90E18" w:rsidRPr="00970EF5">
        <w:rPr>
          <w:b/>
          <w:sz w:val="28"/>
          <w:szCs w:val="28"/>
        </w:rPr>
        <w:t>Cơ sở chính trị</w:t>
      </w:r>
    </w:p>
    <w:p w:rsidR="00B61653" w:rsidRPr="00970EF5" w:rsidRDefault="004B6CFB" w:rsidP="00970EF5">
      <w:pPr>
        <w:spacing w:before="120" w:after="120"/>
        <w:ind w:firstLine="567"/>
        <w:jc w:val="both"/>
        <w:rPr>
          <w:bCs/>
          <w:spacing w:val="-2"/>
          <w:sz w:val="28"/>
          <w:szCs w:val="28"/>
          <w:lang w:val="vi-VN"/>
        </w:rPr>
      </w:pPr>
      <w:r w:rsidRPr="00970EF5">
        <w:rPr>
          <w:bCs/>
          <w:spacing w:val="-2"/>
          <w:sz w:val="28"/>
          <w:szCs w:val="28"/>
          <w:lang w:val="it-IT"/>
        </w:rPr>
        <w:t>- Nghị quyết Đại hội Đại biểu toàn quốc lần thứ XIII của Đảng đã xác định</w:t>
      </w:r>
      <w:r w:rsidR="00263DC4" w:rsidRPr="00970EF5">
        <w:rPr>
          <w:bCs/>
          <w:spacing w:val="-2"/>
          <w:sz w:val="28"/>
          <w:szCs w:val="28"/>
          <w:lang w:val="it-IT"/>
        </w:rPr>
        <w:t xml:space="preserve"> về việc </w:t>
      </w:r>
      <w:r w:rsidRPr="00970EF5">
        <w:rPr>
          <w:bCs/>
          <w:spacing w:val="-2"/>
          <w:sz w:val="28"/>
          <w:szCs w:val="28"/>
          <w:lang w:val="it-IT"/>
        </w:rPr>
        <w:t>“</w:t>
      </w:r>
      <w:r w:rsidR="00336DFC" w:rsidRPr="00970EF5">
        <w:rPr>
          <w:bCs/>
          <w:i/>
          <w:iCs/>
          <w:spacing w:val="-2"/>
          <w:sz w:val="28"/>
          <w:szCs w:val="28"/>
          <w:lang w:val="it-IT"/>
        </w:rPr>
        <w:t>t</w:t>
      </w:r>
      <w:r w:rsidRPr="00970EF5">
        <w:rPr>
          <w:bCs/>
          <w:i/>
          <w:iCs/>
          <w:spacing w:val="-2"/>
          <w:sz w:val="28"/>
          <w:szCs w:val="28"/>
          <w:lang w:val="it-IT"/>
        </w:rPr>
        <w: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RPr="00970EF5">
        <w:rPr>
          <w:bCs/>
          <w:spacing w:val="-2"/>
          <w:sz w:val="28"/>
          <w:szCs w:val="28"/>
          <w:lang w:val="it-IT"/>
        </w:rPr>
        <w:t>”.</w:t>
      </w:r>
    </w:p>
    <w:p w:rsidR="00970EF5" w:rsidRPr="00970EF5" w:rsidRDefault="00B61653" w:rsidP="00970EF5">
      <w:pPr>
        <w:spacing w:before="120" w:after="120"/>
        <w:ind w:firstLine="567"/>
        <w:jc w:val="both"/>
        <w:rPr>
          <w:bCs/>
          <w:spacing w:val="-2"/>
          <w:sz w:val="28"/>
          <w:szCs w:val="28"/>
          <w:lang w:val="vi-VN"/>
        </w:rPr>
      </w:pPr>
      <w:r w:rsidRPr="00970EF5">
        <w:rPr>
          <w:bCs/>
          <w:spacing w:val="-2"/>
          <w:sz w:val="28"/>
          <w:szCs w:val="28"/>
          <w:lang w:val="vi-VN"/>
        </w:rPr>
        <w:t xml:space="preserve">- </w:t>
      </w:r>
      <w:r w:rsidR="00970EF5" w:rsidRPr="00D519E4">
        <w:rPr>
          <w:sz w:val="28"/>
          <w:szCs w:val="28"/>
          <w:lang w:val="vi-VN"/>
        </w:rPr>
        <w:t xml:space="preserve">Hội nghị lần thứ ba Ban Chấp hành Trung ương Đảng khóa XIII đề ra nhiệm vụ: </w:t>
      </w:r>
      <w:r w:rsidR="00970EF5" w:rsidRPr="00D519E4">
        <w:rPr>
          <w:i/>
          <w:iCs/>
          <w:sz w:val="28"/>
          <w:szCs w:val="28"/>
          <w:lang w:val="vi-VN"/>
        </w:rPr>
        <w:t>Tiếp tục xây dựng, hoàn thiện đồng bộ thể chế phát triển, trước hết là thể chế kinh tế thị trường định hướng xã hội chủ nghĩa; khẩn trương rà soát, bổ sung, hoàn thiện các quy định pháp luật không còn phù hợp, trùng chéo, hoặc chưa đầy đủ, nhất là về đầu tư, kinh doanh, đất đai, quy hoạch, ngân sách, tài sản công, thuế…</w:t>
      </w:r>
      <w:r w:rsidR="00970EF5" w:rsidRPr="00D519E4">
        <w:rPr>
          <w:sz w:val="28"/>
          <w:szCs w:val="28"/>
          <w:lang w:val="vi-VN"/>
        </w:rPr>
        <w:t>”.</w:t>
      </w:r>
    </w:p>
    <w:p w:rsidR="0064110F" w:rsidRPr="00970EF5" w:rsidRDefault="00970EF5" w:rsidP="00970EF5">
      <w:pPr>
        <w:spacing w:before="120" w:after="120"/>
        <w:ind w:firstLine="567"/>
        <w:jc w:val="both"/>
        <w:rPr>
          <w:bCs/>
          <w:spacing w:val="-2"/>
          <w:sz w:val="28"/>
          <w:szCs w:val="28"/>
          <w:lang w:val="vi-VN"/>
        </w:rPr>
      </w:pPr>
      <w:r w:rsidRPr="00970EF5">
        <w:rPr>
          <w:bCs/>
          <w:spacing w:val="-2"/>
          <w:sz w:val="28"/>
          <w:szCs w:val="28"/>
          <w:lang w:val="vi-VN"/>
        </w:rPr>
        <w:lastRenderedPageBreak/>
        <w:t xml:space="preserve">- </w:t>
      </w:r>
      <w:r w:rsidR="00262950" w:rsidRPr="00970EF5">
        <w:rPr>
          <w:bCs/>
          <w:spacing w:val="-2"/>
          <w:sz w:val="28"/>
          <w:szCs w:val="28"/>
          <w:lang w:val="vi-VN"/>
        </w:rPr>
        <w:t>Kết luận số 19-KL/TW của Bộ Chính trị về định hướng Chương trình xây dựng pháp luật nhiệm kỳ Quốc hội khóa XV đã đề ra mục tiêu của công tác xây dựng pháp luật nhiệm kỳ Quốc hội khoá XV là hoàn thiện đồng bộ thể chế phát triển, tạo lập khung khổ pháp lý để thực hiện thắng lợi các nhiệm vụ phát triển kinh tế - xã hội giai đoạn 2021 – 2025, trong đó lưu ý: “</w:t>
      </w:r>
      <w:r w:rsidR="00262950" w:rsidRPr="00970EF5">
        <w:rPr>
          <w:bCs/>
          <w:i/>
          <w:iCs/>
          <w:spacing w:val="-2"/>
          <w:sz w:val="28"/>
          <w:szCs w:val="28"/>
          <w:lang w:val="vi-VN"/>
        </w:rPr>
        <w:t>chú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r w:rsidR="00262950" w:rsidRPr="00970EF5">
        <w:rPr>
          <w:bCs/>
          <w:spacing w:val="-2"/>
          <w:sz w:val="28"/>
          <w:szCs w:val="28"/>
          <w:lang w:val="vi-VN"/>
        </w:rPr>
        <w:t>”.</w:t>
      </w:r>
    </w:p>
    <w:p w:rsidR="00B61653" w:rsidRPr="00970EF5" w:rsidRDefault="00B61653" w:rsidP="00970EF5">
      <w:pPr>
        <w:spacing w:before="120" w:after="120"/>
        <w:ind w:firstLine="567"/>
        <w:jc w:val="both"/>
        <w:rPr>
          <w:i/>
          <w:iCs/>
          <w:sz w:val="28"/>
          <w:szCs w:val="28"/>
          <w:lang w:val="vi-VN"/>
        </w:rPr>
      </w:pPr>
      <w:r w:rsidRPr="00D519E4">
        <w:rPr>
          <w:sz w:val="28"/>
          <w:szCs w:val="28"/>
          <w:lang w:val="vi-VN"/>
        </w:rPr>
        <w:t xml:space="preserve">- Chỉ thị số 27-CT/TW ngày 25/12/2023 của </w:t>
      </w:r>
      <w:bookmarkStart w:id="0" w:name="_Hlk168750796"/>
      <w:r w:rsidRPr="00D519E4">
        <w:rPr>
          <w:sz w:val="28"/>
          <w:szCs w:val="28"/>
          <w:lang w:val="vi-VN"/>
        </w:rPr>
        <w:t>Bộ Chính trị về tăng cường sự lãnh đạo của Đảng đối với công tác thực hành tiết kiệm, chống lãng phí</w:t>
      </w:r>
      <w:r w:rsidR="00727C85" w:rsidRPr="00D519E4">
        <w:rPr>
          <w:sz w:val="28"/>
          <w:szCs w:val="28"/>
          <w:lang w:val="vi-VN"/>
        </w:rPr>
        <w:t xml:space="preserve"> </w:t>
      </w:r>
      <w:r w:rsidRPr="00D519E4">
        <w:rPr>
          <w:i/>
          <w:iCs/>
          <w:sz w:val="28"/>
          <w:szCs w:val="28"/>
          <w:lang w:val="vi-VN"/>
        </w:rPr>
        <w:t>đã yêu cầu có phương án giải quyết dứt điểm tồn tại kéo dài đối với các dự án quan trọng quốc gia, dự án trọng điểm, dự án sử dụng vốn ODA, dự án BOT, BT hiệu quả thấp, gây thất thoát, lãng phí lớn</w:t>
      </w:r>
      <w:bookmarkEnd w:id="0"/>
      <w:r w:rsidR="00727C85" w:rsidRPr="00D519E4">
        <w:rPr>
          <w:i/>
          <w:iCs/>
          <w:sz w:val="28"/>
          <w:szCs w:val="28"/>
          <w:lang w:val="vi-VN"/>
        </w:rPr>
        <w:t>…</w:t>
      </w:r>
    </w:p>
    <w:p w:rsidR="00B61653" w:rsidRPr="00970EF5" w:rsidRDefault="00B61653" w:rsidP="00970EF5">
      <w:pPr>
        <w:spacing w:before="120" w:after="120"/>
        <w:ind w:firstLine="567"/>
        <w:jc w:val="both"/>
        <w:rPr>
          <w:b/>
          <w:spacing w:val="-2"/>
          <w:sz w:val="28"/>
          <w:szCs w:val="28"/>
          <w:lang w:val="vi-VN"/>
        </w:rPr>
      </w:pPr>
      <w:r w:rsidRPr="00970EF5">
        <w:rPr>
          <w:b/>
          <w:spacing w:val="-2"/>
          <w:sz w:val="28"/>
          <w:szCs w:val="28"/>
          <w:lang w:val="vi-VN"/>
        </w:rPr>
        <w:t>2. Cơ sở pháp lý</w:t>
      </w:r>
    </w:p>
    <w:p w:rsidR="00D4738A" w:rsidRPr="00D519E4" w:rsidRDefault="00970EF5" w:rsidP="00970EF5">
      <w:pPr>
        <w:spacing w:before="120" w:after="120"/>
        <w:ind w:firstLine="567"/>
        <w:jc w:val="both"/>
        <w:rPr>
          <w:sz w:val="28"/>
          <w:szCs w:val="28"/>
          <w:lang w:val="vi-VN"/>
        </w:rPr>
      </w:pPr>
      <w:r w:rsidRPr="00D519E4">
        <w:rPr>
          <w:sz w:val="28"/>
          <w:szCs w:val="28"/>
          <w:lang w:val="vi-VN"/>
        </w:rPr>
        <w:t>- Luật sửa đổi, bổ sung một số điều của Luật Quy hoạch, Luật Đầu tư, Luật Đầu tư theo phương thức đối tác công tư, Luật Đấu thầu được Quốc hội khóa XV thông qua tại Kỳ họp thứ 8</w:t>
      </w:r>
      <w:r w:rsidR="00D519E4" w:rsidRPr="00D519E4">
        <w:rPr>
          <w:sz w:val="28"/>
          <w:szCs w:val="28"/>
          <w:lang w:val="vi-VN"/>
        </w:rPr>
        <w:t xml:space="preserve"> (Luật </w:t>
      </w:r>
      <w:r w:rsidR="00D519E4">
        <w:rPr>
          <w:sz w:val="28"/>
          <w:szCs w:val="28"/>
          <w:lang w:val="vi-VN"/>
        </w:rPr>
        <w:t>số 57/2024/QH15</w:t>
      </w:r>
      <w:r w:rsidR="00D519E4" w:rsidRPr="00D519E4">
        <w:rPr>
          <w:sz w:val="28"/>
          <w:szCs w:val="28"/>
          <w:lang w:val="vi-VN"/>
        </w:rPr>
        <w:t>)</w:t>
      </w:r>
      <w:r w:rsidRPr="00D519E4">
        <w:rPr>
          <w:sz w:val="28"/>
          <w:szCs w:val="28"/>
          <w:lang w:val="vi-VN"/>
        </w:rPr>
        <w:t>, trong đó</w:t>
      </w:r>
      <w:r w:rsidR="00D519E4" w:rsidRPr="00D519E4">
        <w:rPr>
          <w:sz w:val="28"/>
          <w:szCs w:val="28"/>
          <w:lang w:val="vi-VN"/>
        </w:rPr>
        <w:t>, Quốc hội đã</w:t>
      </w:r>
      <w:r w:rsidRPr="00D519E4">
        <w:rPr>
          <w:sz w:val="28"/>
          <w:szCs w:val="28"/>
          <w:lang w:val="vi-VN"/>
        </w:rPr>
        <w:t xml:space="preserve"> giao Chính phủ </w:t>
      </w:r>
      <w:r w:rsidR="00D4738A" w:rsidRPr="00D519E4">
        <w:rPr>
          <w:sz w:val="28"/>
          <w:szCs w:val="28"/>
          <w:lang w:val="vi-VN"/>
        </w:rPr>
        <w:t>quy định cơ chế quản lý tài chính dự án đầu tư theo phương thức đối tác công tư và cơ chế thanh toán, quyết toán đối với dự án áp dụng loại hợp đồng BT</w:t>
      </w:r>
      <w:r w:rsidR="00D4738A">
        <w:rPr>
          <w:sz w:val="28"/>
          <w:szCs w:val="28"/>
          <w:lang w:val="vi-VN"/>
        </w:rPr>
        <w:t>.</w:t>
      </w:r>
      <w:r w:rsidR="00D4738A" w:rsidRPr="00D519E4">
        <w:rPr>
          <w:sz w:val="28"/>
          <w:szCs w:val="28"/>
          <w:lang w:val="vi-VN"/>
        </w:rPr>
        <w:t xml:space="preserve"> </w:t>
      </w:r>
    </w:p>
    <w:p w:rsidR="00970EF5" w:rsidRPr="00D4738A" w:rsidRDefault="00970EF5" w:rsidP="00970EF5">
      <w:pPr>
        <w:spacing w:before="120" w:after="120"/>
        <w:ind w:firstLine="567"/>
        <w:jc w:val="both"/>
        <w:rPr>
          <w:sz w:val="28"/>
          <w:szCs w:val="28"/>
          <w:lang w:val="vi-VN"/>
        </w:rPr>
      </w:pPr>
      <w:r w:rsidRPr="00D519E4">
        <w:rPr>
          <w:sz w:val="28"/>
          <w:szCs w:val="28"/>
          <w:lang w:val="vi-VN"/>
        </w:rPr>
        <w:t xml:space="preserve">- </w:t>
      </w:r>
      <w:r w:rsidR="00D519E4" w:rsidRPr="00D519E4">
        <w:rPr>
          <w:sz w:val="28"/>
          <w:szCs w:val="28"/>
          <w:lang w:val="vi-VN"/>
        </w:rPr>
        <w:t xml:space="preserve">Tại </w:t>
      </w:r>
      <w:r w:rsidRPr="00D519E4">
        <w:rPr>
          <w:sz w:val="28"/>
          <w:szCs w:val="28"/>
          <w:lang w:val="vi-VN"/>
        </w:rPr>
        <w:t xml:space="preserve">Quyết định số 1610/QĐ-TTg ngày 19/12/2024 </w:t>
      </w:r>
      <w:r w:rsidR="00D519E4" w:rsidRPr="00D519E4">
        <w:rPr>
          <w:sz w:val="28"/>
          <w:szCs w:val="28"/>
          <w:lang w:val="vi-VN"/>
        </w:rPr>
        <w:t xml:space="preserve">ban hành danh mục và phân công cơ quan chủ trì soạn thảo văn bản quy định chi tiết thi hành các luật, nghị quyết </w:t>
      </w:r>
      <w:r w:rsidR="00D519E4">
        <w:rPr>
          <w:sz w:val="28"/>
          <w:szCs w:val="28"/>
          <w:lang w:val="vi-VN"/>
        </w:rPr>
        <w:t>đư</w:t>
      </w:r>
      <w:r w:rsidR="00D519E4" w:rsidRPr="00D519E4">
        <w:rPr>
          <w:sz w:val="28"/>
          <w:szCs w:val="28"/>
          <w:lang w:val="vi-VN"/>
        </w:rPr>
        <w:t xml:space="preserve">ợc Quốc hội khóa XV thông qua tại kỳ họp 8, </w:t>
      </w:r>
      <w:r w:rsidRPr="00D519E4">
        <w:rPr>
          <w:sz w:val="28"/>
          <w:szCs w:val="28"/>
          <w:lang w:val="vi-VN"/>
        </w:rPr>
        <w:t xml:space="preserve">Thủ tướng Chính phủ </w:t>
      </w:r>
      <w:r w:rsidR="00D519E4" w:rsidRPr="00D519E4">
        <w:rPr>
          <w:sz w:val="28"/>
          <w:szCs w:val="28"/>
          <w:lang w:val="vi-VN"/>
        </w:rPr>
        <w:t xml:space="preserve">đã </w:t>
      </w:r>
      <w:r w:rsidRPr="00D519E4">
        <w:rPr>
          <w:sz w:val="28"/>
          <w:szCs w:val="28"/>
          <w:lang w:val="vi-VN"/>
        </w:rPr>
        <w:t xml:space="preserve">giao Bộ </w:t>
      </w:r>
      <w:r w:rsidR="00D4738A" w:rsidRPr="00D519E4">
        <w:rPr>
          <w:sz w:val="28"/>
          <w:szCs w:val="28"/>
          <w:lang w:val="vi-VN"/>
        </w:rPr>
        <w:t xml:space="preserve">Tài chính </w:t>
      </w:r>
      <w:r w:rsidRPr="00D519E4">
        <w:rPr>
          <w:sz w:val="28"/>
          <w:szCs w:val="28"/>
          <w:lang w:val="vi-VN"/>
        </w:rPr>
        <w:t xml:space="preserve">chủ trì soạn thảo </w:t>
      </w:r>
      <w:r w:rsidR="00D519E4" w:rsidRPr="00D519E4">
        <w:rPr>
          <w:sz w:val="28"/>
          <w:szCs w:val="28"/>
          <w:lang w:val="vi-VN"/>
        </w:rPr>
        <w:t xml:space="preserve">Nghị định </w:t>
      </w:r>
      <w:r w:rsidR="00D4738A" w:rsidRPr="00D519E4">
        <w:rPr>
          <w:sz w:val="28"/>
          <w:szCs w:val="28"/>
          <w:lang w:val="vi-VN"/>
        </w:rPr>
        <w:t>quy định cơ chế quản lý tài chính dự án đầu tư theo phương thức đối tác công tư và cơ chế thanh toán, quyết toán đối với dự án áp dụng loại hợp đồng BT</w:t>
      </w:r>
      <w:r w:rsidR="00D4738A">
        <w:rPr>
          <w:sz w:val="28"/>
          <w:szCs w:val="28"/>
          <w:lang w:val="vi-VN"/>
        </w:rPr>
        <w:t xml:space="preserve"> (thay thế Nghị định số 28/2021/NĐ-CP ngày 26/03/2021 của Chính phủ </w:t>
      </w:r>
      <w:r w:rsidR="00D4738A" w:rsidRPr="00D4738A">
        <w:rPr>
          <w:sz w:val="28"/>
          <w:szCs w:val="28"/>
          <w:lang w:val="vi-VN"/>
        </w:rPr>
        <w:t>quy định cơ chế quản lý tài chính dự án đầu tư theo phương thức đối tác công tư</w:t>
      </w:r>
      <w:r w:rsidR="009C2FB5">
        <w:rPr>
          <w:sz w:val="28"/>
          <w:szCs w:val="28"/>
          <w:lang w:val="vi-VN"/>
        </w:rPr>
        <w:t>).</w:t>
      </w:r>
    </w:p>
    <w:p w:rsidR="00D90E18" w:rsidRPr="00D519E4" w:rsidRDefault="00D374E1" w:rsidP="00D4738A">
      <w:pPr>
        <w:spacing w:before="120" w:after="120"/>
        <w:ind w:firstLine="567"/>
        <w:jc w:val="both"/>
        <w:rPr>
          <w:b/>
          <w:sz w:val="28"/>
          <w:szCs w:val="28"/>
          <w:lang w:val="vi-VN"/>
        </w:rPr>
      </w:pPr>
      <w:r w:rsidRPr="00D519E4">
        <w:rPr>
          <w:b/>
          <w:sz w:val="28"/>
          <w:szCs w:val="28"/>
          <w:lang w:val="vi-VN"/>
        </w:rPr>
        <w:t>3</w:t>
      </w:r>
      <w:r w:rsidR="00D90E18" w:rsidRPr="00D519E4">
        <w:rPr>
          <w:b/>
          <w:sz w:val="28"/>
          <w:szCs w:val="28"/>
          <w:lang w:val="vi-VN"/>
        </w:rPr>
        <w:t>. Cơ sở thực tiễn</w:t>
      </w:r>
    </w:p>
    <w:p w:rsidR="00A86453" w:rsidRPr="00A86453" w:rsidRDefault="00A86453" w:rsidP="00503EFE">
      <w:pPr>
        <w:spacing w:before="120" w:after="120"/>
        <w:ind w:firstLine="567"/>
        <w:jc w:val="both"/>
        <w:rPr>
          <w:sz w:val="28"/>
          <w:szCs w:val="28"/>
          <w:lang w:val="vi-VN"/>
        </w:rPr>
      </w:pPr>
      <w:r w:rsidRPr="00D519E4">
        <w:rPr>
          <w:sz w:val="28"/>
          <w:szCs w:val="28"/>
          <w:lang w:val="vi-VN"/>
        </w:rPr>
        <w:t xml:space="preserve">Việc xây dựng Nghị định quy định cơ chế quản lý tài chính dự án đầu tư theo phương thức đối tác công tư và cơ chế thanh toán, quyết toán đối với dự án áp dụng loại hợp đồng BT </w:t>
      </w:r>
      <w:r>
        <w:rPr>
          <w:sz w:val="28"/>
          <w:szCs w:val="28"/>
          <w:lang w:val="vi-VN"/>
        </w:rPr>
        <w:t xml:space="preserve">(thay thế Nghị định số 28/2021/NĐ-CP) </w:t>
      </w:r>
      <w:r w:rsidRPr="00D519E4">
        <w:rPr>
          <w:sz w:val="28"/>
          <w:szCs w:val="28"/>
          <w:lang w:val="vi-VN"/>
        </w:rPr>
        <w:t xml:space="preserve">là cần thiết, đảm thống nhất, đồng bộ với các quy định tại </w:t>
      </w:r>
      <w:r w:rsidR="00503EFE" w:rsidRPr="00D519E4">
        <w:rPr>
          <w:sz w:val="28"/>
          <w:szCs w:val="28"/>
          <w:lang w:val="vi-VN"/>
        </w:rPr>
        <w:t xml:space="preserve">luật được Quốc hội khoá XV thông qua tại kỳ họp thứ </w:t>
      </w:r>
      <w:r w:rsidR="00503EFE">
        <w:rPr>
          <w:sz w:val="28"/>
          <w:szCs w:val="28"/>
          <w:lang w:val="vi-VN"/>
        </w:rPr>
        <w:t xml:space="preserve">8 như: </w:t>
      </w:r>
      <w:r w:rsidRPr="00D519E4">
        <w:rPr>
          <w:sz w:val="28"/>
          <w:szCs w:val="28"/>
          <w:lang w:val="vi-VN"/>
        </w:rPr>
        <w:t xml:space="preserve">Luật PPP (đã được sửa đổi, bổ sung tại Điều </w:t>
      </w:r>
      <w:r>
        <w:rPr>
          <w:sz w:val="28"/>
          <w:szCs w:val="28"/>
          <w:lang w:val="vi-VN"/>
        </w:rPr>
        <w:t xml:space="preserve">3 </w:t>
      </w:r>
      <w:r w:rsidRPr="00D519E4">
        <w:rPr>
          <w:sz w:val="28"/>
          <w:szCs w:val="28"/>
          <w:lang w:val="vi-VN"/>
        </w:rPr>
        <w:t>Luật số 57/2024/QH15)</w:t>
      </w:r>
      <w:r w:rsidR="00503EFE">
        <w:rPr>
          <w:sz w:val="28"/>
          <w:szCs w:val="28"/>
          <w:lang w:val="vi-VN"/>
        </w:rPr>
        <w:t xml:space="preserve">, Luật Chứng khoán, Luật Ngân sách nhà nước (được sửa đổi bổ sung tại Luật số 56/2024/QH15), Luật Đầu tư công số 58/2024/QH15;  </w:t>
      </w:r>
      <w:r w:rsidRPr="00D519E4">
        <w:rPr>
          <w:sz w:val="28"/>
          <w:szCs w:val="28"/>
          <w:lang w:val="vi-VN"/>
        </w:rPr>
        <w:t>đồng thời</w:t>
      </w:r>
      <w:r>
        <w:rPr>
          <w:sz w:val="28"/>
          <w:szCs w:val="28"/>
          <w:lang w:val="vi-VN"/>
        </w:rPr>
        <w:t>,</w:t>
      </w:r>
      <w:r w:rsidRPr="00D519E4">
        <w:rPr>
          <w:sz w:val="28"/>
          <w:szCs w:val="28"/>
          <w:lang w:val="vi-VN"/>
        </w:rPr>
        <w:t xml:space="preserve"> góp phần tháo gỡ khó khăn, vướng mắc trong quá trình thực hiện Nghị định số </w:t>
      </w:r>
      <w:r>
        <w:rPr>
          <w:sz w:val="28"/>
          <w:szCs w:val="28"/>
          <w:lang w:val="vi-VN"/>
        </w:rPr>
        <w:t>28/2021/NĐ-CP; cụ thể như sau:</w:t>
      </w:r>
    </w:p>
    <w:p w:rsidR="00A86453" w:rsidRPr="00D519E4" w:rsidRDefault="00A86453" w:rsidP="00A86453">
      <w:pPr>
        <w:spacing w:before="120" w:after="120" w:line="360" w:lineRule="exact"/>
        <w:ind w:firstLine="567"/>
        <w:jc w:val="both"/>
        <w:rPr>
          <w:b/>
          <w:bCs/>
          <w:i/>
          <w:iCs/>
          <w:sz w:val="28"/>
          <w:szCs w:val="28"/>
          <w:lang w:val="vi-VN"/>
        </w:rPr>
      </w:pPr>
      <w:r w:rsidRPr="00D519E4">
        <w:rPr>
          <w:b/>
          <w:bCs/>
          <w:i/>
          <w:iCs/>
          <w:sz w:val="28"/>
          <w:szCs w:val="28"/>
          <w:lang w:val="vi-VN"/>
        </w:rPr>
        <w:t>2.1</w:t>
      </w:r>
      <w:r w:rsidR="00C6047B">
        <w:rPr>
          <w:b/>
          <w:bCs/>
          <w:i/>
          <w:iCs/>
          <w:sz w:val="28"/>
          <w:szCs w:val="28"/>
          <w:lang w:val="vi-VN"/>
        </w:rPr>
        <w:t>.</w:t>
      </w:r>
      <w:r w:rsidRPr="00D519E4">
        <w:rPr>
          <w:b/>
          <w:bCs/>
          <w:i/>
          <w:iCs/>
          <w:sz w:val="28"/>
          <w:szCs w:val="28"/>
          <w:lang w:val="vi-VN"/>
        </w:rPr>
        <w:t xml:space="preserve"> Các nội dung Luật PPP giao Chính phủ quy định chi tiết</w:t>
      </w:r>
    </w:p>
    <w:p w:rsidR="00A86453" w:rsidRPr="00D519E4" w:rsidRDefault="00A86453" w:rsidP="00A86453">
      <w:pPr>
        <w:spacing w:before="120" w:after="120"/>
        <w:ind w:firstLine="567"/>
        <w:jc w:val="both"/>
        <w:rPr>
          <w:sz w:val="28"/>
          <w:szCs w:val="28"/>
          <w:lang w:val="vi-VN"/>
        </w:rPr>
      </w:pPr>
      <w:r w:rsidRPr="00D519E4">
        <w:rPr>
          <w:sz w:val="28"/>
          <w:szCs w:val="28"/>
          <w:lang w:val="vi-VN"/>
        </w:rPr>
        <w:lastRenderedPageBreak/>
        <w:t xml:space="preserve">Tại Quyết định số 1610/QĐ-TTg ngày 19/12/2024 của Thủ tướng Chính phủ, Bộ </w:t>
      </w:r>
      <w:r w:rsidR="00AC77F7" w:rsidRPr="00D519E4">
        <w:rPr>
          <w:sz w:val="28"/>
          <w:szCs w:val="28"/>
          <w:lang w:val="vi-VN"/>
        </w:rPr>
        <w:t xml:space="preserve">Tài chính </w:t>
      </w:r>
      <w:r w:rsidRPr="00D519E4">
        <w:rPr>
          <w:sz w:val="28"/>
          <w:szCs w:val="28"/>
          <w:lang w:val="vi-VN"/>
        </w:rPr>
        <w:t>được giao chủ trì soạn thảo Nghị định quy định cơ chế quản lý tài chính dự án đầu tư theo phương thức đối tác công tư và cơ chế thanh toán, quyết toán đối với dự án áp dụng loại hợp đồng BT (</w:t>
      </w:r>
      <w:r w:rsidR="00451F73" w:rsidRPr="00D519E4">
        <w:rPr>
          <w:sz w:val="28"/>
          <w:szCs w:val="28"/>
          <w:lang w:val="vi-VN"/>
        </w:rPr>
        <w:t xml:space="preserve">thay thế Nghị định số </w:t>
      </w:r>
      <w:r w:rsidR="00451F73">
        <w:rPr>
          <w:sz w:val="28"/>
          <w:szCs w:val="28"/>
          <w:lang w:val="vi-VN"/>
        </w:rPr>
        <w:t>28/2021/NĐ-CP</w:t>
      </w:r>
      <w:r w:rsidRPr="00D519E4">
        <w:rPr>
          <w:sz w:val="28"/>
          <w:szCs w:val="28"/>
          <w:lang w:val="vi-VN"/>
        </w:rPr>
        <w:t xml:space="preserve">), gồm: </w:t>
      </w:r>
    </w:p>
    <w:p w:rsidR="00B21D61" w:rsidRPr="00B21D61" w:rsidRDefault="00B21D61" w:rsidP="00B21D61">
      <w:pPr>
        <w:pStyle w:val="NormalWeb"/>
        <w:spacing w:before="0" w:beforeAutospacing="0" w:after="120" w:afterAutospacing="0"/>
        <w:ind w:firstLine="567"/>
        <w:jc w:val="both"/>
        <w:rPr>
          <w:color w:val="000000"/>
          <w:lang w:val="vi-VN"/>
        </w:rPr>
      </w:pPr>
      <w:r>
        <w:rPr>
          <w:color w:val="000000"/>
          <w:sz w:val="28"/>
          <w:szCs w:val="28"/>
          <w:lang w:val="vi-VN"/>
        </w:rPr>
        <w:t xml:space="preserve">- </w:t>
      </w:r>
      <w:r w:rsidRPr="00EE534B">
        <w:rPr>
          <w:color w:val="000000"/>
          <w:sz w:val="28"/>
          <w:szCs w:val="28"/>
          <w:lang w:val="vi-VN"/>
        </w:rPr>
        <w:t xml:space="preserve">Quyết toán vốn đầu tư công trình, hệ thống cơ sở hạ tầng </w:t>
      </w:r>
      <w:r>
        <w:rPr>
          <w:color w:val="000000"/>
          <w:sz w:val="28"/>
          <w:szCs w:val="28"/>
          <w:lang w:val="vi-VN"/>
        </w:rPr>
        <w:t>(k</w:t>
      </w:r>
      <w:r w:rsidRPr="00EE534B">
        <w:rPr>
          <w:color w:val="000000"/>
          <w:sz w:val="28"/>
          <w:szCs w:val="28"/>
          <w:lang w:val="vi-VN"/>
        </w:rPr>
        <w:t>hoản 4 Điều 60</w:t>
      </w:r>
      <w:r>
        <w:rPr>
          <w:color w:val="000000"/>
          <w:sz w:val="28"/>
          <w:szCs w:val="28"/>
          <w:lang w:val="vi-VN"/>
        </w:rPr>
        <w:t xml:space="preserve"> Luật PPP);</w:t>
      </w:r>
    </w:p>
    <w:p w:rsidR="00B21D61" w:rsidRPr="00B21D61" w:rsidRDefault="00B21D61" w:rsidP="00B21D61">
      <w:pPr>
        <w:pStyle w:val="NormalWeb"/>
        <w:spacing w:before="0" w:beforeAutospacing="0" w:after="120" w:afterAutospacing="0"/>
        <w:ind w:firstLine="567"/>
        <w:jc w:val="both"/>
        <w:rPr>
          <w:color w:val="000000"/>
          <w:lang w:val="vi-VN"/>
        </w:rPr>
      </w:pPr>
      <w:r>
        <w:rPr>
          <w:color w:val="000000"/>
          <w:sz w:val="28"/>
          <w:szCs w:val="28"/>
          <w:lang w:val="vi-VN"/>
        </w:rPr>
        <w:t>-</w:t>
      </w:r>
      <w:r w:rsidRPr="00EE534B">
        <w:rPr>
          <w:color w:val="000000"/>
          <w:sz w:val="28"/>
          <w:szCs w:val="28"/>
          <w:lang w:val="vi-VN"/>
        </w:rPr>
        <w:t xml:space="preserve"> Trình tự, thủ tục xử lý tài sản chuyển giao </w:t>
      </w:r>
      <w:r>
        <w:rPr>
          <w:color w:val="000000"/>
          <w:sz w:val="28"/>
          <w:szCs w:val="28"/>
          <w:lang w:val="vi-VN"/>
        </w:rPr>
        <w:t>(k</w:t>
      </w:r>
      <w:r w:rsidRPr="00EE534B">
        <w:rPr>
          <w:color w:val="000000"/>
          <w:sz w:val="28"/>
          <w:szCs w:val="28"/>
          <w:lang w:val="vi-VN"/>
        </w:rPr>
        <w:t>hoản 3 Điều 67</w:t>
      </w:r>
      <w:r>
        <w:rPr>
          <w:color w:val="000000"/>
          <w:sz w:val="28"/>
          <w:szCs w:val="28"/>
          <w:lang w:val="vi-VN"/>
        </w:rPr>
        <w:t xml:space="preserve"> Luật PPP);</w:t>
      </w:r>
    </w:p>
    <w:p w:rsidR="00B21D61" w:rsidRPr="00B21D61" w:rsidRDefault="00B21D61" w:rsidP="00B21D61">
      <w:pPr>
        <w:pStyle w:val="NormalWeb"/>
        <w:spacing w:before="0" w:beforeAutospacing="0" w:after="120" w:afterAutospacing="0"/>
        <w:ind w:firstLine="567"/>
        <w:jc w:val="both"/>
        <w:rPr>
          <w:color w:val="000000"/>
          <w:lang w:val="vi-VN"/>
        </w:rPr>
      </w:pPr>
      <w:r>
        <w:rPr>
          <w:color w:val="000000"/>
          <w:sz w:val="28"/>
          <w:szCs w:val="28"/>
          <w:lang w:val="vi-VN"/>
        </w:rPr>
        <w:t xml:space="preserve">- </w:t>
      </w:r>
      <w:r w:rsidRPr="00EE534B">
        <w:rPr>
          <w:color w:val="000000"/>
          <w:sz w:val="28"/>
          <w:szCs w:val="28"/>
          <w:lang w:val="vi-VN"/>
        </w:rPr>
        <w:t xml:space="preserve">Sử dụng vốn nhà nước trong dự án PPP </w:t>
      </w:r>
      <w:r>
        <w:rPr>
          <w:color w:val="000000"/>
          <w:sz w:val="28"/>
          <w:szCs w:val="28"/>
          <w:lang w:val="vi-VN"/>
        </w:rPr>
        <w:t>(k</w:t>
      </w:r>
      <w:r w:rsidRPr="00EE534B">
        <w:rPr>
          <w:color w:val="000000"/>
          <w:sz w:val="28"/>
          <w:szCs w:val="28"/>
          <w:lang w:val="vi-VN"/>
        </w:rPr>
        <w:t>hoản 3 Điều 69</w:t>
      </w:r>
      <w:r>
        <w:rPr>
          <w:color w:val="000000"/>
          <w:sz w:val="28"/>
          <w:szCs w:val="28"/>
          <w:lang w:val="vi-VN"/>
        </w:rPr>
        <w:t xml:space="preserve"> Luật PPP);</w:t>
      </w:r>
    </w:p>
    <w:p w:rsidR="00B21D61" w:rsidRPr="00135DFE" w:rsidRDefault="00B21D61" w:rsidP="00B21D61">
      <w:pPr>
        <w:pStyle w:val="NormalWeb"/>
        <w:spacing w:before="0" w:beforeAutospacing="0" w:after="120" w:afterAutospacing="0"/>
        <w:ind w:firstLine="567"/>
        <w:jc w:val="both"/>
        <w:rPr>
          <w:color w:val="000000"/>
          <w:spacing w:val="-4"/>
          <w:lang w:val="vi-VN"/>
        </w:rPr>
      </w:pPr>
      <w:r w:rsidRPr="00135DFE">
        <w:rPr>
          <w:color w:val="000000"/>
          <w:spacing w:val="-4"/>
          <w:sz w:val="28"/>
          <w:szCs w:val="28"/>
          <w:lang w:val="vi-VN"/>
        </w:rPr>
        <w:t xml:space="preserve">- </w:t>
      </w:r>
      <w:r w:rsidRPr="00EE534B">
        <w:rPr>
          <w:color w:val="000000"/>
          <w:spacing w:val="-4"/>
          <w:sz w:val="28"/>
          <w:szCs w:val="28"/>
          <w:lang w:val="vi-VN"/>
        </w:rPr>
        <w:t>Phát hành trái phiếu doanh nghiệp dự án PPP</w:t>
      </w:r>
      <w:r w:rsidRPr="00135DFE">
        <w:rPr>
          <w:color w:val="000000"/>
          <w:spacing w:val="-4"/>
          <w:sz w:val="28"/>
          <w:szCs w:val="28"/>
          <w:lang w:val="vi-VN"/>
        </w:rPr>
        <w:t xml:space="preserve"> </w:t>
      </w:r>
      <w:r w:rsidRPr="00EE534B">
        <w:rPr>
          <w:color w:val="000000"/>
          <w:spacing w:val="-4"/>
          <w:sz w:val="28"/>
          <w:szCs w:val="28"/>
          <w:lang w:val="vi-VN"/>
        </w:rPr>
        <w:t>(</w:t>
      </w:r>
      <w:r w:rsidRPr="00135DFE">
        <w:rPr>
          <w:color w:val="000000"/>
          <w:spacing w:val="-4"/>
          <w:sz w:val="28"/>
          <w:szCs w:val="28"/>
          <w:lang w:val="vi-VN"/>
        </w:rPr>
        <w:t>k</w:t>
      </w:r>
      <w:r w:rsidRPr="00EE534B">
        <w:rPr>
          <w:color w:val="000000"/>
          <w:spacing w:val="-4"/>
          <w:sz w:val="28"/>
          <w:szCs w:val="28"/>
          <w:lang w:val="vi-VN"/>
        </w:rPr>
        <w:t>hoản 4 Điều 78</w:t>
      </w:r>
      <w:r w:rsidRPr="00135DFE">
        <w:rPr>
          <w:color w:val="000000"/>
          <w:spacing w:val="-4"/>
          <w:sz w:val="28"/>
          <w:szCs w:val="28"/>
          <w:lang w:val="vi-VN"/>
        </w:rPr>
        <w:t xml:space="preserve"> Luật PPP);</w:t>
      </w:r>
    </w:p>
    <w:p w:rsidR="00B21D61" w:rsidRPr="00B21D61" w:rsidRDefault="00B21D61" w:rsidP="00B21D61">
      <w:pPr>
        <w:pStyle w:val="NormalWeb"/>
        <w:spacing w:before="0" w:beforeAutospacing="0" w:after="120" w:afterAutospacing="0"/>
        <w:ind w:firstLine="567"/>
        <w:jc w:val="both"/>
        <w:rPr>
          <w:color w:val="000000"/>
          <w:lang w:val="vi-VN"/>
        </w:rPr>
      </w:pPr>
      <w:r>
        <w:rPr>
          <w:color w:val="000000"/>
          <w:sz w:val="28"/>
          <w:szCs w:val="28"/>
          <w:lang w:val="vi-VN"/>
        </w:rPr>
        <w:t xml:space="preserve">- </w:t>
      </w:r>
      <w:r w:rsidRPr="00EE534B">
        <w:rPr>
          <w:color w:val="000000"/>
          <w:sz w:val="28"/>
          <w:szCs w:val="28"/>
          <w:lang w:val="vi-VN"/>
        </w:rPr>
        <w:t>Cơ chế chia sẻ phần tăng, giảm doanh thu</w:t>
      </w:r>
      <w:r>
        <w:rPr>
          <w:color w:val="000000"/>
          <w:sz w:val="28"/>
          <w:szCs w:val="28"/>
          <w:lang w:val="vi-VN"/>
        </w:rPr>
        <w:t xml:space="preserve"> </w:t>
      </w:r>
      <w:r w:rsidRPr="00EE534B">
        <w:rPr>
          <w:color w:val="000000"/>
          <w:sz w:val="28"/>
          <w:szCs w:val="28"/>
          <w:lang w:val="vi-VN"/>
        </w:rPr>
        <w:t>(</w:t>
      </w:r>
      <w:r>
        <w:rPr>
          <w:color w:val="000000"/>
          <w:sz w:val="28"/>
          <w:szCs w:val="28"/>
          <w:lang w:val="vi-VN"/>
        </w:rPr>
        <w:t>k</w:t>
      </w:r>
      <w:r w:rsidRPr="00EE534B">
        <w:rPr>
          <w:color w:val="000000"/>
          <w:sz w:val="28"/>
          <w:szCs w:val="28"/>
          <w:lang w:val="vi-VN"/>
        </w:rPr>
        <w:t>hoản 5 Điều 82</w:t>
      </w:r>
      <w:r>
        <w:rPr>
          <w:color w:val="000000"/>
          <w:sz w:val="28"/>
          <w:szCs w:val="28"/>
          <w:lang w:val="vi-VN"/>
        </w:rPr>
        <w:t xml:space="preserve"> Luật PPP);</w:t>
      </w:r>
    </w:p>
    <w:p w:rsidR="00B5536F" w:rsidRPr="00135DFE" w:rsidRDefault="000848A8" w:rsidP="00C32777">
      <w:pPr>
        <w:pStyle w:val="NormalWeb"/>
        <w:spacing w:before="0" w:beforeAutospacing="0" w:after="120" w:afterAutospacing="0"/>
        <w:ind w:firstLine="567"/>
        <w:jc w:val="both"/>
        <w:rPr>
          <w:color w:val="000000"/>
          <w:sz w:val="28"/>
          <w:szCs w:val="28"/>
          <w:lang w:val="vi-VN"/>
        </w:rPr>
      </w:pPr>
      <w:r>
        <w:rPr>
          <w:color w:val="000000"/>
          <w:sz w:val="28"/>
          <w:szCs w:val="28"/>
          <w:lang w:val="vi-VN"/>
        </w:rPr>
        <w:t>-</w:t>
      </w:r>
      <w:r w:rsidR="00B21D61" w:rsidRPr="00EE534B">
        <w:rPr>
          <w:color w:val="000000"/>
          <w:sz w:val="28"/>
          <w:szCs w:val="28"/>
          <w:lang w:val="vi-VN"/>
        </w:rPr>
        <w:t xml:space="preserve"> </w:t>
      </w:r>
      <w:r w:rsidR="00B5536F">
        <w:rPr>
          <w:color w:val="000000"/>
          <w:sz w:val="28"/>
          <w:szCs w:val="28"/>
          <w:lang w:val="vi-VN"/>
        </w:rPr>
        <w:t>Cơ chế thanh toán, quyết toán đối với dự án áp dụng loại hợp đồng BT (khoản 12 Điều 3 Luật số 57/2024/QH15)</w:t>
      </w:r>
      <w:r w:rsidR="00135DFE" w:rsidRPr="00135DFE">
        <w:rPr>
          <w:color w:val="000000"/>
          <w:sz w:val="28"/>
          <w:szCs w:val="28"/>
          <w:lang w:val="vi-VN"/>
        </w:rPr>
        <w:t>;</w:t>
      </w:r>
    </w:p>
    <w:p w:rsidR="00B21D61" w:rsidRPr="00EE534B" w:rsidRDefault="00B5536F" w:rsidP="00C32777">
      <w:pPr>
        <w:pStyle w:val="NormalWeb"/>
        <w:spacing w:before="0" w:beforeAutospacing="0" w:after="120" w:afterAutospacing="0"/>
        <w:ind w:firstLine="567"/>
        <w:jc w:val="both"/>
        <w:rPr>
          <w:color w:val="000000"/>
          <w:sz w:val="28"/>
          <w:szCs w:val="28"/>
          <w:lang w:val="vi-VN"/>
        </w:rPr>
      </w:pPr>
      <w:r>
        <w:rPr>
          <w:color w:val="000000"/>
          <w:sz w:val="28"/>
          <w:szCs w:val="28"/>
          <w:lang w:val="vi-VN"/>
        </w:rPr>
        <w:t xml:space="preserve">- </w:t>
      </w:r>
      <w:r w:rsidR="00B21D61" w:rsidRPr="00EE534B">
        <w:rPr>
          <w:color w:val="000000"/>
          <w:sz w:val="28"/>
          <w:szCs w:val="28"/>
          <w:lang w:val="vi-VN"/>
        </w:rPr>
        <w:t xml:space="preserve">Ngoài </w:t>
      </w:r>
      <w:r>
        <w:rPr>
          <w:color w:val="000000"/>
          <w:sz w:val="28"/>
          <w:szCs w:val="28"/>
          <w:lang w:val="vi-VN"/>
        </w:rPr>
        <w:t>ra</w:t>
      </w:r>
      <w:r w:rsidR="000848A8">
        <w:rPr>
          <w:color w:val="000000"/>
          <w:sz w:val="28"/>
          <w:szCs w:val="28"/>
          <w:lang w:val="vi-VN"/>
        </w:rPr>
        <w:t>,</w:t>
      </w:r>
      <w:r w:rsidR="00B21D61" w:rsidRPr="00EE534B">
        <w:rPr>
          <w:color w:val="000000"/>
          <w:sz w:val="28"/>
          <w:szCs w:val="28"/>
          <w:lang w:val="vi-VN"/>
        </w:rPr>
        <w:t xml:space="preserve"> </w:t>
      </w:r>
      <w:r w:rsidR="000848A8">
        <w:rPr>
          <w:color w:val="000000"/>
          <w:sz w:val="28"/>
          <w:szCs w:val="28"/>
          <w:lang w:val="vi-VN"/>
        </w:rPr>
        <w:t>k</w:t>
      </w:r>
      <w:r w:rsidR="00B21D61" w:rsidRPr="00EE534B">
        <w:rPr>
          <w:color w:val="000000"/>
          <w:sz w:val="28"/>
          <w:szCs w:val="28"/>
          <w:lang w:val="vi-VN"/>
        </w:rPr>
        <w:t xml:space="preserve">hoản 1 Điều 91 </w:t>
      </w:r>
      <w:r w:rsidR="000848A8">
        <w:rPr>
          <w:color w:val="000000"/>
          <w:sz w:val="28"/>
          <w:szCs w:val="28"/>
          <w:lang w:val="vi-VN"/>
        </w:rPr>
        <w:t xml:space="preserve">Luật PPP (sửa đổi, bổ sung tại khoản 21 Điều 3 Luật số 57/2024/QH15) </w:t>
      </w:r>
      <w:r w:rsidR="00B21D61" w:rsidRPr="00EE534B">
        <w:rPr>
          <w:color w:val="000000"/>
          <w:sz w:val="28"/>
          <w:szCs w:val="28"/>
          <w:lang w:val="vi-VN"/>
        </w:rPr>
        <w:t>về nhiệm vụ, quyền hạn của Bộ Tài chính quy định Bộ Tài chính ban hành theo thẩm quyền hoặc trình cấp có thẩm quyền ban hành văn bản quy phạm pháp luật về cơ chế tài chính trong đầu tư theo phương thức PPP</w:t>
      </w:r>
      <w:r w:rsidR="000848A8" w:rsidRPr="00EE534B">
        <w:rPr>
          <w:lang w:val="vi-VN"/>
        </w:rPr>
        <w:t xml:space="preserve">, </w:t>
      </w:r>
      <w:r w:rsidR="000848A8" w:rsidRPr="00EE534B">
        <w:rPr>
          <w:color w:val="000000"/>
          <w:sz w:val="28"/>
          <w:szCs w:val="28"/>
          <w:lang w:val="vi-VN"/>
        </w:rPr>
        <w:t>cơ chế thanh toán, quyết toán đối với dự án áp dụng loại hợp đồng BT.</w:t>
      </w:r>
    </w:p>
    <w:p w:rsidR="00A86453" w:rsidRPr="00EE534B" w:rsidRDefault="00A86453" w:rsidP="00A86453">
      <w:pPr>
        <w:widowControl w:val="0"/>
        <w:spacing w:before="120" w:after="120" w:line="360" w:lineRule="exact"/>
        <w:ind w:left="72" w:right="72" w:firstLine="567"/>
        <w:jc w:val="both"/>
        <w:rPr>
          <w:b/>
          <w:i/>
          <w:iCs/>
          <w:sz w:val="28"/>
          <w:szCs w:val="28"/>
          <w:lang w:val="vi-VN"/>
        </w:rPr>
      </w:pPr>
      <w:r w:rsidRPr="00EE534B">
        <w:rPr>
          <w:b/>
          <w:bCs/>
          <w:i/>
          <w:iCs/>
          <w:sz w:val="28"/>
          <w:szCs w:val="28"/>
          <w:lang w:val="vi-VN"/>
        </w:rPr>
        <w:t xml:space="preserve">2.2 Các nội dung sửa đổi, bổ sung để phù hợp với quy định của Luật </w:t>
      </w:r>
      <w:r w:rsidR="00BE7613" w:rsidRPr="00EE534B">
        <w:rPr>
          <w:b/>
          <w:bCs/>
          <w:i/>
          <w:iCs/>
          <w:sz w:val="28"/>
          <w:szCs w:val="28"/>
          <w:lang w:val="vi-VN"/>
        </w:rPr>
        <w:t xml:space="preserve">PPP </w:t>
      </w:r>
      <w:r w:rsidRPr="00EE534B">
        <w:rPr>
          <w:b/>
          <w:bCs/>
          <w:i/>
          <w:iCs/>
          <w:sz w:val="28"/>
          <w:szCs w:val="28"/>
          <w:lang w:val="vi-VN"/>
        </w:rPr>
        <w:t xml:space="preserve">(đã được sửa đổi, bổ sung tại </w:t>
      </w:r>
      <w:r w:rsidR="00BE7613" w:rsidRPr="00EE534B">
        <w:rPr>
          <w:b/>
          <w:bCs/>
          <w:i/>
          <w:iCs/>
          <w:sz w:val="28"/>
          <w:szCs w:val="28"/>
          <w:lang w:val="vi-VN"/>
        </w:rPr>
        <w:t xml:space="preserve">Điều </w:t>
      </w:r>
      <w:r w:rsidR="00BE7613" w:rsidRPr="00BE7613">
        <w:rPr>
          <w:b/>
          <w:bCs/>
          <w:i/>
          <w:iCs/>
          <w:sz w:val="28"/>
          <w:szCs w:val="28"/>
          <w:lang w:val="vi-VN"/>
        </w:rPr>
        <w:t xml:space="preserve">3 </w:t>
      </w:r>
      <w:r w:rsidRPr="00EE534B">
        <w:rPr>
          <w:b/>
          <w:bCs/>
          <w:i/>
          <w:iCs/>
          <w:sz w:val="28"/>
          <w:szCs w:val="28"/>
          <w:lang w:val="vi-VN"/>
        </w:rPr>
        <w:t xml:space="preserve">Luật </w:t>
      </w:r>
      <w:r w:rsidRPr="00EE534B">
        <w:rPr>
          <w:b/>
          <w:i/>
          <w:iCs/>
          <w:sz w:val="28"/>
          <w:szCs w:val="28"/>
          <w:lang w:val="vi-VN"/>
        </w:rPr>
        <w:t>số 57/2024/QH15)</w:t>
      </w:r>
    </w:p>
    <w:p w:rsidR="00A86453" w:rsidRPr="00D519E4" w:rsidRDefault="00BE7613" w:rsidP="00C6047B">
      <w:pPr>
        <w:spacing w:before="120" w:after="120"/>
        <w:ind w:firstLine="567"/>
        <w:jc w:val="both"/>
        <w:rPr>
          <w:sz w:val="28"/>
          <w:szCs w:val="28"/>
          <w:lang w:val="vi-VN"/>
        </w:rPr>
      </w:pPr>
      <w:r w:rsidRPr="00EE534B">
        <w:rPr>
          <w:sz w:val="28"/>
          <w:szCs w:val="28"/>
          <w:lang w:val="vi-VN"/>
        </w:rPr>
        <w:t xml:space="preserve">Điều 3 </w:t>
      </w:r>
      <w:r w:rsidR="00A86453" w:rsidRPr="00EE534B">
        <w:rPr>
          <w:sz w:val="28"/>
          <w:szCs w:val="28"/>
          <w:lang w:val="vi-VN"/>
        </w:rPr>
        <w:t>Luật số 57/2024/QH15 sửa đổi, bổ sung một số quy định của Luật PPP như</w:t>
      </w:r>
      <w:r w:rsidRPr="00EE534B">
        <w:rPr>
          <w:sz w:val="28"/>
          <w:szCs w:val="28"/>
          <w:lang w:val="vi-VN"/>
        </w:rPr>
        <w:t>: Bổ sung quy định về dự án áp dụng loại hợp đồng BT thanh toán bằng ngân sách nhà nước, thanh toán bằng quỹ đất được thu hồi theo pháp luật về đất đai</w:t>
      </w:r>
      <w:r>
        <w:rPr>
          <w:sz w:val="28"/>
          <w:szCs w:val="28"/>
          <w:lang w:val="vi-VN"/>
        </w:rPr>
        <w:t xml:space="preserve"> (khoản 12 Điều 3 Luật số 57/2024/QH15)</w:t>
      </w:r>
      <w:r w:rsidR="00C6047B">
        <w:rPr>
          <w:sz w:val="28"/>
          <w:szCs w:val="28"/>
          <w:lang w:val="vi-VN"/>
        </w:rPr>
        <w:t xml:space="preserve">; </w:t>
      </w:r>
      <w:r>
        <w:rPr>
          <w:sz w:val="28"/>
          <w:szCs w:val="28"/>
          <w:lang w:val="vi-VN"/>
        </w:rPr>
        <w:t>Bổ sung, sửa đổi quy định về vốn Nhà nước trong dự án PPP</w:t>
      </w:r>
      <w:r w:rsidR="00C6047B">
        <w:rPr>
          <w:sz w:val="28"/>
          <w:szCs w:val="28"/>
          <w:lang w:val="vi-VN"/>
        </w:rPr>
        <w:t>, nguồn vốn</w:t>
      </w:r>
      <w:r>
        <w:rPr>
          <w:sz w:val="28"/>
          <w:szCs w:val="28"/>
          <w:lang w:val="vi-VN"/>
        </w:rPr>
        <w:t xml:space="preserve"> thanh toán cơ chế chia sẻ phần giảm doanh thu (khoản 16</w:t>
      </w:r>
      <w:r w:rsidR="00C6047B">
        <w:rPr>
          <w:sz w:val="28"/>
          <w:szCs w:val="28"/>
          <w:lang w:val="vi-VN"/>
        </w:rPr>
        <w:t>, khoản 17, khoản 18, khoản 19</w:t>
      </w:r>
      <w:r>
        <w:rPr>
          <w:sz w:val="28"/>
          <w:szCs w:val="28"/>
          <w:lang w:val="vi-VN"/>
        </w:rPr>
        <w:t xml:space="preserve"> Điều 3 Luật số 57/2024/QH15)</w:t>
      </w:r>
      <w:r w:rsidR="00D519E4" w:rsidRPr="00EE534B">
        <w:rPr>
          <w:sz w:val="28"/>
          <w:szCs w:val="28"/>
          <w:lang w:val="vi-VN"/>
        </w:rPr>
        <w:t xml:space="preserve">. </w:t>
      </w:r>
      <w:r w:rsidR="00A86453" w:rsidRPr="00D519E4">
        <w:rPr>
          <w:sz w:val="28"/>
          <w:szCs w:val="28"/>
          <w:lang w:val="vi-VN"/>
        </w:rPr>
        <w:t>Do vậy, Nghị định cần phải sửa đổi, bổ sung các nội dung tương ứng để bảo đảm phù hợp, thống nhất với quy định của Luật.</w:t>
      </w:r>
    </w:p>
    <w:p w:rsidR="00A86453" w:rsidRPr="00C6047B" w:rsidRDefault="00A86453" w:rsidP="00C6047B">
      <w:pPr>
        <w:spacing w:before="120" w:after="120"/>
        <w:ind w:firstLine="567"/>
        <w:jc w:val="both"/>
        <w:rPr>
          <w:b/>
          <w:bCs/>
          <w:i/>
          <w:iCs/>
          <w:sz w:val="28"/>
          <w:szCs w:val="28"/>
          <w:lang w:val="vi-VN"/>
        </w:rPr>
      </w:pPr>
      <w:r w:rsidRPr="00C6047B">
        <w:rPr>
          <w:b/>
          <w:bCs/>
          <w:i/>
          <w:iCs/>
          <w:sz w:val="28"/>
          <w:szCs w:val="28"/>
          <w:lang w:val="vi-VN"/>
        </w:rPr>
        <w:t>2.3 Các nội dung được sửa đổi, bổ sung để tháo gỡ khó khăn, vướng mắc trong quá trình thực hiện dự án PPP</w:t>
      </w:r>
    </w:p>
    <w:p w:rsidR="00C6047B" w:rsidRPr="00D519E4" w:rsidRDefault="00C6047B" w:rsidP="00461178">
      <w:pPr>
        <w:spacing w:before="120" w:after="120"/>
        <w:ind w:firstLine="567"/>
        <w:jc w:val="both"/>
        <w:rPr>
          <w:sz w:val="28"/>
          <w:szCs w:val="28"/>
          <w:lang w:val="vi-VN"/>
        </w:rPr>
      </w:pPr>
      <w:r w:rsidRPr="00D519E4">
        <w:rPr>
          <w:sz w:val="28"/>
          <w:szCs w:val="28"/>
          <w:lang w:val="vi-VN"/>
        </w:rPr>
        <w:t>Trên cơ sở tổng hợp, tiếp thu ý kiến của các bộ, ngành, địa phương, nhà đầu tư</w:t>
      </w:r>
      <w:r w:rsidR="00461178">
        <w:rPr>
          <w:sz w:val="28"/>
          <w:szCs w:val="28"/>
          <w:lang w:val="vi-VN"/>
        </w:rPr>
        <w:t xml:space="preserve"> </w:t>
      </w:r>
      <w:r w:rsidRPr="00D519E4">
        <w:rPr>
          <w:sz w:val="28"/>
          <w:szCs w:val="28"/>
          <w:lang w:val="vi-VN"/>
        </w:rPr>
        <w:t>trong quá trình rà soát các vướng mắc Nghị định số 28/2021/NĐ-CP, dự thảo Nghị định đã bổ sung, sửa đổi một số quy định cho phù hợp hơn, đảm bảo quyền, nghĩa vụ giữa các bên trong hợp đồng PPP; cụ thể:</w:t>
      </w:r>
    </w:p>
    <w:p w:rsidR="00461178" w:rsidRDefault="00461178" w:rsidP="00461178">
      <w:pPr>
        <w:spacing w:before="120" w:after="120"/>
        <w:ind w:firstLine="567"/>
        <w:jc w:val="both"/>
        <w:rPr>
          <w:sz w:val="28"/>
          <w:szCs w:val="28"/>
          <w:lang w:val="vi-VN"/>
        </w:rPr>
      </w:pPr>
      <w:r>
        <w:rPr>
          <w:sz w:val="28"/>
          <w:szCs w:val="28"/>
          <w:lang w:val="vi-VN"/>
        </w:rPr>
        <w:t xml:space="preserve">- Bổ sung quy định về quản lý, </w:t>
      </w:r>
      <w:r w:rsidR="001758B4">
        <w:rPr>
          <w:sz w:val="28"/>
          <w:szCs w:val="28"/>
          <w:lang w:val="vi-VN"/>
        </w:rPr>
        <w:t xml:space="preserve">thanh toán, quyết toán </w:t>
      </w:r>
      <w:r>
        <w:rPr>
          <w:sz w:val="28"/>
          <w:szCs w:val="28"/>
          <w:lang w:val="vi-VN"/>
        </w:rPr>
        <w:t>chi phí chuẩn bị đầu tư từ giai đoạn lập, thẩm định báo cáo nghiên cứu tiền khả thi đến khi ký kết hợp đồng PPP;</w:t>
      </w:r>
    </w:p>
    <w:p w:rsidR="00461178" w:rsidRDefault="00461178" w:rsidP="00461178">
      <w:pPr>
        <w:spacing w:before="120" w:after="120"/>
        <w:ind w:firstLine="567"/>
        <w:jc w:val="both"/>
        <w:rPr>
          <w:sz w:val="28"/>
          <w:szCs w:val="28"/>
          <w:lang w:val="vi-VN"/>
        </w:rPr>
      </w:pPr>
      <w:r>
        <w:rPr>
          <w:sz w:val="28"/>
          <w:szCs w:val="28"/>
          <w:lang w:val="vi-VN"/>
        </w:rPr>
        <w:lastRenderedPageBreak/>
        <w:t xml:space="preserve">- </w:t>
      </w:r>
      <w:r w:rsidR="001758B4">
        <w:rPr>
          <w:sz w:val="28"/>
          <w:szCs w:val="28"/>
          <w:lang w:val="vi-VN"/>
        </w:rPr>
        <w:t>Bổ sung quy định về sử dụng tiền hoàn thuế giá trị gia tăng tương ứng với phần vốn nhà nước tham gia dự án PPP;</w:t>
      </w:r>
    </w:p>
    <w:p w:rsidR="001758B4" w:rsidRDefault="001758B4" w:rsidP="00461178">
      <w:pPr>
        <w:spacing w:before="120" w:after="120"/>
        <w:ind w:firstLine="567"/>
        <w:jc w:val="both"/>
        <w:rPr>
          <w:sz w:val="28"/>
          <w:szCs w:val="28"/>
          <w:lang w:val="vi-VN"/>
        </w:rPr>
      </w:pPr>
      <w:r>
        <w:rPr>
          <w:sz w:val="28"/>
          <w:szCs w:val="28"/>
          <w:lang w:val="vi-VN"/>
        </w:rPr>
        <w:t xml:space="preserve">- </w:t>
      </w:r>
      <w:r w:rsidR="0088644E">
        <w:rPr>
          <w:sz w:val="28"/>
          <w:szCs w:val="28"/>
          <w:lang w:val="vi-VN"/>
        </w:rPr>
        <w:t>Sửa đổi quy định liên quan đến chia sẻ phần tăng</w:t>
      </w:r>
      <w:r w:rsidR="00BD08F0">
        <w:rPr>
          <w:sz w:val="28"/>
          <w:szCs w:val="28"/>
          <w:lang w:val="vi-VN"/>
        </w:rPr>
        <w:t xml:space="preserve">, </w:t>
      </w:r>
      <w:r w:rsidR="0088644E">
        <w:rPr>
          <w:sz w:val="28"/>
          <w:szCs w:val="28"/>
          <w:lang w:val="vi-VN"/>
        </w:rPr>
        <w:t>giảm doanh thu theo hướng tăng cường vai trò của nhà đầu tư khi xác định phần doanh thu cần chia sẻ; trình tự, thủ tục thực hiện cơ chế này phù hợp với quy định tại Luật số 57/2024/QH15 và định hướng sáp nhập, hợp nhất bộ máy quản lý nhà nước;</w:t>
      </w:r>
    </w:p>
    <w:p w:rsidR="00D4738A" w:rsidRPr="00A33117" w:rsidRDefault="0088644E" w:rsidP="00A33117">
      <w:pPr>
        <w:spacing w:before="120" w:after="120"/>
        <w:ind w:firstLine="567"/>
        <w:jc w:val="both"/>
        <w:rPr>
          <w:sz w:val="28"/>
          <w:szCs w:val="28"/>
          <w:lang w:val="vi-VN"/>
        </w:rPr>
      </w:pPr>
      <w:r>
        <w:rPr>
          <w:sz w:val="28"/>
          <w:szCs w:val="28"/>
          <w:lang w:val="vi-VN"/>
        </w:rPr>
        <w:t xml:space="preserve">- Sửa đổi, bổ sung các mẫu biểu thanh toán, quyết toán phù hợp với thực tiễn, xử lý </w:t>
      </w:r>
      <w:r w:rsidR="00A33117">
        <w:rPr>
          <w:sz w:val="28"/>
          <w:szCs w:val="28"/>
          <w:lang w:val="vi-VN"/>
        </w:rPr>
        <w:t>một số</w:t>
      </w:r>
      <w:r>
        <w:rPr>
          <w:sz w:val="28"/>
          <w:szCs w:val="28"/>
          <w:lang w:val="vi-VN"/>
        </w:rPr>
        <w:t xml:space="preserve"> vướng mắc hiện </w:t>
      </w:r>
      <w:r w:rsidR="00A33117">
        <w:rPr>
          <w:sz w:val="28"/>
          <w:szCs w:val="28"/>
          <w:lang w:val="vi-VN"/>
        </w:rPr>
        <w:t xml:space="preserve">nay. </w:t>
      </w:r>
    </w:p>
    <w:p w:rsidR="00950492" w:rsidRPr="00D519E4" w:rsidRDefault="0092689F" w:rsidP="0095049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sz w:val="26"/>
          <w:szCs w:val="26"/>
          <w:lang w:val="vi-VN"/>
        </w:rPr>
      </w:pPr>
      <w:r w:rsidRPr="00D519E4">
        <w:rPr>
          <w:b/>
          <w:sz w:val="26"/>
          <w:szCs w:val="26"/>
          <w:lang w:val="vi-VN"/>
        </w:rPr>
        <w:t xml:space="preserve">II. MỤC </w:t>
      </w:r>
      <w:r w:rsidR="00A63739" w:rsidRPr="00D519E4">
        <w:rPr>
          <w:b/>
          <w:sz w:val="26"/>
          <w:szCs w:val="26"/>
          <w:lang w:val="vi-VN"/>
        </w:rPr>
        <w:t>ĐÍCH</w:t>
      </w:r>
      <w:r w:rsidR="00BB7DE6" w:rsidRPr="00D519E4">
        <w:rPr>
          <w:b/>
          <w:sz w:val="26"/>
          <w:szCs w:val="26"/>
          <w:lang w:val="vi-VN"/>
        </w:rPr>
        <w:t xml:space="preserve">, QUAN ĐIỂM XÂY DỰNG </w:t>
      </w:r>
      <w:r w:rsidR="00A33117" w:rsidRPr="00D519E4">
        <w:rPr>
          <w:b/>
          <w:sz w:val="26"/>
          <w:szCs w:val="26"/>
          <w:lang w:val="vi-VN"/>
        </w:rPr>
        <w:t>NGHỊ ĐỊNH</w:t>
      </w:r>
    </w:p>
    <w:p w:rsidR="00950492" w:rsidRPr="00D519E4" w:rsidRDefault="00BB7DE6" w:rsidP="0095049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sz w:val="26"/>
          <w:szCs w:val="26"/>
          <w:lang w:val="vi-VN"/>
        </w:rPr>
      </w:pPr>
      <w:r w:rsidRPr="00D519E4">
        <w:rPr>
          <w:b/>
          <w:bCs/>
          <w:sz w:val="28"/>
          <w:szCs w:val="28"/>
          <w:lang w:val="vi-VN"/>
        </w:rPr>
        <w:t>1</w:t>
      </w:r>
      <w:r w:rsidRPr="00612A54">
        <w:rPr>
          <w:b/>
          <w:bCs/>
          <w:sz w:val="28"/>
          <w:szCs w:val="28"/>
          <w:lang w:val="vi-VN"/>
        </w:rPr>
        <w:t xml:space="preserve">. Mục </w:t>
      </w:r>
      <w:r w:rsidR="00A63739" w:rsidRPr="00612A54">
        <w:rPr>
          <w:b/>
          <w:bCs/>
          <w:sz w:val="28"/>
          <w:szCs w:val="28"/>
          <w:lang w:val="vi-VN"/>
        </w:rPr>
        <w:t>đích</w:t>
      </w:r>
    </w:p>
    <w:p w:rsidR="00950492" w:rsidRPr="00D519E4" w:rsidRDefault="00950492" w:rsidP="0095049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sz w:val="26"/>
          <w:szCs w:val="26"/>
          <w:lang w:val="vi-VN"/>
        </w:rPr>
      </w:pPr>
      <w:r>
        <w:rPr>
          <w:sz w:val="28"/>
          <w:szCs w:val="28"/>
          <w:lang w:val="vi-VN"/>
        </w:rPr>
        <w:t>-</w:t>
      </w:r>
      <w:r w:rsidR="00612A54">
        <w:rPr>
          <w:sz w:val="28"/>
          <w:szCs w:val="28"/>
          <w:lang w:val="vi-VN"/>
        </w:rPr>
        <w:t xml:space="preserve"> </w:t>
      </w:r>
      <w:r w:rsidR="00A33117" w:rsidRPr="00612A54">
        <w:rPr>
          <w:sz w:val="28"/>
          <w:szCs w:val="28"/>
          <w:lang w:val="vi-VN"/>
        </w:rPr>
        <w:t xml:space="preserve">Tiếp tục hoàn thiện khung pháp lý về đầu tư theo phương thức PPP phù hợp với quy định mới của tại Luật PPP (được sửa đổi, bổ sung tại </w:t>
      </w:r>
      <w:r w:rsidR="00612A54">
        <w:rPr>
          <w:sz w:val="28"/>
          <w:szCs w:val="28"/>
          <w:lang w:val="vi-VN"/>
        </w:rPr>
        <w:t xml:space="preserve">Điều 3 </w:t>
      </w:r>
      <w:r w:rsidR="00A33117" w:rsidRPr="00612A54">
        <w:rPr>
          <w:sz w:val="28"/>
          <w:szCs w:val="28"/>
          <w:lang w:val="vi-VN"/>
        </w:rPr>
        <w:t>Luật số 57/2024/QH15)</w:t>
      </w:r>
      <w:r w:rsidR="00AC77F7">
        <w:rPr>
          <w:sz w:val="28"/>
          <w:szCs w:val="28"/>
          <w:lang w:val="vi-VN"/>
        </w:rPr>
        <w:t xml:space="preserve"> </w:t>
      </w:r>
      <w:r w:rsidR="00A33117" w:rsidRPr="00612A54">
        <w:rPr>
          <w:sz w:val="28"/>
          <w:szCs w:val="28"/>
          <w:lang w:val="vi-VN"/>
        </w:rPr>
        <w:t xml:space="preserve">nhằm thể chế hóa đầy đủ quan điểm, chủ trương của Đảng tại Kết luận số 19-KL/TW ngày 14/10/2021 của Bộ Chính trị về định </w:t>
      </w:r>
      <w:r w:rsidR="00A33117" w:rsidRPr="00AC77F7">
        <w:rPr>
          <w:sz w:val="28"/>
          <w:szCs w:val="28"/>
          <w:lang w:val="vi-VN"/>
        </w:rPr>
        <w:t>hướng Chương trình xây dựng pháp luật nhiệm kỳ Quốc hội khóa XV; Chỉ thị số 27-CT/TW ngày 25/12/2023 của Bộ Chính trị về tăng cường sự lãnh đạo của Đảng đối với công tác thực hành tiết kiệm, chống lãng phí.</w:t>
      </w:r>
    </w:p>
    <w:p w:rsidR="00950492" w:rsidRPr="00D519E4" w:rsidRDefault="00AC77F7" w:rsidP="0095049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sz w:val="26"/>
          <w:szCs w:val="26"/>
          <w:lang w:val="vi-VN"/>
        </w:rPr>
      </w:pPr>
      <w:r w:rsidRPr="00F54A06">
        <w:rPr>
          <w:sz w:val="28"/>
          <w:szCs w:val="28"/>
          <w:lang w:val="vi-VN"/>
        </w:rPr>
        <w:t>-</w:t>
      </w:r>
      <w:r w:rsidR="00A33117" w:rsidRPr="00F54A06">
        <w:rPr>
          <w:sz w:val="28"/>
          <w:szCs w:val="28"/>
          <w:lang w:val="vi-VN"/>
        </w:rPr>
        <w:t xml:space="preserve"> </w:t>
      </w:r>
      <w:r w:rsidR="00F54A06" w:rsidRPr="00F54A06">
        <w:rPr>
          <w:sz w:val="28"/>
          <w:szCs w:val="28"/>
          <w:lang w:val="vi-VN"/>
        </w:rPr>
        <w:t>N</w:t>
      </w:r>
      <w:r w:rsidR="00A33117" w:rsidRPr="00F54A06">
        <w:rPr>
          <w:sz w:val="28"/>
          <w:szCs w:val="28"/>
          <w:lang w:val="vi-VN"/>
        </w:rPr>
        <w:t>âng cao hiệu lực, hiệu quả công tác quản lý nhà nước đối với hoạt động đầu tư theo phương thức PPP</w:t>
      </w:r>
      <w:r w:rsidR="00F54A06" w:rsidRPr="00F54A06">
        <w:rPr>
          <w:sz w:val="28"/>
          <w:szCs w:val="28"/>
          <w:lang w:val="vi-VN"/>
        </w:rPr>
        <w:t>, nhất là quản lý nguồn vốn Nhà nước tham gia trong dự án PPP.</w:t>
      </w:r>
    </w:p>
    <w:p w:rsidR="00A33117" w:rsidRPr="00D519E4" w:rsidRDefault="00F54A06" w:rsidP="0095049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sz w:val="26"/>
          <w:szCs w:val="26"/>
          <w:lang w:val="vi-VN"/>
        </w:rPr>
      </w:pPr>
      <w:r w:rsidRPr="00F54A06">
        <w:rPr>
          <w:sz w:val="28"/>
          <w:szCs w:val="28"/>
          <w:lang w:val="vi-VN"/>
        </w:rPr>
        <w:t xml:space="preserve">- Nâng cao trách nhiệm của các đối tượng áp dụng </w:t>
      </w:r>
      <w:r>
        <w:rPr>
          <w:sz w:val="28"/>
          <w:szCs w:val="28"/>
          <w:lang w:val="vi-VN"/>
        </w:rPr>
        <w:t xml:space="preserve">Nghị định này </w:t>
      </w:r>
      <w:r w:rsidRPr="00F54A06">
        <w:rPr>
          <w:sz w:val="28"/>
          <w:szCs w:val="28"/>
          <w:lang w:val="vi-VN"/>
        </w:rPr>
        <w:t xml:space="preserve">gắn với quyền lợi tương ứng. </w:t>
      </w:r>
    </w:p>
    <w:p w:rsidR="00F54A06" w:rsidRPr="00D519E4" w:rsidRDefault="00BB7DE6" w:rsidP="00F54A0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sz w:val="28"/>
          <w:szCs w:val="28"/>
          <w:lang w:val="vi-VN"/>
        </w:rPr>
      </w:pPr>
      <w:r w:rsidRPr="00D519E4">
        <w:rPr>
          <w:b/>
          <w:sz w:val="28"/>
          <w:szCs w:val="28"/>
          <w:lang w:val="vi-VN"/>
        </w:rPr>
        <w:t xml:space="preserve">2. Quan điểm xây dựng </w:t>
      </w:r>
      <w:r w:rsidR="00F54A06" w:rsidRPr="00D519E4">
        <w:rPr>
          <w:b/>
          <w:sz w:val="28"/>
          <w:szCs w:val="28"/>
          <w:lang w:val="vi-VN"/>
        </w:rPr>
        <w:t>Nghị định</w:t>
      </w:r>
    </w:p>
    <w:p w:rsidR="00F54A06" w:rsidRDefault="00F54A06" w:rsidP="00F54A0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vi-VN"/>
        </w:rPr>
      </w:pPr>
      <w:r>
        <w:rPr>
          <w:b/>
          <w:sz w:val="28"/>
          <w:szCs w:val="28"/>
          <w:lang w:val="vi-VN"/>
        </w:rPr>
        <w:t xml:space="preserve">- </w:t>
      </w:r>
      <w:r w:rsidR="00A33117" w:rsidRPr="00F54A06">
        <w:rPr>
          <w:sz w:val="28"/>
          <w:szCs w:val="28"/>
          <w:lang w:val="vi-VN"/>
        </w:rPr>
        <w:t xml:space="preserve">Quy định chi tiết, đầy đủ các điều, khoản, điểm của Luật PPP </w:t>
      </w:r>
      <w:r>
        <w:rPr>
          <w:sz w:val="28"/>
          <w:szCs w:val="28"/>
          <w:lang w:val="vi-VN"/>
        </w:rPr>
        <w:t>(</w:t>
      </w:r>
      <w:r w:rsidR="00A33117" w:rsidRPr="00F54A06">
        <w:rPr>
          <w:sz w:val="28"/>
          <w:szCs w:val="28"/>
          <w:lang w:val="vi-VN"/>
        </w:rPr>
        <w:t xml:space="preserve">đã được sửa đổi, bổ sung tại </w:t>
      </w:r>
      <w:r>
        <w:rPr>
          <w:sz w:val="28"/>
          <w:szCs w:val="28"/>
          <w:lang w:val="vi-VN"/>
        </w:rPr>
        <w:t xml:space="preserve">Điều 3 </w:t>
      </w:r>
      <w:r w:rsidR="00A33117" w:rsidRPr="00F54A06">
        <w:rPr>
          <w:sz w:val="28"/>
          <w:szCs w:val="28"/>
          <w:lang w:val="vi-VN"/>
        </w:rPr>
        <w:t>Luật số 57/2024/QH15</w:t>
      </w:r>
      <w:r>
        <w:rPr>
          <w:sz w:val="28"/>
          <w:szCs w:val="28"/>
          <w:lang w:val="vi-VN"/>
        </w:rPr>
        <w:t>)</w:t>
      </w:r>
      <w:r w:rsidR="00A33117" w:rsidRPr="00F54A06">
        <w:rPr>
          <w:sz w:val="28"/>
          <w:szCs w:val="28"/>
          <w:lang w:val="vi-VN"/>
        </w:rPr>
        <w:t xml:space="preserve"> được Quốc hội giao Chính phủ quy định chi tiết</w:t>
      </w:r>
      <w:r>
        <w:rPr>
          <w:sz w:val="28"/>
          <w:szCs w:val="28"/>
          <w:lang w:val="vi-VN"/>
        </w:rPr>
        <w:t>;</w:t>
      </w:r>
    </w:p>
    <w:p w:rsidR="00A33117" w:rsidRDefault="00F54A06" w:rsidP="00F54A0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vi-VN"/>
        </w:rPr>
      </w:pPr>
      <w:r>
        <w:rPr>
          <w:sz w:val="28"/>
          <w:szCs w:val="28"/>
          <w:lang w:val="vi-VN"/>
        </w:rPr>
        <w:t>-</w:t>
      </w:r>
      <w:r w:rsidR="00A33117" w:rsidRPr="00F54A06">
        <w:rPr>
          <w:sz w:val="28"/>
          <w:szCs w:val="28"/>
          <w:lang w:val="vi-VN"/>
        </w:rPr>
        <w:t xml:space="preserve"> </w:t>
      </w:r>
      <w:r>
        <w:rPr>
          <w:sz w:val="28"/>
          <w:szCs w:val="28"/>
          <w:lang w:val="vi-VN"/>
        </w:rPr>
        <w:t>K</w:t>
      </w:r>
      <w:r w:rsidR="00A33117" w:rsidRPr="00F54A06">
        <w:rPr>
          <w:sz w:val="28"/>
          <w:szCs w:val="28"/>
          <w:lang w:val="vi-VN"/>
        </w:rPr>
        <w:t>ế thừa, hoàn thiện các quy định về đầu tư theo phương thức PPP đã áp dụng ổn định, phát huy hiệu quả trên thực tế và vẫn bảo đảm phù hợp với quy định của Luật PPP.</w:t>
      </w:r>
    </w:p>
    <w:p w:rsidR="00975C20" w:rsidRDefault="00F54A06" w:rsidP="00975C2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vi-VN"/>
        </w:rPr>
      </w:pPr>
      <w:r>
        <w:rPr>
          <w:sz w:val="28"/>
          <w:szCs w:val="28"/>
          <w:lang w:val="vi-VN"/>
        </w:rPr>
        <w:t xml:space="preserve">- </w:t>
      </w:r>
      <w:r w:rsidR="00A33117" w:rsidRPr="00F54A06">
        <w:rPr>
          <w:sz w:val="28"/>
          <w:szCs w:val="28"/>
          <w:lang w:val="vi-VN"/>
        </w:rPr>
        <w:t xml:space="preserve">Bảo đảm tính khả thi, thống nhất, đồng bộ </w:t>
      </w:r>
      <w:r>
        <w:rPr>
          <w:sz w:val="28"/>
          <w:szCs w:val="28"/>
          <w:lang w:val="vi-VN"/>
        </w:rPr>
        <w:t xml:space="preserve">giữa quy định tại Nghị định với các pháp luật </w:t>
      </w:r>
      <w:r w:rsidR="00975C20">
        <w:rPr>
          <w:sz w:val="28"/>
          <w:szCs w:val="28"/>
          <w:lang w:val="vi-VN"/>
        </w:rPr>
        <w:t>khác có liên quan như pháp luật về đầu tư công, ngân sách nhà nước, xây dựng, …</w:t>
      </w:r>
    </w:p>
    <w:p w:rsidR="00975C20" w:rsidRPr="00975C20" w:rsidRDefault="00975C20" w:rsidP="00975C2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sz w:val="28"/>
          <w:szCs w:val="28"/>
          <w:lang w:val="vi-VN"/>
        </w:rPr>
      </w:pPr>
      <w:r w:rsidRPr="00975C20">
        <w:rPr>
          <w:b/>
          <w:bCs/>
          <w:sz w:val="28"/>
          <w:szCs w:val="28"/>
          <w:lang w:val="vi-VN"/>
        </w:rPr>
        <w:t>III. QUÁ TRÌNH XÂY DỰNG NGHỊ ĐỊNH</w:t>
      </w:r>
    </w:p>
    <w:p w:rsidR="00F94BAC" w:rsidRDefault="00BD08F0" w:rsidP="008F012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vi-VN"/>
        </w:rPr>
      </w:pPr>
      <w:r>
        <w:rPr>
          <w:sz w:val="28"/>
          <w:szCs w:val="28"/>
          <w:lang w:val="vi-VN"/>
        </w:rPr>
        <w:t xml:space="preserve">Căn cứ nhiệm vụ được Thủ tướng Chính phủ giao tại </w:t>
      </w:r>
      <w:r w:rsidRPr="00970EF5">
        <w:rPr>
          <w:sz w:val="28"/>
          <w:szCs w:val="28"/>
          <w:lang w:val="vi-VN"/>
        </w:rPr>
        <w:t xml:space="preserve">Quyết định số 1601/QĐ-TTg ngày 19 tháng 12 năm 2024 </w:t>
      </w:r>
      <w:r>
        <w:rPr>
          <w:sz w:val="28"/>
          <w:szCs w:val="28"/>
          <w:lang w:val="vi-VN"/>
        </w:rPr>
        <w:t xml:space="preserve">(nêu trên), ngày      /01/2025, Bộ Tài chính đã có văn bản số          /BTC-ĐT gửi xin ý kiến các bộ, ngành, địa phương, tổ chức, cá nhân, văn bản số               /BTC-ĐT gửi Cổng thông tin điện tử Chính phủ </w:t>
      </w:r>
      <w:r w:rsidR="00F94BAC" w:rsidRPr="00F94BAC">
        <w:rPr>
          <w:sz w:val="28"/>
          <w:szCs w:val="28"/>
          <w:lang w:val="vi-VN"/>
        </w:rPr>
        <w:t xml:space="preserve">và đăng công khai trên trang điện tự của Bộ Tài chính và Chính </w:t>
      </w:r>
      <w:r w:rsidR="00F94BAC" w:rsidRPr="00F94BAC">
        <w:rPr>
          <w:sz w:val="28"/>
          <w:szCs w:val="28"/>
          <w:lang w:val="vi-VN"/>
        </w:rPr>
        <w:lastRenderedPageBreak/>
        <w:t xml:space="preserve">phủ đề nghị các đơn vị liên quan đóng góp ý kiến. </w:t>
      </w:r>
    </w:p>
    <w:p w:rsidR="008F012D" w:rsidRDefault="00F94BAC" w:rsidP="008F012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sz w:val="28"/>
          <w:szCs w:val="28"/>
          <w:lang w:val="vi-VN"/>
        </w:rPr>
      </w:pPr>
      <w:r w:rsidRPr="00F94BAC">
        <w:rPr>
          <w:sz w:val="28"/>
          <w:szCs w:val="28"/>
          <w:lang w:val="vi-VN"/>
        </w:rPr>
        <w:t>Trên cơ sở tổng hợp ý kiến từ …., Bộ Tài chính đã tiếp thu các đóng góp để hoàn chỉnh Dự thảo Nghị định (được tổng hợp tại biểu đính kèm)</w:t>
      </w:r>
    </w:p>
    <w:p w:rsidR="00066083" w:rsidRDefault="008F012D" w:rsidP="008F012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sz w:val="28"/>
          <w:szCs w:val="28"/>
          <w:lang w:val="vi-VN"/>
        </w:rPr>
      </w:pPr>
      <w:r w:rsidRPr="008F012D">
        <w:rPr>
          <w:b/>
          <w:bCs/>
          <w:sz w:val="28"/>
          <w:szCs w:val="28"/>
          <w:lang w:val="vi-VN"/>
        </w:rPr>
        <w:t xml:space="preserve">IV. </w:t>
      </w:r>
      <w:r>
        <w:rPr>
          <w:b/>
          <w:bCs/>
          <w:sz w:val="28"/>
          <w:szCs w:val="28"/>
          <w:lang w:val="vi-VN"/>
        </w:rPr>
        <w:t>BỐ CỤC VÀ NỘI DUNG C</w:t>
      </w:r>
      <w:r w:rsidRPr="008F012D">
        <w:rPr>
          <w:b/>
          <w:bCs/>
          <w:sz w:val="28"/>
          <w:szCs w:val="28"/>
          <w:lang w:val="vi-VN"/>
        </w:rPr>
        <w:t>ỦA NGHỊ ĐỊNH</w:t>
      </w:r>
    </w:p>
    <w:p w:rsidR="008F012D" w:rsidRDefault="008F012D" w:rsidP="008F012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sz w:val="28"/>
          <w:szCs w:val="28"/>
          <w:lang w:val="vi-VN"/>
        </w:rPr>
      </w:pPr>
      <w:r>
        <w:rPr>
          <w:b/>
          <w:bCs/>
          <w:sz w:val="28"/>
          <w:szCs w:val="28"/>
          <w:lang w:val="vi-VN"/>
        </w:rPr>
        <w:t>1. Bố cục</w:t>
      </w:r>
    </w:p>
    <w:p w:rsidR="008F012D" w:rsidRDefault="008F012D" w:rsidP="008F012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vi-VN"/>
        </w:rPr>
      </w:pPr>
      <w:r w:rsidRPr="008F012D">
        <w:rPr>
          <w:sz w:val="28"/>
          <w:szCs w:val="28"/>
          <w:lang w:val="vi-VN"/>
        </w:rPr>
        <w:t xml:space="preserve">Dự thảo Nghị định gồm 08 Chương, </w:t>
      </w:r>
      <w:r w:rsidR="00AA76F5">
        <w:rPr>
          <w:sz w:val="28"/>
          <w:szCs w:val="28"/>
          <w:lang w:val="vi-VN"/>
        </w:rPr>
        <w:t>42</w:t>
      </w:r>
      <w:r>
        <w:rPr>
          <w:sz w:val="28"/>
          <w:szCs w:val="28"/>
          <w:lang w:val="vi-VN"/>
        </w:rPr>
        <w:t xml:space="preserve"> Điều, 07 Mẫu biểu.</w:t>
      </w:r>
    </w:p>
    <w:p w:rsidR="008F012D" w:rsidRPr="00D37CA5" w:rsidRDefault="008F012D" w:rsidP="008F012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vi-VN"/>
        </w:rPr>
      </w:pPr>
      <w:r w:rsidRPr="00D519E4">
        <w:rPr>
          <w:b/>
          <w:bCs/>
          <w:color w:val="000000"/>
          <w:sz w:val="28"/>
          <w:szCs w:val="28"/>
          <w:lang w:val="vi-VN" w:eastAsia="vi-VN"/>
        </w:rPr>
        <w:t>Chương I</w:t>
      </w:r>
      <w:r>
        <w:rPr>
          <w:b/>
          <w:bCs/>
          <w:color w:val="000000"/>
          <w:sz w:val="28"/>
          <w:szCs w:val="28"/>
          <w:lang w:val="vi-VN" w:eastAsia="vi-VN"/>
        </w:rPr>
        <w:t xml:space="preserve">. </w:t>
      </w:r>
      <w:r w:rsidRPr="00A54479">
        <w:rPr>
          <w:color w:val="000000"/>
          <w:sz w:val="28"/>
          <w:szCs w:val="28"/>
          <w:lang w:val="vi-VN" w:eastAsia="vi-VN"/>
        </w:rPr>
        <w:t>Quy định chung</w:t>
      </w:r>
      <w:r>
        <w:rPr>
          <w:b/>
          <w:bCs/>
          <w:color w:val="000000"/>
          <w:sz w:val="28"/>
          <w:szCs w:val="28"/>
          <w:lang w:val="vi-VN" w:eastAsia="vi-VN"/>
        </w:rPr>
        <w:t xml:space="preserve"> </w:t>
      </w:r>
      <w:bookmarkStart w:id="1" w:name="dieu_1"/>
      <w:r w:rsidR="00D37CA5" w:rsidRPr="00D37CA5">
        <w:rPr>
          <w:color w:val="000000"/>
          <w:sz w:val="28"/>
          <w:szCs w:val="28"/>
          <w:lang w:val="vi-VN" w:eastAsia="vi-VN"/>
        </w:rPr>
        <w:t>(Điều 1 đến Điều 3)</w:t>
      </w:r>
    </w:p>
    <w:bookmarkEnd w:id="1"/>
    <w:p w:rsidR="00CA2FF4" w:rsidRPr="00DA656E" w:rsidRDefault="00D37CA5" w:rsidP="00CA2FF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sz w:val="28"/>
          <w:szCs w:val="28"/>
          <w:lang w:val="vi-VN" w:eastAsia="vi-VN"/>
        </w:rPr>
      </w:pPr>
      <w:r>
        <w:rPr>
          <w:b/>
          <w:bCs/>
          <w:color w:val="000000"/>
          <w:sz w:val="28"/>
          <w:szCs w:val="28"/>
          <w:lang w:val="vi-VN" w:eastAsia="vi-VN"/>
        </w:rPr>
        <w:t xml:space="preserve">Chương II. </w:t>
      </w:r>
      <w:r w:rsidRPr="00A54479">
        <w:rPr>
          <w:color w:val="000000"/>
          <w:sz w:val="28"/>
          <w:szCs w:val="28"/>
          <w:lang w:val="vi-VN" w:eastAsia="vi-VN"/>
        </w:rPr>
        <w:t xml:space="preserve">Phương án </w:t>
      </w:r>
      <w:r w:rsidR="00CA2FF4" w:rsidRPr="00A54479">
        <w:rPr>
          <w:color w:val="000000"/>
          <w:sz w:val="28"/>
          <w:szCs w:val="28"/>
          <w:lang w:val="vi-VN" w:eastAsia="vi-VN"/>
        </w:rPr>
        <w:t>tài chính dư án PPP, vốn thực hiện dự án PPP của nhà đầu tư, doanh nghiệp dự án PPP</w:t>
      </w:r>
      <w:r w:rsidR="00DA656E">
        <w:rPr>
          <w:b/>
          <w:bCs/>
          <w:color w:val="000000"/>
          <w:sz w:val="28"/>
          <w:szCs w:val="28"/>
          <w:lang w:val="vi-VN" w:eastAsia="vi-VN"/>
        </w:rPr>
        <w:t xml:space="preserve"> </w:t>
      </w:r>
      <w:r w:rsidR="00DA656E" w:rsidRPr="00DA656E">
        <w:rPr>
          <w:color w:val="000000"/>
          <w:sz w:val="28"/>
          <w:szCs w:val="28"/>
          <w:lang w:val="vi-VN" w:eastAsia="vi-VN"/>
        </w:rPr>
        <w:t xml:space="preserve">(từ Điều 4 đến Điều </w:t>
      </w:r>
      <w:r w:rsidR="00DA656E">
        <w:rPr>
          <w:color w:val="000000"/>
          <w:sz w:val="28"/>
          <w:szCs w:val="28"/>
          <w:lang w:val="vi-VN" w:eastAsia="vi-VN"/>
        </w:rPr>
        <w:t>7</w:t>
      </w:r>
      <w:r w:rsidR="00DA656E" w:rsidRPr="00DA656E">
        <w:rPr>
          <w:color w:val="000000"/>
          <w:sz w:val="28"/>
          <w:szCs w:val="28"/>
          <w:lang w:val="vi-VN" w:eastAsia="vi-VN"/>
        </w:rPr>
        <w:t>)</w:t>
      </w:r>
    </w:p>
    <w:p w:rsidR="00253323" w:rsidRPr="00DA656E" w:rsidRDefault="00253323" w:rsidP="0025332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vi-VN"/>
        </w:rPr>
      </w:pPr>
      <w:bookmarkStart w:id="2" w:name="chuong_3"/>
      <w:r w:rsidRPr="00D519E4">
        <w:rPr>
          <w:b/>
          <w:bCs/>
          <w:color w:val="000000"/>
          <w:sz w:val="28"/>
          <w:szCs w:val="28"/>
          <w:lang w:val="vi-VN" w:eastAsia="vi-VN"/>
        </w:rPr>
        <w:t>Chương III</w:t>
      </w:r>
      <w:bookmarkEnd w:id="2"/>
      <w:r>
        <w:rPr>
          <w:b/>
          <w:bCs/>
          <w:color w:val="000000"/>
          <w:sz w:val="28"/>
          <w:szCs w:val="28"/>
          <w:lang w:val="vi-VN" w:eastAsia="vi-VN"/>
        </w:rPr>
        <w:t xml:space="preserve">. </w:t>
      </w:r>
      <w:r w:rsidRPr="00A54479">
        <w:rPr>
          <w:color w:val="000000"/>
          <w:sz w:val="28"/>
          <w:szCs w:val="28"/>
          <w:lang w:val="vi-VN" w:eastAsia="vi-VN"/>
        </w:rPr>
        <w:t>Quản lý, sử dụng, thanh toán vốn Nhà nước trong dự án PPP</w:t>
      </w:r>
      <w:r w:rsidR="00DA656E" w:rsidRPr="00A54479">
        <w:rPr>
          <w:color w:val="000000"/>
          <w:sz w:val="28"/>
          <w:szCs w:val="28"/>
          <w:lang w:val="vi-VN" w:eastAsia="vi-VN"/>
        </w:rPr>
        <w:t xml:space="preserve"> </w:t>
      </w:r>
      <w:r w:rsidR="00DA656E" w:rsidRPr="00DA656E">
        <w:rPr>
          <w:color w:val="000000"/>
          <w:sz w:val="28"/>
          <w:szCs w:val="28"/>
          <w:lang w:val="vi-VN" w:eastAsia="vi-VN"/>
        </w:rPr>
        <w:t>(từ Điều 8 đến Điều 19)</w:t>
      </w:r>
    </w:p>
    <w:p w:rsidR="00626F3F" w:rsidRDefault="00A77A97" w:rsidP="00DA656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vi-VN"/>
        </w:rPr>
      </w:pPr>
      <w:r w:rsidRPr="00626F3F">
        <w:rPr>
          <w:b/>
          <w:bCs/>
          <w:sz w:val="28"/>
          <w:szCs w:val="28"/>
          <w:lang w:val="vi-VN"/>
        </w:rPr>
        <w:t xml:space="preserve">Chương IV. </w:t>
      </w:r>
      <w:r w:rsidRPr="00A54479">
        <w:rPr>
          <w:color w:val="000000"/>
          <w:sz w:val="28"/>
          <w:szCs w:val="28"/>
          <w:lang w:val="vi-VN" w:eastAsia="vi-VN"/>
        </w:rPr>
        <w:t xml:space="preserve">Quyết toán vốn đầu </w:t>
      </w:r>
      <w:r w:rsidR="00626F3F" w:rsidRPr="00A54479">
        <w:rPr>
          <w:color w:val="000000"/>
          <w:sz w:val="28"/>
          <w:szCs w:val="28"/>
          <w:lang w:val="vi-VN" w:eastAsia="vi-VN"/>
        </w:rPr>
        <w:t>tư công trình, hệ thống cơ sở hạ tầng dự án PPP</w:t>
      </w:r>
      <w:r w:rsidR="00DA656E" w:rsidRPr="00A54479">
        <w:rPr>
          <w:color w:val="000000"/>
          <w:sz w:val="28"/>
          <w:szCs w:val="28"/>
          <w:lang w:val="vi-VN" w:eastAsia="vi-VN"/>
        </w:rPr>
        <w:t xml:space="preserve"> (từ </w:t>
      </w:r>
      <w:r w:rsidRPr="00A54479">
        <w:rPr>
          <w:color w:val="000000"/>
          <w:sz w:val="28"/>
          <w:szCs w:val="28"/>
          <w:lang w:val="vi-VN" w:eastAsia="vi-VN"/>
        </w:rPr>
        <w:t>Điều</w:t>
      </w:r>
      <w:r w:rsidRPr="00A77A97">
        <w:rPr>
          <w:sz w:val="28"/>
          <w:szCs w:val="28"/>
          <w:lang w:val="vi-VN"/>
        </w:rPr>
        <w:t xml:space="preserve"> </w:t>
      </w:r>
      <w:r w:rsidR="00DA656E">
        <w:rPr>
          <w:sz w:val="28"/>
          <w:szCs w:val="28"/>
          <w:lang w:val="vi-VN"/>
        </w:rPr>
        <w:t xml:space="preserve">20 đến </w:t>
      </w:r>
      <w:r w:rsidR="00626F3F" w:rsidRPr="00626F3F">
        <w:rPr>
          <w:sz w:val="28"/>
          <w:szCs w:val="28"/>
          <w:lang w:val="vi-VN"/>
        </w:rPr>
        <w:t>Điều 2</w:t>
      </w:r>
      <w:r w:rsidR="00DA656E">
        <w:rPr>
          <w:sz w:val="28"/>
          <w:szCs w:val="28"/>
          <w:lang w:val="vi-VN"/>
        </w:rPr>
        <w:t>3)</w:t>
      </w:r>
    </w:p>
    <w:p w:rsidR="00A84425" w:rsidRDefault="00626F3F" w:rsidP="0086454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vi-VN"/>
        </w:rPr>
      </w:pPr>
      <w:bookmarkStart w:id="3" w:name="chuong_5"/>
      <w:r w:rsidRPr="00626F3F">
        <w:rPr>
          <w:b/>
          <w:bCs/>
          <w:sz w:val="28"/>
          <w:szCs w:val="28"/>
          <w:lang w:val="vi-VN"/>
        </w:rPr>
        <w:t>Chương V</w:t>
      </w:r>
      <w:bookmarkEnd w:id="3"/>
      <w:r w:rsidRPr="00626F3F">
        <w:rPr>
          <w:b/>
          <w:bCs/>
          <w:sz w:val="28"/>
          <w:szCs w:val="28"/>
          <w:lang w:val="vi-VN"/>
        </w:rPr>
        <w:t xml:space="preserve">. </w:t>
      </w:r>
      <w:r w:rsidRPr="00A54479">
        <w:rPr>
          <w:color w:val="000000"/>
          <w:sz w:val="28"/>
          <w:szCs w:val="28"/>
          <w:lang w:val="vi-VN" w:eastAsia="vi-VN"/>
        </w:rPr>
        <w:t xml:space="preserve">Chia sẻ phần </w:t>
      </w:r>
      <w:r w:rsidR="00A84425" w:rsidRPr="00A54479">
        <w:rPr>
          <w:color w:val="000000"/>
          <w:sz w:val="28"/>
          <w:szCs w:val="28"/>
          <w:lang w:val="vi-VN" w:eastAsia="vi-VN"/>
        </w:rPr>
        <w:t xml:space="preserve">tăng, giảm </w:t>
      </w:r>
      <w:r w:rsidRPr="00A54479">
        <w:rPr>
          <w:color w:val="000000"/>
          <w:sz w:val="28"/>
          <w:szCs w:val="28"/>
          <w:lang w:val="vi-VN" w:eastAsia="vi-VN"/>
        </w:rPr>
        <w:t xml:space="preserve">doanh thu </w:t>
      </w:r>
      <w:bookmarkStart w:id="4" w:name="dieu_16"/>
      <w:r w:rsidR="0086454E" w:rsidRPr="00A54479">
        <w:rPr>
          <w:color w:val="000000"/>
          <w:sz w:val="28"/>
          <w:szCs w:val="28"/>
          <w:lang w:val="vi-VN" w:eastAsia="vi-VN"/>
        </w:rPr>
        <w:t>(từ</w:t>
      </w:r>
      <w:r w:rsidR="0086454E">
        <w:rPr>
          <w:b/>
          <w:bCs/>
          <w:sz w:val="28"/>
          <w:szCs w:val="28"/>
          <w:lang w:val="vi-VN"/>
        </w:rPr>
        <w:t xml:space="preserve"> </w:t>
      </w:r>
      <w:r w:rsidRPr="00626F3F">
        <w:rPr>
          <w:sz w:val="28"/>
          <w:szCs w:val="28"/>
          <w:lang w:val="vi-VN"/>
        </w:rPr>
        <w:t>Điều 2</w:t>
      </w:r>
      <w:r w:rsidR="0086454E">
        <w:rPr>
          <w:sz w:val="28"/>
          <w:szCs w:val="28"/>
          <w:lang w:val="vi-VN"/>
        </w:rPr>
        <w:t>4</w:t>
      </w:r>
      <w:bookmarkEnd w:id="4"/>
      <w:r w:rsidR="0086454E">
        <w:rPr>
          <w:sz w:val="28"/>
          <w:szCs w:val="28"/>
          <w:lang w:val="vi-VN"/>
        </w:rPr>
        <w:t xml:space="preserve"> đến </w:t>
      </w:r>
      <w:r w:rsidR="00A84425" w:rsidRPr="00A84425">
        <w:rPr>
          <w:sz w:val="28"/>
          <w:szCs w:val="28"/>
          <w:lang w:val="vi-VN"/>
        </w:rPr>
        <w:t>Điều 2</w:t>
      </w:r>
      <w:r w:rsidR="0086454E">
        <w:rPr>
          <w:sz w:val="28"/>
          <w:szCs w:val="28"/>
          <w:lang w:val="vi-VN"/>
        </w:rPr>
        <w:t>7)</w:t>
      </w:r>
    </w:p>
    <w:p w:rsidR="00494545" w:rsidRPr="00135DFE" w:rsidRDefault="00A84425" w:rsidP="006A601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pacing w:val="-4"/>
          <w:sz w:val="28"/>
          <w:szCs w:val="28"/>
          <w:lang w:val="vi-VN"/>
        </w:rPr>
      </w:pPr>
      <w:bookmarkStart w:id="5" w:name="chuong_6"/>
      <w:r w:rsidRPr="00135DFE">
        <w:rPr>
          <w:b/>
          <w:bCs/>
          <w:color w:val="000000"/>
          <w:spacing w:val="-4"/>
          <w:sz w:val="28"/>
          <w:szCs w:val="28"/>
          <w:lang w:val="vi-VN" w:eastAsia="vi-VN"/>
        </w:rPr>
        <w:t>Chương VI</w:t>
      </w:r>
      <w:bookmarkEnd w:id="5"/>
      <w:r w:rsidRPr="00135DFE">
        <w:rPr>
          <w:b/>
          <w:bCs/>
          <w:color w:val="000000"/>
          <w:spacing w:val="-4"/>
          <w:sz w:val="28"/>
          <w:szCs w:val="28"/>
          <w:lang w:val="vi-VN" w:eastAsia="vi-VN"/>
        </w:rPr>
        <w:t xml:space="preserve">. </w:t>
      </w:r>
      <w:r w:rsidRPr="00135DFE">
        <w:rPr>
          <w:color w:val="000000"/>
          <w:spacing w:val="-4"/>
          <w:sz w:val="28"/>
          <w:szCs w:val="28"/>
          <w:lang w:val="vi-VN" w:eastAsia="vi-VN"/>
        </w:rPr>
        <w:t>Lãi vay sau thời gian xây dựng, lợi nhuận hợp lý, thanh toán, quyết toán vốn ngân sách nhà nước thanh toán dự án BT</w:t>
      </w:r>
      <w:r w:rsidR="006A6016" w:rsidRPr="00135DFE">
        <w:rPr>
          <w:color w:val="000000"/>
          <w:spacing w:val="-4"/>
          <w:sz w:val="28"/>
          <w:szCs w:val="28"/>
          <w:lang w:val="vi-VN" w:eastAsia="vi-VN"/>
        </w:rPr>
        <w:t xml:space="preserve"> (từ</w:t>
      </w:r>
      <w:r w:rsidR="006A6016" w:rsidRPr="00135DFE">
        <w:rPr>
          <w:b/>
          <w:bCs/>
          <w:color w:val="000000"/>
          <w:spacing w:val="-4"/>
          <w:sz w:val="28"/>
          <w:szCs w:val="28"/>
          <w:lang w:val="vi-VN" w:eastAsia="vi-VN"/>
        </w:rPr>
        <w:t xml:space="preserve"> </w:t>
      </w:r>
      <w:r w:rsidRPr="00135DFE">
        <w:rPr>
          <w:spacing w:val="-4"/>
          <w:sz w:val="28"/>
          <w:szCs w:val="28"/>
          <w:lang w:val="vi-VN"/>
        </w:rPr>
        <w:t>Điều 2</w:t>
      </w:r>
      <w:r w:rsidR="0086454E" w:rsidRPr="00135DFE">
        <w:rPr>
          <w:spacing w:val="-4"/>
          <w:sz w:val="28"/>
          <w:szCs w:val="28"/>
          <w:lang w:val="vi-VN"/>
        </w:rPr>
        <w:t>8</w:t>
      </w:r>
      <w:r w:rsidR="006A6016" w:rsidRPr="00135DFE">
        <w:rPr>
          <w:spacing w:val="-4"/>
          <w:sz w:val="28"/>
          <w:szCs w:val="28"/>
          <w:lang w:val="vi-VN"/>
        </w:rPr>
        <w:t xml:space="preserve"> đến </w:t>
      </w:r>
      <w:r w:rsidR="00494545" w:rsidRPr="00135DFE">
        <w:rPr>
          <w:spacing w:val="-4"/>
          <w:sz w:val="28"/>
          <w:szCs w:val="28"/>
          <w:lang w:val="vi-VN"/>
        </w:rPr>
        <w:t>Điều 3</w:t>
      </w:r>
      <w:r w:rsidR="006A6016" w:rsidRPr="00135DFE">
        <w:rPr>
          <w:spacing w:val="-4"/>
          <w:sz w:val="28"/>
          <w:szCs w:val="28"/>
          <w:lang w:val="vi-VN"/>
        </w:rPr>
        <w:t xml:space="preserve">4) </w:t>
      </w:r>
    </w:p>
    <w:p w:rsidR="00A84425" w:rsidRDefault="00494545" w:rsidP="006A601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vi-VN"/>
        </w:rPr>
      </w:pPr>
      <w:r w:rsidRPr="00494545">
        <w:rPr>
          <w:b/>
          <w:bCs/>
          <w:color w:val="000000"/>
          <w:sz w:val="28"/>
          <w:szCs w:val="28"/>
          <w:lang w:val="vi-VN" w:eastAsia="vi-VN"/>
        </w:rPr>
        <w:t>Chương VII</w:t>
      </w:r>
      <w:r>
        <w:rPr>
          <w:b/>
          <w:bCs/>
          <w:color w:val="000000"/>
          <w:sz w:val="28"/>
          <w:szCs w:val="28"/>
          <w:lang w:val="vi-VN" w:eastAsia="vi-VN"/>
        </w:rPr>
        <w:t xml:space="preserve">. </w:t>
      </w:r>
      <w:r w:rsidRPr="00A54479">
        <w:rPr>
          <w:color w:val="000000"/>
          <w:sz w:val="28"/>
          <w:szCs w:val="28"/>
          <w:lang w:val="vi-VN" w:eastAsia="vi-VN"/>
        </w:rPr>
        <w:t>Nhiệm vụ, quyền hạn, trách nhiệm của các cơ quan, tổ chức, cá nhân</w:t>
      </w:r>
      <w:r w:rsidR="006A6016" w:rsidRPr="00A54479">
        <w:rPr>
          <w:color w:val="000000"/>
          <w:sz w:val="28"/>
          <w:szCs w:val="28"/>
          <w:lang w:val="vi-VN" w:eastAsia="vi-VN"/>
        </w:rPr>
        <w:t xml:space="preserve"> (từ </w:t>
      </w:r>
      <w:r w:rsidRPr="00A54479">
        <w:rPr>
          <w:color w:val="000000"/>
          <w:sz w:val="28"/>
          <w:szCs w:val="28"/>
          <w:lang w:val="vi-VN" w:eastAsia="vi-VN"/>
        </w:rPr>
        <w:t>Đi</w:t>
      </w:r>
      <w:r w:rsidRPr="00494545">
        <w:rPr>
          <w:sz w:val="28"/>
          <w:szCs w:val="28"/>
          <w:lang w:val="vi-VN"/>
        </w:rPr>
        <w:t>ều 3</w:t>
      </w:r>
      <w:r w:rsidR="006A6016">
        <w:rPr>
          <w:sz w:val="28"/>
          <w:szCs w:val="28"/>
          <w:lang w:val="vi-VN"/>
        </w:rPr>
        <w:t xml:space="preserve">5 đến </w:t>
      </w:r>
      <w:r w:rsidR="0092050A" w:rsidRPr="0092050A">
        <w:rPr>
          <w:sz w:val="28"/>
          <w:szCs w:val="28"/>
          <w:lang w:val="vi-VN"/>
        </w:rPr>
        <w:t xml:space="preserve">Điều </w:t>
      </w:r>
      <w:r w:rsidR="006A6016">
        <w:rPr>
          <w:sz w:val="28"/>
          <w:szCs w:val="28"/>
          <w:lang w:val="vi-VN"/>
        </w:rPr>
        <w:t>40)</w:t>
      </w:r>
    </w:p>
    <w:p w:rsidR="00793D0A" w:rsidRPr="00D519E4" w:rsidRDefault="00793D0A" w:rsidP="006A601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sz w:val="28"/>
          <w:szCs w:val="28"/>
          <w:lang w:val="vi-VN" w:eastAsia="vi-VN"/>
        </w:rPr>
      </w:pPr>
      <w:bookmarkStart w:id="6" w:name="chuong_8"/>
      <w:r w:rsidRPr="00793D0A">
        <w:rPr>
          <w:b/>
          <w:bCs/>
          <w:color w:val="000000"/>
          <w:sz w:val="28"/>
          <w:szCs w:val="28"/>
          <w:lang w:val="vi-VN" w:eastAsia="vi-VN"/>
        </w:rPr>
        <w:t xml:space="preserve">Chương </w:t>
      </w:r>
      <w:bookmarkEnd w:id="6"/>
      <w:r w:rsidRPr="00793D0A">
        <w:rPr>
          <w:b/>
          <w:bCs/>
          <w:color w:val="000000"/>
          <w:sz w:val="28"/>
          <w:szCs w:val="28"/>
          <w:lang w:val="vi-VN" w:eastAsia="vi-VN"/>
        </w:rPr>
        <w:t>VIII</w:t>
      </w:r>
      <w:r>
        <w:rPr>
          <w:b/>
          <w:bCs/>
          <w:color w:val="000000"/>
          <w:sz w:val="28"/>
          <w:szCs w:val="28"/>
          <w:lang w:val="vi-VN" w:eastAsia="vi-VN"/>
        </w:rPr>
        <w:t xml:space="preserve">. </w:t>
      </w:r>
      <w:r w:rsidRPr="00A54479">
        <w:rPr>
          <w:color w:val="000000"/>
          <w:sz w:val="28"/>
          <w:szCs w:val="28"/>
          <w:lang w:val="vi-VN" w:eastAsia="vi-VN"/>
        </w:rPr>
        <w:t>Điều khoản thi hành</w:t>
      </w:r>
      <w:r w:rsidR="006A6016" w:rsidRPr="00A54479">
        <w:rPr>
          <w:color w:val="000000"/>
          <w:sz w:val="28"/>
          <w:szCs w:val="28"/>
          <w:lang w:val="vi-VN" w:eastAsia="vi-VN"/>
        </w:rPr>
        <w:t xml:space="preserve"> (từ</w:t>
      </w:r>
      <w:r w:rsidR="006A6016">
        <w:rPr>
          <w:b/>
          <w:bCs/>
          <w:color w:val="000000"/>
          <w:sz w:val="28"/>
          <w:szCs w:val="28"/>
          <w:lang w:val="vi-VN" w:eastAsia="vi-VN"/>
        </w:rPr>
        <w:t xml:space="preserve"> </w:t>
      </w:r>
      <w:bookmarkStart w:id="7" w:name="dieu_25"/>
      <w:r w:rsidRPr="00793D0A">
        <w:rPr>
          <w:sz w:val="28"/>
          <w:szCs w:val="28"/>
          <w:lang w:val="vi-VN"/>
        </w:rPr>
        <w:t xml:space="preserve">Điều </w:t>
      </w:r>
      <w:r w:rsidR="006A6016">
        <w:rPr>
          <w:sz w:val="28"/>
          <w:szCs w:val="28"/>
          <w:lang w:val="vi-VN"/>
        </w:rPr>
        <w:t>41</w:t>
      </w:r>
      <w:bookmarkEnd w:id="7"/>
      <w:r w:rsidR="006A6016">
        <w:rPr>
          <w:sz w:val="28"/>
          <w:szCs w:val="28"/>
          <w:lang w:val="vi-VN"/>
        </w:rPr>
        <w:t xml:space="preserve"> đến Điều 42)</w:t>
      </w:r>
    </w:p>
    <w:p w:rsidR="003828CB" w:rsidRPr="00D519E4" w:rsidRDefault="003828CB" w:rsidP="00793D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sidRPr="006A6016">
        <w:rPr>
          <w:b/>
          <w:bCs/>
          <w:i/>
          <w:iCs/>
          <w:sz w:val="28"/>
          <w:szCs w:val="28"/>
          <w:lang w:val="vi-VN"/>
        </w:rPr>
        <w:t>Phụ lục gồm 11 mẫu biểu:</w:t>
      </w:r>
      <w:r w:rsidRPr="00D519E4">
        <w:rPr>
          <w:b/>
          <w:bCs/>
          <w:i/>
          <w:iCs/>
          <w:color w:val="000000" w:themeColor="text1"/>
          <w:sz w:val="28"/>
          <w:szCs w:val="28"/>
          <w:lang w:val="vi-VN"/>
        </w:rPr>
        <w:t xml:space="preserve"> </w:t>
      </w:r>
    </w:p>
    <w:p w:rsidR="003828CB" w:rsidRPr="00D519E4" w:rsidRDefault="003828CB" w:rsidP="00793D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D519E4">
        <w:rPr>
          <w:color w:val="000000" w:themeColor="text1"/>
          <w:sz w:val="28"/>
          <w:szCs w:val="28"/>
          <w:lang w:val="vi-VN"/>
        </w:rPr>
        <w:t>Mẫu số 01</w:t>
      </w:r>
      <w:r>
        <w:rPr>
          <w:color w:val="000000" w:themeColor="text1"/>
          <w:sz w:val="28"/>
          <w:szCs w:val="28"/>
          <w:lang w:val="vi-VN"/>
        </w:rPr>
        <w:t>.</w:t>
      </w:r>
      <w:r w:rsidRPr="00D519E4">
        <w:rPr>
          <w:color w:val="000000" w:themeColor="text1"/>
          <w:sz w:val="28"/>
          <w:szCs w:val="28"/>
          <w:lang w:val="vi-VN"/>
        </w:rPr>
        <w:t xml:space="preserve"> Bảng xác định giá trị khối lượng công việc hoàn thành tiểu dự án trong dự án PPP </w:t>
      </w:r>
    </w:p>
    <w:p w:rsidR="003828CB" w:rsidRPr="00D519E4" w:rsidRDefault="003828CB" w:rsidP="00793D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D519E4">
        <w:rPr>
          <w:color w:val="000000" w:themeColor="text1"/>
          <w:sz w:val="28"/>
          <w:szCs w:val="28"/>
          <w:lang w:val="vi-VN"/>
        </w:rPr>
        <w:t>Mẫu số 02</w:t>
      </w:r>
      <w:r>
        <w:rPr>
          <w:color w:val="000000" w:themeColor="text1"/>
          <w:sz w:val="28"/>
          <w:szCs w:val="28"/>
          <w:lang w:val="vi-VN"/>
        </w:rPr>
        <w:t>.</w:t>
      </w:r>
      <w:r w:rsidR="00135DFE" w:rsidRPr="00135DFE">
        <w:rPr>
          <w:color w:val="000000" w:themeColor="text1"/>
          <w:sz w:val="28"/>
          <w:szCs w:val="28"/>
          <w:lang w:val="vi-VN"/>
        </w:rPr>
        <w:t xml:space="preserve"> </w:t>
      </w:r>
      <w:r w:rsidRPr="00D519E4">
        <w:rPr>
          <w:color w:val="000000" w:themeColor="text1"/>
          <w:sz w:val="28"/>
          <w:szCs w:val="28"/>
          <w:lang w:val="vi-VN"/>
        </w:rPr>
        <w:t xml:space="preserve">Giấy đề nghị thanh toán phần vốn đầu tư công thực hiện tiểu dự án trong dự án PPP </w:t>
      </w:r>
    </w:p>
    <w:p w:rsidR="003828CB" w:rsidRPr="00D519E4" w:rsidRDefault="003828CB" w:rsidP="00793D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D519E4">
        <w:rPr>
          <w:color w:val="000000" w:themeColor="text1"/>
          <w:sz w:val="28"/>
          <w:szCs w:val="28"/>
          <w:lang w:val="vi-VN"/>
        </w:rPr>
        <w:t>Mẫu số 03</w:t>
      </w:r>
      <w:r>
        <w:rPr>
          <w:color w:val="000000" w:themeColor="text1"/>
          <w:sz w:val="28"/>
          <w:szCs w:val="28"/>
          <w:lang w:val="vi-VN"/>
        </w:rPr>
        <w:t>.</w:t>
      </w:r>
      <w:r w:rsidRPr="00D519E4">
        <w:rPr>
          <w:color w:val="000000" w:themeColor="text1"/>
          <w:sz w:val="28"/>
          <w:szCs w:val="28"/>
          <w:lang w:val="vi-VN"/>
        </w:rPr>
        <w:t xml:space="preserve"> Giấy rút vốn/Chứng từ chuyển tiền</w:t>
      </w:r>
    </w:p>
    <w:p w:rsidR="003828CB" w:rsidRPr="00D519E4" w:rsidRDefault="003828CB" w:rsidP="00793D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6"/>
          <w:szCs w:val="26"/>
          <w:lang w:val="vi-VN" w:eastAsia="vi-VN"/>
        </w:rPr>
      </w:pPr>
      <w:r w:rsidRPr="00D519E4">
        <w:rPr>
          <w:color w:val="000000" w:themeColor="text1"/>
          <w:sz w:val="28"/>
          <w:szCs w:val="28"/>
          <w:lang w:val="vi-VN"/>
        </w:rPr>
        <w:t>Mẫu số 04</w:t>
      </w:r>
      <w:r>
        <w:rPr>
          <w:color w:val="000000" w:themeColor="text1"/>
          <w:sz w:val="28"/>
          <w:szCs w:val="28"/>
          <w:lang w:val="vi-VN"/>
        </w:rPr>
        <w:t>.</w:t>
      </w:r>
      <w:r w:rsidRPr="00D519E4">
        <w:rPr>
          <w:color w:val="000000" w:themeColor="text1"/>
          <w:sz w:val="26"/>
          <w:szCs w:val="26"/>
          <w:lang w:val="vi-VN" w:eastAsia="vi-VN"/>
        </w:rPr>
        <w:t xml:space="preserve"> Bảng tổng hợp giá trị khối lượng công việc hoàn thành đề nghị thanh toán của hạng mục có sử dụng vốn đầu tư công</w:t>
      </w:r>
    </w:p>
    <w:p w:rsidR="003828CB" w:rsidRPr="00D519E4" w:rsidRDefault="003828CB" w:rsidP="00793D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6"/>
          <w:szCs w:val="26"/>
          <w:lang w:val="vi-VN" w:eastAsia="vi-VN"/>
        </w:rPr>
      </w:pPr>
      <w:r w:rsidRPr="00D519E4">
        <w:rPr>
          <w:color w:val="000000" w:themeColor="text1"/>
          <w:sz w:val="28"/>
          <w:szCs w:val="28"/>
          <w:lang w:val="vi-VN"/>
        </w:rPr>
        <w:t>Mẫu số 05</w:t>
      </w:r>
      <w:r>
        <w:rPr>
          <w:color w:val="000000" w:themeColor="text1"/>
          <w:sz w:val="28"/>
          <w:szCs w:val="28"/>
          <w:lang w:val="vi-VN"/>
        </w:rPr>
        <w:t>.</w:t>
      </w:r>
      <w:r w:rsidRPr="00D519E4">
        <w:rPr>
          <w:color w:val="000000" w:themeColor="text1"/>
          <w:sz w:val="26"/>
          <w:szCs w:val="26"/>
          <w:lang w:val="vi-VN" w:eastAsia="vi-VN"/>
        </w:rPr>
        <w:t xml:space="preserve"> Giấy đề nghị thanh toán vốn đầu tư công hỗ trợ xây dựng công trình, hệ thống cơ sở hạ tầng bố trí vào hạng mục cụ thể thuộc dự án PPP</w:t>
      </w:r>
    </w:p>
    <w:p w:rsidR="003828CB" w:rsidRPr="00D519E4" w:rsidRDefault="003828CB" w:rsidP="00793D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6"/>
          <w:szCs w:val="26"/>
          <w:lang w:val="vi-VN" w:eastAsia="vi-VN"/>
        </w:rPr>
      </w:pPr>
      <w:r w:rsidRPr="00D519E4">
        <w:rPr>
          <w:color w:val="000000" w:themeColor="text1"/>
          <w:sz w:val="28"/>
          <w:szCs w:val="28"/>
          <w:lang w:val="vi-VN"/>
        </w:rPr>
        <w:t>Mẫu số 06</w:t>
      </w:r>
      <w:r>
        <w:rPr>
          <w:color w:val="000000" w:themeColor="text1"/>
          <w:sz w:val="28"/>
          <w:szCs w:val="28"/>
          <w:lang w:val="vi-VN"/>
        </w:rPr>
        <w:t>.</w:t>
      </w:r>
      <w:r w:rsidRPr="00D519E4">
        <w:rPr>
          <w:color w:val="000000" w:themeColor="text1"/>
          <w:sz w:val="26"/>
          <w:szCs w:val="26"/>
          <w:lang w:val="vi-VN" w:eastAsia="vi-VN"/>
        </w:rPr>
        <w:t xml:space="preserve"> Bảng tổng hợp giá trị khối lượng, chất lượng sản phẩm, dịch vụ công đề nghị thanh toán</w:t>
      </w:r>
    </w:p>
    <w:p w:rsidR="003828CB" w:rsidRPr="00D519E4" w:rsidRDefault="003828CB" w:rsidP="00793D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6"/>
          <w:szCs w:val="26"/>
          <w:lang w:val="vi-VN" w:eastAsia="vi-VN"/>
        </w:rPr>
      </w:pPr>
      <w:r w:rsidRPr="00D519E4">
        <w:rPr>
          <w:color w:val="000000" w:themeColor="text1"/>
          <w:sz w:val="28"/>
          <w:szCs w:val="28"/>
          <w:lang w:val="vi-VN"/>
        </w:rPr>
        <w:t>Mẫu số 07</w:t>
      </w:r>
      <w:r>
        <w:rPr>
          <w:color w:val="000000" w:themeColor="text1"/>
          <w:sz w:val="28"/>
          <w:szCs w:val="28"/>
          <w:lang w:val="vi-VN"/>
        </w:rPr>
        <w:t>.</w:t>
      </w:r>
      <w:r w:rsidRPr="00D519E4">
        <w:rPr>
          <w:color w:val="000000" w:themeColor="text1"/>
          <w:sz w:val="26"/>
          <w:szCs w:val="26"/>
          <w:lang w:val="vi-VN" w:eastAsia="vi-VN"/>
        </w:rPr>
        <w:t xml:space="preserve"> Giấy đề nghị thanh toán cho doanh nghiệp dự án PPP cung cấp sản phẩm, dịch vụ công</w:t>
      </w:r>
    </w:p>
    <w:p w:rsidR="003828CB" w:rsidRPr="00D519E4" w:rsidRDefault="003828CB" w:rsidP="00793D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222222"/>
          <w:sz w:val="28"/>
          <w:szCs w:val="28"/>
          <w:lang w:val="vi-VN"/>
        </w:rPr>
      </w:pPr>
      <w:r w:rsidRPr="00D519E4">
        <w:rPr>
          <w:color w:val="000000" w:themeColor="text1"/>
          <w:sz w:val="28"/>
          <w:szCs w:val="28"/>
          <w:lang w:val="vi-VN"/>
        </w:rPr>
        <w:lastRenderedPageBreak/>
        <w:t>Mẫu số 08</w:t>
      </w:r>
      <w:r>
        <w:rPr>
          <w:color w:val="000000" w:themeColor="text1"/>
          <w:sz w:val="28"/>
          <w:szCs w:val="28"/>
          <w:lang w:val="vi-VN"/>
        </w:rPr>
        <w:t>.</w:t>
      </w:r>
      <w:r w:rsidRPr="00D519E4">
        <w:rPr>
          <w:color w:val="222222"/>
          <w:sz w:val="28"/>
          <w:szCs w:val="28"/>
          <w:lang w:val="vi-VN"/>
        </w:rPr>
        <w:t xml:space="preserve"> Quyết định chấp thuận quyết toán vốn đầu tư, công trình dự án PPP (dự án </w:t>
      </w:r>
      <w:r w:rsidRPr="00D519E4">
        <w:rPr>
          <w:color w:val="000000" w:themeColor="text1"/>
          <w:sz w:val="26"/>
          <w:szCs w:val="26"/>
          <w:lang w:val="vi-VN" w:eastAsia="vi-VN"/>
        </w:rPr>
        <w:t>thành</w:t>
      </w:r>
      <w:r w:rsidRPr="00D519E4">
        <w:rPr>
          <w:color w:val="222222"/>
          <w:sz w:val="28"/>
          <w:szCs w:val="28"/>
          <w:lang w:val="vi-VN"/>
        </w:rPr>
        <w:t xml:space="preserve"> phần, tiểu dự án) hoàn thành</w:t>
      </w:r>
    </w:p>
    <w:p w:rsidR="003828CB" w:rsidRPr="00D519E4" w:rsidRDefault="003828CB" w:rsidP="00793D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D519E4">
        <w:rPr>
          <w:color w:val="000000" w:themeColor="text1"/>
          <w:sz w:val="28"/>
          <w:szCs w:val="28"/>
          <w:lang w:val="vi-VN"/>
        </w:rPr>
        <w:t>Mẫu số 09</w:t>
      </w:r>
      <w:r>
        <w:rPr>
          <w:color w:val="000000" w:themeColor="text1"/>
          <w:sz w:val="28"/>
          <w:szCs w:val="28"/>
          <w:lang w:val="vi-VN"/>
        </w:rPr>
        <w:t xml:space="preserve">. </w:t>
      </w:r>
      <w:r w:rsidRPr="00D519E4">
        <w:rPr>
          <w:color w:val="000000" w:themeColor="text1"/>
          <w:sz w:val="28"/>
          <w:szCs w:val="28"/>
          <w:lang w:val="vi-VN"/>
        </w:rPr>
        <w:t>Giấy đề nghị thanh toán cơ chế chia sẻ phần giảm doanh thu của cơ quan ký kết hợp đồng</w:t>
      </w:r>
    </w:p>
    <w:p w:rsidR="003828CB" w:rsidRPr="003828CB" w:rsidRDefault="003828CB" w:rsidP="00793D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D519E4">
        <w:rPr>
          <w:color w:val="000000" w:themeColor="text1"/>
          <w:sz w:val="28"/>
          <w:szCs w:val="28"/>
          <w:lang w:val="vi-VN"/>
        </w:rPr>
        <w:t>Mẫu số 10</w:t>
      </w:r>
      <w:r>
        <w:rPr>
          <w:color w:val="000000" w:themeColor="text1"/>
          <w:sz w:val="28"/>
          <w:szCs w:val="28"/>
          <w:lang w:val="vi-VN"/>
        </w:rPr>
        <w:t>.</w:t>
      </w:r>
      <w:r w:rsidRPr="00D519E4">
        <w:rPr>
          <w:color w:val="000000" w:themeColor="text1"/>
          <w:sz w:val="28"/>
          <w:szCs w:val="28"/>
          <w:lang w:val="vi-VN"/>
        </w:rPr>
        <w:t xml:space="preserve"> Giấy đề nghị thanh toán của cơ quan ký kết hợp đồng BT</w:t>
      </w:r>
    </w:p>
    <w:p w:rsidR="003828CB" w:rsidRDefault="003828CB" w:rsidP="009E573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D519E4">
        <w:rPr>
          <w:color w:val="000000" w:themeColor="text1"/>
          <w:sz w:val="28"/>
          <w:szCs w:val="28"/>
          <w:lang w:val="vi-VN"/>
        </w:rPr>
        <w:t>Mẫu số 11</w:t>
      </w:r>
      <w:r>
        <w:rPr>
          <w:color w:val="000000" w:themeColor="text1"/>
          <w:sz w:val="28"/>
          <w:szCs w:val="28"/>
          <w:lang w:val="vi-VN"/>
        </w:rPr>
        <w:t>.</w:t>
      </w:r>
      <w:r w:rsidRPr="00D519E4">
        <w:rPr>
          <w:color w:val="000000" w:themeColor="text1"/>
          <w:sz w:val="28"/>
          <w:szCs w:val="28"/>
          <w:lang w:val="vi-VN"/>
        </w:rPr>
        <w:t xml:space="preserve"> Giấy rút vốn</w:t>
      </w:r>
      <w:r>
        <w:rPr>
          <w:color w:val="000000" w:themeColor="text1"/>
          <w:sz w:val="28"/>
          <w:szCs w:val="28"/>
          <w:lang w:val="vi-VN"/>
        </w:rPr>
        <w:t>/Chứng từ chuyển tiền</w:t>
      </w:r>
    </w:p>
    <w:p w:rsidR="00C01FD1" w:rsidRPr="00921F9C" w:rsidRDefault="00921F9C" w:rsidP="00921F9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color w:val="000000" w:themeColor="text1"/>
          <w:sz w:val="28"/>
          <w:szCs w:val="28"/>
          <w:lang w:val="vi-VN"/>
        </w:rPr>
      </w:pPr>
      <w:r w:rsidRPr="00921F9C">
        <w:rPr>
          <w:b/>
          <w:bCs/>
          <w:color w:val="000000" w:themeColor="text1"/>
          <w:sz w:val="28"/>
          <w:szCs w:val="28"/>
          <w:lang w:val="vi-VN"/>
        </w:rPr>
        <w:t xml:space="preserve">2. </w:t>
      </w:r>
      <w:r w:rsidR="00C01FD1" w:rsidRPr="00921F9C">
        <w:rPr>
          <w:b/>
          <w:bCs/>
          <w:color w:val="000000" w:themeColor="text1"/>
          <w:sz w:val="28"/>
          <w:szCs w:val="28"/>
          <w:lang w:val="vi-VN"/>
        </w:rPr>
        <w:t>Nội dung cơ bản</w:t>
      </w:r>
    </w:p>
    <w:p w:rsidR="00C01FD1" w:rsidRPr="007A7257" w:rsidRDefault="00AF54B8"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i/>
          <w:color w:val="000000" w:themeColor="text1"/>
          <w:sz w:val="28"/>
          <w:szCs w:val="28"/>
          <w:lang w:val="vi-VN"/>
        </w:rPr>
      </w:pPr>
      <w:r w:rsidRPr="007A7257">
        <w:rPr>
          <w:b/>
          <w:i/>
          <w:color w:val="000000" w:themeColor="text1"/>
          <w:sz w:val="28"/>
          <w:szCs w:val="28"/>
          <w:lang w:val="vi-VN"/>
        </w:rPr>
        <w:t>2.1.</w:t>
      </w:r>
      <w:r w:rsidR="00C01FD1" w:rsidRPr="007A7257">
        <w:rPr>
          <w:b/>
          <w:i/>
          <w:color w:val="000000" w:themeColor="text1"/>
          <w:sz w:val="28"/>
          <w:szCs w:val="28"/>
          <w:lang w:val="vi-VN"/>
        </w:rPr>
        <w:t xml:space="preserve"> Về </w:t>
      </w:r>
      <w:r w:rsidRPr="007A7257">
        <w:rPr>
          <w:b/>
          <w:i/>
          <w:color w:val="000000" w:themeColor="text1"/>
          <w:sz w:val="28"/>
          <w:szCs w:val="28"/>
          <w:lang w:val="vi-VN"/>
        </w:rPr>
        <w:t>p</w:t>
      </w:r>
      <w:r w:rsidR="00C01FD1" w:rsidRPr="007A7257">
        <w:rPr>
          <w:b/>
          <w:i/>
          <w:color w:val="000000" w:themeColor="text1"/>
          <w:sz w:val="28"/>
          <w:szCs w:val="28"/>
          <w:lang w:val="vi-VN"/>
        </w:rPr>
        <w:t>hương án tài chính của dự án PPP</w:t>
      </w:r>
    </w:p>
    <w:p w:rsidR="00C01FD1" w:rsidRPr="00C01FD1"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C01FD1">
        <w:rPr>
          <w:color w:val="000000" w:themeColor="text1"/>
          <w:sz w:val="28"/>
          <w:szCs w:val="28"/>
          <w:lang w:val="vi-VN"/>
        </w:rPr>
        <w:t xml:space="preserve">Nội dung này được quy định tại </w:t>
      </w:r>
      <w:r w:rsidR="00921F9C">
        <w:rPr>
          <w:color w:val="000000" w:themeColor="text1"/>
          <w:sz w:val="28"/>
          <w:szCs w:val="28"/>
          <w:lang w:val="vi-VN"/>
        </w:rPr>
        <w:t>0</w:t>
      </w:r>
      <w:r w:rsidRPr="00C01FD1">
        <w:rPr>
          <w:color w:val="000000" w:themeColor="text1"/>
          <w:sz w:val="28"/>
          <w:szCs w:val="28"/>
          <w:lang w:val="vi-VN"/>
        </w:rPr>
        <w:t xml:space="preserve">4 điều của Chương II cơ bản được kế thừa các nội dung đã được </w:t>
      </w:r>
      <w:r w:rsidR="00921F9C">
        <w:rPr>
          <w:color w:val="000000" w:themeColor="text1"/>
          <w:sz w:val="28"/>
          <w:szCs w:val="28"/>
          <w:lang w:val="vi-VN"/>
        </w:rPr>
        <w:t>quy định tại Nghị định số 28/2021/NĐ-CP</w:t>
      </w:r>
      <w:r w:rsidRPr="00C01FD1">
        <w:rPr>
          <w:color w:val="000000" w:themeColor="text1"/>
          <w:sz w:val="28"/>
          <w:szCs w:val="28"/>
          <w:lang w:val="vi-VN"/>
        </w:rPr>
        <w:t>; tương ứng với 4 nội dung cụ thể:</w:t>
      </w:r>
    </w:p>
    <w:p w:rsidR="00C01FD1" w:rsidRPr="00135DFE"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pacing w:val="-2"/>
          <w:sz w:val="28"/>
          <w:szCs w:val="28"/>
          <w:lang w:val="vi-VN"/>
        </w:rPr>
      </w:pPr>
      <w:r w:rsidRPr="00135DFE">
        <w:rPr>
          <w:color w:val="000000" w:themeColor="text1"/>
          <w:spacing w:val="-2"/>
          <w:sz w:val="28"/>
          <w:szCs w:val="28"/>
          <w:lang w:val="vi-VN"/>
        </w:rPr>
        <w:t xml:space="preserve">- Quy định phương án tài chính của dự án PPP được xây dựng trên cơ sở dòng tiền sau thuế được chiết khấu về giá trị hiện tại theo tỷ suất chiết khấu bình quân gia quyền của lãi suất các nguồn vốn dự án huy động thực hiện dự án PPP. </w:t>
      </w:r>
    </w:p>
    <w:p w:rsidR="00C01FD1" w:rsidRPr="00135DFE"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pacing w:val="-2"/>
          <w:sz w:val="28"/>
          <w:szCs w:val="28"/>
          <w:lang w:val="vi-VN"/>
        </w:rPr>
      </w:pPr>
      <w:r w:rsidRPr="00135DFE">
        <w:rPr>
          <w:color w:val="000000" w:themeColor="text1"/>
          <w:spacing w:val="-2"/>
          <w:sz w:val="28"/>
          <w:szCs w:val="28"/>
          <w:lang w:val="vi-VN"/>
        </w:rPr>
        <w:t xml:space="preserve">- </w:t>
      </w:r>
      <w:r w:rsidR="00FB5B18" w:rsidRPr="00135DFE">
        <w:rPr>
          <w:color w:val="000000" w:themeColor="text1"/>
          <w:spacing w:val="-2"/>
          <w:sz w:val="28"/>
          <w:szCs w:val="28"/>
          <w:lang w:val="vi-VN"/>
        </w:rPr>
        <w:t>Quy định các nội dung của p</w:t>
      </w:r>
      <w:r w:rsidRPr="00135DFE">
        <w:rPr>
          <w:color w:val="000000" w:themeColor="text1"/>
          <w:spacing w:val="-2"/>
          <w:sz w:val="28"/>
          <w:szCs w:val="28"/>
          <w:lang w:val="vi-VN"/>
        </w:rPr>
        <w:t>hương án tài chính trong báo cáo nghiên cứu tiền khả thi, khả thi dự án làm cơ sở cho cơ quan nhà nước xem xét quyết định chủ trương đầu tư, phê duyệt dự án</w:t>
      </w:r>
      <w:r w:rsidR="00FB5B18" w:rsidRPr="00135DFE">
        <w:rPr>
          <w:color w:val="000000" w:themeColor="text1"/>
          <w:spacing w:val="-2"/>
          <w:sz w:val="28"/>
          <w:szCs w:val="28"/>
          <w:lang w:val="vi-VN"/>
        </w:rPr>
        <w:t>;</w:t>
      </w:r>
      <w:r w:rsidR="00F2204F" w:rsidRPr="00135DFE">
        <w:rPr>
          <w:color w:val="000000" w:themeColor="text1"/>
          <w:spacing w:val="-2"/>
          <w:sz w:val="28"/>
          <w:szCs w:val="28"/>
          <w:lang w:val="vi-VN"/>
        </w:rPr>
        <w:t xml:space="preserve"> căn cứ </w:t>
      </w:r>
      <w:r w:rsidR="00090AD2" w:rsidRPr="00135DFE">
        <w:rPr>
          <w:color w:val="000000" w:themeColor="text1"/>
          <w:spacing w:val="-2"/>
          <w:sz w:val="28"/>
          <w:szCs w:val="28"/>
          <w:lang w:val="vi-VN"/>
        </w:rPr>
        <w:t xml:space="preserve">xác định </w:t>
      </w:r>
      <w:r w:rsidR="00F2204F" w:rsidRPr="00135DFE">
        <w:rPr>
          <w:color w:val="000000" w:themeColor="text1"/>
          <w:spacing w:val="-2"/>
          <w:sz w:val="28"/>
          <w:szCs w:val="28"/>
          <w:lang w:val="vi-VN"/>
        </w:rPr>
        <w:t>lãi vay</w:t>
      </w:r>
      <w:r w:rsidR="00090AD2" w:rsidRPr="00135DFE">
        <w:rPr>
          <w:color w:val="000000" w:themeColor="text1"/>
          <w:spacing w:val="-2"/>
          <w:sz w:val="28"/>
          <w:szCs w:val="28"/>
          <w:lang w:val="vi-VN"/>
        </w:rPr>
        <w:t>, lợi nhuận trên vốn chủ sở hữu</w:t>
      </w:r>
      <w:r w:rsidR="00F2204F" w:rsidRPr="00135DFE">
        <w:rPr>
          <w:color w:val="000000" w:themeColor="text1"/>
          <w:spacing w:val="-2"/>
          <w:sz w:val="28"/>
          <w:szCs w:val="28"/>
          <w:lang w:val="vi-VN"/>
        </w:rPr>
        <w:t xml:space="preserve"> của các dự án PPP; các chỉ tiêu </w:t>
      </w:r>
      <w:r w:rsidR="00610B68" w:rsidRPr="00135DFE">
        <w:rPr>
          <w:color w:val="000000" w:themeColor="text1"/>
          <w:spacing w:val="-2"/>
          <w:sz w:val="28"/>
          <w:szCs w:val="28"/>
          <w:lang w:val="vi-VN"/>
        </w:rPr>
        <w:t xml:space="preserve">phân tích, </w:t>
      </w:r>
      <w:r w:rsidR="00F2204F" w:rsidRPr="00135DFE">
        <w:rPr>
          <w:color w:val="000000" w:themeColor="text1"/>
          <w:spacing w:val="-2"/>
          <w:sz w:val="28"/>
          <w:szCs w:val="28"/>
          <w:lang w:val="vi-VN"/>
        </w:rPr>
        <w:t>đánh giá hiệu quả tài chính của dự án PPP</w:t>
      </w:r>
      <w:r w:rsidR="00610B68" w:rsidRPr="00135DFE">
        <w:rPr>
          <w:color w:val="000000" w:themeColor="text1"/>
          <w:spacing w:val="-2"/>
          <w:sz w:val="28"/>
          <w:szCs w:val="28"/>
          <w:lang w:val="vi-VN"/>
        </w:rPr>
        <w:t>;</w:t>
      </w:r>
      <w:r w:rsidR="00F2204F" w:rsidRPr="00135DFE">
        <w:rPr>
          <w:color w:val="000000" w:themeColor="text1"/>
          <w:spacing w:val="-2"/>
          <w:sz w:val="28"/>
          <w:szCs w:val="28"/>
          <w:lang w:val="vi-VN"/>
        </w:rPr>
        <w:t xml:space="preserve"> </w:t>
      </w:r>
    </w:p>
    <w:p w:rsidR="00C01FD1" w:rsidRPr="00C01FD1"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135DFE">
        <w:rPr>
          <w:color w:val="000000" w:themeColor="text1"/>
          <w:spacing w:val="-2"/>
          <w:sz w:val="28"/>
          <w:szCs w:val="28"/>
          <w:lang w:val="vi-VN"/>
        </w:rPr>
        <w:t>- Quy định căn cứ xác định vốn chủ sở hữu của nhà đầu tư phải đảm bảo  khi tham gia thực hiện</w:t>
      </w:r>
      <w:r w:rsidRPr="00C01FD1">
        <w:rPr>
          <w:color w:val="000000" w:themeColor="text1"/>
          <w:sz w:val="28"/>
          <w:szCs w:val="28"/>
          <w:lang w:val="vi-VN"/>
        </w:rPr>
        <w:t xml:space="preserve"> dự án PPP là báo cáo tài chính của nhà đầu tư năm gần nhất</w:t>
      </w:r>
      <w:r w:rsidR="00610B68">
        <w:rPr>
          <w:color w:val="000000" w:themeColor="text1"/>
          <w:sz w:val="28"/>
          <w:szCs w:val="28"/>
          <w:lang w:val="vi-VN"/>
        </w:rPr>
        <w:t>, báo cáo tài chính từ thời điểm thành lập đến thời điểm tham gia dự ná hoặc báo cáo tài chính giữa niên độ</w:t>
      </w:r>
      <w:r w:rsidRPr="00C01FD1">
        <w:rPr>
          <w:color w:val="000000" w:themeColor="text1"/>
          <w:sz w:val="28"/>
          <w:szCs w:val="28"/>
          <w:lang w:val="vi-VN"/>
        </w:rPr>
        <w:t xml:space="preserve"> đã được đơn vị kiểm toán độc lập kiểm toán</w:t>
      </w:r>
      <w:r w:rsidR="00610B68">
        <w:rPr>
          <w:color w:val="000000" w:themeColor="text1"/>
          <w:sz w:val="28"/>
          <w:szCs w:val="28"/>
          <w:lang w:val="vi-VN"/>
        </w:rPr>
        <w:t xml:space="preserve"> và các tài liệu chứng minh. </w:t>
      </w:r>
    </w:p>
    <w:p w:rsidR="00C01FD1" w:rsidRPr="00C01FD1"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C01FD1">
        <w:rPr>
          <w:color w:val="000000" w:themeColor="text1"/>
          <w:sz w:val="28"/>
          <w:szCs w:val="28"/>
          <w:lang w:val="vi-VN"/>
        </w:rPr>
        <w:t>- Quy định việc huy động vốn của doanh nghiệp dự án thông qua hoạt động vay, phát hành trái phiếu doanh nghiệp tính đến thời điểm đàm phán hợp đồng để đảm bảo khả năng tài chính thực hiện dự án của chủ đầu tư.</w:t>
      </w:r>
    </w:p>
    <w:p w:rsidR="00C01FD1"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sidRPr="00C01FD1">
        <w:rPr>
          <w:color w:val="000000" w:themeColor="text1"/>
          <w:sz w:val="28"/>
          <w:szCs w:val="28"/>
          <w:lang w:val="vi-VN"/>
        </w:rPr>
        <w:tab/>
      </w:r>
      <w:r w:rsidR="00AF54B8" w:rsidRPr="00AD7CC2">
        <w:rPr>
          <w:b/>
          <w:bCs/>
          <w:i/>
          <w:iCs/>
          <w:color w:val="000000" w:themeColor="text1"/>
          <w:sz w:val="28"/>
          <w:szCs w:val="28"/>
          <w:lang w:val="vi-VN"/>
        </w:rPr>
        <w:t xml:space="preserve">2.2. </w:t>
      </w:r>
      <w:r w:rsidRPr="00AD7CC2">
        <w:rPr>
          <w:b/>
          <w:bCs/>
          <w:i/>
          <w:iCs/>
          <w:color w:val="000000" w:themeColor="text1"/>
          <w:sz w:val="28"/>
          <w:szCs w:val="28"/>
          <w:lang w:val="vi-VN"/>
        </w:rPr>
        <w:t xml:space="preserve">Về quản lý, sử dụng thanh toán vốn nhà nước trong dự án PPP (Chương III </w:t>
      </w:r>
      <w:r w:rsidR="00955F9A" w:rsidRPr="00AD7CC2">
        <w:rPr>
          <w:b/>
          <w:bCs/>
          <w:i/>
          <w:iCs/>
          <w:color w:val="000000" w:themeColor="text1"/>
          <w:sz w:val="28"/>
          <w:szCs w:val="28"/>
          <w:lang w:val="vi-VN"/>
        </w:rPr>
        <w:t>d</w:t>
      </w:r>
      <w:r w:rsidRPr="00AD7CC2">
        <w:rPr>
          <w:b/>
          <w:bCs/>
          <w:i/>
          <w:iCs/>
          <w:color w:val="000000" w:themeColor="text1"/>
          <w:sz w:val="28"/>
          <w:szCs w:val="28"/>
          <w:lang w:val="vi-VN"/>
        </w:rPr>
        <w:t>ự thảo Nghị định)</w:t>
      </w:r>
    </w:p>
    <w:p w:rsidR="007E584F" w:rsidRPr="007E584F" w:rsidRDefault="007E584F"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Pr>
          <w:b/>
          <w:bCs/>
          <w:i/>
          <w:iCs/>
          <w:color w:val="000000" w:themeColor="text1"/>
          <w:sz w:val="28"/>
          <w:szCs w:val="28"/>
          <w:lang w:val="vi-VN"/>
        </w:rPr>
        <w:t xml:space="preserve">a) </w:t>
      </w:r>
      <w:r w:rsidRPr="007E584F">
        <w:rPr>
          <w:b/>
          <w:bCs/>
          <w:i/>
          <w:iCs/>
          <w:color w:val="000000" w:themeColor="text1"/>
          <w:sz w:val="28"/>
          <w:szCs w:val="28"/>
          <w:lang w:val="vi-VN"/>
        </w:rPr>
        <w:t>Quy định của pháp luật về PPP</w:t>
      </w:r>
    </w:p>
    <w:p w:rsidR="00E24638" w:rsidRDefault="007E584F"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 </w:t>
      </w:r>
      <w:r w:rsidR="002C3DD8" w:rsidRPr="002C3DD8">
        <w:rPr>
          <w:color w:val="000000" w:themeColor="text1"/>
          <w:sz w:val="28"/>
          <w:szCs w:val="28"/>
          <w:lang w:val="vi-VN"/>
        </w:rPr>
        <w:t>Điều 69 Luật PPP (được sửa đổi, bổ sung tại khoản 16 Điều 3 Luật số 57/2024/QH15)</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1. Vốn nhà nước được sử dụng cho các mục đích sau đây:</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a) Hỗ trợ xây dựng công trình, hệ thống cơ sở hạ tầng thuộc dự án PPP;</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 xml:space="preserve">b) </w:t>
      </w:r>
      <w:r w:rsidR="00E24638" w:rsidRPr="00E24638">
        <w:rPr>
          <w:i/>
          <w:iCs/>
          <w:color w:val="000000" w:themeColor="text1"/>
          <w:sz w:val="28"/>
          <w:szCs w:val="28"/>
          <w:lang w:val="vi-VN"/>
        </w:rPr>
        <w:t xml:space="preserve">Thanh toán cho doanh nghiệp dự án PPP cung cấp sản phẩm, dịch vụ </w:t>
      </w:r>
      <w:r w:rsidR="00E24638" w:rsidRPr="00E24638">
        <w:rPr>
          <w:i/>
          <w:iCs/>
          <w:color w:val="000000" w:themeColor="text1"/>
          <w:sz w:val="28"/>
          <w:szCs w:val="28"/>
          <w:lang w:val="vi-VN"/>
        </w:rPr>
        <w:lastRenderedPageBreak/>
        <w:t>công theo hợp đồng BTL, hợp đồng BLT; thanh toán cho nhà đầu tư, doanh nghiệp dự án PPP theo hợp đồng BT thanh toán bằng ngân sách nhà nước</w:t>
      </w:r>
    </w:p>
    <w:p w:rsidR="00E2463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c) Chi trả kinh phí bồi thường, giải phóng mặt bằng, hỗ trợ, tái định cư; hỗ trợ xây dựng công hình tạm;</w:t>
      </w:r>
    </w:p>
    <w:p w:rsidR="00E2463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 xml:space="preserve">d) </w:t>
      </w:r>
      <w:r w:rsidR="00E24638" w:rsidRPr="00E24638">
        <w:rPr>
          <w:i/>
          <w:iCs/>
          <w:color w:val="000000" w:themeColor="text1"/>
          <w:sz w:val="28"/>
          <w:szCs w:val="28"/>
          <w:lang w:val="vi-VN"/>
        </w:rPr>
        <w:t>Chi trả phần giảm doanh thu; chi phí bồi thường, chấm dứt hợp đồng trước thời hạn</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đ) Chi phí của cơ quan có thẩm quyền, cơ quan ký kết hợp đồng, đơn vị chuẩn bị dự án PPP, bên mời thầu để thực hiện các hoạt động thuộc nhiệm vụ của mình quy định tại Điều 11 của Luật này;</w:t>
      </w:r>
    </w:p>
    <w:p w:rsidR="00E24638" w:rsidRPr="00D519E4"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Fonts w:ascii="Arial" w:hAnsi="Arial" w:cs="Arial"/>
          <w:color w:val="000000"/>
          <w:sz w:val="18"/>
          <w:szCs w:val="18"/>
          <w:lang w:val="vi-VN"/>
        </w:rPr>
      </w:pPr>
      <w:r w:rsidRPr="00E24638">
        <w:rPr>
          <w:i/>
          <w:iCs/>
          <w:color w:val="000000" w:themeColor="text1"/>
          <w:sz w:val="28"/>
          <w:szCs w:val="28"/>
          <w:lang w:val="vi-VN"/>
        </w:rPr>
        <w:t>e) Chi phí của Hội đồng thẩm định dự án PPP, đơn vị được giao nhiệm vụ thẩm định dự án PPP.</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2. Tỷ lệ vốn nhà nước tham gia dự án PPP theo quy định tại điểm a và điểm c khoản 1 Điều này không quá 50% sơ bộ tổng mức đầu tư, tổng mức đầu tư của dự án, trừ trường hợp quy định tại khoản 2a Điều này.</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2a. Tỷ lệ vốn nhà nước tham gia dự án PPP cao hơn mức quy định tại khoản 2 Điều này nhưng không quá 70% sơ bộ tổng mức đầu tư, tổng mức đầu tư của dự án trong trường hợp dự án PPP đáp ứng một, một số hoặc các điều kiện sau đây:</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a) Dự án có chi phí quy định tại điểm c khoản 1 Điều này vượt quá 50% sơ bộ tổng mức đầu tư, tổng mức đầu tư; </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b) Dự án thực hiện trên địa bàn có điều kiện kinh tế - xã hội khó khăn, địa bàn có điều kiện kinh tế - xã hội đặc biệt khó khăn và cần sử dụng vốn nhà nước cao hơn mức quy định tại khoản 2 Điều này để bảo đảm tính khả thi về tài chính của dự án; </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c) Dự án có yêu cầu tiếp nhận chuyển giao công nghệ cao, công nghệ mới, tiên tiến từ nhà đầu tư tư nhân và cần sử dụng vốn nhà nước cao hơn mức quy định tại khoản 2 Điều này để bảo đảm tính khả thi về tài chính của dự án.</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2b. Trường hợp dự án đáp ứng một, một số hoặc các điều kiện quy định tại khoản 2a Điều này, cấp có thẩm quyền quyết định chủ trương đầu tư quyết định việc áp dụng tỷ lệ vốn nhà nước tham gia dự án PPP theo quy định như sau:</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a) Đối với dự án PPP không phân chia dự án thành phần, tỷ lệ vốn nhà nước được áp dụng không quá 70% sơ bộ tổng mức đầu tư, tổng mức đầu tư của dự án;</w:t>
      </w:r>
    </w:p>
    <w:p w:rsidR="002C3DD8" w:rsidRPr="00E24638"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E24638">
        <w:rPr>
          <w:i/>
          <w:iCs/>
          <w:color w:val="000000" w:themeColor="text1"/>
          <w:sz w:val="28"/>
          <w:szCs w:val="28"/>
          <w:lang w:val="vi-VN"/>
        </w:rPr>
        <w:t>b) Đối với dự án PPP gồm các dự án PPP thành phần, tỷ lệ vốn nhà nước không quá 70% sơ bộ tổng mức đầu tư, tổng mức đầu tư của từng dự án thành phần;</w:t>
      </w:r>
    </w:p>
    <w:p w:rsidR="002C3DD8" w:rsidRPr="00135DFE" w:rsidRDefault="002C3DD8"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pacing w:val="-2"/>
          <w:sz w:val="28"/>
          <w:szCs w:val="28"/>
          <w:lang w:val="vi-VN"/>
        </w:rPr>
      </w:pPr>
      <w:r w:rsidRPr="00135DFE">
        <w:rPr>
          <w:i/>
          <w:iCs/>
          <w:color w:val="000000" w:themeColor="text1"/>
          <w:spacing w:val="-2"/>
          <w:sz w:val="28"/>
          <w:szCs w:val="28"/>
          <w:lang w:val="vi-VN"/>
        </w:rPr>
        <w:lastRenderedPageBreak/>
        <w:t>c) Đối với dự án được tách thành các dự án thành phần gồm dự án đầu tư công và dự án PPP, tỷ lệ vốn nhà nước không quá 70% sơ bộ tổng mức đầu tư, tổng mức đầu tư của dự án PPP. Trường hợp việc bồi thường, giải phóng mặt bằng, hỗ trợ, tái định cư, hỗ trợ xây dựng công trình tạm được tách thành một dự án thành phần độc lập sử dụng vốn đầu tư công, dự án thành phần PPP được áp dụng tỷ lệ vốn nhà nước không quá 70% sơ bộ tổng mức đầu tư, tổng mức đầu tư khi đáp ứng điều kiện quy định tại đ</w:t>
      </w:r>
      <w:r w:rsidR="00135DFE" w:rsidRPr="00135DFE">
        <w:rPr>
          <w:i/>
          <w:iCs/>
          <w:color w:val="000000" w:themeColor="text1"/>
          <w:spacing w:val="-2"/>
          <w:sz w:val="28"/>
          <w:szCs w:val="28"/>
          <w:lang w:val="vi-VN"/>
        </w:rPr>
        <w:t>iểm b, điểm c khoản 2a Điều này</w:t>
      </w:r>
      <w:r w:rsidRPr="00135DFE">
        <w:rPr>
          <w:i/>
          <w:iCs/>
          <w:color w:val="000000" w:themeColor="text1"/>
          <w:spacing w:val="-2"/>
          <w:sz w:val="28"/>
          <w:szCs w:val="28"/>
          <w:lang w:val="vi-VN"/>
        </w:rPr>
        <w:t>”.</w:t>
      </w:r>
    </w:p>
    <w:p w:rsidR="007E584F" w:rsidRDefault="007E584F" w:rsidP="007E58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 </w:t>
      </w:r>
      <w:r w:rsidR="00E24638">
        <w:rPr>
          <w:color w:val="000000" w:themeColor="text1"/>
          <w:sz w:val="28"/>
          <w:szCs w:val="28"/>
          <w:lang w:val="vi-VN"/>
        </w:rPr>
        <w:t xml:space="preserve">Điều 73 Luật PPP (được sửa đổi, bổ sung tại khoản 18 Điều 3 Luật số 57/2024/QH15) quy định: </w:t>
      </w:r>
    </w:p>
    <w:p w:rsidR="007E584F" w:rsidRPr="007E584F" w:rsidRDefault="007E584F" w:rsidP="007E58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7E584F">
        <w:rPr>
          <w:color w:val="000000" w:themeColor="text1"/>
          <w:sz w:val="28"/>
          <w:szCs w:val="28"/>
          <w:lang w:val="vi-VN"/>
        </w:rPr>
        <w:t>Điều 73. Chi phí của cơ quan có thẩm quyền, cơ quan ký kết hợp đồng, đơn vị chuẩn bị dự án PPP, bên mời thầu, Hội đồng thẩm định dự án PPP, đơn vị được giao nhiệm vụ thẩm định dự án PPP</w:t>
      </w:r>
    </w:p>
    <w:p w:rsidR="00AD7CC2" w:rsidRDefault="00AD7CC2" w:rsidP="00E2463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7E584F">
        <w:rPr>
          <w:i/>
          <w:iCs/>
          <w:color w:val="000000" w:themeColor="text1"/>
          <w:sz w:val="28"/>
          <w:szCs w:val="28"/>
          <w:lang w:val="vi-VN"/>
        </w:rPr>
        <w:t>“1. Chi phí chuẩn bị dự án của cơ quan có thẩm quyền, đơn vị chuẩn bị dự án PPP; chi phí tổ chức thẩm định của Hội đồng thẩm định dự án PPP và đơn vị được giao nhiệm vụ thẩm định dự án PPP; chi phí tổ chức lựa chọn nhà đầu tư, ký kết hợp đồng của cơ quan có thẩm quyền, bên mời thầu được bố trí từ nguồn vốn đầu tư công, chi thường xuyên, nguồn vốn hợp pháp khác và tính vào tổng mức đầu tư của dự án</w:t>
      </w:r>
      <w:r w:rsidR="007E584F">
        <w:rPr>
          <w:i/>
          <w:iCs/>
          <w:color w:val="000000" w:themeColor="text1"/>
          <w:sz w:val="28"/>
          <w:szCs w:val="28"/>
          <w:lang w:val="vi-VN"/>
        </w:rPr>
        <w:t>.</w:t>
      </w:r>
    </w:p>
    <w:p w:rsidR="007E584F" w:rsidRPr="007E584F" w:rsidRDefault="007E584F" w:rsidP="007E58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7E584F">
        <w:rPr>
          <w:i/>
          <w:iCs/>
          <w:color w:val="000000" w:themeColor="text1"/>
          <w:sz w:val="28"/>
          <w:szCs w:val="28"/>
          <w:lang w:val="vi-VN"/>
        </w:rPr>
        <w:t>2. Nhà đầu tư được lựa chọn chịu trách nhiệm hoàn trả các chi phí quy định tại khoản 1 Điều này về ngân sách nhà nước theo quy định của pháp luật về ngân sách nhà nước hoặc về nguồn vốn hợp pháp đã được sử dụng để chuẩn bị dự án.</w:t>
      </w:r>
    </w:p>
    <w:p w:rsidR="00AD7CC2" w:rsidRPr="007E584F" w:rsidRDefault="00AD7CC2" w:rsidP="007E58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7E584F">
        <w:rPr>
          <w:i/>
          <w:iCs/>
          <w:color w:val="000000" w:themeColor="text1"/>
          <w:sz w:val="28"/>
          <w:szCs w:val="28"/>
          <w:lang w:val="vi-VN"/>
        </w:rPr>
        <w:t>3. Chi phí triển khai thực hiện dự án sau khi ký kết hợp đồng của cơ quan có thẩm quyền, cơ quan ký kết hợp đồng được bố trí từ nguồn vốn chi thường xuyên của các cơ quan này và nguồn vốn hợp pháp khác.”.</w:t>
      </w:r>
    </w:p>
    <w:p w:rsidR="00AD7CC2" w:rsidRPr="00AD7CC2" w:rsidRDefault="007E584F"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Pr>
          <w:b/>
          <w:bCs/>
          <w:i/>
          <w:iCs/>
          <w:color w:val="000000" w:themeColor="text1"/>
          <w:sz w:val="28"/>
          <w:szCs w:val="28"/>
          <w:lang w:val="vi-VN"/>
        </w:rPr>
        <w:t>b) Đề xuất hướng dẫn của Bộ Tài chính</w:t>
      </w:r>
    </w:p>
    <w:p w:rsidR="00644B98" w:rsidRDefault="00644B98"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(1)</w:t>
      </w:r>
      <w:r w:rsidR="00C01FD1" w:rsidRPr="00C01FD1">
        <w:rPr>
          <w:color w:val="000000" w:themeColor="text1"/>
          <w:sz w:val="28"/>
          <w:szCs w:val="28"/>
          <w:lang w:val="vi-VN"/>
        </w:rPr>
        <w:t xml:space="preserve"> </w:t>
      </w:r>
      <w:r>
        <w:rPr>
          <w:color w:val="000000" w:themeColor="text1"/>
          <w:sz w:val="28"/>
          <w:szCs w:val="28"/>
          <w:lang w:val="vi-VN"/>
        </w:rPr>
        <w:t>Về quản lý, sử dụng đối với chi phí chuẩn bị đầu tư</w:t>
      </w:r>
    </w:p>
    <w:p w:rsidR="00AF54B8" w:rsidRPr="00135DFE" w:rsidRDefault="00644B98"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pacing w:val="-2"/>
          <w:sz w:val="28"/>
          <w:szCs w:val="28"/>
          <w:lang w:val="vi-VN"/>
        </w:rPr>
      </w:pPr>
      <w:r w:rsidRPr="00135DFE">
        <w:rPr>
          <w:color w:val="000000" w:themeColor="text1"/>
          <w:spacing w:val="-2"/>
          <w:sz w:val="28"/>
          <w:szCs w:val="28"/>
          <w:lang w:val="vi-VN"/>
        </w:rPr>
        <w:t xml:space="preserve">- </w:t>
      </w:r>
      <w:r w:rsidR="002A713B" w:rsidRPr="00135DFE">
        <w:rPr>
          <w:color w:val="000000" w:themeColor="text1"/>
          <w:spacing w:val="-2"/>
          <w:sz w:val="28"/>
          <w:szCs w:val="28"/>
          <w:lang w:val="vi-VN"/>
        </w:rPr>
        <w:t>Nguồn kinh phí cho công tác chuẩn bị đầu tư thực hiện theo quy định tại khoản 1 Luật PPP (được sửa đổi, bổ sung tại khoản 18 Điều 3 Luật số 57/2024/QH15); lập, thẩm định, phê duyệt chi phí chuẩn bị đầu tư đối với dự án có cấu phần xây dựng và dự án không có cấu phần xây dựng (tương tự như dự án đầu tư công);</w:t>
      </w:r>
      <w:r w:rsidR="00E05096" w:rsidRPr="00135DFE">
        <w:rPr>
          <w:color w:val="000000" w:themeColor="text1"/>
          <w:spacing w:val="-2"/>
          <w:sz w:val="28"/>
          <w:szCs w:val="28"/>
          <w:lang w:val="vi-VN"/>
        </w:rPr>
        <w:t xml:space="preserve"> quyết toán chi phí chuẩn bị dự án</w:t>
      </w:r>
      <w:r w:rsidR="00E461CB" w:rsidRPr="00135DFE">
        <w:rPr>
          <w:color w:val="000000" w:themeColor="text1"/>
          <w:spacing w:val="-2"/>
          <w:sz w:val="28"/>
          <w:szCs w:val="28"/>
          <w:lang w:val="vi-VN"/>
        </w:rPr>
        <w:t xml:space="preserve"> (Điều 8 dự thảo Nghị định).</w:t>
      </w:r>
    </w:p>
    <w:p w:rsidR="002A713B" w:rsidRDefault="002A713B"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Lập, thẩm định, giao dự toán</w:t>
      </w:r>
      <w:r w:rsidR="00E05096">
        <w:rPr>
          <w:color w:val="000000" w:themeColor="text1"/>
          <w:sz w:val="28"/>
          <w:szCs w:val="28"/>
          <w:lang w:val="vi-VN"/>
        </w:rPr>
        <w:t xml:space="preserve">, quyết toán </w:t>
      </w:r>
      <w:r>
        <w:rPr>
          <w:color w:val="000000" w:themeColor="text1"/>
          <w:sz w:val="28"/>
          <w:szCs w:val="28"/>
          <w:lang w:val="vi-VN"/>
        </w:rPr>
        <w:t xml:space="preserve">nguồn chi thường xuyên để thanh toán chi phí triển khai thực hiện dự án sau khi </w:t>
      </w:r>
      <w:r w:rsidR="00E05096">
        <w:rPr>
          <w:color w:val="000000" w:themeColor="text1"/>
          <w:sz w:val="28"/>
          <w:szCs w:val="28"/>
          <w:lang w:val="vi-VN"/>
        </w:rPr>
        <w:t xml:space="preserve">hợp đồng </w:t>
      </w:r>
      <w:r>
        <w:rPr>
          <w:color w:val="000000" w:themeColor="text1"/>
          <w:sz w:val="28"/>
          <w:szCs w:val="28"/>
          <w:lang w:val="vi-VN"/>
        </w:rPr>
        <w:t>ký kết</w:t>
      </w:r>
      <w:r w:rsidR="00E05096">
        <w:rPr>
          <w:color w:val="000000" w:themeColor="text1"/>
          <w:sz w:val="28"/>
          <w:szCs w:val="28"/>
          <w:lang w:val="vi-VN"/>
        </w:rPr>
        <w:t xml:space="preserve"> của cơ quan có thẩm quyền, cơ quan ký kết hợp đồng; quản lý, thanh toán, quyết toán nguồn vốn khác cho chi phí triển khai d</w:t>
      </w:r>
      <w:r w:rsidR="00E461CB">
        <w:rPr>
          <w:color w:val="000000" w:themeColor="text1"/>
          <w:sz w:val="28"/>
          <w:szCs w:val="28"/>
          <w:lang w:val="vi-VN"/>
        </w:rPr>
        <w:t>ự</w:t>
      </w:r>
      <w:r w:rsidR="00E05096">
        <w:rPr>
          <w:color w:val="000000" w:themeColor="text1"/>
          <w:sz w:val="28"/>
          <w:szCs w:val="28"/>
          <w:lang w:val="vi-VN"/>
        </w:rPr>
        <w:t xml:space="preserve"> án sau khi ký kết hợp đồng PPP của cơ quan có thẩm quyền, cơ quan ký kết hợp đồng</w:t>
      </w:r>
      <w:r w:rsidR="00E461CB">
        <w:rPr>
          <w:color w:val="000000" w:themeColor="text1"/>
          <w:sz w:val="28"/>
          <w:szCs w:val="28"/>
          <w:lang w:val="vi-VN"/>
        </w:rPr>
        <w:t xml:space="preserve"> (Điều 9 đến Điều 12 dự thảo Nghị định)</w:t>
      </w:r>
      <w:r w:rsidR="00E05096">
        <w:rPr>
          <w:color w:val="000000" w:themeColor="text1"/>
          <w:sz w:val="28"/>
          <w:szCs w:val="28"/>
          <w:lang w:val="vi-VN"/>
        </w:rPr>
        <w:t xml:space="preserve">. </w:t>
      </w:r>
    </w:p>
    <w:p w:rsidR="00C01FD1" w:rsidRPr="00C01FD1" w:rsidRDefault="00644B98" w:rsidP="00E0509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(2) </w:t>
      </w:r>
      <w:r w:rsidR="00C01FD1" w:rsidRPr="00C01FD1">
        <w:rPr>
          <w:color w:val="000000" w:themeColor="text1"/>
          <w:sz w:val="28"/>
          <w:szCs w:val="28"/>
          <w:lang w:val="vi-VN"/>
        </w:rPr>
        <w:t>Nguyên tắc quản lý, sử dụng vốn nhà nước hỗ trợ cho dự án PPP</w:t>
      </w:r>
      <w:r w:rsidR="00D6521B">
        <w:rPr>
          <w:color w:val="000000" w:themeColor="text1"/>
          <w:sz w:val="28"/>
          <w:szCs w:val="28"/>
          <w:lang w:val="vi-VN"/>
        </w:rPr>
        <w:t xml:space="preserve"> (Điều </w:t>
      </w:r>
      <w:r w:rsidR="00D6521B">
        <w:rPr>
          <w:color w:val="000000" w:themeColor="text1"/>
          <w:sz w:val="28"/>
          <w:szCs w:val="28"/>
          <w:lang w:val="vi-VN"/>
        </w:rPr>
        <w:lastRenderedPageBreak/>
        <w:t>13 dự thảo Nghị định)</w:t>
      </w:r>
      <w:r w:rsidR="00EB2C7F">
        <w:rPr>
          <w:color w:val="000000" w:themeColor="text1"/>
          <w:sz w:val="28"/>
          <w:szCs w:val="28"/>
          <w:lang w:val="vi-VN"/>
        </w:rPr>
        <w:t>:</w:t>
      </w:r>
      <w:r w:rsidR="00C01FD1" w:rsidRPr="00C01FD1">
        <w:rPr>
          <w:color w:val="000000" w:themeColor="text1"/>
          <w:sz w:val="28"/>
          <w:szCs w:val="28"/>
          <w:lang w:val="vi-VN"/>
        </w:rPr>
        <w:t xml:space="preserve"> </w:t>
      </w:r>
    </w:p>
    <w:p w:rsidR="00C01FD1" w:rsidRPr="00C01FD1" w:rsidRDefault="00644B98"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01FD1" w:rsidRPr="00C01FD1">
        <w:rPr>
          <w:color w:val="000000" w:themeColor="text1"/>
          <w:sz w:val="28"/>
          <w:szCs w:val="28"/>
          <w:lang w:val="vi-VN"/>
        </w:rPr>
        <w:t xml:space="preserve"> Tỷ lệ vốn nhà nước tham gia dự án</w:t>
      </w:r>
      <w:r w:rsidR="00E05096">
        <w:rPr>
          <w:color w:val="000000" w:themeColor="text1"/>
          <w:sz w:val="28"/>
          <w:szCs w:val="28"/>
          <w:lang w:val="vi-VN"/>
        </w:rPr>
        <w:t xml:space="preserve"> thực hiện theo </w:t>
      </w:r>
      <w:r w:rsidR="00CD049E">
        <w:rPr>
          <w:color w:val="000000" w:themeColor="text1"/>
          <w:sz w:val="28"/>
          <w:szCs w:val="28"/>
          <w:lang w:val="vi-VN"/>
        </w:rPr>
        <w:t>quy định tại điểm c khoản 16 Điều 3 Luật số 57/2024/QH14</w:t>
      </w:r>
      <w:r w:rsidR="00C01FD1" w:rsidRPr="00C01FD1">
        <w:rPr>
          <w:color w:val="000000" w:themeColor="text1"/>
          <w:sz w:val="28"/>
          <w:szCs w:val="28"/>
          <w:lang w:val="vi-VN"/>
        </w:rPr>
        <w:t xml:space="preserve">; hợp đồng dự án </w:t>
      </w:r>
      <w:r w:rsidR="00CD049E">
        <w:rPr>
          <w:color w:val="000000" w:themeColor="text1"/>
          <w:sz w:val="28"/>
          <w:szCs w:val="28"/>
          <w:lang w:val="vi-VN"/>
        </w:rPr>
        <w:t xml:space="preserve">PPP </w:t>
      </w:r>
      <w:r w:rsidR="00C01FD1" w:rsidRPr="00C01FD1">
        <w:rPr>
          <w:color w:val="000000" w:themeColor="text1"/>
          <w:sz w:val="28"/>
          <w:szCs w:val="28"/>
          <w:lang w:val="vi-VN"/>
        </w:rPr>
        <w:t>phải quy định cụ thể tỷ lệ, giá trị, tiến độ, điều kiện thanh toán.</w:t>
      </w:r>
    </w:p>
    <w:p w:rsidR="00621A86" w:rsidRDefault="00644B98" w:rsidP="00621A8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01FD1" w:rsidRPr="00C01FD1">
        <w:rPr>
          <w:color w:val="000000" w:themeColor="text1"/>
          <w:sz w:val="28"/>
          <w:szCs w:val="28"/>
          <w:lang w:val="vi-VN"/>
        </w:rPr>
        <w:t xml:space="preserve"> </w:t>
      </w:r>
      <w:r w:rsidR="00CD049E">
        <w:rPr>
          <w:color w:val="000000" w:themeColor="text1"/>
          <w:sz w:val="28"/>
          <w:szCs w:val="28"/>
          <w:lang w:val="vi-VN"/>
        </w:rPr>
        <w:t>Phần vốn Nhà nước hỗ trợ chi phí xây dựng</w:t>
      </w:r>
      <w:r w:rsidR="00621A86">
        <w:rPr>
          <w:color w:val="000000" w:themeColor="text1"/>
          <w:sz w:val="28"/>
          <w:szCs w:val="28"/>
          <w:lang w:val="vi-VN"/>
        </w:rPr>
        <w:t xml:space="preserve"> công trình, hệ thống cơ sở hạ tầng; chi trả kinh phí bồi thường, giải phóng mặt bằng, hỗ trợ</w:t>
      </w:r>
      <w:r w:rsidR="00CD049E">
        <w:rPr>
          <w:color w:val="000000" w:themeColor="text1"/>
          <w:sz w:val="28"/>
          <w:szCs w:val="28"/>
          <w:lang w:val="vi-VN"/>
        </w:rPr>
        <w:t xml:space="preserve">, </w:t>
      </w:r>
      <w:r w:rsidR="00621A86">
        <w:rPr>
          <w:color w:val="000000" w:themeColor="text1"/>
          <w:sz w:val="28"/>
          <w:szCs w:val="28"/>
          <w:lang w:val="vi-VN"/>
        </w:rPr>
        <w:t>tái định cư, hỗ trợ xây dựng tạm (quy định tại điểm a, điểm c khoản 1 Điều 69 Luật PPP) không tính vào phương án thu hồi vốn và lợi nhuận của nhà đầu tư;</w:t>
      </w:r>
    </w:p>
    <w:p w:rsidR="00621A86" w:rsidRDefault="00644B98" w:rsidP="00621A8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621A86">
        <w:rPr>
          <w:color w:val="000000" w:themeColor="text1"/>
          <w:sz w:val="28"/>
          <w:szCs w:val="28"/>
          <w:lang w:val="vi-VN"/>
        </w:rPr>
        <w:t xml:space="preserve"> </w:t>
      </w:r>
      <w:r w:rsidR="00621A86" w:rsidRPr="00D519E4">
        <w:rPr>
          <w:color w:val="000000"/>
          <w:sz w:val="28"/>
          <w:szCs w:val="28"/>
          <w:lang w:val="vi-VN" w:eastAsia="vi-VN"/>
        </w:rPr>
        <w:t xml:space="preserve">Tiền thuế giá trị gia tăng được hoàn tương ứng phần vốn Nhà nước theo quy định tại điểm a, </w:t>
      </w:r>
      <w:r w:rsidR="00621A86" w:rsidRPr="00D519E4">
        <w:rPr>
          <w:color w:val="000000" w:themeColor="text1"/>
          <w:sz w:val="28"/>
          <w:szCs w:val="28"/>
          <w:lang w:val="vi-VN" w:eastAsia="vi-VN"/>
        </w:rPr>
        <w:t xml:space="preserve">điểm c </w:t>
      </w:r>
      <w:r w:rsidR="00621A86" w:rsidRPr="00D519E4">
        <w:rPr>
          <w:color w:val="000000"/>
          <w:sz w:val="28"/>
          <w:szCs w:val="28"/>
          <w:lang w:val="vi-VN" w:eastAsia="vi-VN"/>
        </w:rPr>
        <w:t>khoản 1 Điều 69 Luật PPP không tính vào phương án thu hồi vốn và lợi nhuận của nhà đầu tư và được nộp vào ngân sách nhà nước theo quy định của Bộ Tài chính.</w:t>
      </w:r>
    </w:p>
    <w:p w:rsidR="007E584F" w:rsidRDefault="00644B98" w:rsidP="007E58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D049E">
        <w:rPr>
          <w:color w:val="000000" w:themeColor="text1"/>
          <w:sz w:val="28"/>
          <w:szCs w:val="28"/>
          <w:lang w:val="vi-VN"/>
        </w:rPr>
        <w:t xml:space="preserve"> </w:t>
      </w:r>
      <w:r w:rsidR="00621A86">
        <w:rPr>
          <w:color w:val="000000" w:themeColor="text1"/>
          <w:sz w:val="28"/>
          <w:szCs w:val="28"/>
          <w:lang w:val="vi-VN"/>
        </w:rPr>
        <w:t>Về thanh toán cho các dự án thực hiện theo loại hợp đồng BTL, hợp đồng BLT:</w:t>
      </w:r>
    </w:p>
    <w:p w:rsidR="007E584F" w:rsidRDefault="00644B98" w:rsidP="007E58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rFonts w:eastAsiaTheme="majorEastAsia"/>
          <w:sz w:val="28"/>
          <w:szCs w:val="28"/>
          <w:lang w:val="vi-VN"/>
        </w:rPr>
        <w:t xml:space="preserve">+ </w:t>
      </w:r>
      <w:r w:rsidR="00EB2C7F" w:rsidRPr="00D519E4">
        <w:rPr>
          <w:rFonts w:eastAsiaTheme="majorEastAsia"/>
          <w:sz w:val="28"/>
          <w:szCs w:val="28"/>
          <w:lang w:val="vi-VN"/>
        </w:rPr>
        <w:t xml:space="preserve">Đối với các dự án do các cơ quan nhà nước, đơn vị sự nghiệp công lập do Nhà nước đảm bảo chi thường xuyên hoặc đảm bảo một phần chi </w:t>
      </w:r>
      <w:r w:rsidR="00EB2C7F" w:rsidRPr="00D519E4">
        <w:rPr>
          <w:rFonts w:eastAsiaTheme="majorEastAsia"/>
          <w:color w:val="000000" w:themeColor="text1"/>
          <w:sz w:val="28"/>
          <w:szCs w:val="28"/>
          <w:lang w:val="vi-VN"/>
        </w:rPr>
        <w:t>thường xuyên là cơ quan ký kết hợp đồng, vốn thanh toán cho doanh nghiệp dự án PPP gồm một hoặc các nguồn vốn sau:</w:t>
      </w:r>
      <w:r w:rsidR="00EB2C7F">
        <w:rPr>
          <w:rFonts w:eastAsiaTheme="majorEastAsia"/>
          <w:color w:val="000000" w:themeColor="text1"/>
          <w:sz w:val="28"/>
          <w:szCs w:val="28"/>
          <w:lang w:val="vi-VN"/>
        </w:rPr>
        <w:t xml:space="preserve"> </w:t>
      </w:r>
      <w:r w:rsidR="00EB2C7F" w:rsidRPr="00D519E4">
        <w:rPr>
          <w:rFonts w:eastAsiaTheme="majorEastAsia"/>
          <w:sz w:val="28"/>
          <w:szCs w:val="28"/>
          <w:lang w:val="vi-VN"/>
        </w:rPr>
        <w:t>Vốn đầu tư công nguồn ngân sách nhà nước được bố trí trong kế hoạch đầu tư công trung hạn và hằng năm</w:t>
      </w:r>
      <w:r w:rsidR="00EB2C7F">
        <w:rPr>
          <w:rFonts w:eastAsiaTheme="majorEastAsia"/>
          <w:sz w:val="28"/>
          <w:szCs w:val="28"/>
          <w:lang w:val="vi-VN"/>
        </w:rPr>
        <w:t xml:space="preserve">; </w:t>
      </w:r>
      <w:r w:rsidR="00EB2C7F" w:rsidRPr="00D519E4">
        <w:rPr>
          <w:rFonts w:eastAsiaTheme="majorEastAsia"/>
          <w:sz w:val="28"/>
          <w:szCs w:val="28"/>
          <w:lang w:val="vi-VN"/>
        </w:rPr>
        <w:t>Vốn chi thường xuyên từ ngân sách nhà nước được bố trí trong dự toán hằng năm và các khoản thu (nếu có) của dự án PPP.</w:t>
      </w:r>
    </w:p>
    <w:p w:rsidR="007E584F" w:rsidRDefault="00644B98" w:rsidP="007E58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rFonts w:eastAsiaTheme="majorEastAsia"/>
          <w:sz w:val="28"/>
          <w:szCs w:val="28"/>
          <w:lang w:val="vi-VN"/>
        </w:rPr>
        <w:t xml:space="preserve">+ </w:t>
      </w:r>
      <w:r w:rsidR="00EB2C7F" w:rsidRPr="00D519E4">
        <w:rPr>
          <w:rFonts w:eastAsiaTheme="majorEastAsia"/>
          <w:sz w:val="28"/>
          <w:szCs w:val="28"/>
          <w:lang w:val="vi-VN"/>
        </w:rPr>
        <w:t>Đối với các dự án do các đơn vị sự nghiệp công lập tự đảm bảo chi thường xuyên và chi đầu tư hoặc tự đảm bảo chi thường xuyên là cơ quan ký kết hợp đồng, vốn thanh toán cho doanh nghiệp dự án PPP bao gồm:</w:t>
      </w:r>
      <w:r w:rsidR="00EB2C7F">
        <w:rPr>
          <w:rFonts w:eastAsiaTheme="majorEastAsia"/>
          <w:sz w:val="28"/>
          <w:szCs w:val="28"/>
          <w:lang w:val="vi-VN"/>
        </w:rPr>
        <w:t xml:space="preserve"> </w:t>
      </w:r>
      <w:r w:rsidR="00EB2C7F" w:rsidRPr="00D519E4">
        <w:rPr>
          <w:rFonts w:eastAsiaTheme="majorEastAsia"/>
          <w:color w:val="000000" w:themeColor="text1"/>
          <w:sz w:val="28"/>
          <w:szCs w:val="28"/>
          <w:lang w:val="vi-VN"/>
        </w:rPr>
        <w:t xml:space="preserve">Quỹ Phát triển hoạt động sự nghiệp của đơn vị sự nghiệp, </w:t>
      </w:r>
      <w:r w:rsidR="00EB2C7F" w:rsidRPr="00D519E4">
        <w:rPr>
          <w:rFonts w:eastAsiaTheme="majorEastAsia"/>
          <w:sz w:val="28"/>
          <w:szCs w:val="28"/>
          <w:lang w:val="vi-VN"/>
        </w:rPr>
        <w:t>vốn đầu tư công được bố trí trong kế hoạch đầu tư công trung hạn, hằng năm</w:t>
      </w:r>
      <w:r w:rsidR="00EB2C7F" w:rsidRPr="00D519E4">
        <w:rPr>
          <w:rFonts w:eastAsiaTheme="majorEastAsia"/>
          <w:color w:val="000000" w:themeColor="text1"/>
          <w:sz w:val="28"/>
          <w:szCs w:val="28"/>
          <w:lang w:val="vi-VN"/>
        </w:rPr>
        <w:t>;</w:t>
      </w:r>
      <w:r w:rsidR="00EB2C7F" w:rsidRPr="00D519E4">
        <w:rPr>
          <w:rFonts w:eastAsiaTheme="majorEastAsia"/>
          <w:color w:val="FF0000"/>
          <w:sz w:val="28"/>
          <w:szCs w:val="28"/>
          <w:lang w:val="vi-VN"/>
        </w:rPr>
        <w:t xml:space="preserve"> </w:t>
      </w:r>
      <w:r w:rsidR="00EB2C7F" w:rsidRPr="00D519E4">
        <w:rPr>
          <w:rFonts w:eastAsiaTheme="majorEastAsia"/>
          <w:sz w:val="28"/>
          <w:szCs w:val="28"/>
          <w:lang w:val="vi-VN"/>
        </w:rPr>
        <w:t>Nguồn thu từ hoạt động sự nghiệp theo quy định của pháp luật (nếu có).</w:t>
      </w:r>
    </w:p>
    <w:p w:rsidR="00C01FD1" w:rsidRPr="00C01FD1" w:rsidRDefault="00644B98" w:rsidP="007E58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(3)</w:t>
      </w:r>
      <w:r w:rsidR="00C01FD1" w:rsidRPr="00C01FD1">
        <w:rPr>
          <w:color w:val="000000" w:themeColor="text1"/>
          <w:sz w:val="28"/>
          <w:szCs w:val="28"/>
          <w:lang w:val="vi-VN"/>
        </w:rPr>
        <w:t xml:space="preserve"> Nguyên tắc kiểm soát thanh toán vốn nhà nước gồm các nội </w:t>
      </w:r>
      <w:r w:rsidR="00D6521B">
        <w:rPr>
          <w:color w:val="000000" w:themeColor="text1"/>
          <w:sz w:val="28"/>
          <w:szCs w:val="28"/>
          <w:lang w:val="vi-VN"/>
        </w:rPr>
        <w:t>dung (Điều 14 đến Điều 17 dự thảo Nghị định)</w:t>
      </w:r>
    </w:p>
    <w:p w:rsidR="001A610A" w:rsidRDefault="00644B98" w:rsidP="001A61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01FD1" w:rsidRPr="00C01FD1">
        <w:rPr>
          <w:color w:val="000000" w:themeColor="text1"/>
          <w:sz w:val="28"/>
          <w:szCs w:val="28"/>
          <w:lang w:val="vi-VN"/>
        </w:rPr>
        <w:t xml:space="preserve"> </w:t>
      </w:r>
      <w:r w:rsidR="001A610A">
        <w:rPr>
          <w:color w:val="000000" w:themeColor="text1"/>
          <w:sz w:val="28"/>
          <w:szCs w:val="28"/>
          <w:lang w:val="vi-VN"/>
        </w:rPr>
        <w:t xml:space="preserve">Cơ quan kiểm soát thanh toán: </w:t>
      </w:r>
    </w:p>
    <w:p w:rsidR="00C01FD1" w:rsidRDefault="00C01FD1" w:rsidP="001A61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C01FD1">
        <w:rPr>
          <w:color w:val="000000" w:themeColor="text1"/>
          <w:sz w:val="28"/>
          <w:szCs w:val="28"/>
          <w:lang w:val="vi-VN"/>
        </w:rPr>
        <w:t xml:space="preserve">Cơ quan kho bạc nhà nước là cơ quan thực hiện kiểm soát, thanh toán; thực hiện kiểm soát thanh toán </w:t>
      </w:r>
      <w:r w:rsidR="00EB2C7F">
        <w:rPr>
          <w:color w:val="000000" w:themeColor="text1"/>
          <w:sz w:val="28"/>
          <w:szCs w:val="28"/>
          <w:lang w:val="vi-VN"/>
        </w:rPr>
        <w:t>đối với nguồn vốn đầu tư công nguồn ngân sách nhà nước, nguồn thu hợp pháp của cơ quan nhà nước dành đầu tư và chi thường xuyên nguồn ngân sách nhà nước</w:t>
      </w:r>
      <w:r w:rsidR="001A610A">
        <w:rPr>
          <w:color w:val="000000" w:themeColor="text1"/>
          <w:sz w:val="28"/>
          <w:szCs w:val="28"/>
          <w:lang w:val="vi-VN"/>
        </w:rPr>
        <w:t xml:space="preserve"> </w:t>
      </w:r>
      <w:r w:rsidRPr="00C01FD1">
        <w:rPr>
          <w:color w:val="000000" w:themeColor="text1"/>
          <w:sz w:val="28"/>
          <w:szCs w:val="28"/>
          <w:lang w:val="vi-VN"/>
        </w:rPr>
        <w:t>trong vòng 3 ngày làm việc kể từ ngày nhận được hồ sơ đề nghị thanh toán.</w:t>
      </w:r>
    </w:p>
    <w:p w:rsidR="001A610A" w:rsidRPr="00C01FD1" w:rsidRDefault="001A610A" w:rsidP="001A61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D519E4">
        <w:rPr>
          <w:bCs/>
          <w:color w:val="000000" w:themeColor="text1"/>
          <w:sz w:val="28"/>
          <w:szCs w:val="28"/>
          <w:lang w:val="vi-VN" w:eastAsia="vi-VN"/>
        </w:rPr>
        <w:t>Cơ quan ký kết hợp đồng (trường hợp cơ quan ký kết hợp đồng là đơn vị sự nghiệp công lập) thực hiện kiểm soát, thanh toán vốn từ nguồn thu hợp pháp dành để đầu tư của đơn vị mình, nguồn thu từ hoạt động sự nghiệp, Quỹ phát triển hoạt động sự nghiệp.</w:t>
      </w:r>
    </w:p>
    <w:p w:rsidR="00C01FD1" w:rsidRPr="00C01FD1" w:rsidRDefault="00644B98"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lastRenderedPageBreak/>
        <w:t>-</w:t>
      </w:r>
      <w:r w:rsidR="00C01FD1" w:rsidRPr="00C01FD1">
        <w:rPr>
          <w:color w:val="000000" w:themeColor="text1"/>
          <w:sz w:val="28"/>
          <w:szCs w:val="28"/>
          <w:lang w:val="vi-VN"/>
        </w:rPr>
        <w:t xml:space="preserve"> Vốn nhà nước được thanh toán sau khi được cấp có thẩm quyền giao kế hoạch vốn đầu tư công, giao dự toán năm đối với chi thường xuyên và nguồn thu hợp pháp theo quy định của pháp luật về ngân sách nhà nước.</w:t>
      </w:r>
    </w:p>
    <w:p w:rsidR="00C01FD1" w:rsidRPr="00C01FD1" w:rsidRDefault="00644B98"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01FD1" w:rsidRPr="00C01FD1">
        <w:rPr>
          <w:color w:val="000000" w:themeColor="text1"/>
          <w:sz w:val="28"/>
          <w:szCs w:val="28"/>
          <w:lang w:val="vi-VN"/>
        </w:rPr>
        <w:t xml:space="preserve"> Vốn đầu tư công hỗ trợ công trình được thanh toán trên cơ sở cơ quan quản lý phần vốn nhà nước xác nhận và theo tỷ lệ, tiến độ, điều kiện trong hợp đồng dự án, phù hợp với kế hoach/dự toán hàng năm được giao.</w:t>
      </w:r>
    </w:p>
    <w:p w:rsidR="00C01FD1" w:rsidRPr="00C01FD1" w:rsidRDefault="00644B98"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01FD1" w:rsidRPr="00C01FD1">
        <w:rPr>
          <w:color w:val="000000" w:themeColor="text1"/>
          <w:sz w:val="28"/>
          <w:szCs w:val="28"/>
          <w:lang w:val="vi-VN"/>
        </w:rPr>
        <w:t xml:space="preserve"> Vốn nhà nước thanh toán định kỳ cho các hợp đồng BTL, BLT trên cơ sở khối lượng, chất lượng sản phẩm, dịch vụ công được cung cấp.</w:t>
      </w:r>
    </w:p>
    <w:p w:rsidR="00C01FD1" w:rsidRPr="00C01FD1" w:rsidRDefault="00644B98"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01FD1" w:rsidRPr="00C01FD1">
        <w:rPr>
          <w:color w:val="000000" w:themeColor="text1"/>
          <w:sz w:val="28"/>
          <w:szCs w:val="28"/>
          <w:lang w:val="vi-VN"/>
        </w:rPr>
        <w:t xml:space="preserve"> Cơ quan đề nghị thanh toán phần vốn nhà nước chịu trách nhiệm về tính chính xác của khối lượng, chất lượng công trình, giá trị đề nghị thanh toán, điều kiện giải ngân phần hỗ trợ của nhà nước.</w:t>
      </w:r>
    </w:p>
    <w:p w:rsidR="00C01FD1" w:rsidRPr="00C01FD1" w:rsidRDefault="00644B98"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(4)</w:t>
      </w:r>
      <w:r w:rsidR="00C01FD1" w:rsidRPr="00C01FD1">
        <w:rPr>
          <w:color w:val="000000" w:themeColor="text1"/>
          <w:sz w:val="28"/>
          <w:szCs w:val="28"/>
          <w:lang w:val="vi-VN"/>
        </w:rPr>
        <w:t xml:space="preserve"> Hồ sơ </w:t>
      </w:r>
      <w:r w:rsidR="001A610A">
        <w:rPr>
          <w:color w:val="000000" w:themeColor="text1"/>
          <w:sz w:val="28"/>
          <w:szCs w:val="28"/>
          <w:lang w:val="vi-VN"/>
        </w:rPr>
        <w:t xml:space="preserve">kiểm soát, </w:t>
      </w:r>
      <w:r w:rsidR="00C01FD1" w:rsidRPr="00C01FD1">
        <w:rPr>
          <w:color w:val="000000" w:themeColor="text1"/>
          <w:sz w:val="28"/>
          <w:szCs w:val="28"/>
          <w:lang w:val="vi-VN"/>
        </w:rPr>
        <w:t>thanh toán</w:t>
      </w:r>
      <w:r w:rsidR="001A610A">
        <w:rPr>
          <w:color w:val="000000" w:themeColor="text1"/>
          <w:sz w:val="28"/>
          <w:szCs w:val="28"/>
          <w:lang w:val="vi-VN"/>
        </w:rPr>
        <w:t>: hồ sơ pháp lý chỉ 01 lần; Hồ sơ thanh toán từng lần</w:t>
      </w:r>
      <w:r w:rsidR="00D6521B">
        <w:rPr>
          <w:color w:val="000000" w:themeColor="text1"/>
          <w:sz w:val="28"/>
          <w:szCs w:val="28"/>
          <w:lang w:val="vi-VN"/>
        </w:rPr>
        <w:t xml:space="preserve"> (Điều 18 đến Điều 19 dự thảo Nghị định)</w:t>
      </w:r>
    </w:p>
    <w:p w:rsidR="00C01FD1" w:rsidRDefault="001A610A"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sidRPr="007E584F">
        <w:rPr>
          <w:b/>
          <w:bCs/>
          <w:i/>
          <w:iCs/>
          <w:color w:val="000000" w:themeColor="text1"/>
          <w:sz w:val="28"/>
          <w:szCs w:val="28"/>
          <w:lang w:val="vi-VN"/>
        </w:rPr>
        <w:t xml:space="preserve">2.3. </w:t>
      </w:r>
      <w:r w:rsidR="00C01FD1" w:rsidRPr="007E584F">
        <w:rPr>
          <w:b/>
          <w:bCs/>
          <w:i/>
          <w:iCs/>
          <w:color w:val="000000" w:themeColor="text1"/>
          <w:sz w:val="28"/>
          <w:szCs w:val="28"/>
          <w:lang w:val="vi-VN"/>
        </w:rPr>
        <w:t xml:space="preserve">Về </w:t>
      </w:r>
      <w:r w:rsidRPr="007E584F">
        <w:rPr>
          <w:b/>
          <w:bCs/>
          <w:i/>
          <w:iCs/>
          <w:color w:val="000000" w:themeColor="text1"/>
          <w:sz w:val="28"/>
          <w:szCs w:val="28"/>
          <w:lang w:val="vi-VN"/>
        </w:rPr>
        <w:t>q</w:t>
      </w:r>
      <w:r w:rsidR="00C01FD1" w:rsidRPr="007E584F">
        <w:rPr>
          <w:b/>
          <w:bCs/>
          <w:i/>
          <w:iCs/>
          <w:color w:val="000000" w:themeColor="text1"/>
          <w:sz w:val="28"/>
          <w:szCs w:val="28"/>
          <w:lang w:val="vi-VN"/>
        </w:rPr>
        <w:t xml:space="preserve">uyết toán </w:t>
      </w:r>
    </w:p>
    <w:p w:rsidR="007E584F" w:rsidRDefault="007E584F"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Pr>
          <w:b/>
          <w:bCs/>
          <w:i/>
          <w:iCs/>
          <w:color w:val="000000" w:themeColor="text1"/>
          <w:sz w:val="28"/>
          <w:szCs w:val="28"/>
          <w:lang w:val="vi-VN"/>
        </w:rPr>
        <w:t xml:space="preserve">a) Quy định tại Luật </w:t>
      </w:r>
      <w:r w:rsidR="004030C3">
        <w:rPr>
          <w:b/>
          <w:bCs/>
          <w:i/>
          <w:iCs/>
          <w:color w:val="000000" w:themeColor="text1"/>
          <w:sz w:val="28"/>
          <w:szCs w:val="28"/>
          <w:lang w:val="vi-VN"/>
        </w:rPr>
        <w:t>PPP</w:t>
      </w:r>
    </w:p>
    <w:p w:rsidR="004030C3" w:rsidRPr="004030C3" w:rsidRDefault="004030C3" w:rsidP="004030C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 </w:t>
      </w:r>
      <w:r w:rsidRPr="004030C3">
        <w:rPr>
          <w:color w:val="000000" w:themeColor="text1"/>
          <w:sz w:val="28"/>
          <w:szCs w:val="28"/>
          <w:lang w:val="vi-VN"/>
        </w:rPr>
        <w:t>Điều 60. Quyết toán vốn đầu tư công trình, hệ thống cơ sở hạ tầng</w:t>
      </w:r>
    </w:p>
    <w:p w:rsidR="004030C3" w:rsidRPr="004030C3" w:rsidRDefault="004030C3" w:rsidP="004030C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4030C3">
        <w:rPr>
          <w:i/>
          <w:iCs/>
          <w:color w:val="000000" w:themeColor="text1"/>
          <w:sz w:val="28"/>
          <w:szCs w:val="28"/>
          <w:lang w:val="vi-VN"/>
        </w:rPr>
        <w:t>1. Sau khi hoàn thành công trình, hệ thống cơ sở hạ tầng, cơ quan ký kết hợp đồng thực hiện quyết toán vốn đầu tư công trong dự án PPP như sau:</w:t>
      </w:r>
    </w:p>
    <w:p w:rsidR="004030C3" w:rsidRPr="004030C3" w:rsidRDefault="004030C3" w:rsidP="004030C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4030C3">
        <w:rPr>
          <w:i/>
          <w:iCs/>
          <w:color w:val="000000" w:themeColor="text1"/>
          <w:sz w:val="28"/>
          <w:szCs w:val="28"/>
          <w:lang w:val="vi-VN"/>
        </w:rPr>
        <w:t>a) Trường hợp vốn đầu tư công trong dự án PPP được quản lý và sử dụng theo quy định tại điểm a khoản 5 Điều 70 và khoản 2 Điều 72 của Luật này, cơ quan ký kết hợp đồng và doanh nghiệp dự án PPP thực hiện quyết toán vốn đầu tư công trong dự án PPP theo quy định của pháp luật như đối với dự án đầu tư công;</w:t>
      </w:r>
    </w:p>
    <w:p w:rsidR="004030C3" w:rsidRPr="004030C3" w:rsidRDefault="004030C3" w:rsidP="004030C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4030C3">
        <w:rPr>
          <w:i/>
          <w:iCs/>
          <w:color w:val="000000" w:themeColor="text1"/>
          <w:sz w:val="28"/>
          <w:szCs w:val="28"/>
          <w:lang w:val="vi-VN"/>
        </w:rPr>
        <w:t>b) Trường hợp vốn đầu tư công trong dự án PPP được quản lý và sử dụng theo quy định tại điểm b khoản 5 Điều 70 của Luật này, cơ quan ký kết hợp đồng tổng hợp giá trị đã giải ngân cho doanh nghiệp dự án PPP được kiểm toán độc lập kiểm toán, làm cơ sở để quyết toán vốn đầu tư công trong dự án PPP. Vốn đầu tư công trong dự án PPP được quyết toán không vượt quá mức vốn nhà nước được xác định tại hợp đồng.</w:t>
      </w:r>
    </w:p>
    <w:p w:rsidR="004030C3" w:rsidRPr="00135DFE" w:rsidRDefault="004030C3" w:rsidP="004030C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pacing w:val="-2"/>
          <w:sz w:val="28"/>
          <w:szCs w:val="28"/>
          <w:lang w:val="vi-VN"/>
        </w:rPr>
      </w:pPr>
      <w:r w:rsidRPr="00135DFE">
        <w:rPr>
          <w:i/>
          <w:iCs/>
          <w:color w:val="000000" w:themeColor="text1"/>
          <w:spacing w:val="-2"/>
          <w:sz w:val="28"/>
          <w:szCs w:val="28"/>
          <w:lang w:val="vi-VN"/>
        </w:rPr>
        <w:t>2. Sau khi hoàn thành công trình, hệ thống cơ sở hạ tầng, cơ quan ký kết hợp đồng và doanh nghiệp dự án PPP thực hiện quyết toán vốn đầu tư xây dựng công trình, hệ thống cơ sở hạ tầng. Giá trị quyết toán vốn đầu tư xây dựng công trình, hệ thống cơ sở hạ tầng hoặc giá trị quyết toán vốn đầu tư đối với dự án không có cấu phần xây dựng được xác định căn cứ hợp đồng đã ký kết.</w:t>
      </w:r>
    </w:p>
    <w:p w:rsidR="004030C3" w:rsidRDefault="004030C3" w:rsidP="004030C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4030C3">
        <w:rPr>
          <w:i/>
          <w:iCs/>
          <w:color w:val="000000" w:themeColor="text1"/>
          <w:sz w:val="28"/>
          <w:szCs w:val="28"/>
          <w:lang w:val="vi-VN"/>
        </w:rPr>
        <w:t>3. Cơ quan ký kết hợp đồng thỏa thuận với doanh nghiệp dự án PPP tại hợp đồng về việc lựa chọn tổ chức kiểm toán độc lập có năng lực và kinh nghiệm để thực hiện việc kiểm toán vốn đầu tư xây dựng công trình, hệ thống cơ sở hạ tầng.</w:t>
      </w:r>
    </w:p>
    <w:p w:rsidR="008B5DD3" w:rsidRPr="00135DFE" w:rsidRDefault="008B5DD3" w:rsidP="008B5DD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lastRenderedPageBreak/>
        <w:t>- Khoản 2 Điều 13 Luật Ngân sách nhà nước quy định: “</w:t>
      </w:r>
      <w:r w:rsidRPr="008B5DD3">
        <w:rPr>
          <w:i/>
          <w:iCs/>
          <w:color w:val="000000" w:themeColor="text1"/>
          <w:sz w:val="28"/>
          <w:szCs w:val="28"/>
          <w:lang w:val="vi-VN"/>
        </w:rPr>
        <w:t>2. Các khoản thu, chi của ngân sách nhà nước phải được hạch toán kế toán, quyết toán đầy đủ, kịp thời, đúng chế độ</w:t>
      </w:r>
      <w:r>
        <w:rPr>
          <w:i/>
          <w:iCs/>
          <w:color w:val="000000" w:themeColor="text1"/>
          <w:sz w:val="28"/>
          <w:szCs w:val="28"/>
          <w:lang w:val="vi-VN"/>
        </w:rPr>
        <w:t>”</w:t>
      </w:r>
      <w:r w:rsidR="00135DFE" w:rsidRPr="00135DFE">
        <w:rPr>
          <w:i/>
          <w:iCs/>
          <w:color w:val="000000" w:themeColor="text1"/>
          <w:sz w:val="28"/>
          <w:szCs w:val="28"/>
          <w:lang w:val="vi-VN"/>
        </w:rPr>
        <w:t>.</w:t>
      </w:r>
    </w:p>
    <w:p w:rsidR="004030C3" w:rsidRPr="008B5DD3" w:rsidRDefault="008B5DD3"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sidRPr="008B5DD3">
        <w:rPr>
          <w:b/>
          <w:bCs/>
          <w:i/>
          <w:iCs/>
          <w:color w:val="000000" w:themeColor="text1"/>
          <w:sz w:val="28"/>
          <w:szCs w:val="28"/>
          <w:lang w:val="vi-VN"/>
        </w:rPr>
        <w:t>b) Đề xuất của Bộ Tài chính</w:t>
      </w:r>
    </w:p>
    <w:p w:rsidR="00C01FD1" w:rsidRPr="00C01FD1" w:rsidRDefault="00644B98"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(1)</w:t>
      </w:r>
      <w:r w:rsidR="00C01FD1" w:rsidRPr="00C01FD1">
        <w:rPr>
          <w:color w:val="000000" w:themeColor="text1"/>
          <w:sz w:val="28"/>
          <w:szCs w:val="28"/>
          <w:lang w:val="vi-VN"/>
        </w:rPr>
        <w:t xml:space="preserve"> Quyết toán niên độ ngân sách theo năm ngân sách được hướng dẫn tại Nghị định về quản lý, thanh toán, quyết toán dự án sử dụng vốn đầu tư công; đối với nguồn chi thường xuyên được quyết toán theo quy định về xét duyệt, thẩm đinh, thông báo và tổng hợp quyết toán năm</w:t>
      </w:r>
      <w:r w:rsidR="00D6521B">
        <w:rPr>
          <w:color w:val="000000" w:themeColor="text1"/>
          <w:sz w:val="28"/>
          <w:szCs w:val="28"/>
          <w:lang w:val="vi-VN"/>
        </w:rPr>
        <w:t xml:space="preserve"> (Điều 20 dự thảo Nghị định)</w:t>
      </w:r>
      <w:r w:rsidR="00C01FD1" w:rsidRPr="00C01FD1">
        <w:rPr>
          <w:color w:val="000000" w:themeColor="text1"/>
          <w:sz w:val="28"/>
          <w:szCs w:val="28"/>
          <w:lang w:val="vi-VN"/>
        </w:rPr>
        <w:t>.</w:t>
      </w:r>
    </w:p>
    <w:p w:rsidR="00C01FD1" w:rsidRPr="00C01FD1" w:rsidRDefault="000A498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D6521B">
        <w:rPr>
          <w:color w:val="000000" w:themeColor="text1"/>
          <w:sz w:val="28"/>
          <w:szCs w:val="28"/>
          <w:lang w:val="vi-VN"/>
        </w:rPr>
        <w:t>2</w:t>
      </w:r>
      <w:r>
        <w:rPr>
          <w:color w:val="000000" w:themeColor="text1"/>
          <w:sz w:val="28"/>
          <w:szCs w:val="28"/>
          <w:lang w:val="vi-VN"/>
        </w:rPr>
        <w:t>)</w:t>
      </w:r>
      <w:r w:rsidR="00C01FD1" w:rsidRPr="00C01FD1">
        <w:rPr>
          <w:color w:val="000000" w:themeColor="text1"/>
          <w:sz w:val="28"/>
          <w:szCs w:val="28"/>
          <w:lang w:val="vi-VN"/>
        </w:rPr>
        <w:t xml:space="preserve"> Quyết toán vốn đầu tư </w:t>
      </w:r>
      <w:r w:rsidR="006124C5">
        <w:rPr>
          <w:color w:val="000000" w:themeColor="text1"/>
          <w:sz w:val="28"/>
          <w:szCs w:val="28"/>
          <w:lang w:val="vi-VN"/>
        </w:rPr>
        <w:t xml:space="preserve">công trình, </w:t>
      </w:r>
      <w:r w:rsidR="00C01FD1" w:rsidRPr="00C01FD1">
        <w:rPr>
          <w:color w:val="000000" w:themeColor="text1"/>
          <w:sz w:val="28"/>
          <w:szCs w:val="28"/>
          <w:lang w:val="vi-VN"/>
        </w:rPr>
        <w:t>dự án PPP hoàn thành</w:t>
      </w:r>
      <w:r w:rsidR="00D6521B">
        <w:rPr>
          <w:color w:val="000000" w:themeColor="text1"/>
          <w:sz w:val="28"/>
          <w:szCs w:val="28"/>
          <w:lang w:val="vi-VN"/>
        </w:rPr>
        <w:t xml:space="preserve"> (trừ dự án BT) (Điều 21 đến Điều 23 dự thảo Nghị định)</w:t>
      </w:r>
    </w:p>
    <w:p w:rsidR="006124C5" w:rsidRPr="006124C5" w:rsidRDefault="006124C5" w:rsidP="006124C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6124C5">
        <w:rPr>
          <w:color w:val="000000" w:themeColor="text1"/>
          <w:sz w:val="28"/>
          <w:szCs w:val="28"/>
          <w:lang w:val="vi-VN"/>
        </w:rPr>
        <w:t>Theo quy định tải khoản 2 Điều 60 Luật PPP, sau khi hoàn thành công trình cơ quan ký kết hợp đồng và doanh nghiệp dự án thực hiện quyết toán vốn đầu tư xây dựng công trình. Giá trị quyết toán này được xác định căn cứ hợp đồng dự án đã ký. Cơ quan quan ký kết hợp đồng và doanh nghiệp dự án thoả thuận lựa chọn tổ chức kiểm toán độc lập để thực hiện kiểm toán vốn đầu tư xây dựng công trình.</w:t>
      </w:r>
    </w:p>
    <w:p w:rsidR="006124C5" w:rsidRPr="006124C5" w:rsidRDefault="006124C5" w:rsidP="006124C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6124C5">
        <w:rPr>
          <w:color w:val="000000" w:themeColor="text1"/>
          <w:sz w:val="28"/>
          <w:szCs w:val="28"/>
          <w:lang w:val="vi-VN"/>
        </w:rPr>
        <w:t>Đồng thời tại khoản 3 Điều 85 Luật PPP quy định Kiểm toán nhà nước thực hiện kiểm toán dự án hoàn thành, kiểm toán toàn bộ giá trị tài sản của dự án PPP khi được chuyển giao cho nhà nước.</w:t>
      </w:r>
    </w:p>
    <w:p w:rsidR="006124C5" w:rsidRPr="006124C5" w:rsidRDefault="006124C5" w:rsidP="006124C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6124C5">
        <w:rPr>
          <w:color w:val="000000" w:themeColor="text1"/>
          <w:sz w:val="28"/>
          <w:szCs w:val="28"/>
          <w:lang w:val="vi-VN"/>
        </w:rPr>
        <w:t>Do dự án PPP được triển khai trên cơ sở hợp đồng dự án được ký kết giữa doanh nghiệp dự án/nhà đầu tư và cơ quan nhà nước, nguồn vốn để thực hiện ngoài khoản nhà nước hỗ trợ (nếu có) cơ bản là nguồn vốn chủ sở hữu và vốn huy động của doanh nghiệp dự án, việc quyết toán tuân theo quy định tại hợp đồng dự án nên trình tự, thủ tục, trách nhiệm các bên liên quan cơ bản tuân theo qui định của hợp đồng.</w:t>
      </w:r>
    </w:p>
    <w:p w:rsidR="006124C5" w:rsidRDefault="006124C5" w:rsidP="006124C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6124C5">
        <w:rPr>
          <w:color w:val="000000" w:themeColor="text1"/>
          <w:sz w:val="28"/>
          <w:szCs w:val="28"/>
          <w:lang w:val="vi-VN"/>
        </w:rPr>
        <w:t>Trên cơ sở quy định trên việc quyết toán vốn đầu tư dự án hoàn thành được quy định:</w:t>
      </w:r>
    </w:p>
    <w:p w:rsidR="00C01FD1" w:rsidRPr="00C01FD1" w:rsidRDefault="000A498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01FD1" w:rsidRPr="00C01FD1">
        <w:rPr>
          <w:color w:val="000000" w:themeColor="text1"/>
          <w:sz w:val="28"/>
          <w:szCs w:val="28"/>
          <w:lang w:val="vi-VN"/>
        </w:rPr>
        <w:t xml:space="preserve"> Sau khi dự án hoàn thành, doanh nghiệp dự án có trách nhiệm lập hồ sơ quyết toán các chi phí hợp pháp trong quá trình đầu tư, đưa dự án vào khai thác theo quy định tại hợp đồng dự án.</w:t>
      </w:r>
    </w:p>
    <w:p w:rsidR="00C01FD1" w:rsidRPr="00C01FD1" w:rsidRDefault="000A498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01FD1" w:rsidRPr="00C01FD1">
        <w:rPr>
          <w:color w:val="000000" w:themeColor="text1"/>
          <w:sz w:val="28"/>
          <w:szCs w:val="28"/>
          <w:lang w:val="vi-VN"/>
        </w:rPr>
        <w:t xml:space="preserve"> Căn cứ hồ sơ quyết toán dự án PPP hoàn thành, kết luận của các cơ quan kiểm toán, cơ quan thanh tra, cơ quan điều t</w:t>
      </w:r>
      <w:r w:rsidR="001A610A">
        <w:rPr>
          <w:color w:val="000000" w:themeColor="text1"/>
          <w:sz w:val="28"/>
          <w:szCs w:val="28"/>
          <w:lang w:val="vi-VN"/>
        </w:rPr>
        <w:t>ra</w:t>
      </w:r>
      <w:r w:rsidR="00C01FD1" w:rsidRPr="00C01FD1">
        <w:rPr>
          <w:color w:val="000000" w:themeColor="text1"/>
          <w:sz w:val="28"/>
          <w:szCs w:val="28"/>
          <w:lang w:val="vi-VN"/>
        </w:rPr>
        <w:t xml:space="preserve"> (nếu có), cơ quan kiểm tra và báo cáo tình hình chấp hành của doanh nghiệp dự án; cơ quan ký kết hợp đồng xem xét chấp thuận giá trị quyết toán vốn đầu tư dự án PPP hoàn thành..</w:t>
      </w:r>
    </w:p>
    <w:p w:rsidR="00C01FD1" w:rsidRPr="00C01FD1" w:rsidRDefault="000A498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01FD1" w:rsidRPr="00C01FD1">
        <w:rPr>
          <w:color w:val="000000" w:themeColor="text1"/>
          <w:sz w:val="28"/>
          <w:szCs w:val="28"/>
          <w:lang w:val="vi-VN"/>
        </w:rPr>
        <w:t xml:space="preserve"> Hồ sơ quyết toán gồm: Tờ trình đề nghị thoả thuận giá trị quyết toán; hồ sơ hợp đồng dự án (theo quy định tại Điều 46 Luật PPP); Báo cáo kiểm toán độc lập đối với dự án thực hiện theo hình thức hợp đồng BOT, BOO, O&amp;M, BLT; Báo cáo của Kiểm toán nhà nước đối với dự án thực hiện theo hình thức hợp đồng BTL, BTO; Kết luận thanh tra của cơ quan thanh tra, biên bản kiểm tra của </w:t>
      </w:r>
      <w:r w:rsidR="00C01FD1" w:rsidRPr="00C01FD1">
        <w:rPr>
          <w:color w:val="000000" w:themeColor="text1"/>
          <w:sz w:val="28"/>
          <w:szCs w:val="28"/>
          <w:lang w:val="vi-VN"/>
        </w:rPr>
        <w:lastRenderedPageBreak/>
        <w:t>cơ quan kiểm trá (nếu có).</w:t>
      </w:r>
    </w:p>
    <w:p w:rsidR="00C01FD1" w:rsidRPr="00C01FD1" w:rsidRDefault="000A498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01FD1" w:rsidRPr="00C01FD1">
        <w:rPr>
          <w:color w:val="000000" w:themeColor="text1"/>
          <w:sz w:val="28"/>
          <w:szCs w:val="28"/>
          <w:lang w:val="vi-VN"/>
        </w:rPr>
        <w:t xml:space="preserve"> Thời gian tối đa doanh nghiệp lập hồ sơ quyết toán là </w:t>
      </w:r>
      <w:r w:rsidR="00D6521B">
        <w:rPr>
          <w:color w:val="000000" w:themeColor="text1"/>
          <w:sz w:val="28"/>
          <w:szCs w:val="28"/>
          <w:lang w:val="vi-VN"/>
        </w:rPr>
        <w:t>0</w:t>
      </w:r>
      <w:r w:rsidR="00C01FD1" w:rsidRPr="00C01FD1">
        <w:rPr>
          <w:color w:val="000000" w:themeColor="text1"/>
          <w:sz w:val="28"/>
          <w:szCs w:val="28"/>
          <w:lang w:val="vi-VN"/>
        </w:rPr>
        <w:t xml:space="preserve">9 tháng đối với dự án thuộc thẩm quyền quyết định chủ trương đầu tư của Quốc hội, Thủ tướng Chính phủ; </w:t>
      </w:r>
      <w:r w:rsidR="00D6521B">
        <w:rPr>
          <w:color w:val="000000" w:themeColor="text1"/>
          <w:sz w:val="28"/>
          <w:szCs w:val="28"/>
          <w:lang w:val="vi-VN"/>
        </w:rPr>
        <w:t>0</w:t>
      </w:r>
      <w:r w:rsidR="00C01FD1" w:rsidRPr="00C01FD1">
        <w:rPr>
          <w:color w:val="000000" w:themeColor="text1"/>
          <w:sz w:val="28"/>
          <w:szCs w:val="28"/>
          <w:lang w:val="vi-VN"/>
        </w:rPr>
        <w:t>6 tháng đối với các dự án còn lại.</w:t>
      </w:r>
    </w:p>
    <w:p w:rsidR="00C01FD1" w:rsidRPr="001D42AE" w:rsidRDefault="007C2E8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sidRPr="001D42AE">
        <w:rPr>
          <w:b/>
          <w:bCs/>
          <w:i/>
          <w:iCs/>
          <w:color w:val="000000" w:themeColor="text1"/>
          <w:sz w:val="28"/>
          <w:szCs w:val="28"/>
          <w:lang w:val="vi-VN"/>
        </w:rPr>
        <w:t>2.4.</w:t>
      </w:r>
      <w:r w:rsidR="00C01FD1" w:rsidRPr="001D42AE">
        <w:rPr>
          <w:b/>
          <w:bCs/>
          <w:i/>
          <w:iCs/>
          <w:color w:val="000000" w:themeColor="text1"/>
          <w:sz w:val="28"/>
          <w:szCs w:val="28"/>
          <w:lang w:val="vi-VN"/>
        </w:rPr>
        <w:t xml:space="preserve"> Về cơ chế chia sẻ phần tăng, giảm doanh thu</w:t>
      </w:r>
    </w:p>
    <w:p w:rsidR="000A4982" w:rsidRPr="000A4982" w:rsidRDefault="000A498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sidRPr="000A4982">
        <w:rPr>
          <w:b/>
          <w:bCs/>
          <w:i/>
          <w:iCs/>
          <w:color w:val="000000" w:themeColor="text1"/>
          <w:sz w:val="28"/>
          <w:szCs w:val="28"/>
          <w:lang w:val="vi-VN"/>
        </w:rPr>
        <w:t>a) Quy định của Luật PPP</w:t>
      </w:r>
    </w:p>
    <w:p w:rsidR="00C01FD1" w:rsidRPr="00C01FD1"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C01FD1">
        <w:rPr>
          <w:color w:val="000000" w:themeColor="text1"/>
          <w:sz w:val="28"/>
          <w:szCs w:val="28"/>
          <w:lang w:val="vi-VN"/>
        </w:rPr>
        <w:t>Theo quy định tại Điều 82 Luật PPP</w:t>
      </w:r>
      <w:r w:rsidR="001D42AE">
        <w:rPr>
          <w:color w:val="000000" w:themeColor="text1"/>
          <w:sz w:val="28"/>
          <w:szCs w:val="28"/>
          <w:lang w:val="vi-VN"/>
        </w:rPr>
        <w:t xml:space="preserve"> (được sửa đổi, bổ sung tại </w:t>
      </w:r>
      <w:r w:rsidR="00A12F68">
        <w:rPr>
          <w:color w:val="000000" w:themeColor="text1"/>
          <w:sz w:val="28"/>
          <w:szCs w:val="28"/>
          <w:lang w:val="vi-VN"/>
        </w:rPr>
        <w:t>khoản 19 Điều 3 Luật số 57/2024/QH15)</w:t>
      </w:r>
      <w:r w:rsidRPr="00C01FD1">
        <w:rPr>
          <w:color w:val="000000" w:themeColor="text1"/>
          <w:sz w:val="28"/>
          <w:szCs w:val="28"/>
          <w:lang w:val="vi-VN"/>
        </w:rPr>
        <w:t>, cơ chế chia sẻ doanh thu như sau:</w:t>
      </w:r>
    </w:p>
    <w:p w:rsidR="00C01FD1" w:rsidRPr="00542EC1"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542EC1">
        <w:rPr>
          <w:i/>
          <w:iCs/>
          <w:color w:val="000000" w:themeColor="text1"/>
          <w:sz w:val="28"/>
          <w:szCs w:val="28"/>
          <w:lang w:val="vi-VN"/>
        </w:rPr>
        <w:t>- Khi doanh thu thực tế cao hơn 125% doanh thu trong phương án tài chính, doanh nghiệp dự án chi sẻ nhà nước 50% số chênh lệch tăng vượt quá mức 125% này sau khi đã điều chỉnh mức giá phí dịch vụ (giảm), điều chỉnh thời gian hợp đồng (giảm) và được Kiểm toán nhà nước kiểm toán phần tăng doanh thu.</w:t>
      </w:r>
    </w:p>
    <w:p w:rsidR="00C01FD1" w:rsidRPr="00542EC1"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542EC1">
        <w:rPr>
          <w:i/>
          <w:iCs/>
          <w:color w:val="000000" w:themeColor="text1"/>
          <w:sz w:val="28"/>
          <w:szCs w:val="28"/>
          <w:lang w:val="vi-VN"/>
        </w:rPr>
        <w:t>Khi doanh thu thực tế thấp hơn 75% mức doanh thu trong phương án tài chính, Nhà nước chia sẻ 50% phần chênh lệch giữa mức 75% này và doanh thu thực tế chỉ áp dụng: đối với hợp đồng BOT, BTO, BOO; lý do giảm doanh thu được xác định do quy hoạch, chính sách, pháp luật thay đổi; đã điều chỉnh tăng giá, phí, tăng thời gian hợp đồng song vẫn chưa đảm bảo đạt mức 75% doanh thu theo phương án tài chính; được Kiểm toán nhà nước kiểm toán phần giảm doanh thu.</w:t>
      </w:r>
    </w:p>
    <w:p w:rsidR="00E44465" w:rsidRPr="00542EC1"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542EC1">
        <w:rPr>
          <w:i/>
          <w:iCs/>
          <w:color w:val="000000" w:themeColor="text1"/>
          <w:sz w:val="28"/>
          <w:szCs w:val="28"/>
          <w:lang w:val="vi-VN"/>
        </w:rPr>
        <w:t xml:space="preserve">- Nguồn xử lý chia sẻ doanh thu của Nhà nước từ </w:t>
      </w:r>
      <w:r w:rsidR="00E44465" w:rsidRPr="00D519E4">
        <w:rPr>
          <w:i/>
          <w:iCs/>
          <w:color w:val="000000" w:themeColor="text1"/>
          <w:sz w:val="28"/>
          <w:szCs w:val="28"/>
          <w:lang w:val="vi-VN" w:eastAsia="vi-VN"/>
        </w:rPr>
        <w:t xml:space="preserve">nguồn dự phòng ngân sách nhà nước, </w:t>
      </w:r>
      <w:r w:rsidR="00E44465" w:rsidRPr="00D519E4">
        <w:rPr>
          <w:bCs/>
          <w:i/>
          <w:iCs/>
          <w:color w:val="000000" w:themeColor="text1"/>
          <w:sz w:val="28"/>
          <w:szCs w:val="28"/>
          <w:lang w:val="vi-VN" w:eastAsia="vi-VN"/>
        </w:rPr>
        <w:t>nguồn tăng thu và tiết kiệm chi, nguồn dự phòng chung của kế hoạch đầu tư công trung hạn</w:t>
      </w:r>
      <w:r w:rsidR="00E44465" w:rsidRPr="00542EC1">
        <w:rPr>
          <w:i/>
          <w:iCs/>
          <w:color w:val="000000" w:themeColor="text1"/>
          <w:sz w:val="28"/>
          <w:szCs w:val="28"/>
          <w:lang w:val="vi-VN"/>
        </w:rPr>
        <w:t xml:space="preserve"> </w:t>
      </w:r>
    </w:p>
    <w:p w:rsidR="000A4982" w:rsidRDefault="000A498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Pr>
          <w:b/>
          <w:bCs/>
          <w:i/>
          <w:iCs/>
          <w:color w:val="000000" w:themeColor="text1"/>
          <w:sz w:val="28"/>
          <w:szCs w:val="28"/>
          <w:lang w:val="vi-VN"/>
        </w:rPr>
        <w:t>b) Đề xuất của Bộ Tài chính</w:t>
      </w:r>
    </w:p>
    <w:p w:rsidR="00AD7CC2" w:rsidRPr="00AD7CC2" w:rsidRDefault="00AD7CC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AD7CC2">
        <w:rPr>
          <w:color w:val="000000" w:themeColor="text1"/>
          <w:sz w:val="28"/>
          <w:szCs w:val="28"/>
          <w:lang w:val="vi-VN"/>
        </w:rPr>
        <w:t>(1) Nguyên tắc quản lý nguồn thu, nguồn chi phát sinh từ cơ chế chia sẻ doanh thu (Điều 24)</w:t>
      </w:r>
    </w:p>
    <w:p w:rsidR="00C01FD1" w:rsidRPr="00C01FD1"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C01FD1">
        <w:rPr>
          <w:color w:val="000000" w:themeColor="text1"/>
          <w:sz w:val="28"/>
          <w:szCs w:val="28"/>
          <w:lang w:val="vi-VN"/>
        </w:rPr>
        <w:t xml:space="preserve"> Phần tăng doanh thu mà doanh nghiệp chia sẻ với nhà nước là nguồn thu của ngân sách các cấp (Ngân sách trung ương đối với dự án do Quốc hội, Thủ tướng Chính phủ, Bộ trưởng, người đứng đầu cơ quan trung ương quyết định chủ trương đầu tư; Ngân sách địa phương đối với các dự án do Hội đồng nhân dân cấp tỉnh quyết định chủ trương đầu tư). Đây là khoản giảm doanh thu  của doanh nghiệp dự án</w:t>
      </w:r>
      <w:r w:rsidR="00AD7CC2">
        <w:rPr>
          <w:color w:val="000000" w:themeColor="text1"/>
          <w:sz w:val="28"/>
          <w:szCs w:val="28"/>
          <w:lang w:val="vi-VN"/>
        </w:rPr>
        <w:t xml:space="preserve"> </w:t>
      </w:r>
    </w:p>
    <w:p w:rsidR="00C01FD1" w:rsidRPr="00C01FD1"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C01FD1">
        <w:rPr>
          <w:color w:val="000000" w:themeColor="text1"/>
          <w:sz w:val="28"/>
          <w:szCs w:val="28"/>
          <w:lang w:val="vi-VN"/>
        </w:rPr>
        <w:t>- Phần giảm doanh thu mà nhà nước chia sẻ với doanh nghiệp dự án là khoản thu khác của doanh nghiệp dự án.</w:t>
      </w:r>
    </w:p>
    <w:p w:rsidR="00C01FD1" w:rsidRPr="00C01FD1"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C01FD1">
        <w:rPr>
          <w:color w:val="000000" w:themeColor="text1"/>
          <w:sz w:val="28"/>
          <w:szCs w:val="28"/>
          <w:lang w:val="vi-VN"/>
        </w:rPr>
        <w:t>Nguồn để thực hiện chia sẻ phần giảm doanh thu của nhà nước từ</w:t>
      </w:r>
      <w:r w:rsidR="00E44465" w:rsidRPr="00C01FD1">
        <w:rPr>
          <w:color w:val="000000" w:themeColor="text1"/>
          <w:sz w:val="28"/>
          <w:szCs w:val="28"/>
          <w:lang w:val="vi-VN"/>
        </w:rPr>
        <w:t xml:space="preserve"> </w:t>
      </w:r>
      <w:r w:rsidR="00E44465" w:rsidRPr="00D519E4">
        <w:rPr>
          <w:color w:val="000000" w:themeColor="text1"/>
          <w:sz w:val="28"/>
          <w:szCs w:val="28"/>
          <w:lang w:val="vi-VN" w:eastAsia="vi-VN"/>
        </w:rPr>
        <w:t xml:space="preserve">nguồn dự phòng ngân sách nhà nước, </w:t>
      </w:r>
      <w:r w:rsidR="00E44465" w:rsidRPr="00D519E4">
        <w:rPr>
          <w:bCs/>
          <w:iCs/>
          <w:color w:val="000000" w:themeColor="text1"/>
          <w:sz w:val="28"/>
          <w:szCs w:val="28"/>
          <w:lang w:val="vi-VN" w:eastAsia="vi-VN"/>
        </w:rPr>
        <w:t>nguồn tăng thu và tiết kiệm chi, nguồn dự phòng chung của kế hoạch đầu tư công trung hạn</w:t>
      </w:r>
      <w:r w:rsidR="00E44465">
        <w:rPr>
          <w:bCs/>
          <w:iCs/>
          <w:color w:val="000000" w:themeColor="text1"/>
          <w:sz w:val="28"/>
          <w:szCs w:val="28"/>
          <w:lang w:val="vi-VN" w:eastAsia="vi-VN"/>
        </w:rPr>
        <w:t xml:space="preserve"> của trung ương, địa phương</w:t>
      </w:r>
      <w:r w:rsidRPr="00C01FD1">
        <w:rPr>
          <w:color w:val="000000" w:themeColor="text1"/>
          <w:sz w:val="28"/>
          <w:szCs w:val="28"/>
          <w:lang w:val="vi-VN"/>
        </w:rPr>
        <w:t xml:space="preserve"> theo nguyên tắc như đối với phần tăng doanh thu mà doanh nghiệp chia sẻ nêu trên.</w:t>
      </w:r>
    </w:p>
    <w:p w:rsidR="00C01FD1" w:rsidRPr="00C01FD1" w:rsidRDefault="00AD7CC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lastRenderedPageBreak/>
        <w:t xml:space="preserve">(2) </w:t>
      </w:r>
      <w:r w:rsidR="00C01FD1" w:rsidRPr="00C01FD1">
        <w:rPr>
          <w:color w:val="000000" w:themeColor="text1"/>
          <w:sz w:val="28"/>
          <w:szCs w:val="28"/>
          <w:lang w:val="vi-VN"/>
        </w:rPr>
        <w:t>Trình tự</w:t>
      </w:r>
      <w:r>
        <w:rPr>
          <w:color w:val="000000" w:themeColor="text1"/>
          <w:sz w:val="28"/>
          <w:szCs w:val="28"/>
          <w:lang w:val="vi-VN"/>
        </w:rPr>
        <w:t>, thủ tục</w:t>
      </w:r>
      <w:r w:rsidR="00C01FD1" w:rsidRPr="00C01FD1">
        <w:rPr>
          <w:color w:val="000000" w:themeColor="text1"/>
          <w:sz w:val="28"/>
          <w:szCs w:val="28"/>
          <w:lang w:val="vi-VN"/>
        </w:rPr>
        <w:t xml:space="preserve"> thực hiện</w:t>
      </w:r>
      <w:r>
        <w:rPr>
          <w:color w:val="000000" w:themeColor="text1"/>
          <w:sz w:val="28"/>
          <w:szCs w:val="28"/>
          <w:lang w:val="vi-VN"/>
        </w:rPr>
        <w:t xml:space="preserve"> chia sẻ phần tăng, giảm doanh thu (Điều 25 đến Điều 27)</w:t>
      </w:r>
    </w:p>
    <w:p w:rsidR="00C01FD1" w:rsidRPr="00C01FD1" w:rsidRDefault="00AD7CC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 </w:t>
      </w:r>
      <w:r w:rsidR="00C01FD1" w:rsidRPr="00C01FD1">
        <w:rPr>
          <w:color w:val="000000" w:themeColor="text1"/>
          <w:sz w:val="28"/>
          <w:szCs w:val="28"/>
          <w:lang w:val="vi-VN"/>
        </w:rPr>
        <w:t>Căn cứ doanh thu thực tế và các điều kiện quy định tại Điều 82 của Luật PPP, cơ quan ký kết hợp đồng đề nghị Kiểm toán nhà nước kiểm toán doanh thu thực tế.</w:t>
      </w:r>
    </w:p>
    <w:p w:rsidR="00C01FD1" w:rsidRPr="00C01FD1" w:rsidRDefault="00AD7CC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w:t>
      </w:r>
      <w:r w:rsidR="00C01FD1" w:rsidRPr="00C01FD1">
        <w:rPr>
          <w:color w:val="000000" w:themeColor="text1"/>
          <w:sz w:val="28"/>
          <w:szCs w:val="28"/>
          <w:lang w:val="vi-VN"/>
        </w:rPr>
        <w:t xml:space="preserve"> Căn cứ báo cáo kiểm toán của Kiểm toán nhà nước và hợp đồng dự án, cơ quan ký kết hợp đồng xác định giá trị phần doanh thu chia sẻ, báo cáo cấp có thẩm quyền xem xét quyết định.</w:t>
      </w:r>
    </w:p>
    <w:p w:rsidR="00C01FD1" w:rsidRPr="00135DFE" w:rsidRDefault="00AD7CC2"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135DFE">
        <w:rPr>
          <w:color w:val="000000" w:themeColor="text1"/>
          <w:sz w:val="28"/>
          <w:szCs w:val="28"/>
          <w:lang w:val="vi-VN"/>
        </w:rPr>
        <w:t>-</w:t>
      </w:r>
      <w:r w:rsidR="00C01FD1" w:rsidRPr="00135DFE">
        <w:rPr>
          <w:color w:val="000000" w:themeColor="text1"/>
          <w:sz w:val="28"/>
          <w:szCs w:val="28"/>
          <w:lang w:val="vi-VN"/>
        </w:rPr>
        <w:t xml:space="preserve"> Cơ quan có thẩm quyền gửi Bộ Tài chính hồ sơ đề nghị thực hiện cơ chế chia sẻ </w:t>
      </w:r>
      <w:r w:rsidR="006124C5" w:rsidRPr="00135DFE">
        <w:rPr>
          <w:color w:val="000000" w:themeColor="text1"/>
          <w:sz w:val="28"/>
          <w:szCs w:val="28"/>
          <w:lang w:val="vi-VN"/>
        </w:rPr>
        <w:t>doanh</w:t>
      </w:r>
      <w:r w:rsidR="00C01FD1" w:rsidRPr="00135DFE">
        <w:rPr>
          <w:color w:val="000000" w:themeColor="text1"/>
          <w:sz w:val="28"/>
          <w:szCs w:val="28"/>
          <w:lang w:val="vi-VN"/>
        </w:rPr>
        <w:t xml:space="preserve"> thu (đối với dự án do Quốc hội, Thủ tướng Chính phủ, Bộ trưởng, người đứng đầu cơ quan trung ương quyết định chủ trương đầu tư); cơ quan ký kết hợp đồng gửi Sở Tài chính (đối với dự án do Hội đồng nhân dân quyết định chủ trương đầu tư)</w:t>
      </w:r>
    </w:p>
    <w:p w:rsidR="00C01FD1" w:rsidRPr="00135DFE"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135DFE">
        <w:rPr>
          <w:color w:val="000000" w:themeColor="text1"/>
          <w:sz w:val="28"/>
          <w:szCs w:val="28"/>
          <w:lang w:val="vi-VN"/>
        </w:rPr>
        <w:t xml:space="preserve">+ </w:t>
      </w:r>
      <w:r w:rsidR="00E44465" w:rsidRPr="00135DFE">
        <w:rPr>
          <w:color w:val="000000" w:themeColor="text1"/>
          <w:sz w:val="28"/>
          <w:szCs w:val="28"/>
          <w:lang w:val="vi-VN"/>
        </w:rPr>
        <w:t>Cơ quan tài chính (</w:t>
      </w:r>
      <w:r w:rsidRPr="00135DFE">
        <w:rPr>
          <w:color w:val="000000" w:themeColor="text1"/>
          <w:sz w:val="28"/>
          <w:szCs w:val="28"/>
          <w:lang w:val="vi-VN"/>
        </w:rPr>
        <w:t>Bộ Tài chính</w:t>
      </w:r>
      <w:r w:rsidR="00E44465" w:rsidRPr="00135DFE">
        <w:rPr>
          <w:color w:val="000000" w:themeColor="text1"/>
          <w:sz w:val="28"/>
          <w:szCs w:val="28"/>
          <w:lang w:val="vi-VN"/>
        </w:rPr>
        <w:t>, Sở Tài chính)</w:t>
      </w:r>
      <w:r w:rsidRPr="00135DFE">
        <w:rPr>
          <w:color w:val="000000" w:themeColor="text1"/>
          <w:sz w:val="28"/>
          <w:szCs w:val="28"/>
          <w:lang w:val="vi-VN"/>
        </w:rPr>
        <w:t xml:space="preserve"> chủ trì, tổng hợp trình </w:t>
      </w:r>
      <w:r w:rsidR="00E44465" w:rsidRPr="00135DFE">
        <w:rPr>
          <w:color w:val="000000" w:themeColor="text1"/>
          <w:sz w:val="28"/>
          <w:szCs w:val="28"/>
          <w:lang w:val="vi-VN"/>
        </w:rPr>
        <w:t xml:space="preserve">cấp có thẩm quyền </w:t>
      </w:r>
      <w:r w:rsidRPr="00135DFE">
        <w:rPr>
          <w:color w:val="000000" w:themeColor="text1"/>
          <w:sz w:val="28"/>
          <w:szCs w:val="28"/>
          <w:lang w:val="vi-VN"/>
        </w:rPr>
        <w:t xml:space="preserve">để xem xét quyết định sử dụng </w:t>
      </w:r>
      <w:r w:rsidR="00E44465" w:rsidRPr="00D519E4">
        <w:rPr>
          <w:color w:val="000000" w:themeColor="text1"/>
          <w:sz w:val="28"/>
          <w:szCs w:val="28"/>
          <w:lang w:val="vi-VN"/>
        </w:rPr>
        <w:t xml:space="preserve">nguồn dự phòng ngân sách nhà nước, </w:t>
      </w:r>
      <w:r w:rsidR="00E44465" w:rsidRPr="00135DFE">
        <w:rPr>
          <w:color w:val="000000" w:themeColor="text1"/>
          <w:sz w:val="28"/>
          <w:szCs w:val="28"/>
          <w:lang w:val="vi-VN"/>
        </w:rPr>
        <w:t xml:space="preserve">nguồn tăng thu và tiết kiệm chi, nguồn dự phòng chung của kế hoạch đầu tư công trung hạn </w:t>
      </w:r>
      <w:r w:rsidRPr="00135DFE">
        <w:rPr>
          <w:color w:val="000000" w:themeColor="text1"/>
          <w:sz w:val="28"/>
          <w:szCs w:val="28"/>
          <w:lang w:val="vi-VN"/>
        </w:rPr>
        <w:t xml:space="preserve">thanh toán phần chia sẻ doanh thu giảm. </w:t>
      </w:r>
    </w:p>
    <w:p w:rsidR="00D05C48" w:rsidRPr="00135DFE"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135DFE">
        <w:rPr>
          <w:color w:val="000000" w:themeColor="text1"/>
          <w:sz w:val="28"/>
          <w:szCs w:val="28"/>
          <w:lang w:val="vi-VN"/>
        </w:rPr>
        <w:t xml:space="preserve">- </w:t>
      </w:r>
      <w:r w:rsidR="00D05C48" w:rsidRPr="00135DFE">
        <w:rPr>
          <w:color w:val="000000" w:themeColor="text1"/>
          <w:sz w:val="28"/>
          <w:szCs w:val="28"/>
          <w:lang w:val="vi-VN"/>
        </w:rPr>
        <w:t xml:space="preserve">Thanh toán chia sẻ phần giảm doanh thu từ nguồn dự phòng ngân sách nhà nước, nguồn tăng thu và tiết kiệm chi của ngân sách nhà nước thực hiện theo hình thức lệnh chi tiền theo quy đinh của pháp luật về ngân sách nhà nước. </w:t>
      </w:r>
    </w:p>
    <w:p w:rsidR="00C01FD1" w:rsidRPr="00C01FD1" w:rsidRDefault="000C0846"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135DFE">
        <w:rPr>
          <w:color w:val="000000" w:themeColor="text1"/>
          <w:sz w:val="28"/>
          <w:szCs w:val="28"/>
          <w:lang w:val="vi-VN"/>
        </w:rPr>
        <w:t xml:space="preserve">- </w:t>
      </w:r>
      <w:r w:rsidR="00C01FD1" w:rsidRPr="00135DFE">
        <w:rPr>
          <w:color w:val="000000" w:themeColor="text1"/>
          <w:sz w:val="28"/>
          <w:szCs w:val="28"/>
          <w:lang w:val="vi-VN"/>
        </w:rPr>
        <w:t xml:space="preserve">Hồ sơ thanh toán cơ quan ký kết hợp đồng cần gửi kho bạc nhà nước: quyết định của cấp có thẩm quyền về sử dụng dự phòng </w:t>
      </w:r>
      <w:r w:rsidRPr="00135DFE">
        <w:rPr>
          <w:color w:val="000000" w:themeColor="text1"/>
          <w:sz w:val="28"/>
          <w:szCs w:val="28"/>
          <w:lang w:val="vi-VN"/>
        </w:rPr>
        <w:t>ngân sách nhà nước</w:t>
      </w:r>
      <w:r w:rsidR="00C01FD1" w:rsidRPr="00135DFE">
        <w:rPr>
          <w:color w:val="000000" w:themeColor="text1"/>
          <w:sz w:val="28"/>
          <w:szCs w:val="28"/>
          <w:lang w:val="vi-VN"/>
        </w:rPr>
        <w:t xml:space="preserve"> để thanh toán; Giấy đề nghị thanh toán, Chứng từ chuyển tiền.</w:t>
      </w:r>
    </w:p>
    <w:p w:rsidR="001C7F06" w:rsidRPr="001D42AE" w:rsidRDefault="00C01FD1" w:rsidP="00C01FD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sidRPr="00C01FD1">
        <w:rPr>
          <w:color w:val="000000" w:themeColor="text1"/>
          <w:sz w:val="28"/>
          <w:szCs w:val="28"/>
          <w:lang w:val="vi-VN"/>
        </w:rPr>
        <w:tab/>
      </w:r>
      <w:r w:rsidR="001C7F06" w:rsidRPr="001D42AE">
        <w:rPr>
          <w:b/>
          <w:bCs/>
          <w:i/>
          <w:iCs/>
          <w:color w:val="000000" w:themeColor="text1"/>
          <w:sz w:val="28"/>
          <w:szCs w:val="28"/>
          <w:lang w:val="vi-VN"/>
        </w:rPr>
        <w:t>2.5. Về lãi vay sau thời gian xây dựng, lợi nhuận hợp lý, thanh toán, quyết toán vốn ngân sách nhà nước thanh toán dự án BT</w:t>
      </w:r>
    </w:p>
    <w:p w:rsidR="00D6521B" w:rsidRPr="00D6521B" w:rsidRDefault="00D6521B" w:rsidP="009206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sidRPr="00D6521B">
        <w:rPr>
          <w:b/>
          <w:bCs/>
          <w:i/>
          <w:iCs/>
          <w:color w:val="000000" w:themeColor="text1"/>
          <w:sz w:val="28"/>
          <w:szCs w:val="28"/>
          <w:lang w:val="vi-VN"/>
        </w:rPr>
        <w:t>a) Quy định của Luật PPP</w:t>
      </w:r>
    </w:p>
    <w:p w:rsidR="00920661" w:rsidRDefault="00920661" w:rsidP="009206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Tại điểm b khoản 12 Điều 3 Luật số 57/2024/QH15 quy định: </w:t>
      </w:r>
    </w:p>
    <w:p w:rsidR="00920661" w:rsidRPr="00920661" w:rsidRDefault="00920661" w:rsidP="009206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920661">
        <w:rPr>
          <w:i/>
          <w:iCs/>
          <w:color w:val="000000" w:themeColor="text1"/>
          <w:sz w:val="28"/>
          <w:szCs w:val="28"/>
          <w:lang w:val="vi-VN"/>
        </w:rPr>
        <w:t>“2a. Hợp đồng BT là hợp đồng được ký kết giữa cơ quan có thẩm quyền và nhà đầu tư, doanh nghiệp dự án (nếu có) để xây dựng công trình, hệ thống cơ sở hạ tầng; sau khi hoàn thành, nhà đầu tư chuyển giao công trình dự án BT cho cơ quan có thẩm quyền.</w:t>
      </w:r>
    </w:p>
    <w:p w:rsidR="00920661" w:rsidRPr="00920661" w:rsidRDefault="00920661" w:rsidP="009206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920661">
        <w:rPr>
          <w:i/>
          <w:iCs/>
          <w:color w:val="000000" w:themeColor="text1"/>
          <w:sz w:val="28"/>
          <w:szCs w:val="28"/>
          <w:lang w:val="vi-VN"/>
        </w:rPr>
        <w:t>Hợp đồng BT được thực hiện theo hình thức sau đây:</w:t>
      </w:r>
    </w:p>
    <w:p w:rsidR="00920661" w:rsidRPr="00920661" w:rsidRDefault="00920661" w:rsidP="009206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920661">
        <w:rPr>
          <w:i/>
          <w:iCs/>
          <w:color w:val="000000" w:themeColor="text1"/>
          <w:sz w:val="28"/>
          <w:szCs w:val="28"/>
          <w:lang w:val="vi-VN"/>
        </w:rPr>
        <w:t xml:space="preserve">a) Thanh toán bằng quỹ đất được thu hồi theo quy định của pháp luật về đất đai, quỹ đất do cơ quan, tổ chức của Nhà nước quản lý để thực hiện dự án đối ứng. Việc giao đất, cho thuê đất để thực hiện công trình BT và dự án đối ứng là trường hợp giao đất, cho thuê đất không đấu giá quyền sử dụng đất, không đấu thầu lựa chọn nhà đầu tư thực hiện dự án có sử dụng đất. Trình tự, thủ tục giao đất, cho thuê đất thực hiện theo quy định của pháp luật về đất đai. Giá đất </w:t>
      </w:r>
      <w:r w:rsidRPr="00920661">
        <w:rPr>
          <w:i/>
          <w:iCs/>
          <w:color w:val="000000" w:themeColor="text1"/>
          <w:sz w:val="28"/>
          <w:szCs w:val="28"/>
          <w:lang w:val="vi-VN"/>
        </w:rPr>
        <w:lastRenderedPageBreak/>
        <w:t>dự kiến của quỹ đất thanh toán dự án BT được tính căn cứ bảng giá đất tại thời điểm lập dự án, lập hồ sơ mời thầu. Việc thanh toán được thực hiện theo cơ chế bù trừ chênh lệch giữa giá trị công trình BT và giá trị quỹ đất thanh toán;</w:t>
      </w:r>
    </w:p>
    <w:p w:rsidR="001C7F06" w:rsidRPr="00920661" w:rsidRDefault="00920661" w:rsidP="009206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i/>
          <w:iCs/>
          <w:color w:val="000000" w:themeColor="text1"/>
          <w:sz w:val="28"/>
          <w:szCs w:val="28"/>
          <w:lang w:val="vi-VN"/>
        </w:rPr>
      </w:pPr>
      <w:r w:rsidRPr="00920661">
        <w:rPr>
          <w:i/>
          <w:iCs/>
          <w:color w:val="000000" w:themeColor="text1"/>
          <w:sz w:val="28"/>
          <w:szCs w:val="28"/>
          <w:lang w:val="vi-VN"/>
        </w:rPr>
        <w:t>b) Thanh toán bằng ngân sách nhà nước từ nguồn vốn đầu tư công hoặc từ nguồn ngân sách nhà nước thu được sau đấu giá quỹ đất, tài sản công và được ghi thu, ghi chi ngân sách nhà nước. Giá trị công trình dự án BT gồm tổng mức đầu tư xây dựng công trình được xác định theo quy định của pháp luật về xây dựng và các chi phí khác sau giai đoạn xây dựng, trong đó có lãi vay sau giai đoạn xây dựng, lợi nhuận hợp lý của nhà đầu tư”.</w:t>
      </w:r>
    </w:p>
    <w:p w:rsidR="00D6521B" w:rsidRDefault="00D6521B" w:rsidP="00542EC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color w:val="000000" w:themeColor="text1"/>
          <w:sz w:val="28"/>
          <w:szCs w:val="28"/>
          <w:lang w:val="vi-VN"/>
        </w:rPr>
      </w:pPr>
      <w:r>
        <w:rPr>
          <w:b/>
          <w:bCs/>
          <w:i/>
          <w:iCs/>
          <w:color w:val="000000" w:themeColor="text1"/>
          <w:sz w:val="28"/>
          <w:szCs w:val="28"/>
          <w:lang w:val="vi-VN"/>
        </w:rPr>
        <w:t>b) Đề xuất của Bộ Tài chính</w:t>
      </w:r>
    </w:p>
    <w:p w:rsidR="00974494" w:rsidRDefault="00974494" w:rsidP="0097449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Cs/>
          <w:iCs/>
          <w:noProof/>
          <w:color w:val="000000"/>
          <w:sz w:val="28"/>
          <w:szCs w:val="28"/>
          <w:lang w:val="vi-VN"/>
        </w:rPr>
      </w:pPr>
      <w:r>
        <w:rPr>
          <w:bCs/>
          <w:iCs/>
          <w:noProof/>
          <w:color w:val="000000"/>
          <w:sz w:val="28"/>
          <w:szCs w:val="28"/>
          <w:lang w:val="vi-VN"/>
        </w:rPr>
        <w:t>(1) Lãi vay sau thời gian xây dựng</w:t>
      </w:r>
      <w:r w:rsidR="00765BFE">
        <w:rPr>
          <w:bCs/>
          <w:iCs/>
          <w:noProof/>
          <w:color w:val="000000"/>
          <w:sz w:val="28"/>
          <w:szCs w:val="28"/>
          <w:lang w:val="vi-VN"/>
        </w:rPr>
        <w:t xml:space="preserve"> (Điều 28)</w:t>
      </w:r>
    </w:p>
    <w:p w:rsidR="001C7F06" w:rsidRDefault="00974494" w:rsidP="0097449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sz w:val="28"/>
          <w:szCs w:val="28"/>
          <w:lang w:val="vi-VN" w:eastAsia="vi-VN"/>
        </w:rPr>
      </w:pPr>
      <w:r>
        <w:rPr>
          <w:bCs/>
          <w:iCs/>
          <w:noProof/>
          <w:color w:val="000000"/>
          <w:sz w:val="28"/>
          <w:szCs w:val="28"/>
          <w:lang w:val="vi-VN"/>
        </w:rPr>
        <w:t>-</w:t>
      </w:r>
      <w:r w:rsidRPr="00974494">
        <w:rPr>
          <w:bCs/>
          <w:iCs/>
          <w:noProof/>
          <w:color w:val="000000"/>
          <w:sz w:val="28"/>
          <w:szCs w:val="28"/>
          <w:lang w:val="vi-VN"/>
        </w:rPr>
        <w:t xml:space="preserve"> </w:t>
      </w:r>
      <w:r w:rsidRPr="00D519E4">
        <w:rPr>
          <w:bCs/>
          <w:iCs/>
          <w:noProof/>
          <w:color w:val="000000"/>
          <w:sz w:val="28"/>
          <w:szCs w:val="28"/>
          <w:lang w:val="vi-VN"/>
        </w:rPr>
        <w:t>Căn cứ tham khảo lãi suất vốn vay gồm</w:t>
      </w:r>
      <w:r>
        <w:rPr>
          <w:bCs/>
          <w:iCs/>
          <w:noProof/>
          <w:color w:val="000000"/>
          <w:sz w:val="28"/>
          <w:szCs w:val="28"/>
          <w:lang w:val="vi-VN"/>
        </w:rPr>
        <w:t xml:space="preserve">: (i) </w:t>
      </w:r>
      <w:r w:rsidRPr="00D519E4">
        <w:rPr>
          <w:color w:val="000000"/>
          <w:sz w:val="28"/>
          <w:szCs w:val="28"/>
          <w:lang w:val="vi-VN" w:eastAsia="vi-VN"/>
        </w:rPr>
        <w:t xml:space="preserve">Lãi suất cho vay bình quân trung hạn, dài hạn của 04 ngân hàng thương mại trên địa bàn thực hiện dự án do Chi nhánh Ngân hàng Nhà nước </w:t>
      </w:r>
      <w:r w:rsidRPr="00135DFE">
        <w:rPr>
          <w:color w:val="000000"/>
          <w:sz w:val="28"/>
          <w:szCs w:val="28"/>
          <w:lang w:val="vi-VN" w:eastAsia="vi-VN"/>
        </w:rPr>
        <w:t>(khu vực)</w:t>
      </w:r>
      <w:r w:rsidRPr="00D519E4">
        <w:rPr>
          <w:color w:val="000000"/>
          <w:sz w:val="28"/>
          <w:szCs w:val="28"/>
          <w:lang w:val="vi-VN" w:eastAsia="vi-VN"/>
        </w:rPr>
        <w:t xml:space="preserve"> tại địa phương cung cấp gồm: Ngân hàng thương mại cổ phần Ngoại thương Việt Nam, Ngân hàng thương mại cổ phần Đầu tư và Phát triển Việt Nam, Ngân hàng thương mại cổ phần Công Thương Việt Nam, Ngân hàng Nông nghiệp và Phát triển nông thôn Việt Nam</w:t>
      </w:r>
      <w:r>
        <w:rPr>
          <w:color w:val="000000"/>
          <w:sz w:val="28"/>
          <w:szCs w:val="28"/>
          <w:lang w:val="vi-VN" w:eastAsia="vi-VN"/>
        </w:rPr>
        <w:t xml:space="preserve">; (ii) </w:t>
      </w:r>
      <w:r w:rsidRPr="00D519E4">
        <w:rPr>
          <w:color w:val="000000"/>
          <w:sz w:val="28"/>
          <w:szCs w:val="28"/>
          <w:lang w:val="vi-VN" w:eastAsia="vi-VN"/>
        </w:rPr>
        <w:t>Lãi suất vốn vay của các dự án BT tương tự</w:t>
      </w:r>
      <w:r>
        <w:rPr>
          <w:color w:val="000000"/>
          <w:sz w:val="28"/>
          <w:szCs w:val="28"/>
          <w:lang w:val="vi-VN" w:eastAsia="vi-VN"/>
        </w:rPr>
        <w:t>.</w:t>
      </w:r>
    </w:p>
    <w:p w:rsidR="00974494" w:rsidRPr="00974494" w:rsidRDefault="00974494" w:rsidP="0097449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sz w:val="28"/>
          <w:szCs w:val="28"/>
          <w:lang w:val="vi-VN" w:eastAsia="vi-VN"/>
        </w:rPr>
      </w:pPr>
      <w:r w:rsidRPr="00974494">
        <w:rPr>
          <w:color w:val="000000"/>
          <w:sz w:val="28"/>
          <w:szCs w:val="28"/>
          <w:lang w:val="vi-VN" w:eastAsia="vi-VN"/>
        </w:rPr>
        <w:t>- Thời gian tính lãi vay: Thời gian tính lãi vay sau thời gian xây dựng được tính từ thời điểm dự án BT hoàn thành, bàn giao và đưa vào sử dụng đến thời điểm Nhà nước hoàn thành thanh toán cho nhà đầu tư;</w:t>
      </w:r>
    </w:p>
    <w:p w:rsidR="00974494" w:rsidRPr="00974494" w:rsidRDefault="00974494" w:rsidP="0097449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sz w:val="28"/>
          <w:szCs w:val="28"/>
          <w:lang w:val="vi-VN" w:eastAsia="vi-VN"/>
        </w:rPr>
      </w:pPr>
      <w:r w:rsidRPr="00974494">
        <w:rPr>
          <w:color w:val="000000"/>
          <w:sz w:val="28"/>
          <w:szCs w:val="28"/>
          <w:lang w:val="vi-VN" w:eastAsia="vi-VN"/>
        </w:rPr>
        <w:t>- Mức lãi suất: Lãi suất vốn vay được tính theo lãi suất vốn vay thực tế do nhà đầu tư huy động vốn để thực hiện dự án BT, tối đa bằng lãi suất vốn vay quy định tại hợp đồng BT và phụ lục hợp đồng BT (nếu có);</w:t>
      </w:r>
    </w:p>
    <w:p w:rsidR="00974494" w:rsidRPr="00974494" w:rsidRDefault="00974494" w:rsidP="0097449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sz w:val="28"/>
          <w:szCs w:val="28"/>
          <w:lang w:val="vi-VN" w:eastAsia="vi-VN"/>
        </w:rPr>
      </w:pPr>
      <w:r w:rsidRPr="00974494">
        <w:rPr>
          <w:color w:val="000000"/>
          <w:sz w:val="28"/>
          <w:szCs w:val="28"/>
          <w:lang w:val="vi-VN" w:eastAsia="vi-VN"/>
        </w:rPr>
        <w:t>- Mức vốn vay: mức vốn vay theo thực tế, tối đa bằng mức vốn vay quy định tại hợp đồng BT và phụ lục hợp đồng BT (nếu có);</w:t>
      </w:r>
    </w:p>
    <w:p w:rsidR="00974494" w:rsidRPr="00974494" w:rsidRDefault="00974494" w:rsidP="0097449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Cs/>
          <w:iCs/>
          <w:color w:val="000000" w:themeColor="text1"/>
          <w:sz w:val="28"/>
          <w:szCs w:val="28"/>
          <w:lang w:val="vi-VN"/>
        </w:rPr>
      </w:pPr>
      <w:r w:rsidRPr="00974494">
        <w:rPr>
          <w:color w:val="000000"/>
          <w:sz w:val="28"/>
          <w:szCs w:val="28"/>
          <w:lang w:val="vi-VN" w:eastAsia="vi-VN"/>
        </w:rPr>
        <w:t>- Thời điểm giải ngân các nguồn vốn, thời điểm Nhà nước thanh toán.</w:t>
      </w:r>
    </w:p>
    <w:p w:rsidR="008835BE" w:rsidRDefault="008835BE" w:rsidP="008835B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(2) Lợi nhuận hợp lý của nhà đầu tư</w:t>
      </w:r>
      <w:r w:rsidR="00765BFE">
        <w:rPr>
          <w:color w:val="000000" w:themeColor="text1"/>
          <w:sz w:val="28"/>
          <w:szCs w:val="28"/>
          <w:lang w:val="vi-VN"/>
        </w:rPr>
        <w:t xml:space="preserve"> (Điều 29)</w:t>
      </w:r>
    </w:p>
    <w:p w:rsidR="008835BE" w:rsidRPr="008835BE" w:rsidRDefault="008835BE" w:rsidP="008835B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 </w:t>
      </w:r>
      <w:r w:rsidRPr="00D519E4">
        <w:rPr>
          <w:color w:val="000000" w:themeColor="text1"/>
          <w:sz w:val="28"/>
          <w:szCs w:val="28"/>
          <w:lang w:val="vi-VN" w:eastAsia="vi-VN"/>
        </w:rPr>
        <w:t xml:space="preserve">Tỷ suất lợi nhuận trên vốn chủ sở hữu của nhà đầu tư tối đa bằng </w:t>
      </w:r>
      <w:r w:rsidRPr="00D519E4">
        <w:rPr>
          <w:color w:val="000000"/>
          <w:sz w:val="28"/>
          <w:szCs w:val="28"/>
          <w:lang w:val="vi-VN" w:eastAsia="vi-VN"/>
        </w:rPr>
        <w:t>lãi suất huy động bình quân trung hạn, dài hạn của 04 ngân hàng thương mại trên địa bàn thực hiện dự án do Chi nhánh Ngân hàng Nhà nước tại địa phương cung cấp gồm: Ngân hàng thương mại cổ phần Ngoại thương Việt Nam, Ngân hàng thương mại cổ phần Đầu tư và Phát triển Việt Nam, Ngân hàng thương mại cổ phần Công Thương Việt Nam, Ngân hàng Nông nghiệp và Phát triển nông thôn Việt Nam.</w:t>
      </w:r>
    </w:p>
    <w:p w:rsidR="00BC63E1" w:rsidRPr="00BC63E1" w:rsidRDefault="00BC63E1"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BC63E1">
        <w:rPr>
          <w:color w:val="000000" w:themeColor="text1"/>
          <w:sz w:val="28"/>
          <w:szCs w:val="28"/>
          <w:lang w:val="vi-VN"/>
        </w:rPr>
        <w:t xml:space="preserve">- Thời gian tính lợi nhuận của nhà đầu tư: tính từ thời điểm hạng mục công trình độc lập hoàn thành, dự án BT hoàn thành được bàn giao và đưa vào sử dụng đến thời điểm hoàn thành thanh toán cho nhà đầu tư; </w:t>
      </w:r>
    </w:p>
    <w:p w:rsidR="00BC63E1" w:rsidRPr="00BC63E1" w:rsidRDefault="00BC63E1"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BC63E1">
        <w:rPr>
          <w:color w:val="000000" w:themeColor="text1"/>
          <w:sz w:val="28"/>
          <w:szCs w:val="28"/>
          <w:lang w:val="vi-VN"/>
        </w:rPr>
        <w:t xml:space="preserve">- Mức vốn chủ sở hữu nhà đầu tư thực tế tham gia dự án, tối đa bằng mức </w:t>
      </w:r>
      <w:r w:rsidRPr="00BC63E1">
        <w:rPr>
          <w:color w:val="000000" w:themeColor="text1"/>
          <w:sz w:val="28"/>
          <w:szCs w:val="28"/>
          <w:lang w:val="vi-VN"/>
        </w:rPr>
        <w:lastRenderedPageBreak/>
        <w:t xml:space="preserve">vốn chủ sở hữu quy định tại hợp đồng BT và phụ lục hợp đồng BT (nếu có); </w:t>
      </w:r>
    </w:p>
    <w:p w:rsidR="00BC63E1" w:rsidRPr="00BC63E1" w:rsidRDefault="00BC63E1"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BC63E1">
        <w:rPr>
          <w:color w:val="000000" w:themeColor="text1"/>
          <w:sz w:val="28"/>
          <w:szCs w:val="28"/>
          <w:lang w:val="vi-VN"/>
        </w:rPr>
        <w:t>- Tỷ lệ lợi nhuận trên vốn chủ sở hữu quy định tại hợp đồng BT và phụ lục hợp đồng BT (nếu có)</w:t>
      </w:r>
    </w:p>
    <w:p w:rsidR="008835BE" w:rsidRDefault="00BC63E1"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BC63E1">
        <w:rPr>
          <w:color w:val="000000" w:themeColor="text1"/>
          <w:sz w:val="28"/>
          <w:szCs w:val="28"/>
          <w:lang w:val="vi-VN"/>
        </w:rPr>
        <w:t>- Thời điểm giải ngân vốn chủ sở hữu, thời điểm Nhà nước thanh toán cho nhà đầu tư theo quy định tại hợp đồng BT và phụ lục hợp đồng BT (nếu có).</w:t>
      </w:r>
    </w:p>
    <w:p w:rsidR="00BC63E1" w:rsidRPr="00135DFE" w:rsidRDefault="00BC63E1"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pacing w:val="-6"/>
          <w:sz w:val="28"/>
          <w:szCs w:val="28"/>
          <w:lang w:val="vi-VN"/>
        </w:rPr>
      </w:pPr>
      <w:r w:rsidRPr="00135DFE">
        <w:rPr>
          <w:color w:val="000000" w:themeColor="text1"/>
          <w:spacing w:val="-6"/>
          <w:sz w:val="28"/>
          <w:szCs w:val="28"/>
          <w:lang w:val="vi-VN"/>
        </w:rPr>
        <w:t>(3) Thanh toán dự án BT từ nguồn ngân sách nhà nước</w:t>
      </w:r>
      <w:r w:rsidR="00765BFE" w:rsidRPr="00135DFE">
        <w:rPr>
          <w:color w:val="000000" w:themeColor="text1"/>
          <w:spacing w:val="-6"/>
          <w:sz w:val="28"/>
          <w:szCs w:val="28"/>
          <w:lang w:val="vi-VN"/>
        </w:rPr>
        <w:t xml:space="preserve"> (Điều 30 đến Điều 32)</w:t>
      </w:r>
    </w:p>
    <w:p w:rsidR="00BC63E1" w:rsidRDefault="00BC63E1" w:rsidP="00382B5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 Điều kiện thanh toán: </w:t>
      </w:r>
      <w:r w:rsidRPr="00D519E4">
        <w:rPr>
          <w:color w:val="000000" w:themeColor="text1"/>
          <w:sz w:val="28"/>
          <w:szCs w:val="28"/>
          <w:lang w:val="vi-VN" w:eastAsia="vi-VN"/>
        </w:rPr>
        <w:t>Thời gian bố trí vốn đầu tư công, nguồn</w:t>
      </w:r>
      <w:r w:rsidRPr="00D519E4">
        <w:rPr>
          <w:iCs/>
          <w:color w:val="000000" w:themeColor="text1"/>
          <w:sz w:val="28"/>
          <w:szCs w:val="28"/>
          <w:lang w:val="vi-VN"/>
        </w:rPr>
        <w:t xml:space="preserve"> ngân sách nhà nước thu được sau đấu giá quỹ đất, tài sản công</w:t>
      </w:r>
      <w:r w:rsidRPr="00D519E4">
        <w:rPr>
          <w:color w:val="000000" w:themeColor="text1"/>
          <w:sz w:val="28"/>
          <w:szCs w:val="28"/>
          <w:lang w:val="vi-VN" w:eastAsia="vi-VN"/>
        </w:rPr>
        <w:t xml:space="preserve"> thanh toán dự án BT kể từ thời điểm dự án hoàn thành, bàn giao cho Nhà nước không quá 06 năm đối với dự án nhóm A, không quá 04 năm đối với nhóm B, không quá 03 năm đối với nhóm C</w:t>
      </w:r>
      <w:r>
        <w:rPr>
          <w:color w:val="000000" w:themeColor="text1"/>
          <w:sz w:val="28"/>
          <w:szCs w:val="28"/>
          <w:lang w:val="vi-VN" w:eastAsia="vi-VN"/>
        </w:rPr>
        <w:t xml:space="preserve">; </w:t>
      </w:r>
      <w:r w:rsidRPr="00D519E4">
        <w:rPr>
          <w:color w:val="000000"/>
          <w:sz w:val="28"/>
          <w:szCs w:val="28"/>
          <w:lang w:val="vi-VN" w:eastAsia="vi-VN"/>
        </w:rPr>
        <w:t>Nhà nước thanh toán cho doanh nghiệp dự án BT hoặc nhà đầu tư (trường hợp không thành lập doanh nghiệp dự án BT) sau khi dự án BT được cơ quan ký kết hợp đồng BT cấp xác nhận hoàn thành theo quy định của pháp luật xây dựng và đã được kiểm toán giá trị dự án BT hoàn thành</w:t>
      </w:r>
      <w:r>
        <w:rPr>
          <w:color w:val="000000"/>
          <w:sz w:val="28"/>
          <w:szCs w:val="28"/>
          <w:lang w:val="vi-VN" w:eastAsia="vi-VN"/>
        </w:rPr>
        <w:t xml:space="preserve">; </w:t>
      </w:r>
      <w:r w:rsidRPr="00D519E4">
        <w:rPr>
          <w:color w:val="000000"/>
          <w:sz w:val="28"/>
          <w:szCs w:val="28"/>
          <w:lang w:val="vi-VN" w:eastAsia="vi-VN"/>
        </w:rPr>
        <w:t>Dự án BT sử dụng nguồn ngân sách nhà nước thu được sau đấu giá quỹ đất, tài sản công chỉ được thanh toán khi đã được tổng hợp vào dự toán ngân sách của cơ quan có thẩm quyền và tiền từ đấu giá quỹ đất, tài sản công đã được nộp vào ngân sách nhà nước</w:t>
      </w:r>
      <w:r>
        <w:rPr>
          <w:color w:val="000000"/>
          <w:sz w:val="28"/>
          <w:szCs w:val="28"/>
          <w:lang w:val="vi-VN" w:eastAsia="vi-VN"/>
        </w:rPr>
        <w:t xml:space="preserve">; </w:t>
      </w:r>
      <w:r w:rsidRPr="00D519E4">
        <w:rPr>
          <w:color w:val="000000"/>
          <w:sz w:val="28"/>
          <w:szCs w:val="28"/>
          <w:lang w:val="vi-VN" w:eastAsia="vi-VN"/>
        </w:rPr>
        <w:t>Việc thanh toán lần cuối chỉ thực hiện sau dự án BT hoàn thành được cấp có thẩm quyền phê duyệt quyết toán vốn đầu tư dự án BT hoàn thành.</w:t>
      </w:r>
    </w:p>
    <w:p w:rsidR="00BC63E1" w:rsidRPr="00BC63E1" w:rsidRDefault="00BC63E1"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 </w:t>
      </w:r>
      <w:r w:rsidRPr="00BC63E1">
        <w:rPr>
          <w:color w:val="000000" w:themeColor="text1"/>
          <w:sz w:val="28"/>
          <w:szCs w:val="28"/>
          <w:lang w:val="vi-VN"/>
        </w:rPr>
        <w:t>Kho bạc Nhà nước thực hiện nhiệm vụ kiểm soát, thanh toán vốn đầu tư công nguồn ngân sách nhà nước.</w:t>
      </w:r>
    </w:p>
    <w:p w:rsidR="00BC63E1" w:rsidRPr="00BC63E1" w:rsidRDefault="00BC63E1" w:rsidP="00E21E4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BC63E1">
        <w:rPr>
          <w:color w:val="000000" w:themeColor="text1"/>
          <w:sz w:val="28"/>
          <w:szCs w:val="28"/>
          <w:lang w:val="vi-VN"/>
        </w:rPr>
        <w:t xml:space="preserve">- Cơ quan ký kết hợp đồng dự án BT mở tài khoản tại Kho bạc Nhà nước </w:t>
      </w:r>
      <w:r w:rsidR="00382B52">
        <w:rPr>
          <w:color w:val="000000" w:themeColor="text1"/>
          <w:sz w:val="28"/>
          <w:szCs w:val="28"/>
          <w:lang w:val="vi-VN"/>
        </w:rPr>
        <w:t xml:space="preserve">(khu vực) </w:t>
      </w:r>
      <w:r w:rsidRPr="00BC63E1">
        <w:rPr>
          <w:color w:val="000000" w:themeColor="text1"/>
          <w:sz w:val="28"/>
          <w:szCs w:val="28"/>
          <w:lang w:val="vi-VN"/>
        </w:rPr>
        <w:t xml:space="preserve">nơi thuận tiện cho giao dịch. </w:t>
      </w:r>
    </w:p>
    <w:p w:rsidR="00BC63E1" w:rsidRPr="00135DFE" w:rsidRDefault="00BC63E1"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pacing w:val="-4"/>
          <w:sz w:val="28"/>
          <w:szCs w:val="28"/>
          <w:lang w:val="vi-VN"/>
        </w:rPr>
      </w:pPr>
      <w:r w:rsidRPr="00135DFE">
        <w:rPr>
          <w:color w:val="000000" w:themeColor="text1"/>
          <w:spacing w:val="-4"/>
          <w:sz w:val="28"/>
          <w:szCs w:val="28"/>
          <w:lang w:val="vi-VN"/>
        </w:rPr>
        <w:t>- Cách thức thực hiện thủ tục thanh toán vốn nhà nước qua Kho bạc Nhà nước: Gửi hồ sơ và nhận kết quả trực tiếp tại trụ sở Kho bạc Nhà nước hoặc Trang thông tin dịch vụ công của Kho bạc Nhà nước trong trường hợp đơn vị có tham gia giao dịch điện tử với Kho bạc Nhà nước hoặc Cổng dịch vụ công quốc gia.</w:t>
      </w:r>
    </w:p>
    <w:p w:rsidR="00BC63E1" w:rsidRDefault="00BC63E1"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BC63E1">
        <w:rPr>
          <w:color w:val="000000" w:themeColor="text1"/>
          <w:sz w:val="28"/>
          <w:szCs w:val="28"/>
          <w:lang w:val="vi-VN"/>
        </w:rPr>
        <w:t xml:space="preserve">- Hồ sơ thanh toán: hồ sơ pháp lý gửi 01 lần, hồ sơ đề nghị thanh toán từng lần. </w:t>
      </w:r>
    </w:p>
    <w:p w:rsidR="00765BFE" w:rsidRPr="00BC63E1" w:rsidRDefault="00765BFE" w:rsidP="00765BF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 </w:t>
      </w:r>
      <w:r w:rsidRPr="00765BFE">
        <w:rPr>
          <w:color w:val="000000" w:themeColor="text1"/>
          <w:sz w:val="28"/>
          <w:szCs w:val="28"/>
          <w:lang w:val="vi-VN"/>
        </w:rPr>
        <w:t>Hạch toán ghi thu, ghi chi đối với dự án sử dụng nguồn ngân sách nhà nước từ đấu giá quỹ đất, tài sản công</w:t>
      </w:r>
      <w:r>
        <w:rPr>
          <w:color w:val="000000" w:themeColor="text1"/>
          <w:sz w:val="28"/>
          <w:szCs w:val="28"/>
          <w:lang w:val="vi-VN"/>
        </w:rPr>
        <w:t>: t</w:t>
      </w:r>
      <w:r w:rsidRPr="00765BFE">
        <w:rPr>
          <w:color w:val="000000" w:themeColor="text1"/>
          <w:sz w:val="28"/>
          <w:szCs w:val="28"/>
          <w:lang w:val="vi-VN"/>
        </w:rPr>
        <w:t>hực hiện ghi thu ngân sách nhà nước khi tiền từ đấu giá quỹ đất, tài sản công được nộp vào ngân sách nhà nước và ghi chi ngân sách nhà nước khi ngân sách nhà nước thanh toán cho doanh nghiệp dự án hoặc nhà đầu tư (trường hợp không thành lập doanh nghiệp dự án).</w:t>
      </w:r>
    </w:p>
    <w:p w:rsidR="00BC63E1" w:rsidRPr="00BC63E1" w:rsidRDefault="00E21E48"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(4) </w:t>
      </w:r>
      <w:r w:rsidR="00BC63E1" w:rsidRPr="00BC63E1">
        <w:rPr>
          <w:color w:val="000000" w:themeColor="text1"/>
          <w:sz w:val="28"/>
          <w:szCs w:val="28"/>
          <w:lang w:val="vi-VN"/>
        </w:rPr>
        <w:t xml:space="preserve">Quyết toán </w:t>
      </w:r>
      <w:r>
        <w:rPr>
          <w:color w:val="000000" w:themeColor="text1"/>
          <w:sz w:val="28"/>
          <w:szCs w:val="28"/>
          <w:lang w:val="vi-VN"/>
        </w:rPr>
        <w:t xml:space="preserve">vốn đầu tư </w:t>
      </w:r>
      <w:r w:rsidR="00BC63E1" w:rsidRPr="00BC63E1">
        <w:rPr>
          <w:color w:val="000000" w:themeColor="text1"/>
          <w:sz w:val="28"/>
          <w:szCs w:val="28"/>
          <w:lang w:val="vi-VN"/>
        </w:rPr>
        <w:t xml:space="preserve">dự án BT hoàn thành (Điều </w:t>
      </w:r>
      <w:r w:rsidR="00765BFE">
        <w:rPr>
          <w:color w:val="000000" w:themeColor="text1"/>
          <w:sz w:val="28"/>
          <w:szCs w:val="28"/>
          <w:lang w:val="vi-VN"/>
        </w:rPr>
        <w:t>33</w:t>
      </w:r>
      <w:r w:rsidR="00BC63E1" w:rsidRPr="00BC63E1">
        <w:rPr>
          <w:color w:val="000000" w:themeColor="text1"/>
          <w:sz w:val="28"/>
          <w:szCs w:val="28"/>
          <w:lang w:val="vi-VN"/>
        </w:rPr>
        <w:t xml:space="preserve">, Điều </w:t>
      </w:r>
      <w:r w:rsidR="00765BFE">
        <w:rPr>
          <w:color w:val="000000" w:themeColor="text1"/>
          <w:sz w:val="28"/>
          <w:szCs w:val="28"/>
          <w:lang w:val="vi-VN"/>
        </w:rPr>
        <w:t>34</w:t>
      </w:r>
      <w:r w:rsidR="00BC63E1" w:rsidRPr="00BC63E1">
        <w:rPr>
          <w:color w:val="000000" w:themeColor="text1"/>
          <w:sz w:val="28"/>
          <w:szCs w:val="28"/>
          <w:lang w:val="vi-VN"/>
        </w:rPr>
        <w:t>)</w:t>
      </w:r>
    </w:p>
    <w:p w:rsidR="00BC63E1" w:rsidRPr="00BC63E1" w:rsidRDefault="00BC63E1"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BC63E1">
        <w:rPr>
          <w:color w:val="000000" w:themeColor="text1"/>
          <w:sz w:val="28"/>
          <w:szCs w:val="28"/>
          <w:lang w:val="vi-VN"/>
        </w:rPr>
        <w:t xml:space="preserve">Việc quyết toán vốn đầu tư dự án BT hoàn thành thực hiện theo quy định của pháp luật về đầu tư công và một số quy định sau:  </w:t>
      </w:r>
    </w:p>
    <w:p w:rsidR="00BC63E1" w:rsidRPr="00BC63E1" w:rsidRDefault="00BC63E1"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BC63E1">
        <w:rPr>
          <w:color w:val="000000" w:themeColor="text1"/>
          <w:sz w:val="28"/>
          <w:szCs w:val="28"/>
          <w:lang w:val="vi-VN"/>
        </w:rPr>
        <w:t>- Cơ quan lập báo cáo quyết toán: Doanh nghiệp dự án BT hoặc nhà đầu tư trong trường hợp không thành lập doanh nghiệp dự án BT.</w:t>
      </w:r>
    </w:p>
    <w:p w:rsidR="00BC63E1" w:rsidRPr="00BC63E1" w:rsidRDefault="00BC63E1" w:rsidP="00BC63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BC63E1">
        <w:rPr>
          <w:color w:val="000000" w:themeColor="text1"/>
          <w:sz w:val="28"/>
          <w:szCs w:val="28"/>
          <w:lang w:val="vi-VN"/>
        </w:rPr>
        <w:lastRenderedPageBreak/>
        <w:t>- Người có thẩm quyền phê duyệt dự án BT là người có thẩm quyền phê duyệt báo cáo quyết toán vốn đầu tư dự án BT hoàn thành.</w:t>
      </w:r>
    </w:p>
    <w:p w:rsidR="00C01FD1" w:rsidRPr="00382B52" w:rsidRDefault="00BC63E1" w:rsidP="00382B5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sidRPr="00BC63E1">
        <w:rPr>
          <w:color w:val="000000" w:themeColor="text1"/>
          <w:sz w:val="28"/>
          <w:szCs w:val="28"/>
          <w:lang w:val="vi-VN"/>
        </w:rPr>
        <w:t>- Nguyên tắc quyết toán vốn đầu tư dự án BT hoàn thành: dự án BT hoàn thành phải thực hiện kiểm toán báo cáo quyết toán vốn đầu tư dự án BT hoàn thành; Quyết toán vốn đầu tư dự án BT hoàn thành căn cứ quyết định phê duyệt dự án, quy định tại hợp đồng dự án BT và phụ lục hợp đồng BT (nếu có), báo cáo quyết toán vốn đầu tư dự án BT hoàn thành và văn bản của người có thẩm quyền phê duyệt dự án BT xác định chi phí lãi vay đối với phần lãi vay của nhà đầu tư phát sinh sau thời điểm tổ chức kiểm toán thực hiện kiểm toán.</w:t>
      </w:r>
    </w:p>
    <w:p w:rsidR="003828CB" w:rsidRDefault="009E5731" w:rsidP="009E573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sz w:val="28"/>
          <w:szCs w:val="28"/>
          <w:lang w:val="vi-VN"/>
        </w:rPr>
      </w:pPr>
      <w:r w:rsidRPr="009E5731">
        <w:rPr>
          <w:b/>
          <w:bCs/>
          <w:sz w:val="28"/>
          <w:szCs w:val="28"/>
          <w:lang w:val="vi-VN"/>
        </w:rPr>
        <w:t>V. DỰ KIẾN NGUỒN LỰC, THI HÀNH NGHỊ ĐỊNH</w:t>
      </w:r>
    </w:p>
    <w:p w:rsidR="009E5731" w:rsidRPr="00103FC9" w:rsidRDefault="00F72A9D" w:rsidP="00103FC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color w:val="000000" w:themeColor="text1"/>
          <w:sz w:val="28"/>
          <w:szCs w:val="28"/>
          <w:lang w:val="vi-VN"/>
        </w:rPr>
      </w:pPr>
      <w:r>
        <w:rPr>
          <w:color w:val="000000" w:themeColor="text1"/>
          <w:sz w:val="28"/>
          <w:szCs w:val="28"/>
          <w:lang w:val="vi-VN"/>
        </w:rPr>
        <w:t xml:space="preserve">Nội dung dự thảo Nghị định không có quy định liên quan đến việc bổ sung các khoản chi mới, thành lập các tổ chức, bộ máy mới để triển khai thực hiện. </w:t>
      </w:r>
      <w:r w:rsidR="00103FC9">
        <w:rPr>
          <w:color w:val="000000" w:themeColor="text1"/>
          <w:sz w:val="28"/>
          <w:szCs w:val="28"/>
          <w:lang w:val="vi-VN"/>
        </w:rPr>
        <w:t xml:space="preserve">Do vậy, các nguồn lực về tài chính và nhân lực bảo đảm thi hành Nghị định sau khi được ban hành. </w:t>
      </w:r>
    </w:p>
    <w:p w:rsidR="00135DFE" w:rsidRPr="00135DFE" w:rsidRDefault="009E5731" w:rsidP="00135DF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Fonts w:ascii="Times New Roman Bold" w:hAnsi="Times New Roman Bold"/>
          <w:b/>
          <w:bCs/>
          <w:noProof/>
          <w:spacing w:val="-6"/>
          <w:sz w:val="28"/>
          <w:szCs w:val="28"/>
          <w:lang w:val="vi-VN"/>
        </w:rPr>
      </w:pPr>
      <w:r>
        <w:rPr>
          <w:b/>
          <w:bCs/>
          <w:sz w:val="28"/>
          <w:szCs w:val="28"/>
          <w:lang w:val="vi-VN"/>
        </w:rPr>
        <w:t xml:space="preserve">VI. </w:t>
      </w:r>
      <w:r w:rsidR="00135DFE" w:rsidRPr="00135DFE">
        <w:rPr>
          <w:rFonts w:ascii="Times New Roman Bold" w:hAnsi="Times New Roman Bold"/>
          <w:b/>
          <w:bCs/>
          <w:noProof/>
          <w:spacing w:val="-6"/>
          <w:sz w:val="28"/>
          <w:szCs w:val="28"/>
          <w:lang w:val="vi-VN"/>
        </w:rPr>
        <w:t>KIẾN NGHỊ</w:t>
      </w:r>
    </w:p>
    <w:p w:rsidR="00135DFE" w:rsidRDefault="00135DFE" w:rsidP="00135DF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Fonts w:ascii="Times New Roman Bold" w:hAnsi="Times New Roman Bold"/>
          <w:noProof/>
          <w:spacing w:val="-6"/>
          <w:sz w:val="28"/>
          <w:szCs w:val="28"/>
          <w:lang w:val="nl-NL"/>
        </w:rPr>
      </w:pPr>
      <w:r w:rsidRPr="00170333">
        <w:rPr>
          <w:rFonts w:ascii="Times New Roman Bold" w:hAnsi="Times New Roman Bold"/>
          <w:noProof/>
          <w:spacing w:val="-6"/>
          <w:sz w:val="28"/>
          <w:szCs w:val="28"/>
          <w:lang w:val="nl-NL"/>
        </w:rPr>
        <w:t>Với các nội dung dự thảo báo cáo (nêu trên), Bộ Tài chính kính trình Chính phủ xem xét, thông qua Hồ sơ trình dự thảo Nghị định</w:t>
      </w:r>
      <w:r>
        <w:rPr>
          <w:rFonts w:ascii="Times New Roman Bold" w:hAnsi="Times New Roman Bold"/>
          <w:noProof/>
          <w:spacing w:val="-6"/>
          <w:sz w:val="28"/>
          <w:szCs w:val="28"/>
          <w:lang w:val="nl-NL"/>
        </w:rPr>
        <w:t>.</w:t>
      </w:r>
    </w:p>
    <w:p w:rsidR="00135DFE" w:rsidRPr="00F852A6" w:rsidRDefault="00135DFE" w:rsidP="00A2364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nl-NL"/>
        </w:rPr>
      </w:pPr>
      <w:r>
        <w:rPr>
          <w:sz w:val="28"/>
          <w:szCs w:val="28"/>
          <w:lang w:val="nl-NL"/>
        </w:rPr>
        <w:t>B</w:t>
      </w:r>
      <w:r w:rsidRPr="00DB0047">
        <w:rPr>
          <w:sz w:val="28"/>
          <w:szCs w:val="28"/>
          <w:lang w:val="nl-NL"/>
        </w:rPr>
        <w:t>ộ</w:t>
      </w:r>
      <w:r>
        <w:rPr>
          <w:sz w:val="28"/>
          <w:szCs w:val="28"/>
          <w:lang w:val="nl-NL"/>
        </w:rPr>
        <w:t xml:space="preserve"> T</w:t>
      </w:r>
      <w:r w:rsidRPr="00DB0047">
        <w:rPr>
          <w:sz w:val="28"/>
          <w:szCs w:val="28"/>
          <w:lang w:val="nl-NL"/>
        </w:rPr>
        <w:t>ài</w:t>
      </w:r>
      <w:r>
        <w:rPr>
          <w:sz w:val="28"/>
          <w:szCs w:val="28"/>
          <w:lang w:val="nl-NL"/>
        </w:rPr>
        <w:t xml:space="preserve"> ch</w:t>
      </w:r>
      <w:r w:rsidRPr="00DB0047">
        <w:rPr>
          <w:sz w:val="28"/>
          <w:szCs w:val="28"/>
          <w:lang w:val="nl-NL"/>
        </w:rPr>
        <w:t>ính</w:t>
      </w:r>
      <w:r>
        <w:rPr>
          <w:sz w:val="28"/>
          <w:szCs w:val="28"/>
          <w:lang w:val="nl-NL"/>
        </w:rPr>
        <w:t xml:space="preserve"> tr</w:t>
      </w:r>
      <w:r w:rsidRPr="00DB0047">
        <w:rPr>
          <w:sz w:val="28"/>
          <w:szCs w:val="28"/>
          <w:lang w:val="nl-NL"/>
        </w:rPr>
        <w:t>ình</w:t>
      </w:r>
      <w:r>
        <w:rPr>
          <w:sz w:val="28"/>
          <w:szCs w:val="28"/>
          <w:lang w:val="nl-NL"/>
        </w:rPr>
        <w:t xml:space="preserve"> Ch</w:t>
      </w:r>
      <w:r w:rsidRPr="00DB0047">
        <w:rPr>
          <w:sz w:val="28"/>
          <w:szCs w:val="28"/>
          <w:lang w:val="nl-NL"/>
        </w:rPr>
        <w:t>ính</w:t>
      </w:r>
      <w:r>
        <w:rPr>
          <w:sz w:val="28"/>
          <w:szCs w:val="28"/>
          <w:lang w:val="nl-NL"/>
        </w:rPr>
        <w:t xml:space="preserve"> ph</w:t>
      </w:r>
      <w:r w:rsidRPr="00DB0047">
        <w:rPr>
          <w:sz w:val="28"/>
          <w:szCs w:val="28"/>
          <w:lang w:val="nl-NL"/>
        </w:rPr>
        <w:t>ủ</w:t>
      </w:r>
      <w:r>
        <w:rPr>
          <w:sz w:val="28"/>
          <w:szCs w:val="28"/>
          <w:lang w:val="nl-NL"/>
        </w:rPr>
        <w:t xml:space="preserve"> </w:t>
      </w:r>
      <w:r w:rsidRPr="00F852A6">
        <w:rPr>
          <w:sz w:val="28"/>
          <w:szCs w:val="28"/>
          <w:lang w:val="nl-NL"/>
        </w:rPr>
        <w:t>xem xét, quyết định./.</w:t>
      </w:r>
    </w:p>
    <w:tbl>
      <w:tblPr>
        <w:tblW w:w="10739" w:type="dxa"/>
        <w:tblLayout w:type="fixed"/>
        <w:tblLook w:val="0000"/>
      </w:tblPr>
      <w:tblGrid>
        <w:gridCol w:w="4644"/>
        <w:gridCol w:w="6095"/>
      </w:tblGrid>
      <w:tr w:rsidR="00135DFE" w:rsidRPr="00EE534B" w:rsidTr="00504065">
        <w:tc>
          <w:tcPr>
            <w:tcW w:w="4644" w:type="dxa"/>
          </w:tcPr>
          <w:p w:rsidR="00135DFE" w:rsidRPr="00231659" w:rsidRDefault="00135DFE" w:rsidP="00504065">
            <w:pPr>
              <w:spacing w:line="240" w:lineRule="atLeast"/>
              <w:rPr>
                <w:b/>
                <w:i/>
                <w:lang w:val="nl-NL"/>
              </w:rPr>
            </w:pPr>
            <w:r w:rsidRPr="00231659">
              <w:rPr>
                <w:b/>
                <w:i/>
                <w:lang w:val="nl-NL"/>
              </w:rPr>
              <w:t>Nơi nhận:</w:t>
            </w:r>
          </w:p>
          <w:p w:rsidR="00A2364A" w:rsidRPr="00A2364A" w:rsidRDefault="00135DFE" w:rsidP="00A2364A">
            <w:pPr>
              <w:spacing w:line="240" w:lineRule="atLeast"/>
              <w:rPr>
                <w:sz w:val="22"/>
                <w:szCs w:val="22"/>
                <w:lang w:val="nl-NL"/>
              </w:rPr>
            </w:pPr>
            <w:r>
              <w:rPr>
                <w:sz w:val="22"/>
                <w:szCs w:val="22"/>
                <w:lang w:val="nl-NL"/>
              </w:rPr>
              <w:t xml:space="preserve">- </w:t>
            </w:r>
            <w:r w:rsidR="00A2364A" w:rsidRPr="00A2364A">
              <w:rPr>
                <w:sz w:val="22"/>
                <w:szCs w:val="22"/>
                <w:lang w:val="nl-NL"/>
              </w:rPr>
              <w:t> Ban Bí thư Trung ương Đảng;</w:t>
            </w:r>
            <w:r w:rsidR="00A2364A" w:rsidRPr="00A2364A">
              <w:rPr>
                <w:sz w:val="22"/>
                <w:szCs w:val="22"/>
                <w:lang w:val="nl-NL"/>
              </w:rPr>
              <w:br/>
              <w:t>- Thủ tướng, các Phó Thủ tướng Chính phủ;</w:t>
            </w:r>
            <w:r w:rsidR="00A2364A" w:rsidRPr="00A2364A">
              <w:rPr>
                <w:sz w:val="22"/>
                <w:szCs w:val="22"/>
                <w:lang w:val="nl-NL"/>
              </w:rPr>
              <w:br/>
              <w:t>- Các bộ, cơ quan ngang bộ, cơ quan thuộc Chính phủ;</w:t>
            </w:r>
            <w:r w:rsidR="00A2364A" w:rsidRPr="00A2364A">
              <w:rPr>
                <w:sz w:val="22"/>
                <w:szCs w:val="22"/>
                <w:lang w:val="nl-NL"/>
              </w:rPr>
              <w:br/>
              <w:t>- HĐND, UBND các tỉnh, thành phố trực thuộc trung ương;</w:t>
            </w:r>
            <w:r w:rsidR="00A2364A" w:rsidRPr="00A2364A">
              <w:rPr>
                <w:sz w:val="22"/>
                <w:szCs w:val="22"/>
                <w:lang w:val="nl-NL"/>
              </w:rPr>
              <w:br/>
              <w:t>- Văn phòng Trung ương và các Ban của Đảng;</w:t>
            </w:r>
            <w:r w:rsidR="00A2364A" w:rsidRPr="00A2364A">
              <w:rPr>
                <w:sz w:val="22"/>
                <w:szCs w:val="22"/>
                <w:lang w:val="nl-NL"/>
              </w:rPr>
              <w:br/>
              <w:t>- Văn phòng Tổng Bí thư;</w:t>
            </w:r>
            <w:r w:rsidR="00A2364A" w:rsidRPr="00A2364A">
              <w:rPr>
                <w:sz w:val="22"/>
                <w:szCs w:val="22"/>
                <w:lang w:val="nl-NL"/>
              </w:rPr>
              <w:br/>
              <w:t>- Văn phòng Chủ tịch nước;</w:t>
            </w:r>
            <w:r w:rsidR="00A2364A" w:rsidRPr="00A2364A">
              <w:rPr>
                <w:sz w:val="22"/>
                <w:szCs w:val="22"/>
                <w:lang w:val="nl-NL"/>
              </w:rPr>
              <w:br/>
              <w:t>- Hội đồng Dân tộc và các Ủy ban của Quốc hội;</w:t>
            </w:r>
            <w:r w:rsidR="00A2364A" w:rsidRPr="00A2364A">
              <w:rPr>
                <w:sz w:val="22"/>
                <w:szCs w:val="22"/>
                <w:lang w:val="nl-NL"/>
              </w:rPr>
              <w:br/>
              <w:t>- Văn phòng Quốc hội;</w:t>
            </w:r>
            <w:r w:rsidR="00A2364A" w:rsidRPr="00A2364A">
              <w:rPr>
                <w:sz w:val="22"/>
                <w:szCs w:val="22"/>
                <w:lang w:val="nl-NL"/>
              </w:rPr>
              <w:br/>
              <w:t>- Tòa án nhân dân tối cao;</w:t>
            </w:r>
            <w:r w:rsidR="00A2364A" w:rsidRPr="00A2364A">
              <w:rPr>
                <w:sz w:val="22"/>
                <w:szCs w:val="22"/>
                <w:lang w:val="nl-NL"/>
              </w:rPr>
              <w:br/>
              <w:t>- Viện kiểm sát nhân dân tối cao;</w:t>
            </w:r>
            <w:r w:rsidR="00A2364A" w:rsidRPr="00A2364A">
              <w:rPr>
                <w:sz w:val="22"/>
                <w:szCs w:val="22"/>
                <w:lang w:val="nl-NL"/>
              </w:rPr>
              <w:br/>
              <w:t>- Kiểm toán nhà nước;</w:t>
            </w:r>
            <w:r w:rsidR="00A2364A" w:rsidRPr="00A2364A">
              <w:rPr>
                <w:sz w:val="22"/>
                <w:szCs w:val="22"/>
                <w:lang w:val="nl-NL"/>
              </w:rPr>
              <w:br/>
              <w:t>- Ủy ban Giám sát tài chính Quốc gia;</w:t>
            </w:r>
            <w:r w:rsidR="00A2364A" w:rsidRPr="00A2364A">
              <w:rPr>
                <w:sz w:val="22"/>
                <w:szCs w:val="22"/>
                <w:lang w:val="nl-NL"/>
              </w:rPr>
              <w:br/>
              <w:t>- Ngân hàng Chính sách xã hội;</w:t>
            </w:r>
            <w:r w:rsidR="00A2364A" w:rsidRPr="00A2364A">
              <w:rPr>
                <w:sz w:val="22"/>
                <w:szCs w:val="22"/>
                <w:lang w:val="nl-NL"/>
              </w:rPr>
              <w:br/>
              <w:t>- Ngân hàng Phát triển Việt Nam;</w:t>
            </w:r>
            <w:r w:rsidR="00A2364A" w:rsidRPr="00A2364A">
              <w:rPr>
                <w:sz w:val="22"/>
                <w:szCs w:val="22"/>
                <w:lang w:val="nl-NL"/>
              </w:rPr>
              <w:br/>
              <w:t>- Ủy ban trung ương Mặt trận Tổ quốc Việt Nam;</w:t>
            </w:r>
            <w:r w:rsidR="00A2364A" w:rsidRPr="00A2364A">
              <w:rPr>
                <w:sz w:val="22"/>
                <w:szCs w:val="22"/>
                <w:lang w:val="nl-NL"/>
              </w:rPr>
              <w:br/>
              <w:t>- Cơ quan trung ương của các đoàn thể;</w:t>
            </w:r>
            <w:r w:rsidR="00A2364A" w:rsidRPr="00A2364A">
              <w:rPr>
                <w:sz w:val="22"/>
                <w:szCs w:val="22"/>
                <w:lang w:val="nl-NL"/>
              </w:rPr>
              <w:br/>
              <w:t>- VPCP: BTCN, các PCN, Trợ lý TTg, TGĐ Cổng TTĐT,</w:t>
            </w:r>
            <w:r w:rsidR="00A2364A" w:rsidRPr="00A2364A">
              <w:rPr>
                <w:sz w:val="22"/>
                <w:szCs w:val="22"/>
                <w:lang w:val="nl-NL"/>
              </w:rPr>
              <w:br/>
              <w:t>các Vụ, Cục, đơn vị trực thuộc, Công báo;</w:t>
            </w:r>
            <w:r w:rsidR="00A2364A" w:rsidRPr="00A2364A">
              <w:rPr>
                <w:sz w:val="22"/>
                <w:szCs w:val="22"/>
                <w:lang w:val="nl-NL"/>
              </w:rPr>
              <w:br/>
              <w:t>- Lưu: VT, NN (2).</w:t>
            </w:r>
          </w:p>
          <w:p w:rsidR="00135DFE" w:rsidRPr="00231659" w:rsidRDefault="00135DFE" w:rsidP="00504065">
            <w:pPr>
              <w:rPr>
                <w:sz w:val="22"/>
                <w:szCs w:val="22"/>
                <w:lang w:val="nl-NL"/>
              </w:rPr>
            </w:pPr>
            <w:r w:rsidRPr="00231659">
              <w:rPr>
                <w:sz w:val="22"/>
                <w:szCs w:val="22"/>
                <w:lang w:val="nl-NL"/>
              </w:rPr>
              <w:t>- Lưu: VT</w:t>
            </w:r>
            <w:r>
              <w:rPr>
                <w:sz w:val="22"/>
                <w:szCs w:val="22"/>
                <w:lang w:val="nl-NL"/>
              </w:rPr>
              <w:t xml:space="preserve">, </w:t>
            </w:r>
            <w:r w:rsidRPr="0013080E">
              <w:rPr>
                <w:sz w:val="22"/>
                <w:szCs w:val="22"/>
                <w:lang w:val="nl-NL"/>
              </w:rPr>
              <w:t>Đ</w:t>
            </w:r>
            <w:r>
              <w:rPr>
                <w:sz w:val="22"/>
                <w:szCs w:val="22"/>
                <w:lang w:val="nl-NL"/>
              </w:rPr>
              <w:t>T</w:t>
            </w:r>
            <w:r w:rsidRPr="00A2364A">
              <w:rPr>
                <w:sz w:val="22"/>
                <w:szCs w:val="22"/>
                <w:lang w:val="nl-NL"/>
              </w:rPr>
              <w:t xml:space="preserve"> (05b)</w:t>
            </w:r>
            <w:r>
              <w:rPr>
                <w:sz w:val="22"/>
                <w:szCs w:val="22"/>
                <w:lang w:val="nl-NL"/>
              </w:rPr>
              <w:t>.</w:t>
            </w:r>
            <w:r w:rsidRPr="00231659">
              <w:rPr>
                <w:sz w:val="22"/>
                <w:szCs w:val="22"/>
                <w:lang w:val="nl-NL"/>
              </w:rPr>
              <w:t xml:space="preserve"> </w:t>
            </w:r>
          </w:p>
          <w:p w:rsidR="00135DFE" w:rsidRPr="00F852A6" w:rsidRDefault="00135DFE" w:rsidP="00504065">
            <w:pPr>
              <w:spacing w:line="240" w:lineRule="atLeast"/>
              <w:rPr>
                <w:sz w:val="28"/>
                <w:szCs w:val="28"/>
                <w:lang w:val="nl-NL"/>
              </w:rPr>
            </w:pPr>
          </w:p>
        </w:tc>
        <w:tc>
          <w:tcPr>
            <w:tcW w:w="6095" w:type="dxa"/>
            <w:vMerge w:val="restart"/>
          </w:tcPr>
          <w:p w:rsidR="00135DFE" w:rsidRPr="006E2409" w:rsidRDefault="00135DFE" w:rsidP="00504065">
            <w:pPr>
              <w:keepNext/>
              <w:spacing w:line="240" w:lineRule="atLeast"/>
              <w:ind w:left="175" w:hanging="283"/>
              <w:jc w:val="center"/>
              <w:outlineLvl w:val="5"/>
              <w:rPr>
                <w:b/>
                <w:sz w:val="26"/>
                <w:szCs w:val="26"/>
                <w:lang w:val="nl-NL"/>
              </w:rPr>
            </w:pPr>
            <w:r w:rsidRPr="006E2409">
              <w:rPr>
                <w:b/>
                <w:sz w:val="26"/>
                <w:szCs w:val="26"/>
                <w:lang w:val="nl-NL"/>
              </w:rPr>
              <w:t xml:space="preserve">BỘ TRƯỞNG </w:t>
            </w:r>
          </w:p>
          <w:p w:rsidR="00135DFE" w:rsidRPr="00F852A6" w:rsidRDefault="00135DFE" w:rsidP="00504065">
            <w:pPr>
              <w:rPr>
                <w:sz w:val="28"/>
                <w:szCs w:val="28"/>
                <w:lang w:val="nl-NL"/>
              </w:rPr>
            </w:pPr>
          </w:p>
          <w:p w:rsidR="00135DFE" w:rsidRDefault="00135DFE" w:rsidP="00504065">
            <w:pPr>
              <w:spacing w:line="240" w:lineRule="atLeast"/>
              <w:jc w:val="center"/>
              <w:rPr>
                <w:b/>
                <w:sz w:val="28"/>
                <w:szCs w:val="28"/>
                <w:lang w:val="nl-NL"/>
              </w:rPr>
            </w:pPr>
          </w:p>
          <w:p w:rsidR="00135DFE" w:rsidRDefault="00135DFE" w:rsidP="00504065">
            <w:pPr>
              <w:spacing w:line="240" w:lineRule="atLeast"/>
              <w:jc w:val="center"/>
              <w:rPr>
                <w:b/>
                <w:sz w:val="28"/>
                <w:szCs w:val="28"/>
                <w:lang w:val="nl-NL"/>
              </w:rPr>
            </w:pPr>
          </w:p>
          <w:p w:rsidR="00135DFE" w:rsidRDefault="00135DFE" w:rsidP="00504065">
            <w:pPr>
              <w:spacing w:line="240" w:lineRule="atLeast"/>
              <w:jc w:val="center"/>
              <w:rPr>
                <w:b/>
                <w:sz w:val="28"/>
                <w:szCs w:val="28"/>
                <w:lang w:val="nl-NL"/>
              </w:rPr>
            </w:pPr>
          </w:p>
          <w:p w:rsidR="00135DFE" w:rsidRDefault="00135DFE" w:rsidP="00504065">
            <w:pPr>
              <w:spacing w:line="240" w:lineRule="atLeast"/>
              <w:jc w:val="center"/>
              <w:rPr>
                <w:b/>
                <w:sz w:val="28"/>
                <w:szCs w:val="28"/>
                <w:lang w:val="nl-NL"/>
              </w:rPr>
            </w:pPr>
          </w:p>
          <w:p w:rsidR="00135DFE" w:rsidRDefault="00135DFE" w:rsidP="00504065">
            <w:pPr>
              <w:spacing w:line="240" w:lineRule="atLeast"/>
              <w:jc w:val="center"/>
              <w:rPr>
                <w:b/>
                <w:sz w:val="28"/>
                <w:szCs w:val="28"/>
                <w:lang w:val="nl-NL"/>
              </w:rPr>
            </w:pPr>
          </w:p>
          <w:p w:rsidR="00135DFE" w:rsidRPr="00990C81" w:rsidRDefault="00A2364A" w:rsidP="00504065">
            <w:pPr>
              <w:spacing w:line="240" w:lineRule="atLeast"/>
              <w:jc w:val="center"/>
              <w:rPr>
                <w:b/>
                <w:sz w:val="28"/>
                <w:szCs w:val="28"/>
                <w:lang w:val="nl-NL"/>
              </w:rPr>
            </w:pPr>
            <w:r>
              <w:rPr>
                <w:b/>
                <w:sz w:val="28"/>
                <w:szCs w:val="28"/>
                <w:lang w:val="nl-NL"/>
              </w:rPr>
              <w:t>Nguy</w:t>
            </w:r>
            <w:r w:rsidRPr="00A2364A">
              <w:rPr>
                <w:b/>
                <w:sz w:val="28"/>
                <w:szCs w:val="28"/>
                <w:lang w:val="nl-NL"/>
              </w:rPr>
              <w:t>ễn</w:t>
            </w:r>
            <w:r>
              <w:rPr>
                <w:b/>
                <w:sz w:val="28"/>
                <w:szCs w:val="28"/>
                <w:lang w:val="nl-NL"/>
              </w:rPr>
              <w:t xml:space="preserve"> V</w:t>
            </w:r>
            <w:r w:rsidRPr="00A2364A">
              <w:rPr>
                <w:b/>
                <w:sz w:val="28"/>
                <w:szCs w:val="28"/>
                <w:lang w:val="nl-NL"/>
              </w:rPr>
              <w:t>ă</w:t>
            </w:r>
            <w:r>
              <w:rPr>
                <w:b/>
                <w:sz w:val="28"/>
                <w:szCs w:val="28"/>
                <w:lang w:val="nl-NL"/>
              </w:rPr>
              <w:t>n Th</w:t>
            </w:r>
            <w:r w:rsidRPr="00A2364A">
              <w:rPr>
                <w:b/>
                <w:sz w:val="28"/>
                <w:szCs w:val="28"/>
                <w:lang w:val="nl-NL"/>
              </w:rPr>
              <w:t>ắng</w:t>
            </w:r>
          </w:p>
        </w:tc>
      </w:tr>
    </w:tbl>
    <w:p w:rsidR="00382B52" w:rsidRPr="00135DFE" w:rsidRDefault="00382B52" w:rsidP="009E573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sz w:val="28"/>
          <w:szCs w:val="28"/>
          <w:lang w:val="nl-NL"/>
        </w:rPr>
      </w:pPr>
    </w:p>
    <w:p w:rsidR="00382B52" w:rsidRDefault="00382B52" w:rsidP="009E573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sz w:val="28"/>
          <w:szCs w:val="28"/>
          <w:lang w:val="vi-VN"/>
        </w:rPr>
      </w:pPr>
    </w:p>
    <w:p w:rsidR="00382B52" w:rsidRDefault="00382B52" w:rsidP="009E573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sz w:val="28"/>
          <w:szCs w:val="28"/>
          <w:lang w:val="vi-VN"/>
        </w:rPr>
      </w:pPr>
    </w:p>
    <w:p w:rsidR="00382B52" w:rsidRDefault="00382B52" w:rsidP="009E573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sz w:val="28"/>
          <w:szCs w:val="28"/>
          <w:lang w:val="vi-VN"/>
        </w:rPr>
      </w:pPr>
    </w:p>
    <w:p w:rsidR="00382B52" w:rsidRPr="009E5731" w:rsidRDefault="00382B52" w:rsidP="009E573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sz w:val="28"/>
          <w:szCs w:val="28"/>
          <w:lang w:val="vi-VN"/>
        </w:rPr>
      </w:pPr>
    </w:p>
    <w:sectPr w:rsidR="00382B52" w:rsidRPr="009E5731" w:rsidSect="00A2364A">
      <w:headerReference w:type="default" r:id="rId8"/>
      <w:footerReference w:type="even" r:id="rId9"/>
      <w:footerReference w:type="default" r:id="rId10"/>
      <w:pgSz w:w="11907" w:h="16840" w:code="9"/>
      <w:pgMar w:top="1418" w:right="1134" w:bottom="1418"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A4B" w:rsidRDefault="002C0A4B">
      <w:r>
        <w:separator/>
      </w:r>
    </w:p>
  </w:endnote>
  <w:endnote w:type="continuationSeparator" w:id="0">
    <w:p w:rsidR="002C0A4B" w:rsidRDefault="002C0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Arimo">
    <w:altName w:val="Arial"/>
    <w:panose1 w:val="00000000000000000000"/>
    <w:charset w:val="A3"/>
    <w:family w:val="swiss"/>
    <w:notTrueType/>
    <w:pitch w:val="default"/>
    <w:sig w:usb0="20000001" w:usb1="08080000" w:usb2="00000010" w:usb3="00000000" w:csb0="001001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C9" w:rsidRDefault="002D402B" w:rsidP="00075D3C">
    <w:pPr>
      <w:pStyle w:val="Footer"/>
      <w:framePr w:wrap="around" w:vAnchor="text" w:hAnchor="margin" w:xAlign="right" w:y="1"/>
      <w:rPr>
        <w:rStyle w:val="PageNumber"/>
      </w:rPr>
    </w:pPr>
    <w:r>
      <w:rPr>
        <w:rStyle w:val="PageNumber"/>
      </w:rPr>
      <w:fldChar w:fldCharType="begin"/>
    </w:r>
    <w:r w:rsidR="00D967C9">
      <w:rPr>
        <w:rStyle w:val="PageNumber"/>
      </w:rPr>
      <w:instrText xml:space="preserve">PAGE  </w:instrText>
    </w:r>
    <w:r>
      <w:rPr>
        <w:rStyle w:val="PageNumber"/>
      </w:rPr>
      <w:fldChar w:fldCharType="end"/>
    </w:r>
  </w:p>
  <w:p w:rsidR="00D967C9" w:rsidRDefault="00D967C9" w:rsidP="00075D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C9" w:rsidRPr="00A87A55" w:rsidRDefault="00D967C9" w:rsidP="00075D3C">
    <w:pPr>
      <w:pStyle w:val="Footer"/>
      <w:ind w:right="360"/>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A4B" w:rsidRDefault="002C0A4B">
      <w:r>
        <w:separator/>
      </w:r>
    </w:p>
  </w:footnote>
  <w:footnote w:type="continuationSeparator" w:id="0">
    <w:p w:rsidR="002C0A4B" w:rsidRDefault="002C0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C9" w:rsidRPr="0027213B" w:rsidRDefault="002D402B" w:rsidP="00613B72">
    <w:pPr>
      <w:pStyle w:val="Header"/>
      <w:spacing w:after="60"/>
      <w:jc w:val="center"/>
    </w:pPr>
    <w:r>
      <w:fldChar w:fldCharType="begin"/>
    </w:r>
    <w:r w:rsidR="00D967C9">
      <w:instrText xml:space="preserve"> PAGE   \* MERGEFORMAT </w:instrText>
    </w:r>
    <w:r>
      <w:fldChar w:fldCharType="separate"/>
    </w:r>
    <w:r w:rsidR="00EE534B">
      <w:rPr>
        <w:noProof/>
      </w:rPr>
      <w:t>15</w:t>
    </w:r>
    <w:r>
      <w:rPr>
        <w:noProof/>
      </w:rPr>
      <w:fldChar w:fldCharType="end"/>
    </w:r>
  </w:p>
  <w:p w:rsidR="00D967C9" w:rsidRDefault="00D967C9" w:rsidP="00613B72">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1E96"/>
    <w:multiLevelType w:val="hybridMultilevel"/>
    <w:tmpl w:val="80ACA5EE"/>
    <w:lvl w:ilvl="0" w:tplc="2670FE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250B47"/>
    <w:multiLevelType w:val="hybridMultilevel"/>
    <w:tmpl w:val="54FEE464"/>
    <w:lvl w:ilvl="0" w:tplc="AB66D8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CA67C1B"/>
    <w:multiLevelType w:val="hybridMultilevel"/>
    <w:tmpl w:val="348E9C6E"/>
    <w:lvl w:ilvl="0" w:tplc="8D407D2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511E447C"/>
    <w:multiLevelType w:val="hybridMultilevel"/>
    <w:tmpl w:val="AA2AA8BE"/>
    <w:lvl w:ilvl="0" w:tplc="C6BEF8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3D771CF"/>
    <w:multiLevelType w:val="hybridMultilevel"/>
    <w:tmpl w:val="05B66C92"/>
    <w:lvl w:ilvl="0" w:tplc="3242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EE75DE"/>
    <w:multiLevelType w:val="hybridMultilevel"/>
    <w:tmpl w:val="A84035A4"/>
    <w:lvl w:ilvl="0" w:tplc="5450056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uongdttn phuongdttn">
    <w15:presenceInfo w15:providerId="Windows Live" w15:userId="e364059b4c345ba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hideSpellingErrors/>
  <w:defaultTabStop w:val="720"/>
  <w:drawingGridHorizontalSpacing w:val="140"/>
  <w:drawingGridVerticalSpacing w:val="381"/>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526DD"/>
    <w:rsid w:val="0000346D"/>
    <w:rsid w:val="00004948"/>
    <w:rsid w:val="00004D6C"/>
    <w:rsid w:val="000066CB"/>
    <w:rsid w:val="00006FBE"/>
    <w:rsid w:val="000117A6"/>
    <w:rsid w:val="00013031"/>
    <w:rsid w:val="0001312A"/>
    <w:rsid w:val="000135C7"/>
    <w:rsid w:val="0001511D"/>
    <w:rsid w:val="000223F6"/>
    <w:rsid w:val="00022A00"/>
    <w:rsid w:val="00023984"/>
    <w:rsid w:val="00025FF4"/>
    <w:rsid w:val="00026A5F"/>
    <w:rsid w:val="00026C38"/>
    <w:rsid w:val="00027301"/>
    <w:rsid w:val="00027F16"/>
    <w:rsid w:val="00031080"/>
    <w:rsid w:val="00031114"/>
    <w:rsid w:val="00031392"/>
    <w:rsid w:val="00032149"/>
    <w:rsid w:val="0003372E"/>
    <w:rsid w:val="00033F9E"/>
    <w:rsid w:val="00034526"/>
    <w:rsid w:val="00035FE0"/>
    <w:rsid w:val="000368D3"/>
    <w:rsid w:val="00036AC0"/>
    <w:rsid w:val="00037C8F"/>
    <w:rsid w:val="00041B1E"/>
    <w:rsid w:val="000429BA"/>
    <w:rsid w:val="000434BE"/>
    <w:rsid w:val="00044393"/>
    <w:rsid w:val="00044CC8"/>
    <w:rsid w:val="0004509A"/>
    <w:rsid w:val="00051731"/>
    <w:rsid w:val="000518DB"/>
    <w:rsid w:val="00051AFF"/>
    <w:rsid w:val="000539C7"/>
    <w:rsid w:val="0005580B"/>
    <w:rsid w:val="000559EC"/>
    <w:rsid w:val="0005770F"/>
    <w:rsid w:val="000577EB"/>
    <w:rsid w:val="00061874"/>
    <w:rsid w:val="00064954"/>
    <w:rsid w:val="00066083"/>
    <w:rsid w:val="00066688"/>
    <w:rsid w:val="000700F7"/>
    <w:rsid w:val="00071691"/>
    <w:rsid w:val="00072DD2"/>
    <w:rsid w:val="00073F76"/>
    <w:rsid w:val="00075D3C"/>
    <w:rsid w:val="00077D7F"/>
    <w:rsid w:val="000815EA"/>
    <w:rsid w:val="000818B8"/>
    <w:rsid w:val="00082E9A"/>
    <w:rsid w:val="000848A8"/>
    <w:rsid w:val="00085933"/>
    <w:rsid w:val="000860F6"/>
    <w:rsid w:val="00086A34"/>
    <w:rsid w:val="00087209"/>
    <w:rsid w:val="0009059B"/>
    <w:rsid w:val="00090AD2"/>
    <w:rsid w:val="000932EC"/>
    <w:rsid w:val="000941A5"/>
    <w:rsid w:val="00095FFB"/>
    <w:rsid w:val="000A10ED"/>
    <w:rsid w:val="000A124E"/>
    <w:rsid w:val="000A15F3"/>
    <w:rsid w:val="000A1935"/>
    <w:rsid w:val="000A4982"/>
    <w:rsid w:val="000A6F93"/>
    <w:rsid w:val="000A7724"/>
    <w:rsid w:val="000B02BD"/>
    <w:rsid w:val="000B0B9D"/>
    <w:rsid w:val="000B1FA6"/>
    <w:rsid w:val="000B2255"/>
    <w:rsid w:val="000B24D2"/>
    <w:rsid w:val="000B2A8E"/>
    <w:rsid w:val="000B32C9"/>
    <w:rsid w:val="000B40A1"/>
    <w:rsid w:val="000B53A2"/>
    <w:rsid w:val="000B5D70"/>
    <w:rsid w:val="000B7561"/>
    <w:rsid w:val="000C0846"/>
    <w:rsid w:val="000C099E"/>
    <w:rsid w:val="000C24BE"/>
    <w:rsid w:val="000C3A35"/>
    <w:rsid w:val="000D0F2C"/>
    <w:rsid w:val="000D1037"/>
    <w:rsid w:val="000D192F"/>
    <w:rsid w:val="000D304F"/>
    <w:rsid w:val="000D3238"/>
    <w:rsid w:val="000D38C2"/>
    <w:rsid w:val="000D493D"/>
    <w:rsid w:val="000E100B"/>
    <w:rsid w:val="000E1CA1"/>
    <w:rsid w:val="000E1F9F"/>
    <w:rsid w:val="000E2854"/>
    <w:rsid w:val="000E32C3"/>
    <w:rsid w:val="000E4F36"/>
    <w:rsid w:val="000F09A5"/>
    <w:rsid w:val="000F2286"/>
    <w:rsid w:val="000F679A"/>
    <w:rsid w:val="001013F5"/>
    <w:rsid w:val="00102401"/>
    <w:rsid w:val="00102945"/>
    <w:rsid w:val="00103FC9"/>
    <w:rsid w:val="00104132"/>
    <w:rsid w:val="001045F3"/>
    <w:rsid w:val="00104E3C"/>
    <w:rsid w:val="00104F44"/>
    <w:rsid w:val="00106E17"/>
    <w:rsid w:val="00110F04"/>
    <w:rsid w:val="00111B72"/>
    <w:rsid w:val="0011273D"/>
    <w:rsid w:val="0011373A"/>
    <w:rsid w:val="001153BA"/>
    <w:rsid w:val="001166F4"/>
    <w:rsid w:val="001168AA"/>
    <w:rsid w:val="00116A2F"/>
    <w:rsid w:val="001172D4"/>
    <w:rsid w:val="00117A79"/>
    <w:rsid w:val="00123A45"/>
    <w:rsid w:val="00124B05"/>
    <w:rsid w:val="00125C3E"/>
    <w:rsid w:val="00126D12"/>
    <w:rsid w:val="00130932"/>
    <w:rsid w:val="001314BF"/>
    <w:rsid w:val="00131E24"/>
    <w:rsid w:val="00134FB2"/>
    <w:rsid w:val="00135DFE"/>
    <w:rsid w:val="00136B0C"/>
    <w:rsid w:val="00136BCE"/>
    <w:rsid w:val="00137DBF"/>
    <w:rsid w:val="00140094"/>
    <w:rsid w:val="00140E84"/>
    <w:rsid w:val="00141055"/>
    <w:rsid w:val="00141FF2"/>
    <w:rsid w:val="00143F54"/>
    <w:rsid w:val="001454F9"/>
    <w:rsid w:val="00145E89"/>
    <w:rsid w:val="00147CB8"/>
    <w:rsid w:val="00147EC0"/>
    <w:rsid w:val="001531D9"/>
    <w:rsid w:val="001541C1"/>
    <w:rsid w:val="00154CED"/>
    <w:rsid w:val="00160BB3"/>
    <w:rsid w:val="001623FA"/>
    <w:rsid w:val="00164A62"/>
    <w:rsid w:val="00167E8E"/>
    <w:rsid w:val="001705A0"/>
    <w:rsid w:val="0017084F"/>
    <w:rsid w:val="001731BC"/>
    <w:rsid w:val="001734A4"/>
    <w:rsid w:val="00173732"/>
    <w:rsid w:val="00174A5E"/>
    <w:rsid w:val="00174CCC"/>
    <w:rsid w:val="001751D1"/>
    <w:rsid w:val="001758B4"/>
    <w:rsid w:val="00175D2D"/>
    <w:rsid w:val="0017716D"/>
    <w:rsid w:val="00183CFC"/>
    <w:rsid w:val="0018548C"/>
    <w:rsid w:val="001855C5"/>
    <w:rsid w:val="00185797"/>
    <w:rsid w:val="001866C4"/>
    <w:rsid w:val="00187C4B"/>
    <w:rsid w:val="00191C31"/>
    <w:rsid w:val="00192108"/>
    <w:rsid w:val="00193C00"/>
    <w:rsid w:val="00193C31"/>
    <w:rsid w:val="00193E4E"/>
    <w:rsid w:val="001948DC"/>
    <w:rsid w:val="00196C48"/>
    <w:rsid w:val="001976A5"/>
    <w:rsid w:val="00197841"/>
    <w:rsid w:val="00197E6E"/>
    <w:rsid w:val="001A610A"/>
    <w:rsid w:val="001A6259"/>
    <w:rsid w:val="001A6554"/>
    <w:rsid w:val="001A73BB"/>
    <w:rsid w:val="001A74FF"/>
    <w:rsid w:val="001A7761"/>
    <w:rsid w:val="001B2605"/>
    <w:rsid w:val="001B3942"/>
    <w:rsid w:val="001B73CD"/>
    <w:rsid w:val="001C0D52"/>
    <w:rsid w:val="001C1198"/>
    <w:rsid w:val="001C13CA"/>
    <w:rsid w:val="001C3323"/>
    <w:rsid w:val="001C651F"/>
    <w:rsid w:val="001C6CFF"/>
    <w:rsid w:val="001C7F06"/>
    <w:rsid w:val="001D0D3D"/>
    <w:rsid w:val="001D42AE"/>
    <w:rsid w:val="001D7E2A"/>
    <w:rsid w:val="001E17BD"/>
    <w:rsid w:val="001E3574"/>
    <w:rsid w:val="001F09E0"/>
    <w:rsid w:val="001F2652"/>
    <w:rsid w:val="001F37A3"/>
    <w:rsid w:val="001F3991"/>
    <w:rsid w:val="001F438C"/>
    <w:rsid w:val="001F4C48"/>
    <w:rsid w:val="001F61DC"/>
    <w:rsid w:val="001F7158"/>
    <w:rsid w:val="002014DB"/>
    <w:rsid w:val="00203390"/>
    <w:rsid w:val="0020605D"/>
    <w:rsid w:val="00206206"/>
    <w:rsid w:val="002108F0"/>
    <w:rsid w:val="00210F39"/>
    <w:rsid w:val="0021193C"/>
    <w:rsid w:val="00211BE0"/>
    <w:rsid w:val="00213804"/>
    <w:rsid w:val="002178E9"/>
    <w:rsid w:val="00220129"/>
    <w:rsid w:val="0022094E"/>
    <w:rsid w:val="002236D4"/>
    <w:rsid w:val="00223FCD"/>
    <w:rsid w:val="0023085D"/>
    <w:rsid w:val="00230E31"/>
    <w:rsid w:val="00235091"/>
    <w:rsid w:val="00235AD1"/>
    <w:rsid w:val="002404B2"/>
    <w:rsid w:val="0024175E"/>
    <w:rsid w:val="0024347B"/>
    <w:rsid w:val="002436E0"/>
    <w:rsid w:val="00244912"/>
    <w:rsid w:val="00244B88"/>
    <w:rsid w:val="00246907"/>
    <w:rsid w:val="002528BA"/>
    <w:rsid w:val="00253323"/>
    <w:rsid w:val="002547D1"/>
    <w:rsid w:val="00255ADC"/>
    <w:rsid w:val="00255E14"/>
    <w:rsid w:val="002610C6"/>
    <w:rsid w:val="00262060"/>
    <w:rsid w:val="00262779"/>
    <w:rsid w:val="002628C4"/>
    <w:rsid w:val="00262950"/>
    <w:rsid w:val="00263DC4"/>
    <w:rsid w:val="00265BC6"/>
    <w:rsid w:val="00267528"/>
    <w:rsid w:val="0027213B"/>
    <w:rsid w:val="002726A4"/>
    <w:rsid w:val="00273D77"/>
    <w:rsid w:val="0027733E"/>
    <w:rsid w:val="0027791D"/>
    <w:rsid w:val="00277B35"/>
    <w:rsid w:val="00277B7A"/>
    <w:rsid w:val="0028040D"/>
    <w:rsid w:val="00283103"/>
    <w:rsid w:val="00283C72"/>
    <w:rsid w:val="002841B6"/>
    <w:rsid w:val="002848B0"/>
    <w:rsid w:val="002902B4"/>
    <w:rsid w:val="002902F8"/>
    <w:rsid w:val="00294892"/>
    <w:rsid w:val="002971C3"/>
    <w:rsid w:val="002A010A"/>
    <w:rsid w:val="002A0826"/>
    <w:rsid w:val="002A0D37"/>
    <w:rsid w:val="002A25D3"/>
    <w:rsid w:val="002A3B47"/>
    <w:rsid w:val="002A44A8"/>
    <w:rsid w:val="002A713B"/>
    <w:rsid w:val="002A73B7"/>
    <w:rsid w:val="002B0C91"/>
    <w:rsid w:val="002B1D66"/>
    <w:rsid w:val="002B4740"/>
    <w:rsid w:val="002B5A5F"/>
    <w:rsid w:val="002B66C9"/>
    <w:rsid w:val="002C0A4B"/>
    <w:rsid w:val="002C0DC4"/>
    <w:rsid w:val="002C1F7A"/>
    <w:rsid w:val="002C3DD8"/>
    <w:rsid w:val="002C5276"/>
    <w:rsid w:val="002C5E89"/>
    <w:rsid w:val="002C61B2"/>
    <w:rsid w:val="002D1661"/>
    <w:rsid w:val="002D27D1"/>
    <w:rsid w:val="002D301A"/>
    <w:rsid w:val="002D402B"/>
    <w:rsid w:val="002D6BE5"/>
    <w:rsid w:val="002D7430"/>
    <w:rsid w:val="002D7440"/>
    <w:rsid w:val="002E03BF"/>
    <w:rsid w:val="002E0979"/>
    <w:rsid w:val="002E0EDB"/>
    <w:rsid w:val="002E422F"/>
    <w:rsid w:val="002E5C38"/>
    <w:rsid w:val="002E6741"/>
    <w:rsid w:val="002E6E86"/>
    <w:rsid w:val="002F0FBE"/>
    <w:rsid w:val="002F102C"/>
    <w:rsid w:val="002F3FB3"/>
    <w:rsid w:val="002F4108"/>
    <w:rsid w:val="002F47AE"/>
    <w:rsid w:val="002F6056"/>
    <w:rsid w:val="002F65EE"/>
    <w:rsid w:val="00301D00"/>
    <w:rsid w:val="00304752"/>
    <w:rsid w:val="00304EA1"/>
    <w:rsid w:val="003057E1"/>
    <w:rsid w:val="0031368C"/>
    <w:rsid w:val="00313E28"/>
    <w:rsid w:val="00315734"/>
    <w:rsid w:val="00315E35"/>
    <w:rsid w:val="003160CC"/>
    <w:rsid w:val="00323B7A"/>
    <w:rsid w:val="00323E9C"/>
    <w:rsid w:val="00324A4B"/>
    <w:rsid w:val="00325EC4"/>
    <w:rsid w:val="0032665F"/>
    <w:rsid w:val="003274AC"/>
    <w:rsid w:val="0032779D"/>
    <w:rsid w:val="00331275"/>
    <w:rsid w:val="00336230"/>
    <w:rsid w:val="00336433"/>
    <w:rsid w:val="00336DFC"/>
    <w:rsid w:val="00342F0A"/>
    <w:rsid w:val="0034625C"/>
    <w:rsid w:val="00346E6E"/>
    <w:rsid w:val="00347E0B"/>
    <w:rsid w:val="00350437"/>
    <w:rsid w:val="003528BF"/>
    <w:rsid w:val="00353003"/>
    <w:rsid w:val="0036370A"/>
    <w:rsid w:val="00363D06"/>
    <w:rsid w:val="003669F4"/>
    <w:rsid w:val="003669F8"/>
    <w:rsid w:val="00367A29"/>
    <w:rsid w:val="00370834"/>
    <w:rsid w:val="00374E03"/>
    <w:rsid w:val="00376063"/>
    <w:rsid w:val="0037797C"/>
    <w:rsid w:val="0038109A"/>
    <w:rsid w:val="003821F1"/>
    <w:rsid w:val="003828CB"/>
    <w:rsid w:val="00382B52"/>
    <w:rsid w:val="00384214"/>
    <w:rsid w:val="003859E2"/>
    <w:rsid w:val="00385E41"/>
    <w:rsid w:val="00393662"/>
    <w:rsid w:val="00394123"/>
    <w:rsid w:val="00396083"/>
    <w:rsid w:val="00396223"/>
    <w:rsid w:val="00396699"/>
    <w:rsid w:val="00396D51"/>
    <w:rsid w:val="0039705C"/>
    <w:rsid w:val="00397A0A"/>
    <w:rsid w:val="003A00BC"/>
    <w:rsid w:val="003A022F"/>
    <w:rsid w:val="003A11BE"/>
    <w:rsid w:val="003A371A"/>
    <w:rsid w:val="003A504D"/>
    <w:rsid w:val="003A6BBA"/>
    <w:rsid w:val="003A7523"/>
    <w:rsid w:val="003B1314"/>
    <w:rsid w:val="003B25D7"/>
    <w:rsid w:val="003B2695"/>
    <w:rsid w:val="003B3A13"/>
    <w:rsid w:val="003B49C2"/>
    <w:rsid w:val="003B5E65"/>
    <w:rsid w:val="003B7655"/>
    <w:rsid w:val="003C1D85"/>
    <w:rsid w:val="003C36D0"/>
    <w:rsid w:val="003C4135"/>
    <w:rsid w:val="003C4179"/>
    <w:rsid w:val="003C4780"/>
    <w:rsid w:val="003C5001"/>
    <w:rsid w:val="003C5DFE"/>
    <w:rsid w:val="003C6004"/>
    <w:rsid w:val="003C743D"/>
    <w:rsid w:val="003D05B0"/>
    <w:rsid w:val="003D4285"/>
    <w:rsid w:val="003D4B60"/>
    <w:rsid w:val="003D501D"/>
    <w:rsid w:val="003D53B3"/>
    <w:rsid w:val="003D7270"/>
    <w:rsid w:val="003D72CD"/>
    <w:rsid w:val="003D75E4"/>
    <w:rsid w:val="003E5CFA"/>
    <w:rsid w:val="003E72BE"/>
    <w:rsid w:val="003F117C"/>
    <w:rsid w:val="003F2258"/>
    <w:rsid w:val="003F24E3"/>
    <w:rsid w:val="003F2699"/>
    <w:rsid w:val="003F27BA"/>
    <w:rsid w:val="003F3F0B"/>
    <w:rsid w:val="003F6C6F"/>
    <w:rsid w:val="003F72E9"/>
    <w:rsid w:val="00402859"/>
    <w:rsid w:val="00402ECA"/>
    <w:rsid w:val="004030C3"/>
    <w:rsid w:val="00403378"/>
    <w:rsid w:val="004124D2"/>
    <w:rsid w:val="00412A8C"/>
    <w:rsid w:val="004134FD"/>
    <w:rsid w:val="0041355A"/>
    <w:rsid w:val="00415448"/>
    <w:rsid w:val="004229C0"/>
    <w:rsid w:val="004236EB"/>
    <w:rsid w:val="00424C15"/>
    <w:rsid w:val="00425D59"/>
    <w:rsid w:val="00426A6B"/>
    <w:rsid w:val="00435D19"/>
    <w:rsid w:val="00436DB0"/>
    <w:rsid w:val="00437DA3"/>
    <w:rsid w:val="004406B0"/>
    <w:rsid w:val="0044093C"/>
    <w:rsid w:val="00440C6F"/>
    <w:rsid w:val="00442306"/>
    <w:rsid w:val="00444017"/>
    <w:rsid w:val="004442F4"/>
    <w:rsid w:val="0044432D"/>
    <w:rsid w:val="0044738F"/>
    <w:rsid w:val="0045152B"/>
    <w:rsid w:val="00451F73"/>
    <w:rsid w:val="00454184"/>
    <w:rsid w:val="004550B6"/>
    <w:rsid w:val="004602F9"/>
    <w:rsid w:val="00460AC7"/>
    <w:rsid w:val="00460AEE"/>
    <w:rsid w:val="00461178"/>
    <w:rsid w:val="00461734"/>
    <w:rsid w:val="004617EF"/>
    <w:rsid w:val="00461C5C"/>
    <w:rsid w:val="0046266D"/>
    <w:rsid w:val="00463624"/>
    <w:rsid w:val="004645D6"/>
    <w:rsid w:val="00464BFB"/>
    <w:rsid w:val="00467D69"/>
    <w:rsid w:val="00472E7B"/>
    <w:rsid w:val="00476524"/>
    <w:rsid w:val="004816D3"/>
    <w:rsid w:val="00482987"/>
    <w:rsid w:val="00482C68"/>
    <w:rsid w:val="00482D34"/>
    <w:rsid w:val="004830D4"/>
    <w:rsid w:val="00484272"/>
    <w:rsid w:val="00485EEA"/>
    <w:rsid w:val="00485FE3"/>
    <w:rsid w:val="0049120C"/>
    <w:rsid w:val="00491864"/>
    <w:rsid w:val="00494545"/>
    <w:rsid w:val="00497101"/>
    <w:rsid w:val="004A253F"/>
    <w:rsid w:val="004A27FF"/>
    <w:rsid w:val="004A4DF2"/>
    <w:rsid w:val="004A543C"/>
    <w:rsid w:val="004B433C"/>
    <w:rsid w:val="004B6CFB"/>
    <w:rsid w:val="004C2646"/>
    <w:rsid w:val="004C2A49"/>
    <w:rsid w:val="004C3A84"/>
    <w:rsid w:val="004C6E60"/>
    <w:rsid w:val="004C78A3"/>
    <w:rsid w:val="004D0196"/>
    <w:rsid w:val="004D026B"/>
    <w:rsid w:val="004D1845"/>
    <w:rsid w:val="004D37FB"/>
    <w:rsid w:val="004D3E28"/>
    <w:rsid w:val="004D3F56"/>
    <w:rsid w:val="004D4064"/>
    <w:rsid w:val="004D476E"/>
    <w:rsid w:val="004D7556"/>
    <w:rsid w:val="004D7A42"/>
    <w:rsid w:val="004E1646"/>
    <w:rsid w:val="004E2F5B"/>
    <w:rsid w:val="004E436B"/>
    <w:rsid w:val="004E5657"/>
    <w:rsid w:val="004E5E8D"/>
    <w:rsid w:val="004E5F14"/>
    <w:rsid w:val="004E75A9"/>
    <w:rsid w:val="004F1F4F"/>
    <w:rsid w:val="004F2244"/>
    <w:rsid w:val="004F40F3"/>
    <w:rsid w:val="004F7738"/>
    <w:rsid w:val="00503EFE"/>
    <w:rsid w:val="00505D24"/>
    <w:rsid w:val="00506EBA"/>
    <w:rsid w:val="005072B2"/>
    <w:rsid w:val="00511449"/>
    <w:rsid w:val="00515A67"/>
    <w:rsid w:val="00516A7C"/>
    <w:rsid w:val="00521754"/>
    <w:rsid w:val="00522F09"/>
    <w:rsid w:val="00525BB4"/>
    <w:rsid w:val="00526FD8"/>
    <w:rsid w:val="00530117"/>
    <w:rsid w:val="00530C72"/>
    <w:rsid w:val="00531D18"/>
    <w:rsid w:val="0053258D"/>
    <w:rsid w:val="00534356"/>
    <w:rsid w:val="005401F5"/>
    <w:rsid w:val="0054283F"/>
    <w:rsid w:val="00542EC1"/>
    <w:rsid w:val="00543765"/>
    <w:rsid w:val="00544CC9"/>
    <w:rsid w:val="00545659"/>
    <w:rsid w:val="00546542"/>
    <w:rsid w:val="00547881"/>
    <w:rsid w:val="005526DD"/>
    <w:rsid w:val="00552EFB"/>
    <w:rsid w:val="0055631F"/>
    <w:rsid w:val="00556693"/>
    <w:rsid w:val="00557A2E"/>
    <w:rsid w:val="00563392"/>
    <w:rsid w:val="00563646"/>
    <w:rsid w:val="00563D74"/>
    <w:rsid w:val="005646B0"/>
    <w:rsid w:val="00565230"/>
    <w:rsid w:val="00571D30"/>
    <w:rsid w:val="00572B96"/>
    <w:rsid w:val="00574490"/>
    <w:rsid w:val="00581328"/>
    <w:rsid w:val="00581909"/>
    <w:rsid w:val="005828DF"/>
    <w:rsid w:val="00582DF2"/>
    <w:rsid w:val="005830D8"/>
    <w:rsid w:val="00585D2B"/>
    <w:rsid w:val="00597283"/>
    <w:rsid w:val="005A2758"/>
    <w:rsid w:val="005A3C22"/>
    <w:rsid w:val="005A3D74"/>
    <w:rsid w:val="005A456D"/>
    <w:rsid w:val="005A635C"/>
    <w:rsid w:val="005B1F63"/>
    <w:rsid w:val="005B25CB"/>
    <w:rsid w:val="005B3A8B"/>
    <w:rsid w:val="005B404C"/>
    <w:rsid w:val="005B6065"/>
    <w:rsid w:val="005C217A"/>
    <w:rsid w:val="005C3791"/>
    <w:rsid w:val="005C67D6"/>
    <w:rsid w:val="005C7FB1"/>
    <w:rsid w:val="005D040D"/>
    <w:rsid w:val="005D0D68"/>
    <w:rsid w:val="005D2133"/>
    <w:rsid w:val="005D2837"/>
    <w:rsid w:val="005D51F2"/>
    <w:rsid w:val="005D6676"/>
    <w:rsid w:val="005D7F6D"/>
    <w:rsid w:val="005E1C5E"/>
    <w:rsid w:val="005E2F0C"/>
    <w:rsid w:val="005E4A37"/>
    <w:rsid w:val="005E6032"/>
    <w:rsid w:val="005E777C"/>
    <w:rsid w:val="005E7F67"/>
    <w:rsid w:val="005F1E6E"/>
    <w:rsid w:val="005F2159"/>
    <w:rsid w:val="005F5047"/>
    <w:rsid w:val="005F57DD"/>
    <w:rsid w:val="005F5D0F"/>
    <w:rsid w:val="005F7DC8"/>
    <w:rsid w:val="00600326"/>
    <w:rsid w:val="00601EF4"/>
    <w:rsid w:val="006028E1"/>
    <w:rsid w:val="00607661"/>
    <w:rsid w:val="006100BA"/>
    <w:rsid w:val="00610B68"/>
    <w:rsid w:val="0061217C"/>
    <w:rsid w:val="006124C5"/>
    <w:rsid w:val="00612A54"/>
    <w:rsid w:val="00613B72"/>
    <w:rsid w:val="006145EA"/>
    <w:rsid w:val="00616C99"/>
    <w:rsid w:val="00621A86"/>
    <w:rsid w:val="00624B5F"/>
    <w:rsid w:val="006255A5"/>
    <w:rsid w:val="00626F3F"/>
    <w:rsid w:val="00632AC0"/>
    <w:rsid w:val="00636563"/>
    <w:rsid w:val="00637060"/>
    <w:rsid w:val="00640CF1"/>
    <w:rsid w:val="00640F97"/>
    <w:rsid w:val="0064110F"/>
    <w:rsid w:val="00642C7B"/>
    <w:rsid w:val="00642ED2"/>
    <w:rsid w:val="006447E1"/>
    <w:rsid w:val="00644B98"/>
    <w:rsid w:val="00645A9B"/>
    <w:rsid w:val="006501B9"/>
    <w:rsid w:val="00650D5B"/>
    <w:rsid w:val="00654FD8"/>
    <w:rsid w:val="006567E9"/>
    <w:rsid w:val="00662D98"/>
    <w:rsid w:val="006632E5"/>
    <w:rsid w:val="0066416D"/>
    <w:rsid w:val="00664B72"/>
    <w:rsid w:val="00665495"/>
    <w:rsid w:val="00665765"/>
    <w:rsid w:val="006666AC"/>
    <w:rsid w:val="006672A3"/>
    <w:rsid w:val="00671315"/>
    <w:rsid w:val="006748D4"/>
    <w:rsid w:val="00674E36"/>
    <w:rsid w:val="00677CBE"/>
    <w:rsid w:val="0068062D"/>
    <w:rsid w:val="00680CA6"/>
    <w:rsid w:val="00682B2F"/>
    <w:rsid w:val="00684CEC"/>
    <w:rsid w:val="00685702"/>
    <w:rsid w:val="00686477"/>
    <w:rsid w:val="00687CB2"/>
    <w:rsid w:val="00690BDD"/>
    <w:rsid w:val="0069348F"/>
    <w:rsid w:val="006937AA"/>
    <w:rsid w:val="00694AFA"/>
    <w:rsid w:val="006957FA"/>
    <w:rsid w:val="00695E30"/>
    <w:rsid w:val="00696460"/>
    <w:rsid w:val="00696C26"/>
    <w:rsid w:val="0069732E"/>
    <w:rsid w:val="0069746D"/>
    <w:rsid w:val="0069790A"/>
    <w:rsid w:val="006A120D"/>
    <w:rsid w:val="006A6016"/>
    <w:rsid w:val="006A72F4"/>
    <w:rsid w:val="006B1C29"/>
    <w:rsid w:val="006B267F"/>
    <w:rsid w:val="006B582C"/>
    <w:rsid w:val="006B5B11"/>
    <w:rsid w:val="006B74BC"/>
    <w:rsid w:val="006B7B82"/>
    <w:rsid w:val="006C0455"/>
    <w:rsid w:val="006C0F0B"/>
    <w:rsid w:val="006C1120"/>
    <w:rsid w:val="006C2612"/>
    <w:rsid w:val="006C64BF"/>
    <w:rsid w:val="006C6D7F"/>
    <w:rsid w:val="006C6FF0"/>
    <w:rsid w:val="006D0E2E"/>
    <w:rsid w:val="006D2F00"/>
    <w:rsid w:val="006D427D"/>
    <w:rsid w:val="006D5337"/>
    <w:rsid w:val="006D5C64"/>
    <w:rsid w:val="006D61FA"/>
    <w:rsid w:val="006E4D63"/>
    <w:rsid w:val="006E54BB"/>
    <w:rsid w:val="006E5C60"/>
    <w:rsid w:val="006E6542"/>
    <w:rsid w:val="006E7438"/>
    <w:rsid w:val="006E77D6"/>
    <w:rsid w:val="006F22D5"/>
    <w:rsid w:val="006F2F26"/>
    <w:rsid w:val="006F5B48"/>
    <w:rsid w:val="006F74C1"/>
    <w:rsid w:val="00700959"/>
    <w:rsid w:val="00702C58"/>
    <w:rsid w:val="007034CC"/>
    <w:rsid w:val="007053FC"/>
    <w:rsid w:val="00705797"/>
    <w:rsid w:val="007060C6"/>
    <w:rsid w:val="00711B13"/>
    <w:rsid w:val="00712BFD"/>
    <w:rsid w:val="00712C5F"/>
    <w:rsid w:val="00712F4D"/>
    <w:rsid w:val="00715963"/>
    <w:rsid w:val="007207A8"/>
    <w:rsid w:val="00725FB5"/>
    <w:rsid w:val="00726EF1"/>
    <w:rsid w:val="00727C85"/>
    <w:rsid w:val="007327D2"/>
    <w:rsid w:val="0073358C"/>
    <w:rsid w:val="00734013"/>
    <w:rsid w:val="00737BEE"/>
    <w:rsid w:val="00740698"/>
    <w:rsid w:val="00744F0B"/>
    <w:rsid w:val="00745F48"/>
    <w:rsid w:val="007469C7"/>
    <w:rsid w:val="007509A4"/>
    <w:rsid w:val="0075177D"/>
    <w:rsid w:val="00752B30"/>
    <w:rsid w:val="00756834"/>
    <w:rsid w:val="00757ADE"/>
    <w:rsid w:val="00757F81"/>
    <w:rsid w:val="007606A9"/>
    <w:rsid w:val="00762055"/>
    <w:rsid w:val="0076242D"/>
    <w:rsid w:val="00762683"/>
    <w:rsid w:val="00764B0A"/>
    <w:rsid w:val="00765BFE"/>
    <w:rsid w:val="007700E5"/>
    <w:rsid w:val="007700E7"/>
    <w:rsid w:val="00770D89"/>
    <w:rsid w:val="0077542C"/>
    <w:rsid w:val="00775691"/>
    <w:rsid w:val="00777050"/>
    <w:rsid w:val="00777C00"/>
    <w:rsid w:val="00780C2C"/>
    <w:rsid w:val="00784963"/>
    <w:rsid w:val="00784DA3"/>
    <w:rsid w:val="007868B1"/>
    <w:rsid w:val="007871B2"/>
    <w:rsid w:val="00787C84"/>
    <w:rsid w:val="007905BA"/>
    <w:rsid w:val="007908A6"/>
    <w:rsid w:val="00793544"/>
    <w:rsid w:val="00793D0A"/>
    <w:rsid w:val="00797674"/>
    <w:rsid w:val="00797C29"/>
    <w:rsid w:val="007A21CD"/>
    <w:rsid w:val="007A375B"/>
    <w:rsid w:val="007A6F41"/>
    <w:rsid w:val="007A7257"/>
    <w:rsid w:val="007A7555"/>
    <w:rsid w:val="007B01C3"/>
    <w:rsid w:val="007B0371"/>
    <w:rsid w:val="007B0EFE"/>
    <w:rsid w:val="007B15FE"/>
    <w:rsid w:val="007B4912"/>
    <w:rsid w:val="007B6EB6"/>
    <w:rsid w:val="007C052C"/>
    <w:rsid w:val="007C1EAD"/>
    <w:rsid w:val="007C2E82"/>
    <w:rsid w:val="007C4A11"/>
    <w:rsid w:val="007C5571"/>
    <w:rsid w:val="007C5EA1"/>
    <w:rsid w:val="007C7AEC"/>
    <w:rsid w:val="007D35C2"/>
    <w:rsid w:val="007D4EEE"/>
    <w:rsid w:val="007D5B80"/>
    <w:rsid w:val="007D6347"/>
    <w:rsid w:val="007D6E4E"/>
    <w:rsid w:val="007E29DF"/>
    <w:rsid w:val="007E2D38"/>
    <w:rsid w:val="007E4774"/>
    <w:rsid w:val="007E584F"/>
    <w:rsid w:val="007E5B94"/>
    <w:rsid w:val="007F02A2"/>
    <w:rsid w:val="007F402E"/>
    <w:rsid w:val="007F7579"/>
    <w:rsid w:val="007F77AE"/>
    <w:rsid w:val="007F783B"/>
    <w:rsid w:val="007F7954"/>
    <w:rsid w:val="007F7C86"/>
    <w:rsid w:val="00803C7C"/>
    <w:rsid w:val="00803D26"/>
    <w:rsid w:val="0080666A"/>
    <w:rsid w:val="00806CE8"/>
    <w:rsid w:val="008074B1"/>
    <w:rsid w:val="00810D99"/>
    <w:rsid w:val="00811223"/>
    <w:rsid w:val="0081225D"/>
    <w:rsid w:val="00812E44"/>
    <w:rsid w:val="0081434A"/>
    <w:rsid w:val="00815707"/>
    <w:rsid w:val="00816E29"/>
    <w:rsid w:val="00816F0C"/>
    <w:rsid w:val="0081776D"/>
    <w:rsid w:val="00821D36"/>
    <w:rsid w:val="00824459"/>
    <w:rsid w:val="008253E0"/>
    <w:rsid w:val="00832F1A"/>
    <w:rsid w:val="00832F32"/>
    <w:rsid w:val="00842548"/>
    <w:rsid w:val="008425F7"/>
    <w:rsid w:val="008432FA"/>
    <w:rsid w:val="00852C99"/>
    <w:rsid w:val="00853BB2"/>
    <w:rsid w:val="00853F32"/>
    <w:rsid w:val="00854D96"/>
    <w:rsid w:val="008550EB"/>
    <w:rsid w:val="00856F22"/>
    <w:rsid w:val="00860BC4"/>
    <w:rsid w:val="00860D30"/>
    <w:rsid w:val="00861095"/>
    <w:rsid w:val="008623EB"/>
    <w:rsid w:val="00863446"/>
    <w:rsid w:val="0086454E"/>
    <w:rsid w:val="00871FB8"/>
    <w:rsid w:val="008748BC"/>
    <w:rsid w:val="00874C61"/>
    <w:rsid w:val="008750C0"/>
    <w:rsid w:val="00876063"/>
    <w:rsid w:val="008764C4"/>
    <w:rsid w:val="008778A2"/>
    <w:rsid w:val="00877F33"/>
    <w:rsid w:val="00880D05"/>
    <w:rsid w:val="008835BE"/>
    <w:rsid w:val="00883803"/>
    <w:rsid w:val="00885424"/>
    <w:rsid w:val="0088644E"/>
    <w:rsid w:val="00886A59"/>
    <w:rsid w:val="00891059"/>
    <w:rsid w:val="00891C6A"/>
    <w:rsid w:val="008927EB"/>
    <w:rsid w:val="00892B17"/>
    <w:rsid w:val="008A0626"/>
    <w:rsid w:val="008A5B01"/>
    <w:rsid w:val="008A6CBC"/>
    <w:rsid w:val="008A6EFB"/>
    <w:rsid w:val="008B049E"/>
    <w:rsid w:val="008B081B"/>
    <w:rsid w:val="008B1EFF"/>
    <w:rsid w:val="008B201F"/>
    <w:rsid w:val="008B2098"/>
    <w:rsid w:val="008B5DD3"/>
    <w:rsid w:val="008B74E2"/>
    <w:rsid w:val="008C27F5"/>
    <w:rsid w:val="008C5483"/>
    <w:rsid w:val="008D0728"/>
    <w:rsid w:val="008D1A6F"/>
    <w:rsid w:val="008D286B"/>
    <w:rsid w:val="008D39C0"/>
    <w:rsid w:val="008D3FA0"/>
    <w:rsid w:val="008D53C4"/>
    <w:rsid w:val="008D6551"/>
    <w:rsid w:val="008D66E7"/>
    <w:rsid w:val="008D7FA3"/>
    <w:rsid w:val="008E024C"/>
    <w:rsid w:val="008E2F0F"/>
    <w:rsid w:val="008E38F3"/>
    <w:rsid w:val="008E4930"/>
    <w:rsid w:val="008E5875"/>
    <w:rsid w:val="008E6466"/>
    <w:rsid w:val="008F012D"/>
    <w:rsid w:val="008F0F8C"/>
    <w:rsid w:val="008F1320"/>
    <w:rsid w:val="008F14CF"/>
    <w:rsid w:val="008F51DD"/>
    <w:rsid w:val="00900B93"/>
    <w:rsid w:val="00901F6F"/>
    <w:rsid w:val="00901FE6"/>
    <w:rsid w:val="009046B8"/>
    <w:rsid w:val="0090613A"/>
    <w:rsid w:val="00906509"/>
    <w:rsid w:val="0090742A"/>
    <w:rsid w:val="009103ED"/>
    <w:rsid w:val="0091486B"/>
    <w:rsid w:val="0091513A"/>
    <w:rsid w:val="009163DE"/>
    <w:rsid w:val="009163EE"/>
    <w:rsid w:val="009175E5"/>
    <w:rsid w:val="009178BA"/>
    <w:rsid w:val="00917D78"/>
    <w:rsid w:val="0092050A"/>
    <w:rsid w:val="00920661"/>
    <w:rsid w:val="0092111D"/>
    <w:rsid w:val="00921F9C"/>
    <w:rsid w:val="00922CFF"/>
    <w:rsid w:val="0092689F"/>
    <w:rsid w:val="0092733C"/>
    <w:rsid w:val="0093082D"/>
    <w:rsid w:val="0093210E"/>
    <w:rsid w:val="00932871"/>
    <w:rsid w:val="00933792"/>
    <w:rsid w:val="00934829"/>
    <w:rsid w:val="00935E4E"/>
    <w:rsid w:val="00935EE7"/>
    <w:rsid w:val="009369F7"/>
    <w:rsid w:val="00936AFA"/>
    <w:rsid w:val="00937592"/>
    <w:rsid w:val="00937B7D"/>
    <w:rsid w:val="00941460"/>
    <w:rsid w:val="0094398C"/>
    <w:rsid w:val="00943E98"/>
    <w:rsid w:val="00943FBA"/>
    <w:rsid w:val="0094402F"/>
    <w:rsid w:val="00945D94"/>
    <w:rsid w:val="0094645F"/>
    <w:rsid w:val="00946686"/>
    <w:rsid w:val="00946820"/>
    <w:rsid w:val="00946900"/>
    <w:rsid w:val="0094752A"/>
    <w:rsid w:val="00950492"/>
    <w:rsid w:val="00950596"/>
    <w:rsid w:val="0095151B"/>
    <w:rsid w:val="00951C56"/>
    <w:rsid w:val="0095380B"/>
    <w:rsid w:val="009552A8"/>
    <w:rsid w:val="00955C20"/>
    <w:rsid w:val="00955F9A"/>
    <w:rsid w:val="0095699D"/>
    <w:rsid w:val="00956D9C"/>
    <w:rsid w:val="0096245F"/>
    <w:rsid w:val="00962753"/>
    <w:rsid w:val="00965B4A"/>
    <w:rsid w:val="00966226"/>
    <w:rsid w:val="009672BD"/>
    <w:rsid w:val="00967EDA"/>
    <w:rsid w:val="00970EF5"/>
    <w:rsid w:val="009712BA"/>
    <w:rsid w:val="00972F4D"/>
    <w:rsid w:val="00974494"/>
    <w:rsid w:val="009748A9"/>
    <w:rsid w:val="00974D70"/>
    <w:rsid w:val="00975BFE"/>
    <w:rsid w:val="00975C20"/>
    <w:rsid w:val="00977225"/>
    <w:rsid w:val="0098585B"/>
    <w:rsid w:val="00986057"/>
    <w:rsid w:val="009947FE"/>
    <w:rsid w:val="00995578"/>
    <w:rsid w:val="009A637F"/>
    <w:rsid w:val="009B28F3"/>
    <w:rsid w:val="009B7633"/>
    <w:rsid w:val="009C01EF"/>
    <w:rsid w:val="009C251C"/>
    <w:rsid w:val="009C2FB5"/>
    <w:rsid w:val="009C4A16"/>
    <w:rsid w:val="009C4C5F"/>
    <w:rsid w:val="009C6BF5"/>
    <w:rsid w:val="009C6CEF"/>
    <w:rsid w:val="009C78EE"/>
    <w:rsid w:val="009C7D19"/>
    <w:rsid w:val="009D0D57"/>
    <w:rsid w:val="009D51EB"/>
    <w:rsid w:val="009D5682"/>
    <w:rsid w:val="009D65E6"/>
    <w:rsid w:val="009E31B8"/>
    <w:rsid w:val="009E50AE"/>
    <w:rsid w:val="009E5731"/>
    <w:rsid w:val="009E5DEF"/>
    <w:rsid w:val="009E72B3"/>
    <w:rsid w:val="009F3232"/>
    <w:rsid w:val="009F56A6"/>
    <w:rsid w:val="009F69CB"/>
    <w:rsid w:val="009F79EE"/>
    <w:rsid w:val="009F7C6B"/>
    <w:rsid w:val="00A014AF"/>
    <w:rsid w:val="00A0250D"/>
    <w:rsid w:val="00A02F95"/>
    <w:rsid w:val="00A05D38"/>
    <w:rsid w:val="00A069DE"/>
    <w:rsid w:val="00A06F20"/>
    <w:rsid w:val="00A07E48"/>
    <w:rsid w:val="00A10189"/>
    <w:rsid w:val="00A1135C"/>
    <w:rsid w:val="00A12F68"/>
    <w:rsid w:val="00A13A18"/>
    <w:rsid w:val="00A150EB"/>
    <w:rsid w:val="00A1697E"/>
    <w:rsid w:val="00A17686"/>
    <w:rsid w:val="00A20098"/>
    <w:rsid w:val="00A20813"/>
    <w:rsid w:val="00A21A2B"/>
    <w:rsid w:val="00A21B34"/>
    <w:rsid w:val="00A233EF"/>
    <w:rsid w:val="00A2364A"/>
    <w:rsid w:val="00A23A87"/>
    <w:rsid w:val="00A24061"/>
    <w:rsid w:val="00A24D45"/>
    <w:rsid w:val="00A252F5"/>
    <w:rsid w:val="00A254CC"/>
    <w:rsid w:val="00A32F73"/>
    <w:rsid w:val="00A33117"/>
    <w:rsid w:val="00A34A79"/>
    <w:rsid w:val="00A34E77"/>
    <w:rsid w:val="00A35815"/>
    <w:rsid w:val="00A37F9B"/>
    <w:rsid w:val="00A43142"/>
    <w:rsid w:val="00A45409"/>
    <w:rsid w:val="00A52921"/>
    <w:rsid w:val="00A5292D"/>
    <w:rsid w:val="00A5410B"/>
    <w:rsid w:val="00A54479"/>
    <w:rsid w:val="00A60089"/>
    <w:rsid w:val="00A63739"/>
    <w:rsid w:val="00A659EC"/>
    <w:rsid w:val="00A67734"/>
    <w:rsid w:val="00A70502"/>
    <w:rsid w:val="00A70846"/>
    <w:rsid w:val="00A719D1"/>
    <w:rsid w:val="00A73A53"/>
    <w:rsid w:val="00A73D56"/>
    <w:rsid w:val="00A77A97"/>
    <w:rsid w:val="00A80217"/>
    <w:rsid w:val="00A808C3"/>
    <w:rsid w:val="00A80DFC"/>
    <w:rsid w:val="00A836A2"/>
    <w:rsid w:val="00A84425"/>
    <w:rsid w:val="00A8585A"/>
    <w:rsid w:val="00A86453"/>
    <w:rsid w:val="00A86ADA"/>
    <w:rsid w:val="00A9178B"/>
    <w:rsid w:val="00A94545"/>
    <w:rsid w:val="00A95A6F"/>
    <w:rsid w:val="00A95B4A"/>
    <w:rsid w:val="00A97085"/>
    <w:rsid w:val="00AA0704"/>
    <w:rsid w:val="00AA1D4A"/>
    <w:rsid w:val="00AA315C"/>
    <w:rsid w:val="00AA5B2A"/>
    <w:rsid w:val="00AA7493"/>
    <w:rsid w:val="00AA76F5"/>
    <w:rsid w:val="00AB007A"/>
    <w:rsid w:val="00AB1782"/>
    <w:rsid w:val="00AB3A00"/>
    <w:rsid w:val="00AB5583"/>
    <w:rsid w:val="00AC1DAC"/>
    <w:rsid w:val="00AC2F30"/>
    <w:rsid w:val="00AC4B6A"/>
    <w:rsid w:val="00AC5ED2"/>
    <w:rsid w:val="00AC77F7"/>
    <w:rsid w:val="00AD06D7"/>
    <w:rsid w:val="00AD1677"/>
    <w:rsid w:val="00AD4043"/>
    <w:rsid w:val="00AD436D"/>
    <w:rsid w:val="00AD51B1"/>
    <w:rsid w:val="00AD6A2E"/>
    <w:rsid w:val="00AD7CC2"/>
    <w:rsid w:val="00AE4E90"/>
    <w:rsid w:val="00AF54B8"/>
    <w:rsid w:val="00AF65A4"/>
    <w:rsid w:val="00B0095A"/>
    <w:rsid w:val="00B026F5"/>
    <w:rsid w:val="00B03229"/>
    <w:rsid w:val="00B05D89"/>
    <w:rsid w:val="00B06184"/>
    <w:rsid w:val="00B11316"/>
    <w:rsid w:val="00B11868"/>
    <w:rsid w:val="00B11F2D"/>
    <w:rsid w:val="00B128F9"/>
    <w:rsid w:val="00B176EA"/>
    <w:rsid w:val="00B20612"/>
    <w:rsid w:val="00B21D61"/>
    <w:rsid w:val="00B22800"/>
    <w:rsid w:val="00B23490"/>
    <w:rsid w:val="00B23F78"/>
    <w:rsid w:val="00B24581"/>
    <w:rsid w:val="00B24788"/>
    <w:rsid w:val="00B25058"/>
    <w:rsid w:val="00B263B3"/>
    <w:rsid w:val="00B2698D"/>
    <w:rsid w:val="00B26B68"/>
    <w:rsid w:val="00B26C60"/>
    <w:rsid w:val="00B26CEE"/>
    <w:rsid w:val="00B2798E"/>
    <w:rsid w:val="00B27C86"/>
    <w:rsid w:val="00B27D76"/>
    <w:rsid w:val="00B30A1C"/>
    <w:rsid w:val="00B317CD"/>
    <w:rsid w:val="00B31ED4"/>
    <w:rsid w:val="00B328E4"/>
    <w:rsid w:val="00B33EF8"/>
    <w:rsid w:val="00B34BF1"/>
    <w:rsid w:val="00B36C3F"/>
    <w:rsid w:val="00B376E2"/>
    <w:rsid w:val="00B43620"/>
    <w:rsid w:val="00B43F91"/>
    <w:rsid w:val="00B45B52"/>
    <w:rsid w:val="00B46477"/>
    <w:rsid w:val="00B46678"/>
    <w:rsid w:val="00B5089D"/>
    <w:rsid w:val="00B532E1"/>
    <w:rsid w:val="00B547C9"/>
    <w:rsid w:val="00B5536F"/>
    <w:rsid w:val="00B55779"/>
    <w:rsid w:val="00B560A4"/>
    <w:rsid w:val="00B560DD"/>
    <w:rsid w:val="00B57D30"/>
    <w:rsid w:val="00B60F0F"/>
    <w:rsid w:val="00B61653"/>
    <w:rsid w:val="00B63001"/>
    <w:rsid w:val="00B63DE9"/>
    <w:rsid w:val="00B65EFD"/>
    <w:rsid w:val="00B66DDE"/>
    <w:rsid w:val="00B67311"/>
    <w:rsid w:val="00B715E2"/>
    <w:rsid w:val="00B72929"/>
    <w:rsid w:val="00B76289"/>
    <w:rsid w:val="00B77DC1"/>
    <w:rsid w:val="00B77FE5"/>
    <w:rsid w:val="00B80D8D"/>
    <w:rsid w:val="00B8284F"/>
    <w:rsid w:val="00B832C2"/>
    <w:rsid w:val="00B87979"/>
    <w:rsid w:val="00B95FE3"/>
    <w:rsid w:val="00B96F7A"/>
    <w:rsid w:val="00BA0A9D"/>
    <w:rsid w:val="00BA1943"/>
    <w:rsid w:val="00BA239E"/>
    <w:rsid w:val="00BA384F"/>
    <w:rsid w:val="00BB0E21"/>
    <w:rsid w:val="00BB115F"/>
    <w:rsid w:val="00BB19C5"/>
    <w:rsid w:val="00BB25B0"/>
    <w:rsid w:val="00BB7DE6"/>
    <w:rsid w:val="00BC0B8C"/>
    <w:rsid w:val="00BC2195"/>
    <w:rsid w:val="00BC2620"/>
    <w:rsid w:val="00BC5888"/>
    <w:rsid w:val="00BC637B"/>
    <w:rsid w:val="00BC63E1"/>
    <w:rsid w:val="00BC7636"/>
    <w:rsid w:val="00BD08F0"/>
    <w:rsid w:val="00BD1016"/>
    <w:rsid w:val="00BD1748"/>
    <w:rsid w:val="00BD39D8"/>
    <w:rsid w:val="00BD45D1"/>
    <w:rsid w:val="00BD5B22"/>
    <w:rsid w:val="00BD5B8A"/>
    <w:rsid w:val="00BD5DC6"/>
    <w:rsid w:val="00BE11BD"/>
    <w:rsid w:val="00BE597B"/>
    <w:rsid w:val="00BE6B34"/>
    <w:rsid w:val="00BE7613"/>
    <w:rsid w:val="00BF094D"/>
    <w:rsid w:val="00BF69B7"/>
    <w:rsid w:val="00BF6A3B"/>
    <w:rsid w:val="00C0078A"/>
    <w:rsid w:val="00C00B7A"/>
    <w:rsid w:val="00C01FD1"/>
    <w:rsid w:val="00C0276C"/>
    <w:rsid w:val="00C07A33"/>
    <w:rsid w:val="00C11C3E"/>
    <w:rsid w:val="00C13C22"/>
    <w:rsid w:val="00C13F64"/>
    <w:rsid w:val="00C14556"/>
    <w:rsid w:val="00C201FD"/>
    <w:rsid w:val="00C21E05"/>
    <w:rsid w:val="00C21FCB"/>
    <w:rsid w:val="00C2634C"/>
    <w:rsid w:val="00C32777"/>
    <w:rsid w:val="00C332E2"/>
    <w:rsid w:val="00C359EB"/>
    <w:rsid w:val="00C3644C"/>
    <w:rsid w:val="00C36EAC"/>
    <w:rsid w:val="00C378E6"/>
    <w:rsid w:val="00C403E4"/>
    <w:rsid w:val="00C40470"/>
    <w:rsid w:val="00C43BAD"/>
    <w:rsid w:val="00C43D42"/>
    <w:rsid w:val="00C4633B"/>
    <w:rsid w:val="00C52963"/>
    <w:rsid w:val="00C530F0"/>
    <w:rsid w:val="00C5432F"/>
    <w:rsid w:val="00C554C2"/>
    <w:rsid w:val="00C56E82"/>
    <w:rsid w:val="00C57A9F"/>
    <w:rsid w:val="00C6047B"/>
    <w:rsid w:val="00C605BC"/>
    <w:rsid w:val="00C60A99"/>
    <w:rsid w:val="00C61EE6"/>
    <w:rsid w:val="00C6431C"/>
    <w:rsid w:val="00C66539"/>
    <w:rsid w:val="00C701FC"/>
    <w:rsid w:val="00C724CA"/>
    <w:rsid w:val="00C7419C"/>
    <w:rsid w:val="00C7575B"/>
    <w:rsid w:val="00C800C8"/>
    <w:rsid w:val="00C82356"/>
    <w:rsid w:val="00C82615"/>
    <w:rsid w:val="00C82950"/>
    <w:rsid w:val="00C82EFB"/>
    <w:rsid w:val="00C84786"/>
    <w:rsid w:val="00C85C88"/>
    <w:rsid w:val="00C908CA"/>
    <w:rsid w:val="00C95120"/>
    <w:rsid w:val="00C95682"/>
    <w:rsid w:val="00C967EC"/>
    <w:rsid w:val="00CA2EA5"/>
    <w:rsid w:val="00CA2FF4"/>
    <w:rsid w:val="00CA4E5E"/>
    <w:rsid w:val="00CA5153"/>
    <w:rsid w:val="00CA7D48"/>
    <w:rsid w:val="00CB0F91"/>
    <w:rsid w:val="00CB1956"/>
    <w:rsid w:val="00CB2772"/>
    <w:rsid w:val="00CB415B"/>
    <w:rsid w:val="00CB4291"/>
    <w:rsid w:val="00CB4F0A"/>
    <w:rsid w:val="00CB6419"/>
    <w:rsid w:val="00CB6F3B"/>
    <w:rsid w:val="00CC1653"/>
    <w:rsid w:val="00CC24AB"/>
    <w:rsid w:val="00CC3448"/>
    <w:rsid w:val="00CC34F9"/>
    <w:rsid w:val="00CC6591"/>
    <w:rsid w:val="00CC7146"/>
    <w:rsid w:val="00CC7BFC"/>
    <w:rsid w:val="00CD02E8"/>
    <w:rsid w:val="00CD049E"/>
    <w:rsid w:val="00CD4B5F"/>
    <w:rsid w:val="00CD595E"/>
    <w:rsid w:val="00CD5BA3"/>
    <w:rsid w:val="00CE26A5"/>
    <w:rsid w:val="00CE3FF0"/>
    <w:rsid w:val="00CE48EE"/>
    <w:rsid w:val="00CE5DF7"/>
    <w:rsid w:val="00CE6C04"/>
    <w:rsid w:val="00CE7745"/>
    <w:rsid w:val="00CF1303"/>
    <w:rsid w:val="00CF20F8"/>
    <w:rsid w:val="00CF301A"/>
    <w:rsid w:val="00CF3182"/>
    <w:rsid w:val="00CF4B8C"/>
    <w:rsid w:val="00CF4CD6"/>
    <w:rsid w:val="00CF4F44"/>
    <w:rsid w:val="00CF544E"/>
    <w:rsid w:val="00CF79D4"/>
    <w:rsid w:val="00D03767"/>
    <w:rsid w:val="00D05C48"/>
    <w:rsid w:val="00D06236"/>
    <w:rsid w:val="00D07917"/>
    <w:rsid w:val="00D1239E"/>
    <w:rsid w:val="00D136BA"/>
    <w:rsid w:val="00D1407E"/>
    <w:rsid w:val="00D14B22"/>
    <w:rsid w:val="00D20BE4"/>
    <w:rsid w:val="00D2135E"/>
    <w:rsid w:val="00D239B9"/>
    <w:rsid w:val="00D243E0"/>
    <w:rsid w:val="00D24D3C"/>
    <w:rsid w:val="00D25154"/>
    <w:rsid w:val="00D25CC0"/>
    <w:rsid w:val="00D267EA"/>
    <w:rsid w:val="00D32311"/>
    <w:rsid w:val="00D374E1"/>
    <w:rsid w:val="00D37CA5"/>
    <w:rsid w:val="00D44102"/>
    <w:rsid w:val="00D46A58"/>
    <w:rsid w:val="00D4738A"/>
    <w:rsid w:val="00D519E4"/>
    <w:rsid w:val="00D51E9C"/>
    <w:rsid w:val="00D5431E"/>
    <w:rsid w:val="00D548E4"/>
    <w:rsid w:val="00D5524E"/>
    <w:rsid w:val="00D60875"/>
    <w:rsid w:val="00D60DD8"/>
    <w:rsid w:val="00D616E5"/>
    <w:rsid w:val="00D61F30"/>
    <w:rsid w:val="00D628F9"/>
    <w:rsid w:val="00D62C4D"/>
    <w:rsid w:val="00D6521B"/>
    <w:rsid w:val="00D656EF"/>
    <w:rsid w:val="00D706E9"/>
    <w:rsid w:val="00D70C63"/>
    <w:rsid w:val="00D70D40"/>
    <w:rsid w:val="00D711D7"/>
    <w:rsid w:val="00D72D5D"/>
    <w:rsid w:val="00D74BC6"/>
    <w:rsid w:val="00D7546A"/>
    <w:rsid w:val="00D80433"/>
    <w:rsid w:val="00D80B78"/>
    <w:rsid w:val="00D84E3A"/>
    <w:rsid w:val="00D84E4D"/>
    <w:rsid w:val="00D85420"/>
    <w:rsid w:val="00D859EC"/>
    <w:rsid w:val="00D904A5"/>
    <w:rsid w:val="00D90E18"/>
    <w:rsid w:val="00D90ECD"/>
    <w:rsid w:val="00D92CFA"/>
    <w:rsid w:val="00D967C9"/>
    <w:rsid w:val="00D96E6A"/>
    <w:rsid w:val="00DA1A0D"/>
    <w:rsid w:val="00DA4581"/>
    <w:rsid w:val="00DA5CAB"/>
    <w:rsid w:val="00DA656E"/>
    <w:rsid w:val="00DB06CB"/>
    <w:rsid w:val="00DB0AF8"/>
    <w:rsid w:val="00DB16BA"/>
    <w:rsid w:val="00DB3074"/>
    <w:rsid w:val="00DB3611"/>
    <w:rsid w:val="00DB5066"/>
    <w:rsid w:val="00DB6585"/>
    <w:rsid w:val="00DC2C1B"/>
    <w:rsid w:val="00DC3704"/>
    <w:rsid w:val="00DC7B3D"/>
    <w:rsid w:val="00DD1FD8"/>
    <w:rsid w:val="00DD23A5"/>
    <w:rsid w:val="00DD38EC"/>
    <w:rsid w:val="00DD61A0"/>
    <w:rsid w:val="00DD761E"/>
    <w:rsid w:val="00DE001D"/>
    <w:rsid w:val="00DE02FB"/>
    <w:rsid w:val="00DE0A19"/>
    <w:rsid w:val="00DE0B85"/>
    <w:rsid w:val="00DE115E"/>
    <w:rsid w:val="00DE3A0D"/>
    <w:rsid w:val="00DE46EA"/>
    <w:rsid w:val="00DE4BF3"/>
    <w:rsid w:val="00DE6C8E"/>
    <w:rsid w:val="00DE7F75"/>
    <w:rsid w:val="00DF1645"/>
    <w:rsid w:val="00DF23A2"/>
    <w:rsid w:val="00DF2956"/>
    <w:rsid w:val="00DF337E"/>
    <w:rsid w:val="00DF4101"/>
    <w:rsid w:val="00DF4A46"/>
    <w:rsid w:val="00E00F75"/>
    <w:rsid w:val="00E01AEA"/>
    <w:rsid w:val="00E02FC1"/>
    <w:rsid w:val="00E05096"/>
    <w:rsid w:val="00E10A0B"/>
    <w:rsid w:val="00E1117F"/>
    <w:rsid w:val="00E1198B"/>
    <w:rsid w:val="00E139DD"/>
    <w:rsid w:val="00E13E3D"/>
    <w:rsid w:val="00E16A48"/>
    <w:rsid w:val="00E17ACC"/>
    <w:rsid w:val="00E207FF"/>
    <w:rsid w:val="00E21E48"/>
    <w:rsid w:val="00E22933"/>
    <w:rsid w:val="00E23FAE"/>
    <w:rsid w:val="00E24638"/>
    <w:rsid w:val="00E2468E"/>
    <w:rsid w:val="00E24D03"/>
    <w:rsid w:val="00E328BA"/>
    <w:rsid w:val="00E34172"/>
    <w:rsid w:val="00E3693B"/>
    <w:rsid w:val="00E37FFD"/>
    <w:rsid w:val="00E40B3B"/>
    <w:rsid w:val="00E429BC"/>
    <w:rsid w:val="00E42E96"/>
    <w:rsid w:val="00E44465"/>
    <w:rsid w:val="00E45F98"/>
    <w:rsid w:val="00E461CB"/>
    <w:rsid w:val="00E50986"/>
    <w:rsid w:val="00E52BE3"/>
    <w:rsid w:val="00E53AA0"/>
    <w:rsid w:val="00E5414A"/>
    <w:rsid w:val="00E566F4"/>
    <w:rsid w:val="00E609FF"/>
    <w:rsid w:val="00E610C7"/>
    <w:rsid w:val="00E623C2"/>
    <w:rsid w:val="00E62D7D"/>
    <w:rsid w:val="00E62EB1"/>
    <w:rsid w:val="00E64DCA"/>
    <w:rsid w:val="00E71056"/>
    <w:rsid w:val="00E7123C"/>
    <w:rsid w:val="00E71D99"/>
    <w:rsid w:val="00E71E4D"/>
    <w:rsid w:val="00E72042"/>
    <w:rsid w:val="00E73F4C"/>
    <w:rsid w:val="00E74357"/>
    <w:rsid w:val="00E776AE"/>
    <w:rsid w:val="00E77A14"/>
    <w:rsid w:val="00E814C5"/>
    <w:rsid w:val="00E81A36"/>
    <w:rsid w:val="00E849A8"/>
    <w:rsid w:val="00E853AD"/>
    <w:rsid w:val="00E85B36"/>
    <w:rsid w:val="00E917B5"/>
    <w:rsid w:val="00E9298C"/>
    <w:rsid w:val="00E92BFA"/>
    <w:rsid w:val="00E92D4C"/>
    <w:rsid w:val="00E94773"/>
    <w:rsid w:val="00E9595F"/>
    <w:rsid w:val="00E95D74"/>
    <w:rsid w:val="00E97665"/>
    <w:rsid w:val="00EA15B6"/>
    <w:rsid w:val="00EA20B7"/>
    <w:rsid w:val="00EA2589"/>
    <w:rsid w:val="00EB2C00"/>
    <w:rsid w:val="00EB2C7F"/>
    <w:rsid w:val="00EB31EA"/>
    <w:rsid w:val="00EB3FDD"/>
    <w:rsid w:val="00EB4001"/>
    <w:rsid w:val="00EB6201"/>
    <w:rsid w:val="00EB753F"/>
    <w:rsid w:val="00EC452B"/>
    <w:rsid w:val="00EC4ECE"/>
    <w:rsid w:val="00EC6C34"/>
    <w:rsid w:val="00EC74CB"/>
    <w:rsid w:val="00ED0891"/>
    <w:rsid w:val="00ED1A60"/>
    <w:rsid w:val="00ED2AA4"/>
    <w:rsid w:val="00ED312A"/>
    <w:rsid w:val="00ED3BF6"/>
    <w:rsid w:val="00ED48E9"/>
    <w:rsid w:val="00EE013A"/>
    <w:rsid w:val="00EE03A3"/>
    <w:rsid w:val="00EE2315"/>
    <w:rsid w:val="00EE534B"/>
    <w:rsid w:val="00EE5ABF"/>
    <w:rsid w:val="00EE7655"/>
    <w:rsid w:val="00EE7A89"/>
    <w:rsid w:val="00EF1734"/>
    <w:rsid w:val="00EF26DA"/>
    <w:rsid w:val="00EF2FF2"/>
    <w:rsid w:val="00EF30CD"/>
    <w:rsid w:val="00EF3957"/>
    <w:rsid w:val="00EF4DF4"/>
    <w:rsid w:val="00EF7881"/>
    <w:rsid w:val="00F00F6C"/>
    <w:rsid w:val="00F014A6"/>
    <w:rsid w:val="00F01AED"/>
    <w:rsid w:val="00F03933"/>
    <w:rsid w:val="00F045EE"/>
    <w:rsid w:val="00F04A66"/>
    <w:rsid w:val="00F05A3D"/>
    <w:rsid w:val="00F07273"/>
    <w:rsid w:val="00F11446"/>
    <w:rsid w:val="00F12F00"/>
    <w:rsid w:val="00F1652D"/>
    <w:rsid w:val="00F17023"/>
    <w:rsid w:val="00F17376"/>
    <w:rsid w:val="00F211BE"/>
    <w:rsid w:val="00F2204F"/>
    <w:rsid w:val="00F26394"/>
    <w:rsid w:val="00F372B3"/>
    <w:rsid w:val="00F37989"/>
    <w:rsid w:val="00F40D8B"/>
    <w:rsid w:val="00F4158E"/>
    <w:rsid w:val="00F427B7"/>
    <w:rsid w:val="00F432BD"/>
    <w:rsid w:val="00F43D0C"/>
    <w:rsid w:val="00F45838"/>
    <w:rsid w:val="00F50FF9"/>
    <w:rsid w:val="00F526FE"/>
    <w:rsid w:val="00F5399A"/>
    <w:rsid w:val="00F53AC1"/>
    <w:rsid w:val="00F53F94"/>
    <w:rsid w:val="00F54A06"/>
    <w:rsid w:val="00F5633E"/>
    <w:rsid w:val="00F573E3"/>
    <w:rsid w:val="00F63276"/>
    <w:rsid w:val="00F64121"/>
    <w:rsid w:val="00F65EE8"/>
    <w:rsid w:val="00F66F90"/>
    <w:rsid w:val="00F7117A"/>
    <w:rsid w:val="00F72364"/>
    <w:rsid w:val="00F72A9D"/>
    <w:rsid w:val="00F765C4"/>
    <w:rsid w:val="00F769FA"/>
    <w:rsid w:val="00F80157"/>
    <w:rsid w:val="00F80BA0"/>
    <w:rsid w:val="00F812FE"/>
    <w:rsid w:val="00F827D5"/>
    <w:rsid w:val="00F86D38"/>
    <w:rsid w:val="00F86E8A"/>
    <w:rsid w:val="00F913DD"/>
    <w:rsid w:val="00F937B2"/>
    <w:rsid w:val="00F93E9E"/>
    <w:rsid w:val="00F9444E"/>
    <w:rsid w:val="00F94BAC"/>
    <w:rsid w:val="00F978CD"/>
    <w:rsid w:val="00FA008D"/>
    <w:rsid w:val="00FA02CC"/>
    <w:rsid w:val="00FA1485"/>
    <w:rsid w:val="00FA2763"/>
    <w:rsid w:val="00FA2789"/>
    <w:rsid w:val="00FA46E6"/>
    <w:rsid w:val="00FA6DAA"/>
    <w:rsid w:val="00FA75C6"/>
    <w:rsid w:val="00FB0A7D"/>
    <w:rsid w:val="00FB360A"/>
    <w:rsid w:val="00FB3708"/>
    <w:rsid w:val="00FB5B18"/>
    <w:rsid w:val="00FB5DCF"/>
    <w:rsid w:val="00FC2132"/>
    <w:rsid w:val="00FC3051"/>
    <w:rsid w:val="00FC56E4"/>
    <w:rsid w:val="00FC6172"/>
    <w:rsid w:val="00FC70CA"/>
    <w:rsid w:val="00FD24AC"/>
    <w:rsid w:val="00FD262C"/>
    <w:rsid w:val="00FD3981"/>
    <w:rsid w:val="00FD4018"/>
    <w:rsid w:val="00FD5810"/>
    <w:rsid w:val="00FD5B8B"/>
    <w:rsid w:val="00FD6D68"/>
    <w:rsid w:val="00FE15A9"/>
    <w:rsid w:val="00FE47B4"/>
    <w:rsid w:val="00FE4A00"/>
    <w:rsid w:val="00FE7463"/>
    <w:rsid w:val="00FF3000"/>
    <w:rsid w:val="00FF3B6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3" type="connector" idref="#_x0000_s2052"/>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vi-VN"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526DD"/>
    <w:rPr>
      <w:rFonts w:eastAsia="Times New Roman"/>
      <w:sz w:val="24"/>
      <w:szCs w:val="24"/>
      <w:lang w:val="en-US" w:eastAsia="en-US"/>
    </w:rPr>
  </w:style>
  <w:style w:type="paragraph" w:styleId="Heading1">
    <w:name w:val="heading 1"/>
    <w:basedOn w:val="Normal"/>
    <w:next w:val="Normal"/>
    <w:link w:val="Heading1Char"/>
    <w:rsid w:val="00BF6A3B"/>
    <w:pPr>
      <w:keepNext/>
      <w:spacing w:before="120" w:line="360" w:lineRule="auto"/>
      <w:ind w:firstLine="567"/>
      <w:jc w:val="both"/>
      <w:outlineLvl w:val="0"/>
    </w:pPr>
    <w:rPr>
      <w:b/>
      <w:lang w:val="nl-NL" w:eastAsia="zh-CN"/>
    </w:rPr>
  </w:style>
  <w:style w:type="paragraph" w:styleId="Heading3">
    <w:name w:val="heading 3"/>
    <w:basedOn w:val="Normal"/>
    <w:next w:val="Normal"/>
    <w:link w:val="Heading3Char"/>
    <w:uiPriority w:val="9"/>
    <w:unhideWhenUsed/>
    <w:qFormat/>
    <w:rsid w:val="00CB195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26DD"/>
    <w:pPr>
      <w:tabs>
        <w:tab w:val="center" w:pos="4320"/>
        <w:tab w:val="right" w:pos="8640"/>
      </w:tabs>
    </w:pPr>
  </w:style>
  <w:style w:type="character" w:customStyle="1" w:styleId="FooterChar">
    <w:name w:val="Footer Char"/>
    <w:link w:val="Footer"/>
    <w:rsid w:val="005526DD"/>
    <w:rPr>
      <w:rFonts w:eastAsia="Times New Roman" w:cs="Times New Roman"/>
      <w:sz w:val="24"/>
      <w:szCs w:val="24"/>
    </w:rPr>
  </w:style>
  <w:style w:type="character" w:styleId="PageNumber">
    <w:name w:val="page number"/>
    <w:basedOn w:val="DefaultParagraphFont"/>
    <w:rsid w:val="005526DD"/>
  </w:style>
  <w:style w:type="paragraph" w:customStyle="1" w:styleId="ColorfulList-Accent11">
    <w:name w:val="Colorful List - Accent 11"/>
    <w:basedOn w:val="Normal"/>
    <w:uiPriority w:val="34"/>
    <w:qFormat/>
    <w:rsid w:val="005526DD"/>
    <w:pPr>
      <w:ind w:left="720"/>
      <w:contextualSpacing/>
    </w:pPr>
  </w:style>
  <w:style w:type="paragraph" w:styleId="BalloonText">
    <w:name w:val="Balloon Text"/>
    <w:basedOn w:val="Normal"/>
    <w:semiHidden/>
    <w:rsid w:val="00FD4018"/>
    <w:rPr>
      <w:rFonts w:ascii="Tahoma" w:hAnsi="Tahoma" w:cs="Tahoma"/>
      <w:sz w:val="16"/>
      <w:szCs w:val="16"/>
    </w:rPr>
  </w:style>
  <w:style w:type="paragraph" w:customStyle="1" w:styleId="n-dieund">
    <w:name w:val="n-dieund"/>
    <w:basedOn w:val="Normal"/>
    <w:rsid w:val="006E5C60"/>
    <w:pPr>
      <w:spacing w:after="120"/>
      <w:ind w:firstLine="709"/>
      <w:jc w:val="both"/>
    </w:pPr>
    <w:rPr>
      <w:rFonts w:ascii=".VnTime" w:hAnsi=".VnTime"/>
      <w:sz w:val="28"/>
      <w:szCs w:val="20"/>
      <w:lang w:eastAsia="ja-JP"/>
    </w:rPr>
  </w:style>
  <w:style w:type="character" w:styleId="Strong">
    <w:name w:val="Strong"/>
    <w:uiPriority w:val="22"/>
    <w:qFormat/>
    <w:rsid w:val="0001511D"/>
    <w:rPr>
      <w:b/>
      <w:b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Char"/>
    <w:basedOn w:val="Normal"/>
    <w:link w:val="FootnoteTextChar"/>
    <w:uiPriority w:val="99"/>
    <w:unhideWhenUsed/>
    <w:qFormat/>
    <w:rsid w:val="00211BE0"/>
    <w:rPr>
      <w:rFonts w:eastAsia="Arial"/>
      <w:sz w:val="20"/>
      <w:szCs w:val="20"/>
      <w:lang w:val="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Char Char1"/>
    <w:link w:val="FootnoteText"/>
    <w:uiPriority w:val="99"/>
    <w:qFormat/>
    <w:rsid w:val="00211BE0"/>
    <w:rPr>
      <w:rFonts w:eastAsia="Arial"/>
      <w:lang w:val="vi-VN"/>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link w:val="RefChar"/>
    <w:uiPriority w:val="99"/>
    <w:unhideWhenUsed/>
    <w:qFormat/>
    <w:rsid w:val="00211BE0"/>
    <w:rPr>
      <w:vertAlign w:val="superscript"/>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Char Char25"/>
    <w:basedOn w:val="Normal"/>
    <w:link w:val="NormalWebChar"/>
    <w:uiPriority w:val="99"/>
    <w:unhideWhenUsed/>
    <w:qFormat/>
    <w:rsid w:val="00D72D5D"/>
    <w:pPr>
      <w:spacing w:before="100" w:beforeAutospacing="1" w:after="100" w:afterAutospacing="1"/>
    </w:pPr>
  </w:style>
  <w:style w:type="paragraph" w:styleId="Header">
    <w:name w:val="header"/>
    <w:basedOn w:val="Normal"/>
    <w:link w:val="HeaderChar"/>
    <w:uiPriority w:val="99"/>
    <w:unhideWhenUsed/>
    <w:rsid w:val="004A543C"/>
    <w:pPr>
      <w:tabs>
        <w:tab w:val="center" w:pos="4680"/>
        <w:tab w:val="right" w:pos="9360"/>
      </w:tabs>
    </w:pPr>
  </w:style>
  <w:style w:type="character" w:customStyle="1" w:styleId="HeaderChar">
    <w:name w:val="Header Char"/>
    <w:link w:val="Header"/>
    <w:uiPriority w:val="99"/>
    <w:rsid w:val="004A543C"/>
    <w:rPr>
      <w:rFonts w:eastAsia="Times New Roman"/>
      <w:sz w:val="24"/>
      <w:szCs w:val="24"/>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DF337E"/>
    <w:rPr>
      <w:rFonts w:eastAsia="Times New Roman"/>
      <w:sz w:val="24"/>
      <w:szCs w:val="24"/>
    </w:rPr>
  </w:style>
  <w:style w:type="character" w:styleId="Emphasis">
    <w:name w:val="Emphasis"/>
    <w:uiPriority w:val="20"/>
    <w:qFormat/>
    <w:rsid w:val="00DA1A0D"/>
    <w:rPr>
      <w:i/>
      <w:iCs/>
    </w:rPr>
  </w:style>
  <w:style w:type="character" w:customStyle="1" w:styleId="fontstyle01">
    <w:name w:val="fontstyle01"/>
    <w:rsid w:val="00D62C4D"/>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8253E0"/>
    <w:rPr>
      <w:rFonts w:eastAsia="Times New Roman"/>
      <w:sz w:val="24"/>
      <w:szCs w:val="24"/>
      <w:lang w:val="en-US" w:eastAsia="en-US"/>
    </w:rPr>
  </w:style>
  <w:style w:type="character" w:styleId="Hyperlink">
    <w:name w:val="Hyperlink"/>
    <w:uiPriority w:val="99"/>
    <w:semiHidden/>
    <w:unhideWhenUsed/>
    <w:rsid w:val="007D35C2"/>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5D0D68"/>
    <w:pPr>
      <w:spacing w:after="160" w:line="240" w:lineRule="exact"/>
    </w:pPr>
    <w:rPr>
      <w:rFonts w:eastAsia="Calibri"/>
      <w:sz w:val="20"/>
      <w:szCs w:val="20"/>
      <w:vertAlign w:val="superscript"/>
    </w:rPr>
  </w:style>
  <w:style w:type="character" w:customStyle="1" w:styleId="Heading1Char">
    <w:name w:val="Heading 1 Char"/>
    <w:link w:val="Heading1"/>
    <w:rsid w:val="00BF6A3B"/>
    <w:rPr>
      <w:rFonts w:eastAsia="Times New Roman"/>
      <w:b/>
      <w:sz w:val="24"/>
      <w:szCs w:val="24"/>
      <w:lang w:val="nl-NL" w:eastAsia="zh-CN"/>
    </w:rPr>
  </w:style>
  <w:style w:type="character" w:customStyle="1" w:styleId="Heading3Char">
    <w:name w:val="Heading 3 Char"/>
    <w:link w:val="Heading3"/>
    <w:uiPriority w:val="9"/>
    <w:rsid w:val="00CB1956"/>
    <w:rPr>
      <w:rFonts w:ascii="Cambria" w:eastAsia="Times New Roman" w:hAnsi="Cambria" w:cs="Times New Roman"/>
      <w:b/>
      <w:bCs/>
      <w:sz w:val="26"/>
      <w:szCs w:val="26"/>
    </w:rPr>
  </w:style>
  <w:style w:type="paragraph" w:customStyle="1" w:styleId="Default">
    <w:name w:val="Default"/>
    <w:rsid w:val="00B30A1C"/>
    <w:pPr>
      <w:autoSpaceDE w:val="0"/>
      <w:autoSpaceDN w:val="0"/>
      <w:adjustRightInd w:val="0"/>
    </w:pPr>
    <w:rPr>
      <w:rFonts w:ascii="Arimo" w:hAnsi="Arimo" w:cs="Arimo"/>
      <w:color w:val="000000"/>
      <w:sz w:val="24"/>
      <w:szCs w:val="24"/>
      <w:lang w:val="en-US" w:eastAsia="en-US"/>
    </w:rPr>
  </w:style>
  <w:style w:type="paragraph" w:styleId="Revision">
    <w:name w:val="Revision"/>
    <w:hidden/>
    <w:uiPriority w:val="71"/>
    <w:unhideWhenUsed/>
    <w:rsid w:val="00374E03"/>
    <w:rPr>
      <w:rFonts w:eastAsia="Times New Roman"/>
      <w:sz w:val="24"/>
      <w:szCs w:val="24"/>
      <w:lang w:val="en-US" w:eastAsia="en-US"/>
    </w:rPr>
  </w:style>
  <w:style w:type="paragraph" w:styleId="Title">
    <w:name w:val="Title"/>
    <w:basedOn w:val="Normal"/>
    <w:link w:val="TitleChar"/>
    <w:qFormat/>
    <w:rsid w:val="00461C5C"/>
    <w:pPr>
      <w:widowControl w:val="0"/>
      <w:spacing w:after="120"/>
      <w:ind w:firstLine="720"/>
      <w:jc w:val="both"/>
    </w:pPr>
    <w:rPr>
      <w:b/>
    </w:rPr>
  </w:style>
  <w:style w:type="character" w:customStyle="1" w:styleId="TitleChar">
    <w:name w:val="Title Char"/>
    <w:link w:val="Title"/>
    <w:rsid w:val="00461C5C"/>
    <w:rPr>
      <w:rFonts w:eastAsia="Times New Roman"/>
      <w:b/>
      <w:sz w:val="24"/>
      <w:szCs w:val="24"/>
    </w:rPr>
  </w:style>
  <w:style w:type="paragraph" w:customStyle="1" w:styleId="CharCharChar1Char">
    <w:name w:val="Char Char Char1 Char"/>
    <w:basedOn w:val="Normal"/>
    <w:next w:val="Normal"/>
    <w:autoRedefine/>
    <w:semiHidden/>
    <w:rsid w:val="00D70D40"/>
    <w:pPr>
      <w:spacing w:before="120" w:after="120" w:line="312" w:lineRule="auto"/>
      <w:ind w:firstLine="720"/>
      <w:jc w:val="both"/>
    </w:pPr>
    <w:rPr>
      <w:rFonts w:ascii=".VnTime" w:hAnsi=".VnTime"/>
      <w:sz w:val="28"/>
      <w:szCs w:val="22"/>
    </w:rPr>
  </w:style>
  <w:style w:type="paragraph" w:styleId="BodyTextIndent">
    <w:name w:val="Body Text Indent"/>
    <w:basedOn w:val="Normal"/>
    <w:link w:val="BodyTextIndentChar"/>
    <w:rsid w:val="003A504D"/>
    <w:pPr>
      <w:spacing w:after="120"/>
      <w:ind w:left="360"/>
    </w:pPr>
  </w:style>
  <w:style w:type="character" w:customStyle="1" w:styleId="BodyTextIndentChar">
    <w:name w:val="Body Text Indent Char"/>
    <w:link w:val="BodyTextIndent"/>
    <w:rsid w:val="003A504D"/>
    <w:rPr>
      <w:rFonts w:eastAsia="Times New Roman"/>
      <w:sz w:val="24"/>
      <w:szCs w:val="24"/>
    </w:rPr>
  </w:style>
  <w:style w:type="paragraph" w:styleId="BodyText">
    <w:name w:val="Body Text"/>
    <w:basedOn w:val="Normal"/>
    <w:link w:val="BodyTextChar"/>
    <w:uiPriority w:val="99"/>
    <w:semiHidden/>
    <w:unhideWhenUsed/>
    <w:rsid w:val="00DB16BA"/>
    <w:pPr>
      <w:spacing w:after="120"/>
    </w:pPr>
  </w:style>
  <w:style w:type="character" w:customStyle="1" w:styleId="BodyTextChar">
    <w:name w:val="Body Text Char"/>
    <w:link w:val="BodyText"/>
    <w:uiPriority w:val="99"/>
    <w:semiHidden/>
    <w:rsid w:val="00DB16BA"/>
    <w:rPr>
      <w:rFonts w:eastAsia="Times New Roman"/>
      <w:sz w:val="24"/>
      <w:szCs w:val="24"/>
    </w:rPr>
  </w:style>
  <w:style w:type="character" w:customStyle="1" w:styleId="BodyTextChar1">
    <w:name w:val="Body Text Char1"/>
    <w:uiPriority w:val="99"/>
    <w:locked/>
    <w:rsid w:val="00DB16BA"/>
    <w:rPr>
      <w:rFonts w:eastAsia="Times New Roman" w:cs="Times New Roman"/>
      <w:sz w:val="20"/>
      <w:szCs w:val="28"/>
    </w:rPr>
  </w:style>
  <w:style w:type="character" w:customStyle="1" w:styleId="Bodytext3NotItalic">
    <w:name w:val="Body text (3) + Not Italic"/>
    <w:aliases w:val="Spacing 0 pt,Table of contents (9) + Bookman Old Style,4 pt,4.5 pt,Table of contents (22) + Consolas,Table of contents (23) + Verdana,Spacing 18 pt,Table of contents (24) + Consolas,Table of contents (23) + Malgun Gothic"/>
    <w:rsid w:val="00DB16B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0117A6"/>
    <w:pPr>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CF79D4"/>
    <w:rPr>
      <w:sz w:val="16"/>
      <w:szCs w:val="16"/>
    </w:rPr>
  </w:style>
  <w:style w:type="paragraph" w:styleId="CommentText">
    <w:name w:val="annotation text"/>
    <w:basedOn w:val="Normal"/>
    <w:link w:val="CommentTextChar"/>
    <w:uiPriority w:val="99"/>
    <w:unhideWhenUsed/>
    <w:rsid w:val="00CF79D4"/>
    <w:rPr>
      <w:sz w:val="20"/>
      <w:szCs w:val="20"/>
    </w:rPr>
  </w:style>
  <w:style w:type="character" w:customStyle="1" w:styleId="CommentTextChar">
    <w:name w:val="Comment Text Char"/>
    <w:basedOn w:val="DefaultParagraphFont"/>
    <w:link w:val="CommentText"/>
    <w:uiPriority w:val="99"/>
    <w:rsid w:val="00CF79D4"/>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CF79D4"/>
    <w:rPr>
      <w:b/>
      <w:bCs/>
    </w:rPr>
  </w:style>
  <w:style w:type="character" w:customStyle="1" w:styleId="CommentSubjectChar">
    <w:name w:val="Comment Subject Char"/>
    <w:basedOn w:val="CommentTextChar"/>
    <w:link w:val="CommentSubject"/>
    <w:uiPriority w:val="99"/>
    <w:semiHidden/>
    <w:rsid w:val="00CF79D4"/>
    <w:rPr>
      <w:rFonts w:eastAsia="Times New Roman"/>
      <w:b/>
      <w:bCs/>
      <w:lang w:val="en-US" w:eastAsia="en-US"/>
    </w:rPr>
  </w:style>
  <w:style w:type="paragraph" w:customStyle="1" w:styleId="4GCharCharChar">
    <w:name w:val="4_G Char Char Char"/>
    <w:basedOn w:val="Normal"/>
    <w:uiPriority w:val="99"/>
    <w:qFormat/>
    <w:rsid w:val="00C554C2"/>
    <w:pPr>
      <w:spacing w:before="100" w:line="240" w:lineRule="exact"/>
      <w:jc w:val="both"/>
    </w:pPr>
    <w:rPr>
      <w:rFonts w:asciiTheme="minorHAnsi" w:eastAsiaTheme="minorHAnsi" w:hAnsiTheme="minorHAnsi" w:cstheme="minorBidi"/>
      <w:sz w:val="22"/>
      <w:szCs w:val="22"/>
      <w:vertAlign w:val="superscript"/>
    </w:rPr>
  </w:style>
  <w:style w:type="paragraph" w:customStyle="1" w:styleId="BVIfnrCarCar">
    <w:name w:val="BVI fnr Car Car"/>
    <w:aliases w:val="BVI fnr Car,BVI fnr Car Car Car Car Char"/>
    <w:basedOn w:val="Normal"/>
    <w:qFormat/>
    <w:rsid w:val="00F4158E"/>
    <w:pPr>
      <w:spacing w:after="160" w:line="240" w:lineRule="exact"/>
    </w:pPr>
    <w:rPr>
      <w:rFonts w:asciiTheme="minorHAnsi" w:eastAsiaTheme="minorHAnsi" w:hAnsiTheme="minorHAnsi" w:cstheme="minorBidi"/>
      <w:kern w:val="2"/>
      <w:sz w:val="22"/>
      <w:szCs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4830D4"/>
    <w:pPr>
      <w:spacing w:after="160" w:line="240" w:lineRule="exact"/>
    </w:pPr>
    <w:rPr>
      <w:rFonts w:asciiTheme="minorHAnsi" w:eastAsiaTheme="minorHAnsi" w:hAnsiTheme="minorHAnsi" w:cstheme="minorBidi"/>
      <w:sz w:val="22"/>
      <w:szCs w:val="22"/>
      <w:vertAlign w:val="superscript"/>
    </w:rPr>
  </w:style>
  <w:style w:type="paragraph" w:customStyle="1" w:styleId="LightGrid-Accent31">
    <w:name w:val="Light Grid - Accent 31"/>
    <w:basedOn w:val="Normal"/>
    <w:link w:val="LightGrid-Accent3Char"/>
    <w:uiPriority w:val="34"/>
    <w:qFormat/>
    <w:rsid w:val="00FD5B8B"/>
    <w:pPr>
      <w:widowControl w:val="0"/>
      <w:spacing w:before="78"/>
      <w:ind w:left="121" w:firstLine="454"/>
      <w:jc w:val="both"/>
    </w:pPr>
    <w:rPr>
      <w:sz w:val="22"/>
      <w:szCs w:val="22"/>
    </w:rPr>
  </w:style>
  <w:style w:type="character" w:customStyle="1" w:styleId="LightGrid-Accent3Char">
    <w:name w:val="Light Grid - Accent 3 Char"/>
    <w:link w:val="LightGrid-Accent31"/>
    <w:uiPriority w:val="34"/>
    <w:locked/>
    <w:rsid w:val="00FD5B8B"/>
    <w:rPr>
      <w:rFonts w:eastAsia="Times New Roman"/>
      <w:sz w:val="22"/>
      <w:szCs w:val="22"/>
      <w:lang w:val="en-US" w:eastAsia="en-US"/>
    </w:rPr>
  </w:style>
  <w:style w:type="table" w:styleId="TableGrid">
    <w:name w:val="Table Grid"/>
    <w:basedOn w:val="TableNormal"/>
    <w:uiPriority w:val="59"/>
    <w:rsid w:val="003828CB"/>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D7CC2"/>
  </w:style>
</w:styles>
</file>

<file path=word/webSettings.xml><?xml version="1.0" encoding="utf-8"?>
<w:webSettings xmlns:r="http://schemas.openxmlformats.org/officeDocument/2006/relationships" xmlns:w="http://schemas.openxmlformats.org/wordprocessingml/2006/main">
  <w:divs>
    <w:div w:id="140584979">
      <w:bodyDiv w:val="1"/>
      <w:marLeft w:val="0"/>
      <w:marRight w:val="0"/>
      <w:marTop w:val="0"/>
      <w:marBottom w:val="0"/>
      <w:divBdr>
        <w:top w:val="none" w:sz="0" w:space="0" w:color="auto"/>
        <w:left w:val="none" w:sz="0" w:space="0" w:color="auto"/>
        <w:bottom w:val="none" w:sz="0" w:space="0" w:color="auto"/>
        <w:right w:val="none" w:sz="0" w:space="0" w:color="auto"/>
      </w:divBdr>
    </w:div>
    <w:div w:id="265507064">
      <w:bodyDiv w:val="1"/>
      <w:marLeft w:val="0"/>
      <w:marRight w:val="0"/>
      <w:marTop w:val="0"/>
      <w:marBottom w:val="0"/>
      <w:divBdr>
        <w:top w:val="none" w:sz="0" w:space="0" w:color="auto"/>
        <w:left w:val="none" w:sz="0" w:space="0" w:color="auto"/>
        <w:bottom w:val="none" w:sz="0" w:space="0" w:color="auto"/>
        <w:right w:val="none" w:sz="0" w:space="0" w:color="auto"/>
      </w:divBdr>
    </w:div>
    <w:div w:id="280842704">
      <w:bodyDiv w:val="1"/>
      <w:marLeft w:val="0"/>
      <w:marRight w:val="0"/>
      <w:marTop w:val="0"/>
      <w:marBottom w:val="0"/>
      <w:divBdr>
        <w:top w:val="none" w:sz="0" w:space="0" w:color="auto"/>
        <w:left w:val="none" w:sz="0" w:space="0" w:color="auto"/>
        <w:bottom w:val="none" w:sz="0" w:space="0" w:color="auto"/>
        <w:right w:val="none" w:sz="0" w:space="0" w:color="auto"/>
      </w:divBdr>
    </w:div>
    <w:div w:id="290210306">
      <w:bodyDiv w:val="1"/>
      <w:marLeft w:val="0"/>
      <w:marRight w:val="0"/>
      <w:marTop w:val="0"/>
      <w:marBottom w:val="0"/>
      <w:divBdr>
        <w:top w:val="none" w:sz="0" w:space="0" w:color="auto"/>
        <w:left w:val="none" w:sz="0" w:space="0" w:color="auto"/>
        <w:bottom w:val="none" w:sz="0" w:space="0" w:color="auto"/>
        <w:right w:val="none" w:sz="0" w:space="0" w:color="auto"/>
      </w:divBdr>
    </w:div>
    <w:div w:id="304432328">
      <w:bodyDiv w:val="1"/>
      <w:marLeft w:val="0"/>
      <w:marRight w:val="0"/>
      <w:marTop w:val="0"/>
      <w:marBottom w:val="0"/>
      <w:divBdr>
        <w:top w:val="none" w:sz="0" w:space="0" w:color="auto"/>
        <w:left w:val="none" w:sz="0" w:space="0" w:color="auto"/>
        <w:bottom w:val="none" w:sz="0" w:space="0" w:color="auto"/>
        <w:right w:val="none" w:sz="0" w:space="0" w:color="auto"/>
      </w:divBdr>
    </w:div>
    <w:div w:id="324364095">
      <w:bodyDiv w:val="1"/>
      <w:marLeft w:val="0"/>
      <w:marRight w:val="0"/>
      <w:marTop w:val="0"/>
      <w:marBottom w:val="0"/>
      <w:divBdr>
        <w:top w:val="none" w:sz="0" w:space="0" w:color="auto"/>
        <w:left w:val="none" w:sz="0" w:space="0" w:color="auto"/>
        <w:bottom w:val="none" w:sz="0" w:space="0" w:color="auto"/>
        <w:right w:val="none" w:sz="0" w:space="0" w:color="auto"/>
      </w:divBdr>
    </w:div>
    <w:div w:id="346641203">
      <w:bodyDiv w:val="1"/>
      <w:marLeft w:val="0"/>
      <w:marRight w:val="0"/>
      <w:marTop w:val="0"/>
      <w:marBottom w:val="0"/>
      <w:divBdr>
        <w:top w:val="none" w:sz="0" w:space="0" w:color="auto"/>
        <w:left w:val="none" w:sz="0" w:space="0" w:color="auto"/>
        <w:bottom w:val="none" w:sz="0" w:space="0" w:color="auto"/>
        <w:right w:val="none" w:sz="0" w:space="0" w:color="auto"/>
      </w:divBdr>
    </w:div>
    <w:div w:id="367024142">
      <w:bodyDiv w:val="1"/>
      <w:marLeft w:val="0"/>
      <w:marRight w:val="0"/>
      <w:marTop w:val="0"/>
      <w:marBottom w:val="0"/>
      <w:divBdr>
        <w:top w:val="none" w:sz="0" w:space="0" w:color="auto"/>
        <w:left w:val="none" w:sz="0" w:space="0" w:color="auto"/>
        <w:bottom w:val="none" w:sz="0" w:space="0" w:color="auto"/>
        <w:right w:val="none" w:sz="0" w:space="0" w:color="auto"/>
      </w:divBdr>
    </w:div>
    <w:div w:id="381952410">
      <w:bodyDiv w:val="1"/>
      <w:marLeft w:val="0"/>
      <w:marRight w:val="0"/>
      <w:marTop w:val="0"/>
      <w:marBottom w:val="0"/>
      <w:divBdr>
        <w:top w:val="none" w:sz="0" w:space="0" w:color="auto"/>
        <w:left w:val="none" w:sz="0" w:space="0" w:color="auto"/>
        <w:bottom w:val="none" w:sz="0" w:space="0" w:color="auto"/>
        <w:right w:val="none" w:sz="0" w:space="0" w:color="auto"/>
      </w:divBdr>
    </w:div>
    <w:div w:id="408698373">
      <w:bodyDiv w:val="1"/>
      <w:marLeft w:val="0"/>
      <w:marRight w:val="0"/>
      <w:marTop w:val="0"/>
      <w:marBottom w:val="0"/>
      <w:divBdr>
        <w:top w:val="none" w:sz="0" w:space="0" w:color="auto"/>
        <w:left w:val="none" w:sz="0" w:space="0" w:color="auto"/>
        <w:bottom w:val="none" w:sz="0" w:space="0" w:color="auto"/>
        <w:right w:val="none" w:sz="0" w:space="0" w:color="auto"/>
      </w:divBdr>
    </w:div>
    <w:div w:id="521284535">
      <w:bodyDiv w:val="1"/>
      <w:marLeft w:val="0"/>
      <w:marRight w:val="0"/>
      <w:marTop w:val="0"/>
      <w:marBottom w:val="0"/>
      <w:divBdr>
        <w:top w:val="none" w:sz="0" w:space="0" w:color="auto"/>
        <w:left w:val="none" w:sz="0" w:space="0" w:color="auto"/>
        <w:bottom w:val="none" w:sz="0" w:space="0" w:color="auto"/>
        <w:right w:val="none" w:sz="0" w:space="0" w:color="auto"/>
      </w:divBdr>
    </w:div>
    <w:div w:id="735055036">
      <w:bodyDiv w:val="1"/>
      <w:marLeft w:val="0"/>
      <w:marRight w:val="0"/>
      <w:marTop w:val="0"/>
      <w:marBottom w:val="0"/>
      <w:divBdr>
        <w:top w:val="none" w:sz="0" w:space="0" w:color="auto"/>
        <w:left w:val="none" w:sz="0" w:space="0" w:color="auto"/>
        <w:bottom w:val="none" w:sz="0" w:space="0" w:color="auto"/>
        <w:right w:val="none" w:sz="0" w:space="0" w:color="auto"/>
      </w:divBdr>
    </w:div>
    <w:div w:id="944078583">
      <w:bodyDiv w:val="1"/>
      <w:marLeft w:val="0"/>
      <w:marRight w:val="0"/>
      <w:marTop w:val="0"/>
      <w:marBottom w:val="0"/>
      <w:divBdr>
        <w:top w:val="none" w:sz="0" w:space="0" w:color="auto"/>
        <w:left w:val="none" w:sz="0" w:space="0" w:color="auto"/>
        <w:bottom w:val="none" w:sz="0" w:space="0" w:color="auto"/>
        <w:right w:val="none" w:sz="0" w:space="0" w:color="auto"/>
      </w:divBdr>
    </w:div>
    <w:div w:id="972249763">
      <w:bodyDiv w:val="1"/>
      <w:marLeft w:val="0"/>
      <w:marRight w:val="0"/>
      <w:marTop w:val="0"/>
      <w:marBottom w:val="0"/>
      <w:divBdr>
        <w:top w:val="none" w:sz="0" w:space="0" w:color="auto"/>
        <w:left w:val="none" w:sz="0" w:space="0" w:color="auto"/>
        <w:bottom w:val="none" w:sz="0" w:space="0" w:color="auto"/>
        <w:right w:val="none" w:sz="0" w:space="0" w:color="auto"/>
      </w:divBdr>
    </w:div>
    <w:div w:id="1008672478">
      <w:bodyDiv w:val="1"/>
      <w:marLeft w:val="0"/>
      <w:marRight w:val="0"/>
      <w:marTop w:val="0"/>
      <w:marBottom w:val="0"/>
      <w:divBdr>
        <w:top w:val="none" w:sz="0" w:space="0" w:color="auto"/>
        <w:left w:val="none" w:sz="0" w:space="0" w:color="auto"/>
        <w:bottom w:val="none" w:sz="0" w:space="0" w:color="auto"/>
        <w:right w:val="none" w:sz="0" w:space="0" w:color="auto"/>
      </w:divBdr>
    </w:div>
    <w:div w:id="1384864413">
      <w:bodyDiv w:val="1"/>
      <w:marLeft w:val="0"/>
      <w:marRight w:val="0"/>
      <w:marTop w:val="0"/>
      <w:marBottom w:val="0"/>
      <w:divBdr>
        <w:top w:val="none" w:sz="0" w:space="0" w:color="auto"/>
        <w:left w:val="none" w:sz="0" w:space="0" w:color="auto"/>
        <w:bottom w:val="none" w:sz="0" w:space="0" w:color="auto"/>
        <w:right w:val="none" w:sz="0" w:space="0" w:color="auto"/>
      </w:divBdr>
    </w:div>
    <w:div w:id="1385833544">
      <w:bodyDiv w:val="1"/>
      <w:marLeft w:val="0"/>
      <w:marRight w:val="0"/>
      <w:marTop w:val="0"/>
      <w:marBottom w:val="0"/>
      <w:divBdr>
        <w:top w:val="none" w:sz="0" w:space="0" w:color="auto"/>
        <w:left w:val="none" w:sz="0" w:space="0" w:color="auto"/>
        <w:bottom w:val="none" w:sz="0" w:space="0" w:color="auto"/>
        <w:right w:val="none" w:sz="0" w:space="0" w:color="auto"/>
      </w:divBdr>
    </w:div>
    <w:div w:id="1399522464">
      <w:bodyDiv w:val="1"/>
      <w:marLeft w:val="0"/>
      <w:marRight w:val="0"/>
      <w:marTop w:val="0"/>
      <w:marBottom w:val="0"/>
      <w:divBdr>
        <w:top w:val="none" w:sz="0" w:space="0" w:color="auto"/>
        <w:left w:val="none" w:sz="0" w:space="0" w:color="auto"/>
        <w:bottom w:val="none" w:sz="0" w:space="0" w:color="auto"/>
        <w:right w:val="none" w:sz="0" w:space="0" w:color="auto"/>
      </w:divBdr>
    </w:div>
    <w:div w:id="1500119121">
      <w:bodyDiv w:val="1"/>
      <w:marLeft w:val="0"/>
      <w:marRight w:val="0"/>
      <w:marTop w:val="0"/>
      <w:marBottom w:val="0"/>
      <w:divBdr>
        <w:top w:val="none" w:sz="0" w:space="0" w:color="auto"/>
        <w:left w:val="none" w:sz="0" w:space="0" w:color="auto"/>
        <w:bottom w:val="none" w:sz="0" w:space="0" w:color="auto"/>
        <w:right w:val="none" w:sz="0" w:space="0" w:color="auto"/>
      </w:divBdr>
    </w:div>
    <w:div w:id="1536504517">
      <w:bodyDiv w:val="1"/>
      <w:marLeft w:val="0"/>
      <w:marRight w:val="0"/>
      <w:marTop w:val="0"/>
      <w:marBottom w:val="0"/>
      <w:divBdr>
        <w:top w:val="none" w:sz="0" w:space="0" w:color="auto"/>
        <w:left w:val="none" w:sz="0" w:space="0" w:color="auto"/>
        <w:bottom w:val="none" w:sz="0" w:space="0" w:color="auto"/>
        <w:right w:val="none" w:sz="0" w:space="0" w:color="auto"/>
      </w:divBdr>
    </w:div>
    <w:div w:id="1588612209">
      <w:bodyDiv w:val="1"/>
      <w:marLeft w:val="0"/>
      <w:marRight w:val="0"/>
      <w:marTop w:val="0"/>
      <w:marBottom w:val="0"/>
      <w:divBdr>
        <w:top w:val="none" w:sz="0" w:space="0" w:color="auto"/>
        <w:left w:val="none" w:sz="0" w:space="0" w:color="auto"/>
        <w:bottom w:val="none" w:sz="0" w:space="0" w:color="auto"/>
        <w:right w:val="none" w:sz="0" w:space="0" w:color="auto"/>
      </w:divBdr>
    </w:div>
    <w:div w:id="1600524866">
      <w:bodyDiv w:val="1"/>
      <w:marLeft w:val="0"/>
      <w:marRight w:val="0"/>
      <w:marTop w:val="0"/>
      <w:marBottom w:val="0"/>
      <w:divBdr>
        <w:top w:val="none" w:sz="0" w:space="0" w:color="auto"/>
        <w:left w:val="none" w:sz="0" w:space="0" w:color="auto"/>
        <w:bottom w:val="none" w:sz="0" w:space="0" w:color="auto"/>
        <w:right w:val="none" w:sz="0" w:space="0" w:color="auto"/>
      </w:divBdr>
    </w:div>
    <w:div w:id="1616866734">
      <w:bodyDiv w:val="1"/>
      <w:marLeft w:val="0"/>
      <w:marRight w:val="0"/>
      <w:marTop w:val="0"/>
      <w:marBottom w:val="0"/>
      <w:divBdr>
        <w:top w:val="none" w:sz="0" w:space="0" w:color="auto"/>
        <w:left w:val="none" w:sz="0" w:space="0" w:color="auto"/>
        <w:bottom w:val="none" w:sz="0" w:space="0" w:color="auto"/>
        <w:right w:val="none" w:sz="0" w:space="0" w:color="auto"/>
      </w:divBdr>
    </w:div>
    <w:div w:id="1662582800">
      <w:bodyDiv w:val="1"/>
      <w:marLeft w:val="0"/>
      <w:marRight w:val="0"/>
      <w:marTop w:val="0"/>
      <w:marBottom w:val="0"/>
      <w:divBdr>
        <w:top w:val="none" w:sz="0" w:space="0" w:color="auto"/>
        <w:left w:val="none" w:sz="0" w:space="0" w:color="auto"/>
        <w:bottom w:val="none" w:sz="0" w:space="0" w:color="auto"/>
        <w:right w:val="none" w:sz="0" w:space="0" w:color="auto"/>
      </w:divBdr>
    </w:div>
    <w:div w:id="1788772115">
      <w:bodyDiv w:val="1"/>
      <w:marLeft w:val="0"/>
      <w:marRight w:val="0"/>
      <w:marTop w:val="0"/>
      <w:marBottom w:val="0"/>
      <w:divBdr>
        <w:top w:val="none" w:sz="0" w:space="0" w:color="auto"/>
        <w:left w:val="none" w:sz="0" w:space="0" w:color="auto"/>
        <w:bottom w:val="none" w:sz="0" w:space="0" w:color="auto"/>
        <w:right w:val="none" w:sz="0" w:space="0" w:color="auto"/>
      </w:divBdr>
    </w:div>
    <w:div w:id="1791971139">
      <w:bodyDiv w:val="1"/>
      <w:marLeft w:val="0"/>
      <w:marRight w:val="0"/>
      <w:marTop w:val="0"/>
      <w:marBottom w:val="0"/>
      <w:divBdr>
        <w:top w:val="none" w:sz="0" w:space="0" w:color="auto"/>
        <w:left w:val="none" w:sz="0" w:space="0" w:color="auto"/>
        <w:bottom w:val="none" w:sz="0" w:space="0" w:color="auto"/>
        <w:right w:val="none" w:sz="0" w:space="0" w:color="auto"/>
      </w:divBdr>
    </w:div>
    <w:div w:id="1865287095">
      <w:bodyDiv w:val="1"/>
      <w:marLeft w:val="0"/>
      <w:marRight w:val="0"/>
      <w:marTop w:val="0"/>
      <w:marBottom w:val="0"/>
      <w:divBdr>
        <w:top w:val="none" w:sz="0" w:space="0" w:color="auto"/>
        <w:left w:val="none" w:sz="0" w:space="0" w:color="auto"/>
        <w:bottom w:val="none" w:sz="0" w:space="0" w:color="auto"/>
        <w:right w:val="none" w:sz="0" w:space="0" w:color="auto"/>
      </w:divBdr>
    </w:div>
    <w:div w:id="1944461248">
      <w:bodyDiv w:val="1"/>
      <w:marLeft w:val="0"/>
      <w:marRight w:val="0"/>
      <w:marTop w:val="0"/>
      <w:marBottom w:val="0"/>
      <w:divBdr>
        <w:top w:val="none" w:sz="0" w:space="0" w:color="auto"/>
        <w:left w:val="none" w:sz="0" w:space="0" w:color="auto"/>
        <w:bottom w:val="none" w:sz="0" w:space="0" w:color="auto"/>
        <w:right w:val="none" w:sz="0" w:space="0" w:color="auto"/>
      </w:divBdr>
    </w:div>
    <w:div w:id="1947271288">
      <w:bodyDiv w:val="1"/>
      <w:marLeft w:val="0"/>
      <w:marRight w:val="0"/>
      <w:marTop w:val="0"/>
      <w:marBottom w:val="0"/>
      <w:divBdr>
        <w:top w:val="none" w:sz="0" w:space="0" w:color="auto"/>
        <w:left w:val="none" w:sz="0" w:space="0" w:color="auto"/>
        <w:bottom w:val="none" w:sz="0" w:space="0" w:color="auto"/>
        <w:right w:val="none" w:sz="0" w:space="0" w:color="auto"/>
      </w:divBdr>
    </w:div>
    <w:div w:id="2049380347">
      <w:bodyDiv w:val="1"/>
      <w:marLeft w:val="0"/>
      <w:marRight w:val="0"/>
      <w:marTop w:val="0"/>
      <w:marBottom w:val="0"/>
      <w:divBdr>
        <w:top w:val="none" w:sz="0" w:space="0" w:color="auto"/>
        <w:left w:val="none" w:sz="0" w:space="0" w:color="auto"/>
        <w:bottom w:val="none" w:sz="0" w:space="0" w:color="auto"/>
        <w:right w:val="none" w:sz="0" w:space="0" w:color="auto"/>
      </w:divBdr>
    </w:div>
    <w:div w:id="211570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0696D-C070-4145-BA26-A9C1B058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5534</Words>
  <Characters>31545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BỘ TƯ PHÁP</vt:lpstr>
    </vt:vector>
  </TitlesOfParts>
  <Company>Microsoft</Company>
  <LinksUpToDate>false</LinksUpToDate>
  <CharactersWithSpaces>37005</CharactersWithSpaces>
  <SharedDoc>false</SharedDoc>
  <HLinks>
    <vt:vector size="6" baseType="variant">
      <vt:variant>
        <vt:i4>8061044</vt:i4>
      </vt:variant>
      <vt:variant>
        <vt:i4>0</vt:i4>
      </vt:variant>
      <vt:variant>
        <vt:i4>0</vt:i4>
      </vt:variant>
      <vt:variant>
        <vt:i4>5</vt:i4>
      </vt:variant>
      <vt:variant>
        <vt:lpwstr>https://thanhnien.vn/cong-nghe/y-tuong/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Manh Cuong</dc:creator>
  <cp:lastModifiedBy>nguyenminhphuong1</cp:lastModifiedBy>
  <cp:revision>7</cp:revision>
  <cp:lastPrinted>2025-01-21T09:01:00Z</cp:lastPrinted>
  <dcterms:created xsi:type="dcterms:W3CDTF">2025-01-21T08:06:00Z</dcterms:created>
  <dcterms:modified xsi:type="dcterms:W3CDTF">2025-01-21T09:01:00Z</dcterms:modified>
</cp:coreProperties>
</file>