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5D05" w14:textId="691A3CE9" w:rsidR="00806E26" w:rsidRPr="006A3D6F" w:rsidRDefault="006A3D6F" w:rsidP="0089038A">
      <w:pPr>
        <w:spacing w:after="0" w:line="360" w:lineRule="auto"/>
        <w:jc w:val="center"/>
        <w:rPr>
          <w:rFonts w:ascii="Times New Roman" w:hAnsi="Times New Roman" w:cs="Times New Roman"/>
          <w:b/>
          <w:bCs/>
          <w:i/>
          <w:iCs/>
          <w:color w:val="0000B4"/>
          <w:sz w:val="28"/>
          <w:szCs w:val="28"/>
        </w:rPr>
      </w:pPr>
      <w:r w:rsidRPr="006A3D6F">
        <w:rPr>
          <w:rFonts w:ascii="Times New Roman" w:hAnsi="Times New Roman" w:cs="Times New Roman"/>
          <w:b/>
          <w:bCs/>
          <w:sz w:val="34"/>
          <w:szCs w:val="34"/>
        </w:rPr>
        <w:t>MEDOCHEMIE (FAR EAST) LTD.</w:t>
      </w:r>
    </w:p>
    <w:p w14:paraId="338ADF2D" w14:textId="6DEAC6D9" w:rsidR="0089038A" w:rsidRDefault="00327E6A" w:rsidP="0089038A">
      <w:pPr>
        <w:spacing w:before="146"/>
        <w:jc w:val="center"/>
        <w:rPr>
          <w:rFonts w:ascii="Times New Roman" w:hAnsi="Times New Roman" w:cs="Times New Roman"/>
          <w:b/>
          <w:bCs/>
          <w:sz w:val="28"/>
          <w:szCs w:val="28"/>
        </w:rPr>
      </w:pPr>
      <w:r w:rsidRPr="0067586F">
        <w:rPr>
          <w:rFonts w:ascii="Times New Roman" w:hAnsi="Times New Roman" w:cs="Times New Roman"/>
          <w:b/>
          <w:bCs/>
          <w:sz w:val="28"/>
          <w:szCs w:val="28"/>
        </w:rPr>
        <w:t xml:space="preserve">KHÓ KHĂN, VƯỚNG MẮC VÀ ĐỀ XUẤT, KIẾN NGHỊ </w:t>
      </w:r>
      <w:r w:rsidR="0089038A" w:rsidRPr="0089038A">
        <w:rPr>
          <w:rFonts w:ascii="Times New Roman" w:hAnsi="Times New Roman" w:cs="Times New Roman"/>
          <w:b/>
          <w:bCs/>
          <w:sz w:val="28"/>
          <w:szCs w:val="28"/>
        </w:rPr>
        <w:t xml:space="preserve">SỬA </w:t>
      </w:r>
      <w:r w:rsidR="008D6BBD" w:rsidRPr="0089038A">
        <w:rPr>
          <w:rFonts w:ascii="Times New Roman" w:hAnsi="Times New Roman" w:cs="Times New Roman"/>
          <w:b/>
          <w:bCs/>
          <w:sz w:val="28"/>
          <w:szCs w:val="28"/>
        </w:rPr>
        <w:t xml:space="preserve">ĐỔI </w:t>
      </w:r>
      <w:r w:rsidR="008D6BBD" w:rsidRPr="008D6BBD">
        <w:rPr>
          <w:rFonts w:ascii="Times New Roman" w:hAnsi="Times New Roman" w:cs="Times New Roman"/>
          <w:b/>
          <w:bCs/>
          <w:sz w:val="28"/>
          <w:szCs w:val="28"/>
        </w:rPr>
        <w:t xml:space="preserve">DỰ THẢO NGHỊ ĐỊNH </w:t>
      </w:r>
      <w:r w:rsidR="001C4C79">
        <w:rPr>
          <w:rFonts w:ascii="Times New Roman" w:hAnsi="Times New Roman" w:cs="Times New Roman"/>
          <w:b/>
          <w:bCs/>
          <w:sz w:val="28"/>
          <w:szCs w:val="28"/>
        </w:rPr>
        <w:t xml:space="preserve">HƯỚNG DẪN </w:t>
      </w:r>
      <w:r w:rsidR="008E7DD7">
        <w:rPr>
          <w:rFonts w:ascii="Times New Roman" w:hAnsi="Times New Roman" w:cs="Times New Roman"/>
          <w:b/>
          <w:bCs/>
          <w:sz w:val="28"/>
          <w:szCs w:val="28"/>
        </w:rPr>
        <w:t xml:space="preserve">THI HÀNH MỘT SỐ ĐIỀU CỦA </w:t>
      </w:r>
      <w:r w:rsidR="008D6BBD" w:rsidRPr="008D6BBD">
        <w:rPr>
          <w:rFonts w:ascii="Times New Roman" w:hAnsi="Times New Roman" w:cs="Times New Roman"/>
          <w:b/>
          <w:bCs/>
          <w:sz w:val="28"/>
          <w:szCs w:val="28"/>
        </w:rPr>
        <w:t>LUẬT DƯỢC</w:t>
      </w:r>
    </w:p>
    <w:p w14:paraId="4C6AA82B" w14:textId="77777777" w:rsidR="00E468AC" w:rsidRPr="001C4C79" w:rsidRDefault="00E468AC" w:rsidP="0089038A">
      <w:pPr>
        <w:spacing w:before="146"/>
        <w:jc w:val="center"/>
        <w:rPr>
          <w:rFonts w:ascii="Times New Roman" w:hAnsi="Times New Roman" w:cs="Times New Roman"/>
          <w:szCs w:val="28"/>
          <w:lang w:eastAsia="vi-VN"/>
        </w:rPr>
      </w:pPr>
    </w:p>
    <w:p w14:paraId="6212ECA7" w14:textId="77777777" w:rsidR="00E468AC" w:rsidRPr="001C4C79" w:rsidRDefault="00E468AC" w:rsidP="00E468AC">
      <w:pPr>
        <w:rPr>
          <w:rFonts w:ascii="Times New Roman" w:hAnsi="Times New Roman" w:cs="Times New Roman"/>
          <w:sz w:val="24"/>
          <w:szCs w:val="24"/>
          <w:lang w:eastAsia="vi-VN"/>
        </w:rPr>
      </w:pPr>
      <w:r w:rsidRPr="001C4C79">
        <w:rPr>
          <w:rFonts w:ascii="Times New Roman" w:hAnsi="Times New Roman" w:cs="Times New Roman"/>
          <w:sz w:val="24"/>
          <w:szCs w:val="24"/>
          <w:lang w:eastAsia="vi-VN"/>
        </w:rPr>
        <w:t>Kính thưa:</w:t>
      </w:r>
    </w:p>
    <w:p w14:paraId="0B0DB576" w14:textId="5D9F917D" w:rsidR="00E468AC" w:rsidRDefault="001C4C79" w:rsidP="001C4C79">
      <w:pPr>
        <w:pStyle w:val="ListParagraph"/>
        <w:numPr>
          <w:ilvl w:val="0"/>
          <w:numId w:val="14"/>
        </w:numPr>
        <w:rPr>
          <w:rFonts w:ascii="Times New Roman" w:hAnsi="Times New Roman" w:cs="Times New Roman"/>
          <w:sz w:val="24"/>
          <w:szCs w:val="24"/>
          <w:lang w:eastAsia="vi-VN"/>
        </w:rPr>
      </w:pPr>
      <w:r w:rsidRPr="001C4C79">
        <w:rPr>
          <w:rFonts w:ascii="Times New Roman" w:hAnsi="Times New Roman" w:cs="Times New Roman"/>
          <w:sz w:val="24"/>
          <w:szCs w:val="24"/>
          <w:lang w:eastAsia="vi-VN"/>
        </w:rPr>
        <w:t xml:space="preserve">Lãnh đạo Liên đoàn </w:t>
      </w:r>
      <w:r>
        <w:rPr>
          <w:rFonts w:ascii="Times New Roman" w:hAnsi="Times New Roman" w:cs="Times New Roman"/>
          <w:sz w:val="24"/>
          <w:szCs w:val="24"/>
          <w:lang w:eastAsia="vi-VN"/>
        </w:rPr>
        <w:t>Thương mại &amp; Công nghiệp Việt Nam.</w:t>
      </w:r>
    </w:p>
    <w:p w14:paraId="55C9ACCE" w14:textId="0C926CAB" w:rsidR="001C4C79" w:rsidRDefault="001C4C79" w:rsidP="001C4C79">
      <w:pPr>
        <w:pStyle w:val="ListParagraph"/>
        <w:numPr>
          <w:ilvl w:val="0"/>
          <w:numId w:val="14"/>
        </w:numPr>
        <w:rPr>
          <w:rFonts w:ascii="Times New Roman" w:hAnsi="Times New Roman" w:cs="Times New Roman"/>
          <w:sz w:val="24"/>
          <w:szCs w:val="24"/>
          <w:lang w:eastAsia="vi-VN"/>
        </w:rPr>
      </w:pPr>
      <w:r w:rsidRPr="001C4C79">
        <w:rPr>
          <w:rFonts w:ascii="Times New Roman" w:hAnsi="Times New Roman" w:cs="Times New Roman"/>
          <w:sz w:val="24"/>
          <w:szCs w:val="24"/>
          <w:lang w:eastAsia="vi-VN"/>
        </w:rPr>
        <w:t>Lãnh đạo</w:t>
      </w:r>
      <w:r>
        <w:rPr>
          <w:rFonts w:ascii="Times New Roman" w:hAnsi="Times New Roman" w:cs="Times New Roman"/>
          <w:sz w:val="24"/>
          <w:szCs w:val="24"/>
          <w:lang w:eastAsia="vi-VN"/>
        </w:rPr>
        <w:t xml:space="preserve"> Cục QLD - BYT</w:t>
      </w:r>
    </w:p>
    <w:p w14:paraId="66478DAC" w14:textId="6877C4E6" w:rsidR="00E468AC" w:rsidRPr="001C4C79" w:rsidRDefault="001C4C79" w:rsidP="001C4C79">
      <w:pPr>
        <w:pStyle w:val="ListParagraph"/>
        <w:numPr>
          <w:ilvl w:val="0"/>
          <w:numId w:val="14"/>
        </w:numPr>
        <w:rPr>
          <w:rFonts w:ascii="Times New Roman" w:hAnsi="Times New Roman" w:cs="Times New Roman"/>
          <w:sz w:val="24"/>
          <w:szCs w:val="24"/>
          <w:lang w:eastAsia="vi-VN"/>
        </w:rPr>
      </w:pPr>
      <w:r w:rsidRPr="001C4C79">
        <w:rPr>
          <w:rFonts w:ascii="Times New Roman" w:hAnsi="Times New Roman" w:cs="Times New Roman"/>
          <w:sz w:val="24"/>
          <w:szCs w:val="24"/>
          <w:lang w:eastAsia="vi-VN"/>
        </w:rPr>
        <w:t>Toàn thể Hội nghị</w:t>
      </w:r>
    </w:p>
    <w:p w14:paraId="3F30AB2D" w14:textId="77777777" w:rsidR="00681F49" w:rsidRPr="00BA06AE" w:rsidRDefault="00681F49" w:rsidP="00862704">
      <w:pPr>
        <w:rPr>
          <w:rFonts w:ascii="Times New Roman" w:hAnsi="Times New Roman" w:cs="Times New Roman"/>
          <w:b/>
          <w:bCs/>
          <w:sz w:val="8"/>
          <w:szCs w:val="8"/>
        </w:rPr>
      </w:pPr>
    </w:p>
    <w:tbl>
      <w:tblPr>
        <w:tblStyle w:val="TableGrid"/>
        <w:tblW w:w="14935" w:type="dxa"/>
        <w:jc w:val="center"/>
        <w:tblLayout w:type="fixed"/>
        <w:tblLook w:val="04A0" w:firstRow="1" w:lastRow="0" w:firstColumn="1" w:lastColumn="0" w:noHBand="0" w:noVBand="1"/>
      </w:tblPr>
      <w:tblGrid>
        <w:gridCol w:w="671"/>
        <w:gridCol w:w="3014"/>
        <w:gridCol w:w="1710"/>
        <w:gridCol w:w="3510"/>
        <w:gridCol w:w="3060"/>
        <w:gridCol w:w="2970"/>
      </w:tblGrid>
      <w:tr w:rsidR="00323E7C" w:rsidRPr="00BE65F3" w14:paraId="704C3F6D" w14:textId="36FDE9F0" w:rsidTr="00DC30FF">
        <w:trPr>
          <w:trHeight w:val="567"/>
          <w:tblHeader/>
          <w:jc w:val="center"/>
        </w:trPr>
        <w:tc>
          <w:tcPr>
            <w:tcW w:w="671" w:type="dxa"/>
            <w:tcBorders>
              <w:bottom w:val="dashSmallGap" w:sz="4" w:space="0" w:color="auto"/>
            </w:tcBorders>
            <w:vAlign w:val="center"/>
          </w:tcPr>
          <w:p w14:paraId="1A7B44ED" w14:textId="0F31653B" w:rsidR="00323E7C" w:rsidRPr="002A6C4B" w:rsidRDefault="00323E7C" w:rsidP="00823F33">
            <w:pPr>
              <w:pStyle w:val="ListParagraph"/>
              <w:spacing w:line="312" w:lineRule="auto"/>
              <w:ind w:left="0"/>
              <w:jc w:val="center"/>
              <w:rPr>
                <w:rFonts w:ascii="Times New Roman" w:hAnsi="Times New Roman" w:cs="Times New Roman"/>
                <w:b/>
                <w:bCs/>
                <w:sz w:val="24"/>
                <w:szCs w:val="24"/>
              </w:rPr>
            </w:pPr>
            <w:r w:rsidRPr="002A6C4B">
              <w:rPr>
                <w:rFonts w:ascii="Times New Roman" w:hAnsi="Times New Roman" w:cs="Times New Roman"/>
                <w:b/>
                <w:bCs/>
                <w:sz w:val="24"/>
                <w:szCs w:val="24"/>
              </w:rPr>
              <w:t>STT</w:t>
            </w:r>
          </w:p>
        </w:tc>
        <w:tc>
          <w:tcPr>
            <w:tcW w:w="3014" w:type="dxa"/>
            <w:tcBorders>
              <w:bottom w:val="dashSmallGap" w:sz="4" w:space="0" w:color="auto"/>
            </w:tcBorders>
            <w:vAlign w:val="center"/>
          </w:tcPr>
          <w:p w14:paraId="57BCAF63" w14:textId="1CF6B38A" w:rsidR="00323E7C" w:rsidRPr="002A6C4B" w:rsidRDefault="00323E7C" w:rsidP="00823F33">
            <w:pPr>
              <w:pStyle w:val="ListParagraph"/>
              <w:spacing w:line="312" w:lineRule="auto"/>
              <w:ind w:left="0"/>
              <w:jc w:val="center"/>
              <w:rPr>
                <w:rFonts w:ascii="Times New Roman" w:hAnsi="Times New Roman" w:cs="Times New Roman"/>
                <w:b/>
                <w:bCs/>
                <w:sz w:val="24"/>
                <w:szCs w:val="24"/>
              </w:rPr>
            </w:pPr>
            <w:r w:rsidRPr="002A6C4B">
              <w:rPr>
                <w:rFonts w:ascii="Times New Roman" w:hAnsi="Times New Roman" w:cs="Times New Roman"/>
                <w:b/>
                <w:bCs/>
                <w:sz w:val="24"/>
                <w:szCs w:val="24"/>
              </w:rPr>
              <w:t>Điều</w:t>
            </w:r>
          </w:p>
        </w:tc>
        <w:tc>
          <w:tcPr>
            <w:tcW w:w="1710" w:type="dxa"/>
            <w:tcBorders>
              <w:bottom w:val="dashSmallGap" w:sz="4" w:space="0" w:color="auto"/>
            </w:tcBorders>
            <w:vAlign w:val="center"/>
          </w:tcPr>
          <w:p w14:paraId="78CE7B76" w14:textId="7E3EC8C4" w:rsidR="00323E7C" w:rsidRPr="002A6C4B" w:rsidRDefault="00323E7C" w:rsidP="00823F33">
            <w:pPr>
              <w:pStyle w:val="ListParagraph"/>
              <w:spacing w:line="312" w:lineRule="auto"/>
              <w:ind w:left="0"/>
              <w:jc w:val="center"/>
              <w:rPr>
                <w:rFonts w:ascii="Times New Roman" w:hAnsi="Times New Roman" w:cs="Times New Roman"/>
                <w:b/>
                <w:bCs/>
                <w:sz w:val="24"/>
                <w:szCs w:val="24"/>
              </w:rPr>
            </w:pPr>
            <w:r w:rsidRPr="002A6C4B">
              <w:rPr>
                <w:rFonts w:ascii="Times New Roman" w:hAnsi="Times New Roman" w:cs="Times New Roman"/>
                <w:b/>
                <w:bCs/>
                <w:sz w:val="24"/>
                <w:szCs w:val="24"/>
              </w:rPr>
              <w:t>Đơn vị góp ý</w:t>
            </w:r>
          </w:p>
        </w:tc>
        <w:tc>
          <w:tcPr>
            <w:tcW w:w="3510" w:type="dxa"/>
            <w:tcBorders>
              <w:bottom w:val="dashSmallGap" w:sz="4" w:space="0" w:color="auto"/>
            </w:tcBorders>
            <w:vAlign w:val="center"/>
          </w:tcPr>
          <w:p w14:paraId="7236DE2B" w14:textId="77777777" w:rsidR="00323E7C" w:rsidRPr="002A6C4B" w:rsidRDefault="00323E7C" w:rsidP="00823F33">
            <w:pPr>
              <w:pStyle w:val="ListParagraph"/>
              <w:spacing w:line="312" w:lineRule="auto"/>
              <w:ind w:left="0"/>
              <w:jc w:val="center"/>
              <w:rPr>
                <w:rFonts w:ascii="Times New Roman" w:hAnsi="Times New Roman" w:cs="Times New Roman"/>
                <w:b/>
                <w:bCs/>
                <w:sz w:val="24"/>
                <w:szCs w:val="24"/>
              </w:rPr>
            </w:pPr>
            <w:r w:rsidRPr="002A6C4B">
              <w:rPr>
                <w:rFonts w:ascii="Times New Roman" w:hAnsi="Times New Roman" w:cs="Times New Roman"/>
                <w:b/>
                <w:bCs/>
                <w:sz w:val="24"/>
                <w:szCs w:val="24"/>
              </w:rPr>
              <w:t xml:space="preserve">Nội dung khó khăn, </w:t>
            </w:r>
          </w:p>
          <w:p w14:paraId="060FFCE3" w14:textId="5C20D276" w:rsidR="00323E7C" w:rsidRPr="002A6C4B" w:rsidRDefault="00323E7C" w:rsidP="00823F33">
            <w:pPr>
              <w:pStyle w:val="ListParagraph"/>
              <w:spacing w:line="312" w:lineRule="auto"/>
              <w:ind w:left="0"/>
              <w:jc w:val="center"/>
              <w:rPr>
                <w:rFonts w:ascii="Times New Roman" w:hAnsi="Times New Roman" w:cs="Times New Roman"/>
                <w:b/>
                <w:bCs/>
                <w:sz w:val="24"/>
                <w:szCs w:val="24"/>
              </w:rPr>
            </w:pPr>
            <w:r w:rsidRPr="002A6C4B">
              <w:rPr>
                <w:rFonts w:ascii="Times New Roman" w:hAnsi="Times New Roman" w:cs="Times New Roman"/>
                <w:b/>
                <w:bCs/>
                <w:sz w:val="24"/>
                <w:szCs w:val="24"/>
              </w:rPr>
              <w:t>vướng mắc</w:t>
            </w:r>
          </w:p>
        </w:tc>
        <w:tc>
          <w:tcPr>
            <w:tcW w:w="3060" w:type="dxa"/>
            <w:tcBorders>
              <w:bottom w:val="dashSmallGap" w:sz="4" w:space="0" w:color="auto"/>
            </w:tcBorders>
          </w:tcPr>
          <w:p w14:paraId="228FE756" w14:textId="77777777" w:rsidR="00323E7C" w:rsidRPr="002A6C4B" w:rsidRDefault="00323E7C" w:rsidP="00823F33">
            <w:pPr>
              <w:pStyle w:val="ListParagraph"/>
              <w:spacing w:line="312" w:lineRule="auto"/>
              <w:ind w:left="0"/>
              <w:jc w:val="center"/>
              <w:rPr>
                <w:rFonts w:ascii="Times New Roman" w:hAnsi="Times New Roman" w:cs="Times New Roman"/>
                <w:b/>
                <w:bCs/>
                <w:sz w:val="24"/>
                <w:szCs w:val="24"/>
              </w:rPr>
            </w:pPr>
            <w:r w:rsidRPr="002A6C4B">
              <w:rPr>
                <w:rFonts w:ascii="Times New Roman" w:hAnsi="Times New Roman" w:cs="Times New Roman"/>
                <w:b/>
                <w:bCs/>
                <w:sz w:val="24"/>
                <w:szCs w:val="24"/>
              </w:rPr>
              <w:t xml:space="preserve">Đề xuất sửa đổi, </w:t>
            </w:r>
          </w:p>
          <w:p w14:paraId="2EE1A101" w14:textId="3DF607A4" w:rsidR="00323E7C" w:rsidRPr="002A6C4B" w:rsidRDefault="00323E7C" w:rsidP="00823F33">
            <w:pPr>
              <w:pStyle w:val="ListParagraph"/>
              <w:spacing w:line="312" w:lineRule="auto"/>
              <w:ind w:left="0"/>
              <w:jc w:val="center"/>
              <w:rPr>
                <w:rFonts w:ascii="Times New Roman" w:hAnsi="Times New Roman" w:cs="Times New Roman"/>
                <w:b/>
                <w:bCs/>
                <w:sz w:val="24"/>
                <w:szCs w:val="24"/>
              </w:rPr>
            </w:pPr>
            <w:r w:rsidRPr="002A6C4B">
              <w:rPr>
                <w:rFonts w:ascii="Times New Roman" w:hAnsi="Times New Roman" w:cs="Times New Roman"/>
                <w:b/>
                <w:bCs/>
                <w:sz w:val="24"/>
                <w:szCs w:val="24"/>
              </w:rPr>
              <w:t>bổ sung</w:t>
            </w:r>
          </w:p>
        </w:tc>
        <w:tc>
          <w:tcPr>
            <w:tcW w:w="2970" w:type="dxa"/>
            <w:tcBorders>
              <w:bottom w:val="dashSmallGap" w:sz="4" w:space="0" w:color="auto"/>
            </w:tcBorders>
          </w:tcPr>
          <w:p w14:paraId="46045D4D" w14:textId="713820DB" w:rsidR="00323E7C" w:rsidRPr="002A6C4B" w:rsidRDefault="00323E7C" w:rsidP="00823F33">
            <w:pPr>
              <w:pStyle w:val="ListParagraph"/>
              <w:spacing w:line="312" w:lineRule="auto"/>
              <w:ind w:left="0"/>
              <w:jc w:val="center"/>
              <w:rPr>
                <w:rFonts w:ascii="Times New Roman" w:hAnsi="Times New Roman" w:cs="Times New Roman"/>
                <w:b/>
                <w:bCs/>
                <w:sz w:val="24"/>
                <w:szCs w:val="24"/>
              </w:rPr>
            </w:pPr>
            <w:r>
              <w:rPr>
                <w:rFonts w:ascii="Times New Roman" w:hAnsi="Times New Roman" w:cs="Times New Roman"/>
                <w:b/>
                <w:bCs/>
                <w:sz w:val="24"/>
                <w:szCs w:val="24"/>
              </w:rPr>
              <w:t>Lý do đề xuất</w:t>
            </w:r>
          </w:p>
        </w:tc>
      </w:tr>
      <w:tr w:rsidR="00323E7C" w:rsidRPr="009F4AF9" w14:paraId="4427EF17" w14:textId="307C26E5" w:rsidTr="00DC30FF">
        <w:trPr>
          <w:trHeight w:val="794"/>
          <w:jc w:val="center"/>
        </w:trPr>
        <w:tc>
          <w:tcPr>
            <w:tcW w:w="671" w:type="dxa"/>
            <w:vAlign w:val="center"/>
          </w:tcPr>
          <w:p w14:paraId="0CC87BBE" w14:textId="77777777" w:rsidR="00323E7C" w:rsidRPr="009F4AF9" w:rsidRDefault="00323E7C" w:rsidP="003654F8">
            <w:pPr>
              <w:pStyle w:val="ListParagraph"/>
              <w:spacing w:line="360" w:lineRule="auto"/>
              <w:ind w:left="0"/>
              <w:jc w:val="both"/>
              <w:rPr>
                <w:rFonts w:ascii="Times New Roman" w:hAnsi="Times New Roman" w:cs="Times New Roman"/>
              </w:rPr>
            </w:pPr>
            <w:r w:rsidRPr="009F4AF9">
              <w:rPr>
                <w:rFonts w:ascii="Times New Roman" w:hAnsi="Times New Roman" w:cs="Times New Roman"/>
              </w:rPr>
              <w:t>1</w:t>
            </w:r>
          </w:p>
        </w:tc>
        <w:tc>
          <w:tcPr>
            <w:tcW w:w="3014" w:type="dxa"/>
            <w:vAlign w:val="center"/>
          </w:tcPr>
          <w:p w14:paraId="2B804F2C" w14:textId="2DB55574" w:rsidR="008D6BBD" w:rsidRPr="008D6BBD" w:rsidRDefault="00641039" w:rsidP="008D6BBD">
            <w:pPr>
              <w:spacing w:before="120" w:line="288" w:lineRule="auto"/>
              <w:jc w:val="both"/>
              <w:rPr>
                <w:rFonts w:ascii="Times New Roman" w:hAnsi="Times New Roman" w:cs="Times New Roman"/>
                <w:szCs w:val="28"/>
                <w:lang w:eastAsia="vi-VN"/>
              </w:rPr>
            </w:pPr>
            <w:r>
              <w:rPr>
                <w:rFonts w:ascii="Times New Roman" w:hAnsi="Times New Roman" w:cs="Times New Roman"/>
              </w:rPr>
              <w:t>Đ</w:t>
            </w:r>
            <w:r w:rsidR="00685CBC" w:rsidRPr="000B7A6D">
              <w:rPr>
                <w:rFonts w:ascii="Times New Roman" w:hAnsi="Times New Roman" w:cs="Times New Roman"/>
                <w:szCs w:val="28"/>
                <w:lang w:eastAsia="vi-VN"/>
              </w:rPr>
              <w:t xml:space="preserve">iểm a Khoản 1 </w:t>
            </w:r>
            <w:r w:rsidR="008D6BBD" w:rsidRPr="008D6BBD">
              <w:rPr>
                <w:rFonts w:ascii="Times New Roman" w:hAnsi="Times New Roman" w:cs="Times New Roman"/>
              </w:rPr>
              <w:t xml:space="preserve">Điều </w:t>
            </w:r>
            <w:r w:rsidR="008D6BBD" w:rsidRPr="000B7A6D">
              <w:rPr>
                <w:rFonts w:ascii="Times New Roman" w:hAnsi="Times New Roman" w:cs="Times New Roman"/>
              </w:rPr>
              <w:t xml:space="preserve">47 của Dự thảo Nghị định </w:t>
            </w:r>
            <w:r w:rsidR="008D6BBD" w:rsidRPr="000B7A6D">
              <w:rPr>
                <w:rFonts w:ascii="Times New Roman" w:hAnsi="Times New Roman" w:cs="Times New Roman"/>
                <w:szCs w:val="28"/>
                <w:lang w:eastAsia="vi-VN"/>
              </w:rPr>
              <w:t>(</w:t>
            </w:r>
            <w:r w:rsidR="00685CBC">
              <w:rPr>
                <w:rFonts w:ascii="Times New Roman" w:hAnsi="Times New Roman" w:cs="Times New Roman"/>
                <w:szCs w:val="28"/>
                <w:lang w:eastAsia="vi-VN"/>
              </w:rPr>
              <w:t xml:space="preserve">kế thừa </w:t>
            </w:r>
            <w:r w:rsidR="008D6BBD" w:rsidRPr="000B7A6D">
              <w:rPr>
                <w:rFonts w:ascii="Times New Roman" w:hAnsi="Times New Roman" w:cs="Times New Roman"/>
                <w:szCs w:val="28"/>
                <w:lang w:eastAsia="vi-VN"/>
              </w:rPr>
              <w:t xml:space="preserve">quy định tại </w:t>
            </w:r>
            <w:bookmarkStart w:id="0" w:name="_Hlk186188475"/>
            <w:r w:rsidR="008D6BBD" w:rsidRPr="000B7A6D">
              <w:rPr>
                <w:rFonts w:ascii="Times New Roman" w:hAnsi="Times New Roman" w:cs="Times New Roman"/>
                <w:szCs w:val="28"/>
                <w:lang w:eastAsia="vi-VN"/>
              </w:rPr>
              <w:t xml:space="preserve">điểm a Khoản 1 </w:t>
            </w:r>
            <w:bookmarkEnd w:id="0"/>
            <w:r w:rsidR="008D6BBD" w:rsidRPr="000B7A6D">
              <w:rPr>
                <w:rFonts w:ascii="Times New Roman" w:hAnsi="Times New Roman" w:cs="Times New Roman"/>
                <w:szCs w:val="28"/>
                <w:lang w:eastAsia="vi-VN"/>
              </w:rPr>
              <w:t xml:space="preserve">Điều 57 Nghị định số 54/2017/NĐ-CP) </w:t>
            </w:r>
            <w:r w:rsidR="008D6BBD" w:rsidRPr="000B7A6D">
              <w:rPr>
                <w:rFonts w:ascii="Times New Roman" w:hAnsi="Times New Roman" w:cs="Times New Roman"/>
              </w:rPr>
              <w:t>đang được quy định như sau:</w:t>
            </w:r>
            <w:r w:rsidR="008D6BBD" w:rsidRPr="008D6BBD">
              <w:rPr>
                <w:rFonts w:ascii="Times New Roman" w:hAnsi="Times New Roman" w:cs="Times New Roman"/>
                <w:szCs w:val="28"/>
                <w:lang w:eastAsia="vi-VN"/>
              </w:rPr>
              <w:t xml:space="preserve"> </w:t>
            </w:r>
          </w:p>
          <w:p w14:paraId="746A13F6" w14:textId="77777777" w:rsidR="008D6BBD" w:rsidRPr="008D6BBD" w:rsidRDefault="008D6BBD" w:rsidP="008D6BBD">
            <w:pPr>
              <w:spacing w:before="120" w:line="288" w:lineRule="auto"/>
              <w:jc w:val="both"/>
              <w:rPr>
                <w:rFonts w:ascii="Times New Roman" w:hAnsi="Times New Roman" w:cs="Times New Roman"/>
                <w:b/>
                <w:bCs/>
                <w:szCs w:val="28"/>
                <w:lang w:val="vi-VN" w:eastAsia="vi-VN"/>
              </w:rPr>
            </w:pPr>
            <w:r w:rsidRPr="008D6BBD">
              <w:rPr>
                <w:rFonts w:ascii="Times New Roman" w:hAnsi="Times New Roman" w:cs="Times New Roman"/>
                <w:b/>
                <w:szCs w:val="28"/>
                <w:lang w:eastAsia="vi-VN"/>
              </w:rPr>
              <w:t>“</w:t>
            </w:r>
            <w:r w:rsidRPr="008D6BBD">
              <w:rPr>
                <w:rFonts w:ascii="Times New Roman" w:hAnsi="Times New Roman" w:cs="Times New Roman"/>
                <w:b/>
                <w:szCs w:val="28"/>
                <w:lang w:val="vi-VN" w:eastAsia="vi-VN"/>
              </w:rPr>
              <w:t xml:space="preserve">Điều </w:t>
            </w:r>
            <w:r w:rsidRPr="008D6BBD">
              <w:rPr>
                <w:rFonts w:ascii="Times New Roman" w:hAnsi="Times New Roman" w:cs="Times New Roman"/>
                <w:b/>
                <w:szCs w:val="28"/>
                <w:lang w:eastAsia="vi-VN"/>
              </w:rPr>
              <w:t>47</w:t>
            </w:r>
            <w:r w:rsidRPr="008D6BBD">
              <w:rPr>
                <w:rFonts w:ascii="Times New Roman" w:hAnsi="Times New Roman" w:cs="Times New Roman"/>
                <w:b/>
                <w:szCs w:val="28"/>
                <w:lang w:val="vi-VN" w:eastAsia="vi-VN"/>
              </w:rPr>
              <w:t xml:space="preserve">. </w:t>
            </w:r>
            <w:r w:rsidRPr="008D6BBD">
              <w:rPr>
                <w:rFonts w:ascii="Times New Roman" w:hAnsi="Times New Roman" w:cs="Times New Roman"/>
                <w:b/>
                <w:bCs/>
                <w:szCs w:val="28"/>
                <w:lang w:val="vi-VN" w:eastAsia="vi-VN"/>
              </w:rPr>
              <w:t>Tiêu chí, hồ sơ đề nghị cấp phép xuất khẩu thuốc gây nghiện, thuốc hướng thần, thuốc tiền chất, thuốc dạng phối hợp có chứa dược chất gây nghiện, thuốc dạng phối hợp có chứa dược chất hướng thần, thuốc dạng phối hợp có chứa tiền chất, nguyên liệu làm thuốc là dược chất gây nghiện, dược chất hướng thần, tiền chất dùng làm thuốc</w:t>
            </w:r>
          </w:p>
          <w:p w14:paraId="248CC16D" w14:textId="77777777" w:rsidR="008D6BBD" w:rsidRPr="008D6BBD" w:rsidRDefault="008D6BBD" w:rsidP="008D6BBD">
            <w:pPr>
              <w:spacing w:before="120" w:line="288" w:lineRule="auto"/>
              <w:jc w:val="both"/>
              <w:rPr>
                <w:rFonts w:ascii="Times New Roman" w:hAnsi="Times New Roman" w:cs="Times New Roman"/>
                <w:bCs/>
                <w:szCs w:val="28"/>
                <w:lang w:val="vi-VN" w:eastAsia="vi-VN"/>
              </w:rPr>
            </w:pPr>
            <w:r w:rsidRPr="008D6BBD">
              <w:rPr>
                <w:rFonts w:ascii="Times New Roman" w:hAnsi="Times New Roman" w:cs="Times New Roman"/>
                <w:bCs/>
                <w:spacing w:val="-8"/>
                <w:szCs w:val="28"/>
                <w:lang w:val="vi-VN" w:eastAsia="vi-VN"/>
              </w:rPr>
              <w:lastRenderedPageBreak/>
              <w:t>1. Thuốc chỉ được cấp phép xuất khẩu khi đáp ứng một trong các tiêu chí sau</w:t>
            </w:r>
            <w:r w:rsidRPr="008D6BBD">
              <w:rPr>
                <w:rFonts w:ascii="Times New Roman" w:hAnsi="Times New Roman" w:cs="Times New Roman"/>
                <w:bCs/>
                <w:szCs w:val="28"/>
                <w:lang w:val="vi-VN" w:eastAsia="vi-VN"/>
              </w:rPr>
              <w:t>:</w:t>
            </w:r>
          </w:p>
          <w:p w14:paraId="46E52C38" w14:textId="77777777" w:rsidR="008D6BBD" w:rsidRPr="008D6BBD" w:rsidRDefault="008D6BBD" w:rsidP="008D6BBD">
            <w:pPr>
              <w:spacing w:before="120" w:line="288" w:lineRule="auto"/>
              <w:jc w:val="both"/>
              <w:rPr>
                <w:rFonts w:ascii="Times New Roman" w:hAnsi="Times New Roman" w:cs="Times New Roman"/>
                <w:bCs/>
                <w:spacing w:val="-6"/>
                <w:szCs w:val="28"/>
                <w:lang w:val="vi-VN" w:eastAsia="vi-VN"/>
              </w:rPr>
            </w:pPr>
            <w:r w:rsidRPr="008D6BBD">
              <w:rPr>
                <w:rFonts w:ascii="Times New Roman" w:hAnsi="Times New Roman" w:cs="Times New Roman"/>
                <w:bCs/>
                <w:spacing w:val="-8"/>
                <w:szCs w:val="28"/>
                <w:lang w:val="vi-VN" w:eastAsia="vi-VN"/>
              </w:rPr>
              <w:t>a) Được sản xuất tại Việt Nam, có Giấy đăng ký lưu hành thuốc tại Việt Nam và có</w:t>
            </w:r>
            <w:r w:rsidRPr="008D6BBD">
              <w:rPr>
                <w:rFonts w:ascii="Times New Roman" w:hAnsi="Times New Roman" w:cs="Times New Roman"/>
                <w:spacing w:val="-8"/>
                <w:szCs w:val="28"/>
                <w:lang w:val="vi-VN" w:eastAsia="vi-VN"/>
              </w:rPr>
              <w:t xml:space="preserve"> giấy phép nhập khẩu do cơ quan quản lý có thẩm quyền nước nhập khẩu cấ</w:t>
            </w:r>
            <w:r w:rsidRPr="008D6BBD">
              <w:rPr>
                <w:rFonts w:ascii="Times New Roman" w:hAnsi="Times New Roman" w:cs="Times New Roman"/>
                <w:spacing w:val="-6"/>
                <w:szCs w:val="28"/>
                <w:lang w:val="vi-VN" w:eastAsia="vi-VN"/>
              </w:rPr>
              <w:t>p</w:t>
            </w:r>
            <w:r w:rsidRPr="008D6BBD">
              <w:rPr>
                <w:rFonts w:ascii="Times New Roman" w:hAnsi="Times New Roman" w:cs="Times New Roman"/>
                <w:bCs/>
                <w:spacing w:val="-6"/>
                <w:szCs w:val="28"/>
                <w:lang w:val="vi-VN" w:eastAsia="vi-VN"/>
              </w:rPr>
              <w:t>;</w:t>
            </w:r>
          </w:p>
          <w:p w14:paraId="023FD9EE" w14:textId="54FEA835" w:rsidR="00323E7C" w:rsidRPr="008D6BBD" w:rsidRDefault="00323E7C" w:rsidP="002D1DD5">
            <w:pPr>
              <w:spacing w:before="120" w:line="288" w:lineRule="auto"/>
              <w:jc w:val="both"/>
              <w:rPr>
                <w:rFonts w:ascii="Times New Roman" w:hAnsi="Times New Roman" w:cs="Times New Roman"/>
                <w:szCs w:val="28"/>
                <w:lang w:eastAsia="vi-VN"/>
              </w:rPr>
            </w:pPr>
          </w:p>
        </w:tc>
        <w:tc>
          <w:tcPr>
            <w:tcW w:w="1710" w:type="dxa"/>
            <w:vAlign w:val="center"/>
          </w:tcPr>
          <w:p w14:paraId="669831E3" w14:textId="6A1755A9" w:rsidR="00323E7C" w:rsidRPr="009F4AF9" w:rsidRDefault="00323E7C" w:rsidP="003654F8">
            <w:pPr>
              <w:spacing w:before="120" w:after="20" w:line="360" w:lineRule="auto"/>
              <w:jc w:val="both"/>
              <w:rPr>
                <w:rFonts w:ascii="Times New Roman" w:hAnsi="Times New Roman" w:cs="Times New Roman"/>
              </w:rPr>
            </w:pPr>
            <w:r w:rsidRPr="009F4AF9">
              <w:rPr>
                <w:rFonts w:ascii="Times New Roman" w:hAnsi="Times New Roman" w:cs="Times New Roman"/>
              </w:rPr>
              <w:lastRenderedPageBreak/>
              <w:t>Medochemie</w:t>
            </w:r>
          </w:p>
        </w:tc>
        <w:tc>
          <w:tcPr>
            <w:tcW w:w="3510" w:type="dxa"/>
            <w:vAlign w:val="center"/>
          </w:tcPr>
          <w:p w14:paraId="5ED9F143" w14:textId="0D3C9D32" w:rsidR="001E67D8" w:rsidRDefault="001E67D8" w:rsidP="008D6BBD">
            <w:pPr>
              <w:spacing w:before="120" w:line="288" w:lineRule="auto"/>
              <w:jc w:val="both"/>
              <w:rPr>
                <w:rFonts w:ascii="Times New Roman" w:hAnsi="Times New Roman" w:cs="Times New Roman"/>
                <w:szCs w:val="28"/>
                <w:lang w:eastAsia="vi-VN"/>
              </w:rPr>
            </w:pPr>
            <w:r w:rsidRPr="008D6BBD">
              <w:rPr>
                <w:rFonts w:ascii="Times New Roman" w:hAnsi="Times New Roman" w:cs="Times New Roman"/>
                <w:szCs w:val="28"/>
                <w:lang w:eastAsia="vi-VN"/>
              </w:rPr>
              <w:t>Căn cứ theo quy định tại điểm a Khoản 1 Điều 47</w:t>
            </w:r>
            <w:r>
              <w:rPr>
                <w:rFonts w:ascii="Times New Roman" w:hAnsi="Times New Roman" w:cs="Times New Roman"/>
                <w:szCs w:val="28"/>
                <w:lang w:eastAsia="vi-VN"/>
              </w:rPr>
              <w:t xml:space="preserve"> Dự thảo Nghị định</w:t>
            </w:r>
            <w:r w:rsidRPr="008D6BBD">
              <w:rPr>
                <w:rFonts w:ascii="Times New Roman" w:hAnsi="Times New Roman" w:cs="Times New Roman"/>
                <w:szCs w:val="28"/>
                <w:lang w:eastAsia="vi-VN"/>
              </w:rPr>
              <w:t xml:space="preserve">, tiêu chí bắt buộc để </w:t>
            </w:r>
            <w:r w:rsidRPr="008D6BBD">
              <w:rPr>
                <w:rFonts w:ascii="Times New Roman" w:hAnsi="Times New Roman" w:cs="Times New Roman"/>
                <w:szCs w:val="28"/>
                <w:lang w:val="vi-VN" w:eastAsia="vi-VN"/>
              </w:rPr>
              <w:t>thuốc gây nghiện, thuốc hướng thần, thuốc tiền chất, thuốc dạng phối hợp có chứa dược chất gây nghiện, thuốc dạng phối hợp có chứa dược chất hướng thần, thuốc dạng phối hợp có chứa tiền chất</w:t>
            </w:r>
            <w:r w:rsidRPr="008D6BBD">
              <w:rPr>
                <w:rFonts w:ascii="Times New Roman" w:hAnsi="Times New Roman" w:cs="Times New Roman"/>
                <w:szCs w:val="28"/>
                <w:lang w:eastAsia="vi-VN"/>
              </w:rPr>
              <w:t xml:space="preserve"> sản xuất tại Việt Nam có thể được cấp phép xuất khẩu đó là phải có </w:t>
            </w:r>
            <w:r w:rsidRPr="008D6BBD">
              <w:rPr>
                <w:rFonts w:ascii="Times New Roman" w:hAnsi="Times New Roman" w:cs="Times New Roman"/>
                <w:b/>
                <w:bCs/>
                <w:szCs w:val="28"/>
                <w:lang w:eastAsia="vi-VN"/>
              </w:rPr>
              <w:t>Giấy đăng ký lưu hành thuốc tại Việt Nam</w:t>
            </w:r>
            <w:r w:rsidRPr="008D6BBD">
              <w:rPr>
                <w:rFonts w:ascii="Times New Roman" w:hAnsi="Times New Roman" w:cs="Times New Roman"/>
                <w:szCs w:val="28"/>
                <w:lang w:eastAsia="vi-VN"/>
              </w:rPr>
              <w:t xml:space="preserve">. </w:t>
            </w:r>
          </w:p>
          <w:p w14:paraId="5FEF246D" w14:textId="1DABB20A" w:rsidR="008D6BBD" w:rsidRPr="008D6BBD" w:rsidRDefault="00640804" w:rsidP="008D6BBD">
            <w:pPr>
              <w:spacing w:before="120" w:line="288" w:lineRule="auto"/>
              <w:jc w:val="both"/>
              <w:rPr>
                <w:rFonts w:ascii="Times New Roman" w:hAnsi="Times New Roman" w:cs="Times New Roman"/>
                <w:szCs w:val="28"/>
                <w:lang w:eastAsia="vi-VN"/>
              </w:rPr>
            </w:pPr>
            <w:r>
              <w:rPr>
                <w:rFonts w:ascii="Times New Roman" w:hAnsi="Times New Roman" w:cs="Times New Roman"/>
              </w:rPr>
              <w:t xml:space="preserve">Đối với trường hợp </w:t>
            </w:r>
            <w:r w:rsidR="008D6BBD" w:rsidRPr="008D6BBD">
              <w:rPr>
                <w:rFonts w:ascii="Times New Roman" w:hAnsi="Times New Roman" w:cs="Times New Roman"/>
              </w:rPr>
              <w:t xml:space="preserve">chỉ xuất khẩu </w:t>
            </w:r>
            <w:r w:rsidRPr="008D6BBD">
              <w:rPr>
                <w:rFonts w:ascii="Times New Roman" w:hAnsi="Times New Roman" w:cs="Times New Roman"/>
              </w:rPr>
              <w:t xml:space="preserve">các thuốc kiểm soát đặc biệt </w:t>
            </w:r>
            <w:r>
              <w:rPr>
                <w:rFonts w:ascii="Times New Roman" w:hAnsi="Times New Roman" w:cs="Times New Roman"/>
              </w:rPr>
              <w:t>nhóm này</w:t>
            </w:r>
            <w:r w:rsidRPr="008D6BBD">
              <w:rPr>
                <w:rFonts w:ascii="Times New Roman" w:hAnsi="Times New Roman" w:cs="Times New Roman"/>
              </w:rPr>
              <w:t xml:space="preserve"> </w:t>
            </w:r>
            <w:r w:rsidR="008D6BBD" w:rsidRPr="008D6BBD">
              <w:rPr>
                <w:rFonts w:ascii="Times New Roman" w:hAnsi="Times New Roman" w:cs="Times New Roman"/>
              </w:rPr>
              <w:t xml:space="preserve">sang các nước Châu Âu mà ở đó các thuốc này đã được cấp phép lưu hành, và </w:t>
            </w:r>
            <w:r w:rsidR="008D6BBD" w:rsidRPr="008D6BBD">
              <w:rPr>
                <w:rFonts w:ascii="Times New Roman" w:hAnsi="Times New Roman" w:cs="Times New Roman"/>
                <w:b/>
                <w:bCs/>
              </w:rPr>
              <w:t>không lưu hành các thuốc này ở Việt Nam</w:t>
            </w:r>
            <w:r w:rsidRPr="00640804">
              <w:rPr>
                <w:rFonts w:ascii="Times New Roman" w:hAnsi="Times New Roman" w:cs="Times New Roman"/>
              </w:rPr>
              <w:t>, v</w:t>
            </w:r>
            <w:r w:rsidR="008D6BBD" w:rsidRPr="00640804">
              <w:rPr>
                <w:rFonts w:ascii="Times New Roman" w:hAnsi="Times New Roman" w:cs="Times New Roman"/>
              </w:rPr>
              <w:t>ới</w:t>
            </w:r>
            <w:r w:rsidR="008D6BBD" w:rsidRPr="008D6BBD">
              <w:rPr>
                <w:rFonts w:ascii="Times New Roman" w:hAnsi="Times New Roman" w:cs="Times New Roman"/>
              </w:rPr>
              <w:t xml:space="preserve"> quy định như tại </w:t>
            </w:r>
            <w:r w:rsidR="008D6BBD" w:rsidRPr="008D6BBD">
              <w:rPr>
                <w:rFonts w:ascii="Times New Roman" w:hAnsi="Times New Roman" w:cs="Times New Roman"/>
                <w:szCs w:val="28"/>
                <w:lang w:eastAsia="vi-VN"/>
              </w:rPr>
              <w:t xml:space="preserve">điểm </w:t>
            </w:r>
            <w:r w:rsidR="008D6BBD" w:rsidRPr="008D6BBD">
              <w:rPr>
                <w:rFonts w:ascii="Times New Roman" w:hAnsi="Times New Roman" w:cs="Times New Roman"/>
                <w:szCs w:val="28"/>
                <w:lang w:eastAsia="vi-VN"/>
              </w:rPr>
              <w:lastRenderedPageBreak/>
              <w:t>a Khoản 1 Điều 47 của Dự thảo Nghị định, doanh nghiệp chúng tôi nói riêng và các doanh nghiệp xuất khẩu tương tự như chúng tôi nói chung sẽ gặp phải các khó khăn, vướng mắc như sau:</w:t>
            </w:r>
          </w:p>
          <w:p w14:paraId="74555E42" w14:textId="5B112BBA" w:rsidR="008D6BBD" w:rsidRPr="008D6BBD" w:rsidRDefault="008D6BBD" w:rsidP="008D6BBD">
            <w:pPr>
              <w:spacing w:before="120" w:line="288" w:lineRule="auto"/>
              <w:jc w:val="both"/>
              <w:rPr>
                <w:rFonts w:ascii="Times New Roman" w:hAnsi="Times New Roman" w:cs="Times New Roman"/>
                <w:szCs w:val="28"/>
                <w:lang w:eastAsia="vi-VN"/>
              </w:rPr>
            </w:pPr>
            <w:r w:rsidRPr="008D6BBD">
              <w:rPr>
                <w:rFonts w:ascii="Times New Roman" w:hAnsi="Times New Roman" w:cs="Times New Roman"/>
              </w:rPr>
              <w:t>1. Việc yêu cầu thuốc xuất khẩu phải được cấp Giấy đăng ký lưu hành thuốc tại Việt Nam sẽ làm kéo dài thời gian thực hiện hợp đồng xuất khẩu, ảnh hưởng đến việc xuất khẩu (vì thời gian phải đợi đến khi thuốc được cấp Giấy đăng ký lưu hành tại Việt Nam thông thường từ 2-3 năm kể từ thời điểm nộp hồ sơ đăng ký thuốc). Trong khi đó nhiều nước nhập khẩu không có yêu cầu thuốc nhập khẩu vào nước họ phải được cấp Giấy đăng ký lưu hành tại Việt Nam.</w:t>
            </w:r>
          </w:p>
          <w:p w14:paraId="0A0E0310" w14:textId="4A58344D" w:rsidR="008D6BBD" w:rsidRPr="008D6BBD" w:rsidRDefault="008D6BBD" w:rsidP="008D6BBD">
            <w:pPr>
              <w:spacing w:before="120" w:line="288" w:lineRule="auto"/>
              <w:jc w:val="both"/>
              <w:rPr>
                <w:rFonts w:ascii="Times New Roman" w:hAnsi="Times New Roman" w:cs="Times New Roman"/>
              </w:rPr>
            </w:pPr>
            <w:r w:rsidRPr="008D6BBD">
              <w:rPr>
                <w:rFonts w:ascii="Times New Roman" w:hAnsi="Times New Roman" w:cs="Times New Roman"/>
              </w:rPr>
              <w:t>2. Bên cạnh đó, theo quy định của Thông tư 08/2022/TT-BYT về đăng ký thuốc, nguyên liệu làm thuốc, một thuốc muốn được đăng ký lưu hành tại Việt Nam (trừ thuốc thuộc danh mục thuốc hiếm) thì trong hồ sơ đăng ký thuốc yêu cầu:</w:t>
            </w:r>
          </w:p>
          <w:p w14:paraId="569844AB" w14:textId="30057F4A" w:rsidR="008D6BBD" w:rsidRPr="008D6BBD" w:rsidRDefault="008D6BBD" w:rsidP="008D6BBD">
            <w:pPr>
              <w:spacing w:before="120" w:line="288" w:lineRule="auto"/>
              <w:jc w:val="both"/>
              <w:rPr>
                <w:rFonts w:ascii="Times New Roman" w:hAnsi="Times New Roman" w:cs="Times New Roman"/>
              </w:rPr>
            </w:pPr>
            <w:r w:rsidRPr="008D6BBD">
              <w:rPr>
                <w:rFonts w:ascii="Times New Roman" w:hAnsi="Times New Roman" w:cs="Times New Roman"/>
              </w:rPr>
              <w:t xml:space="preserve">- Phải nộp dữ liệu nghiên cứu độ ổn định ở vùng khí hậu </w:t>
            </w:r>
            <w:r>
              <w:rPr>
                <w:rFonts w:ascii="Times New Roman" w:hAnsi="Times New Roman" w:cs="Times New Roman"/>
              </w:rPr>
              <w:t>IV</w:t>
            </w:r>
            <w:r w:rsidRPr="008D6BBD">
              <w:rPr>
                <w:rFonts w:ascii="Times New Roman" w:hAnsi="Times New Roman" w:cs="Times New Roman"/>
              </w:rPr>
              <w:t xml:space="preserve">B. Trong khi đó, nhiều nước nhập khẩu (cụ thể là các nước Châu Âu) không có yêu cầu </w:t>
            </w:r>
            <w:r w:rsidRPr="008D6BBD">
              <w:rPr>
                <w:rFonts w:ascii="Times New Roman" w:hAnsi="Times New Roman" w:cs="Times New Roman"/>
              </w:rPr>
              <w:lastRenderedPageBreak/>
              <w:t xml:space="preserve">thuốc nhập khẩu vào nước họ phải có dữ liệu nghiên cứu độ ổn định ở vùng khí hậu </w:t>
            </w:r>
            <w:r>
              <w:rPr>
                <w:rFonts w:ascii="Times New Roman" w:hAnsi="Times New Roman" w:cs="Times New Roman"/>
              </w:rPr>
              <w:t>IV</w:t>
            </w:r>
            <w:r w:rsidRPr="008D6BBD">
              <w:rPr>
                <w:rFonts w:ascii="Times New Roman" w:hAnsi="Times New Roman" w:cs="Times New Roman"/>
              </w:rPr>
              <w:t xml:space="preserve">B. Chính vì vậy, việc yêu cầu thuốc xuất khẩu phải được cấp Giấy đăng ký lưu hành thuốc tại Việt Nam sẽ làm kéo dài thêm thời gian thực hiện hợp đồng xuất khẩu (vì phải chờ thực hiện và có số liệu nghiên cứu độ ổn định tối thiểu đến 12 tháng ở vùng khí hậu </w:t>
            </w:r>
            <w:r>
              <w:rPr>
                <w:rFonts w:ascii="Times New Roman" w:hAnsi="Times New Roman" w:cs="Times New Roman"/>
              </w:rPr>
              <w:t>IV</w:t>
            </w:r>
            <w:r w:rsidRPr="008D6BBD">
              <w:rPr>
                <w:rFonts w:ascii="Times New Roman" w:hAnsi="Times New Roman" w:cs="Times New Roman"/>
              </w:rPr>
              <w:t>B, sau đó phải nộp hồ sơ và chờ cấp Giấy đăng ký lưu hành tại Việt Nam), đồng thời gây tốn kém chi phí không cần thiết nếu thuốc sản xuất ra chỉ để xuất khẩu mà không có nhu cầu lưu hành thực tế tại Việt Nam.</w:t>
            </w:r>
          </w:p>
          <w:p w14:paraId="2A8F3561" w14:textId="77777777" w:rsidR="008D6BBD" w:rsidRPr="008D6BBD" w:rsidRDefault="008D6BBD" w:rsidP="008D6BBD">
            <w:pPr>
              <w:spacing w:before="120" w:line="288" w:lineRule="auto"/>
              <w:jc w:val="both"/>
              <w:rPr>
                <w:rFonts w:ascii="Times New Roman" w:hAnsi="Times New Roman" w:cs="Times New Roman"/>
              </w:rPr>
            </w:pPr>
            <w:r w:rsidRPr="008D6BBD">
              <w:rPr>
                <w:rFonts w:ascii="Times New Roman" w:hAnsi="Times New Roman" w:cs="Times New Roman"/>
              </w:rPr>
              <w:t xml:space="preserve">- Đối với những thuốc chứa dược chất hoặc phối hợp dược chất đã được cấp phép lưu hành tại nước nhập khẩu nhưng </w:t>
            </w:r>
            <w:r w:rsidRPr="008D6BBD">
              <w:rPr>
                <w:rFonts w:ascii="Times New Roman" w:hAnsi="Times New Roman" w:cs="Times New Roman"/>
                <w:lang w:val="vi-VN"/>
              </w:rPr>
              <w:t>chưa từng được cấp số lưu hành tại Việt Nam</w:t>
            </w:r>
            <w:r w:rsidRPr="008D6BBD">
              <w:rPr>
                <w:rFonts w:ascii="Times New Roman" w:hAnsi="Times New Roman" w:cs="Times New Roman"/>
              </w:rPr>
              <w:t xml:space="preserve">, khi đó sẽ được xem là thuốc mới tại Việt Nam và vì vậy trong hồ sơ đăng ký thuốc cần </w:t>
            </w:r>
            <w:r w:rsidRPr="008D6BBD">
              <w:rPr>
                <w:rFonts w:ascii="Times New Roman" w:hAnsi="Times New Roman" w:cs="Times New Roman"/>
                <w:lang w:val="vi-VN"/>
              </w:rPr>
              <w:t>nộp hồ sơ lâm sàng để có thể đăng ký tại Việt Nam</w:t>
            </w:r>
            <w:r w:rsidRPr="008D6BBD">
              <w:rPr>
                <w:rFonts w:ascii="Times New Roman" w:hAnsi="Times New Roman" w:cs="Times New Roman"/>
              </w:rPr>
              <w:t xml:space="preserve">, trong khi nước nhập khẩu không yêu cầu và bản thân nhà sản xuất tại Việt Nam không có các dữ liệu lâm sàng để cung cấp. Điều này gây bất cập nếu thuốc xuất khẩu thuộc trường hợp này và dự án xuất </w:t>
            </w:r>
            <w:r w:rsidRPr="008D6BBD">
              <w:rPr>
                <w:rFonts w:ascii="Times New Roman" w:hAnsi="Times New Roman" w:cs="Times New Roman"/>
              </w:rPr>
              <w:lastRenderedPageBreak/>
              <w:t>khẩu các thuốc thuộc nhóm này gần như là không thể thực hiện được.</w:t>
            </w:r>
          </w:p>
          <w:p w14:paraId="52FF9B3C" w14:textId="5E6B59A3" w:rsidR="008D6BBD" w:rsidRPr="008D6BBD" w:rsidRDefault="008D6BBD" w:rsidP="008D6BBD">
            <w:pPr>
              <w:spacing w:before="120" w:line="288" w:lineRule="auto"/>
              <w:jc w:val="both"/>
              <w:rPr>
                <w:rFonts w:ascii="Times New Roman" w:hAnsi="Times New Roman" w:cs="Times New Roman"/>
                <w:i/>
                <w:iCs/>
              </w:rPr>
            </w:pPr>
            <w:r w:rsidRPr="008D6BBD">
              <w:rPr>
                <w:rFonts w:ascii="Times New Roman" w:hAnsi="Times New Roman" w:cs="Times New Roman"/>
              </w:rPr>
              <w:t xml:space="preserve">3. Ngoài ra, theo quy định tại khoản 30 Điều 1 Luật số 44/2024/QH15 sửa đổi, bổ sung một số Điều của Luật Dược 2016 vừa được Quốc hội khóa XV thông qua tại kỳ họp thứ 8 vào ngày 21/11/2024, </w:t>
            </w:r>
            <w:r w:rsidRPr="008D6BBD">
              <w:rPr>
                <w:rFonts w:ascii="Times New Roman" w:hAnsi="Times New Roman" w:cs="Times New Roman"/>
                <w:lang w:val="pt-BR"/>
              </w:rPr>
              <w:t xml:space="preserve">sửa đổi, bổ sung </w:t>
            </w:r>
            <w:bookmarkStart w:id="1" w:name="dc_90"/>
            <w:r w:rsidRPr="008D6BBD">
              <w:rPr>
                <w:rFonts w:ascii="Times New Roman" w:hAnsi="Times New Roman" w:cs="Times New Roman"/>
                <w:lang w:val="pt-BR"/>
              </w:rPr>
              <w:t>Điều 56</w:t>
            </w:r>
            <w:bookmarkEnd w:id="1"/>
            <w:r w:rsidRPr="008D6BBD">
              <w:rPr>
                <w:rFonts w:ascii="Times New Roman" w:hAnsi="Times New Roman" w:cs="Times New Roman"/>
                <w:lang w:val="pt-BR"/>
              </w:rPr>
              <w:t xml:space="preserve"> như </w:t>
            </w:r>
            <w:r w:rsidRPr="008D6BBD">
              <w:rPr>
                <w:rFonts w:ascii="Times New Roman" w:hAnsi="Times New Roman" w:cs="Times New Roman"/>
              </w:rPr>
              <w:t xml:space="preserve">Luật Dược 2016 </w:t>
            </w:r>
            <w:r w:rsidRPr="008D6BBD">
              <w:rPr>
                <w:rFonts w:ascii="Times New Roman" w:hAnsi="Times New Roman" w:cs="Times New Roman"/>
                <w:lang w:val="pt-BR"/>
              </w:rPr>
              <w:t>sau:</w:t>
            </w:r>
            <w:r w:rsidRPr="008D6BBD">
              <w:rPr>
                <w:rFonts w:ascii="Times New Roman" w:hAnsi="Times New Roman" w:cs="Times New Roman"/>
              </w:rPr>
              <w:t xml:space="preserve"> </w:t>
            </w:r>
            <w:r w:rsidRPr="008D6BBD">
              <w:rPr>
                <w:rFonts w:ascii="Times New Roman" w:hAnsi="Times New Roman" w:cs="Times New Roman"/>
                <w:i/>
                <w:iCs/>
              </w:rPr>
              <w:t>Trường hợp thuốc đã được cấp giấy đăng ký lưu hành nhưng không lưu hành trên thị trường trong thời hạn 05 năm kể từ ngày giấy đăng ký lưu hành thuốc có hiệu lực thì không tiếp tục gia hạn hiệu lực giấy đăng ký lưu hành thuốc, trừ thuốc hiếm và thuốc có không quá 03 thuốc của 03 hãng sản xuất có cùng dược chất, dược liệu, dạng bào chế, hàm lượng hoặc nồng độ dược chất, khối lượng dược liệu trong một đơn vị liều đã được cấp giấy đăng ký lưu hành thuốc mà giấy đăng ký lưu hành thuốc đó còn thời hạn hiệu lực.</w:t>
            </w:r>
          </w:p>
          <w:p w14:paraId="32F33433" w14:textId="77777777" w:rsidR="008D6BBD" w:rsidRPr="008D6BBD" w:rsidRDefault="008D6BBD" w:rsidP="008D6BBD">
            <w:pPr>
              <w:spacing w:before="120" w:line="288" w:lineRule="auto"/>
              <w:jc w:val="both"/>
              <w:rPr>
                <w:rFonts w:ascii="Times New Roman" w:hAnsi="Times New Roman" w:cs="Times New Roman"/>
              </w:rPr>
            </w:pPr>
            <w:r w:rsidRPr="008D6BBD">
              <w:rPr>
                <w:rFonts w:ascii="Times New Roman" w:hAnsi="Times New Roman" w:cs="Times New Roman"/>
              </w:rPr>
              <w:t xml:space="preserve">Như vậy, đối với các thuốc chỉ để xuất khẩu và không có nhu cầu lưu hành tại Việt Nam thì sau 05 năm Giấy đăng ký lưu hành sẽ không còn hiệu lực, và khi đó thì sẽ không thể thực hiện thủ tục cấp Giấy phép xuất khẩu </w:t>
            </w:r>
            <w:r w:rsidRPr="008D6BBD">
              <w:rPr>
                <w:rFonts w:ascii="Times New Roman" w:hAnsi="Times New Roman" w:cs="Times New Roman"/>
              </w:rPr>
              <w:lastRenderedPageBreak/>
              <w:t xml:space="preserve">đồng nghĩa với việc không thể tiếp tục thực hiện được hợp đồng xuất khẩu. </w:t>
            </w:r>
          </w:p>
          <w:p w14:paraId="5007CFE5" w14:textId="56B62F85" w:rsidR="00323E7C" w:rsidRPr="008D6BBD" w:rsidRDefault="008D6BBD" w:rsidP="008D6BBD">
            <w:pPr>
              <w:spacing w:before="120" w:after="160" w:line="288" w:lineRule="auto"/>
              <w:jc w:val="both"/>
              <w:rPr>
                <w:rFonts w:ascii="Times New Roman" w:hAnsi="Times New Roman" w:cs="Times New Roman"/>
              </w:rPr>
            </w:pPr>
            <w:r w:rsidRPr="008D6BBD">
              <w:rPr>
                <w:rFonts w:ascii="Times New Roman" w:hAnsi="Times New Roman" w:cs="Times New Roman"/>
              </w:rPr>
              <w:t xml:space="preserve">Điều này sẽ là bất cập rất lớn đối với các doanh nghiệp làm công tác xuất khẩu dược phẩm, trong đó có xuất khẩu các </w:t>
            </w:r>
            <w:r w:rsidRPr="008D6BBD">
              <w:rPr>
                <w:rFonts w:ascii="Times New Roman" w:hAnsi="Times New Roman" w:cs="Times New Roman"/>
                <w:szCs w:val="28"/>
                <w:lang w:val="vi-VN" w:eastAsia="vi-VN"/>
              </w:rPr>
              <w:t>thuốc gây nghiện, thuốc hướng thần, thuốc tiền chất, thuốc dạng phối hợp có chứa dược chất gây nghiện, thuốc dạng phối hợp có chứa dược chất hướng thần, thuốc dạng phối hợp có chứa tiền chất</w:t>
            </w:r>
            <w:r w:rsidRPr="008D6BBD">
              <w:rPr>
                <w:rFonts w:ascii="Times New Roman" w:hAnsi="Times New Roman" w:cs="Times New Roman"/>
                <w:szCs w:val="28"/>
                <w:lang w:eastAsia="vi-VN"/>
              </w:rPr>
              <w:t xml:space="preserve">. </w:t>
            </w:r>
          </w:p>
        </w:tc>
        <w:tc>
          <w:tcPr>
            <w:tcW w:w="3060" w:type="dxa"/>
            <w:vAlign w:val="center"/>
          </w:tcPr>
          <w:p w14:paraId="57874FEF" w14:textId="77777777" w:rsidR="000B7A6D" w:rsidRPr="000B7A6D" w:rsidRDefault="000B7A6D" w:rsidP="000B7A6D">
            <w:pPr>
              <w:spacing w:before="120" w:line="288" w:lineRule="auto"/>
              <w:jc w:val="both"/>
              <w:rPr>
                <w:rFonts w:ascii="Times New Roman" w:hAnsi="Times New Roman" w:cs="Times New Roman"/>
                <w:bCs/>
              </w:rPr>
            </w:pPr>
            <w:r w:rsidRPr="000B7A6D">
              <w:rPr>
                <w:rFonts w:ascii="Times New Roman" w:hAnsi="Times New Roman" w:cs="Times New Roman"/>
              </w:rPr>
              <w:lastRenderedPageBreak/>
              <w:t xml:space="preserve">- Đề xuất sửa đổi </w:t>
            </w:r>
            <w:r w:rsidRPr="000B7A6D">
              <w:rPr>
                <w:rFonts w:ascii="Times New Roman" w:hAnsi="Times New Roman" w:cs="Times New Roman"/>
                <w:bCs/>
                <w:spacing w:val="-8"/>
                <w:szCs w:val="28"/>
                <w:lang w:eastAsia="vi-VN"/>
              </w:rPr>
              <w:t xml:space="preserve">quy định tại </w:t>
            </w:r>
            <w:r w:rsidRPr="000B7A6D">
              <w:rPr>
                <w:rFonts w:ascii="Times New Roman" w:hAnsi="Times New Roman" w:cs="Times New Roman"/>
                <w:szCs w:val="28"/>
                <w:lang w:eastAsia="vi-VN"/>
              </w:rPr>
              <w:t xml:space="preserve">điểm a Khoản 1 Điều 47 của Dự thảo </w:t>
            </w:r>
            <w:r w:rsidRPr="000B7A6D">
              <w:rPr>
                <w:rFonts w:ascii="Times New Roman" w:hAnsi="Times New Roman" w:cs="Times New Roman"/>
                <w:bCs/>
              </w:rPr>
              <w:t>Nghị định quy định chi tiết một số Điều và biện pháp thi hành Luật Dược (dự thảo ngày 06/12/2024) như sau:</w:t>
            </w:r>
          </w:p>
          <w:p w14:paraId="7D125E7C" w14:textId="77777777" w:rsidR="000B7A6D" w:rsidRPr="000B7A6D" w:rsidRDefault="000B7A6D" w:rsidP="000B7A6D">
            <w:pPr>
              <w:spacing w:before="120" w:line="288" w:lineRule="auto"/>
              <w:jc w:val="both"/>
              <w:rPr>
                <w:rFonts w:ascii="Times New Roman" w:hAnsi="Times New Roman" w:cs="Times New Roman"/>
              </w:rPr>
            </w:pPr>
            <w:r w:rsidRPr="000B7A6D">
              <w:rPr>
                <w:rFonts w:ascii="Times New Roman" w:hAnsi="Times New Roman" w:cs="Times New Roman"/>
                <w:i/>
                <w:iCs/>
              </w:rPr>
              <w:t>1. Thuốc chỉ được cấp phép xuất khẩu khi đáp ứng một trong các tiêu chí sau:</w:t>
            </w:r>
          </w:p>
          <w:p w14:paraId="44BFB302" w14:textId="10D4D27C" w:rsidR="000B7A6D" w:rsidRPr="000B7A6D" w:rsidRDefault="000B7A6D" w:rsidP="000B7A6D">
            <w:pPr>
              <w:spacing w:before="120" w:line="288" w:lineRule="auto"/>
              <w:jc w:val="both"/>
              <w:rPr>
                <w:rFonts w:ascii="Times New Roman" w:hAnsi="Times New Roman" w:cs="Times New Roman"/>
              </w:rPr>
            </w:pPr>
            <w:r w:rsidRPr="000B7A6D">
              <w:rPr>
                <w:rFonts w:ascii="Times New Roman" w:hAnsi="Times New Roman" w:cs="Times New Roman"/>
                <w:i/>
                <w:iCs/>
              </w:rPr>
              <w:t xml:space="preserve">a) Được sản xuất tại Việt Nam, có giấy phép nhập khẩu do cơ quan quản lý có thẩm quyền nước nhập khẩu cấp, </w:t>
            </w:r>
            <w:r w:rsidRPr="00D91816">
              <w:rPr>
                <w:rFonts w:ascii="Times New Roman" w:hAnsi="Times New Roman" w:cs="Times New Roman"/>
                <w:i/>
                <w:iCs/>
              </w:rPr>
              <w:t xml:space="preserve">có Giấy đăng ký lưu hành thuốc tại Việt Nam </w:t>
            </w:r>
            <w:r w:rsidRPr="00640804">
              <w:rPr>
                <w:rFonts w:ascii="Times New Roman" w:hAnsi="Times New Roman" w:cs="Times New Roman"/>
                <w:b/>
                <w:bCs/>
                <w:i/>
                <w:iCs/>
              </w:rPr>
              <w:t>(</w:t>
            </w:r>
            <w:r w:rsidR="002D1DD5" w:rsidRPr="002D1DD5">
              <w:rPr>
                <w:rFonts w:ascii="Times New Roman" w:hAnsi="Times New Roman" w:cs="Times New Roman"/>
                <w:b/>
                <w:bCs/>
                <w:i/>
                <w:iCs/>
              </w:rPr>
              <w:t xml:space="preserve">có thể thay thế bằng Giấy đăng ký lưu hành thuốc do cơ quan quản lý có thẩm quyền </w:t>
            </w:r>
            <w:r w:rsidR="002D1DD5" w:rsidRPr="002D1DD5">
              <w:rPr>
                <w:rFonts w:ascii="Times New Roman" w:hAnsi="Times New Roman" w:cs="Times New Roman"/>
                <w:b/>
                <w:bCs/>
                <w:i/>
                <w:iCs/>
              </w:rPr>
              <w:lastRenderedPageBreak/>
              <w:t>nước nhập khẩu cấp đối với t</w:t>
            </w:r>
            <w:r w:rsidRPr="002D1DD5">
              <w:rPr>
                <w:rFonts w:ascii="Times New Roman" w:hAnsi="Times New Roman" w:cs="Times New Roman"/>
                <w:b/>
                <w:bCs/>
                <w:i/>
                <w:iCs/>
              </w:rPr>
              <w:t>huốc sản xuất chỉ để xuất khẩu không lưu hành tại Việt nam</w:t>
            </w:r>
            <w:r w:rsidR="00D91816">
              <w:rPr>
                <w:rFonts w:ascii="Times New Roman" w:hAnsi="Times New Roman" w:cs="Times New Roman"/>
                <w:b/>
                <w:bCs/>
                <w:i/>
                <w:iCs/>
              </w:rPr>
              <w:t>).</w:t>
            </w:r>
          </w:p>
          <w:p w14:paraId="0943263A" w14:textId="77777777" w:rsidR="000B7A6D" w:rsidRPr="000B7A6D" w:rsidRDefault="000B7A6D" w:rsidP="000B7A6D">
            <w:pPr>
              <w:spacing w:before="120" w:line="288" w:lineRule="auto"/>
              <w:jc w:val="both"/>
              <w:rPr>
                <w:rFonts w:ascii="Times New Roman" w:hAnsi="Times New Roman" w:cs="Times New Roman"/>
              </w:rPr>
            </w:pPr>
            <w:r w:rsidRPr="000B7A6D">
              <w:rPr>
                <w:rFonts w:ascii="Times New Roman" w:hAnsi="Times New Roman" w:cs="Times New Roman"/>
              </w:rPr>
              <w:t>- Song song với việc sửa đổi nêu trên, đề nghị bổ sung quy định trong đó cơ quan nhà nước có cơ chế tăng cường hậu kiểm để đảm bảo tránh nguy cơ lạm dụng; đồng thời bổ sung quy định về tăng mức phạt nếu công ty sản xuất, xuất khẩu vi phạm trong việc sử dụng sai mục đích đối với nguyên liệu, thuốc kiểm soát đặc biệt.</w:t>
            </w:r>
          </w:p>
          <w:p w14:paraId="79C7B16C" w14:textId="77777777" w:rsidR="00323E7C" w:rsidRPr="000B7A6D" w:rsidRDefault="00323E7C" w:rsidP="003654F8">
            <w:pPr>
              <w:pStyle w:val="ListParagraph"/>
              <w:spacing w:line="360" w:lineRule="auto"/>
              <w:ind w:left="0"/>
              <w:jc w:val="both"/>
              <w:rPr>
                <w:rFonts w:ascii="Times New Roman" w:hAnsi="Times New Roman" w:cs="Times New Roman"/>
              </w:rPr>
            </w:pPr>
          </w:p>
        </w:tc>
        <w:tc>
          <w:tcPr>
            <w:tcW w:w="2970" w:type="dxa"/>
          </w:tcPr>
          <w:p w14:paraId="7C943DCA" w14:textId="77777777" w:rsidR="00C63AA7" w:rsidRPr="00B44766" w:rsidRDefault="00C63AA7" w:rsidP="00C63AA7">
            <w:pPr>
              <w:pStyle w:val="ListParagraph"/>
              <w:numPr>
                <w:ilvl w:val="0"/>
                <w:numId w:val="10"/>
              </w:numPr>
              <w:spacing w:line="360" w:lineRule="auto"/>
              <w:ind w:left="321"/>
              <w:jc w:val="both"/>
              <w:rPr>
                <w:rFonts w:ascii="Times New Roman" w:hAnsi="Times New Roman" w:cs="Times New Roman"/>
              </w:rPr>
            </w:pPr>
            <w:r>
              <w:rPr>
                <w:rFonts w:ascii="Times New Roman" w:hAnsi="Times New Roman" w:cs="Times New Roman"/>
              </w:rPr>
              <w:lastRenderedPageBreak/>
              <w:t xml:space="preserve">Phù hợp với </w:t>
            </w:r>
            <w:r w:rsidRPr="00B44766">
              <w:rPr>
                <w:rFonts w:ascii="Times New Roman" w:hAnsi="Times New Roman" w:cs="Times New Roman"/>
              </w:rPr>
              <w:t xml:space="preserve">chính sách </w:t>
            </w:r>
            <w:r>
              <w:rPr>
                <w:rFonts w:ascii="Times New Roman" w:hAnsi="Times New Roman" w:cs="Times New Roman"/>
              </w:rPr>
              <w:t xml:space="preserve">của </w:t>
            </w:r>
            <w:r w:rsidRPr="00B44766">
              <w:rPr>
                <w:rFonts w:ascii="Times New Roman" w:hAnsi="Times New Roman" w:cs="Times New Roman"/>
              </w:rPr>
              <w:t xml:space="preserve">Bộ Y tế Việt Nam nói chung và Cục Quản lý Dược nói riêng </w:t>
            </w:r>
            <w:r>
              <w:rPr>
                <w:rFonts w:ascii="Times New Roman" w:hAnsi="Times New Roman" w:cs="Times New Roman"/>
              </w:rPr>
              <w:t>về</w:t>
            </w:r>
            <w:r w:rsidRPr="00B44766">
              <w:rPr>
                <w:rFonts w:ascii="Times New Roman" w:hAnsi="Times New Roman" w:cs="Times New Roman"/>
              </w:rPr>
              <w:t xml:space="preserve"> thúc đẩy xuất khẩu thuốc sản xuất tại Việt Nam sang thị trường thế giới. </w:t>
            </w:r>
          </w:p>
          <w:p w14:paraId="2FE071F0" w14:textId="77777777" w:rsidR="001C4C79" w:rsidRDefault="001C4C79" w:rsidP="001C4C79">
            <w:pPr>
              <w:pStyle w:val="ListParagraph"/>
              <w:numPr>
                <w:ilvl w:val="0"/>
                <w:numId w:val="10"/>
              </w:numPr>
              <w:spacing w:line="360" w:lineRule="auto"/>
              <w:ind w:left="321"/>
              <w:jc w:val="both"/>
              <w:rPr>
                <w:rFonts w:ascii="Times New Roman" w:hAnsi="Times New Roman" w:cs="Times New Roman"/>
              </w:rPr>
            </w:pPr>
            <w:r>
              <w:rPr>
                <w:rFonts w:ascii="Times New Roman" w:hAnsi="Times New Roman" w:cs="Times New Roman"/>
              </w:rPr>
              <w:t>Giúp tháo gỡ khó khăn, hỗ trợ doanh nghiệp trong hoạt động xuất khẩu thuốc.</w:t>
            </w:r>
          </w:p>
          <w:p w14:paraId="2E3DEC3F" w14:textId="57C9B9A1" w:rsidR="00F57C9A" w:rsidRDefault="00F57C9A" w:rsidP="00F57C9A">
            <w:pPr>
              <w:pStyle w:val="ListParagraph"/>
              <w:numPr>
                <w:ilvl w:val="0"/>
                <w:numId w:val="10"/>
              </w:numPr>
              <w:spacing w:line="360" w:lineRule="auto"/>
              <w:ind w:left="321"/>
              <w:jc w:val="both"/>
              <w:rPr>
                <w:rFonts w:ascii="Times New Roman" w:hAnsi="Times New Roman" w:cs="Times New Roman"/>
              </w:rPr>
            </w:pPr>
            <w:r>
              <w:rPr>
                <w:rFonts w:ascii="Times New Roman" w:hAnsi="Times New Roman" w:cs="Times New Roman"/>
              </w:rPr>
              <w:t>G</w:t>
            </w:r>
            <w:r w:rsidRPr="00F57C9A">
              <w:rPr>
                <w:rFonts w:ascii="Times New Roman" w:hAnsi="Times New Roman" w:cs="Times New Roman"/>
              </w:rPr>
              <w:t>iảm bớt gánh nặng về phía Cục Quản lý Dược trong việc thẩm định Hồ sơ đăng ký trong trường hợp thuốc chỉ xuất khẩu không lưu hành tại Việt Nam.</w:t>
            </w:r>
          </w:p>
          <w:p w14:paraId="3EF3883B" w14:textId="06FFBEC7" w:rsidR="00F57C9A" w:rsidRDefault="00F57C9A" w:rsidP="00F57C9A">
            <w:pPr>
              <w:pStyle w:val="ListParagraph"/>
              <w:numPr>
                <w:ilvl w:val="0"/>
                <w:numId w:val="10"/>
              </w:numPr>
              <w:spacing w:line="360" w:lineRule="auto"/>
              <w:ind w:left="321"/>
              <w:jc w:val="both"/>
              <w:rPr>
                <w:rFonts w:ascii="Times New Roman" w:hAnsi="Times New Roman" w:cs="Times New Roman"/>
              </w:rPr>
            </w:pPr>
            <w:r>
              <w:rPr>
                <w:rFonts w:ascii="Times New Roman" w:hAnsi="Times New Roman" w:cs="Times New Roman"/>
              </w:rPr>
              <w:lastRenderedPageBreak/>
              <w:t>Tình hình sử dụng nguyên liệu kiểm soát đặc biệt là</w:t>
            </w:r>
            <w:r w:rsidRPr="00F57C9A">
              <w:rPr>
                <w:rFonts w:ascii="Times New Roman" w:hAnsi="Times New Roman" w:cs="Times New Roman"/>
              </w:rPr>
              <w:t xml:space="preserve"> dược chất hướng thần, </w:t>
            </w:r>
            <w:r w:rsidR="00640804">
              <w:rPr>
                <w:rFonts w:ascii="Times New Roman" w:hAnsi="Times New Roman" w:cs="Times New Roman"/>
              </w:rPr>
              <w:t xml:space="preserve">dược chất gây nghiện </w:t>
            </w:r>
            <w:r w:rsidR="0074555B">
              <w:rPr>
                <w:rFonts w:ascii="Times New Roman" w:hAnsi="Times New Roman" w:cs="Times New Roman"/>
              </w:rPr>
              <w:t xml:space="preserve">và tiền chất </w:t>
            </w:r>
            <w:r>
              <w:rPr>
                <w:rFonts w:ascii="Times New Roman" w:hAnsi="Times New Roman" w:cs="Times New Roman"/>
              </w:rPr>
              <w:t>có thể được kiểm soát thông qua</w:t>
            </w:r>
            <w:r w:rsidR="0074555B">
              <w:rPr>
                <w:rFonts w:ascii="Times New Roman" w:hAnsi="Times New Roman" w:cs="Times New Roman"/>
              </w:rPr>
              <w:t xml:space="preserve"> </w:t>
            </w:r>
            <w:r>
              <w:rPr>
                <w:rFonts w:ascii="Times New Roman" w:hAnsi="Times New Roman" w:cs="Times New Roman"/>
              </w:rPr>
              <w:t>Giấy phép xuất khẩu</w:t>
            </w:r>
            <w:r w:rsidR="00640804">
              <w:rPr>
                <w:rFonts w:ascii="Times New Roman" w:hAnsi="Times New Roman" w:cs="Times New Roman"/>
              </w:rPr>
              <w:t xml:space="preserve">, </w:t>
            </w:r>
            <w:r w:rsidR="0074555B">
              <w:rPr>
                <w:rFonts w:ascii="Times New Roman" w:hAnsi="Times New Roman" w:cs="Times New Roman"/>
              </w:rPr>
              <w:t xml:space="preserve">qua </w:t>
            </w:r>
            <w:r w:rsidR="001C4C79">
              <w:rPr>
                <w:rFonts w:ascii="Times New Roman" w:hAnsi="Times New Roman" w:cs="Times New Roman"/>
              </w:rPr>
              <w:t>các</w:t>
            </w:r>
            <w:r w:rsidR="0074555B">
              <w:rPr>
                <w:rFonts w:ascii="Times New Roman" w:hAnsi="Times New Roman" w:cs="Times New Roman"/>
              </w:rPr>
              <w:t xml:space="preserve"> </w:t>
            </w:r>
            <w:r w:rsidR="00640804">
              <w:rPr>
                <w:rFonts w:ascii="Times New Roman" w:hAnsi="Times New Roman" w:cs="Times New Roman"/>
              </w:rPr>
              <w:t>báo cáo</w:t>
            </w:r>
            <w:r w:rsidR="001C4C79">
              <w:rPr>
                <w:rFonts w:ascii="Times New Roman" w:hAnsi="Times New Roman" w:cs="Times New Roman"/>
              </w:rPr>
              <w:t xml:space="preserve"> định kỳ về nhập khẩu nguyên liệu KSĐB và xuất khẩu thuốc </w:t>
            </w:r>
            <w:proofErr w:type="gramStart"/>
            <w:r w:rsidR="001C4C79">
              <w:rPr>
                <w:rFonts w:ascii="Times New Roman" w:hAnsi="Times New Roman" w:cs="Times New Roman"/>
              </w:rPr>
              <w:t xml:space="preserve">KSĐB </w:t>
            </w:r>
            <w:r w:rsidR="00640804">
              <w:rPr>
                <w:rFonts w:ascii="Times New Roman" w:hAnsi="Times New Roman" w:cs="Times New Roman"/>
              </w:rPr>
              <w:t>,</w:t>
            </w:r>
            <w:proofErr w:type="gramEnd"/>
            <w:r w:rsidR="00640804">
              <w:rPr>
                <w:rFonts w:ascii="Times New Roman" w:hAnsi="Times New Roman" w:cs="Times New Roman"/>
              </w:rPr>
              <w:t xml:space="preserve"> và </w:t>
            </w:r>
            <w:r w:rsidR="0074555B">
              <w:rPr>
                <w:rFonts w:ascii="Times New Roman" w:hAnsi="Times New Roman" w:cs="Times New Roman"/>
              </w:rPr>
              <w:t xml:space="preserve">qua </w:t>
            </w:r>
            <w:r w:rsidR="00640804" w:rsidRPr="000B7A6D">
              <w:rPr>
                <w:rFonts w:ascii="Times New Roman" w:hAnsi="Times New Roman" w:cs="Times New Roman"/>
              </w:rPr>
              <w:t>cơ chế tăng cường hậu kiểm</w:t>
            </w:r>
            <w:r w:rsidR="00640804">
              <w:rPr>
                <w:rFonts w:ascii="Times New Roman" w:hAnsi="Times New Roman" w:cs="Times New Roman"/>
              </w:rPr>
              <w:t xml:space="preserve"> và xử phạt theo quy định.</w:t>
            </w:r>
          </w:p>
          <w:p w14:paraId="25ECE374" w14:textId="2A62A281" w:rsidR="00F57C9A" w:rsidRPr="009F4AF9" w:rsidRDefault="00F57C9A" w:rsidP="003654F8">
            <w:pPr>
              <w:adjustRightInd w:val="0"/>
              <w:snapToGrid w:val="0"/>
              <w:spacing w:after="120"/>
              <w:jc w:val="both"/>
              <w:rPr>
                <w:rFonts w:ascii="Times New Roman" w:hAnsi="Times New Roman" w:cs="Times New Roman"/>
              </w:rPr>
            </w:pPr>
          </w:p>
        </w:tc>
      </w:tr>
      <w:tr w:rsidR="00E850E4" w:rsidRPr="009F4AF9" w14:paraId="126CF41C" w14:textId="77777777" w:rsidTr="00DC30FF">
        <w:trPr>
          <w:trHeight w:val="794"/>
          <w:jc w:val="center"/>
        </w:trPr>
        <w:tc>
          <w:tcPr>
            <w:tcW w:w="671" w:type="dxa"/>
            <w:vAlign w:val="center"/>
          </w:tcPr>
          <w:p w14:paraId="5E3C39BC" w14:textId="77777777" w:rsidR="00E850E4" w:rsidRPr="009F4AF9" w:rsidRDefault="00E850E4" w:rsidP="00A5656D">
            <w:pPr>
              <w:pStyle w:val="ListParagraph"/>
              <w:spacing w:line="360" w:lineRule="auto"/>
              <w:ind w:left="0"/>
              <w:jc w:val="both"/>
              <w:rPr>
                <w:rFonts w:ascii="Times New Roman" w:hAnsi="Times New Roman" w:cs="Times New Roman"/>
              </w:rPr>
            </w:pPr>
          </w:p>
        </w:tc>
        <w:tc>
          <w:tcPr>
            <w:tcW w:w="3014" w:type="dxa"/>
            <w:vAlign w:val="center"/>
          </w:tcPr>
          <w:p w14:paraId="44383304" w14:textId="77777777" w:rsidR="008E7DD7" w:rsidRDefault="00B14104" w:rsidP="00B14104">
            <w:pPr>
              <w:jc w:val="both"/>
              <w:rPr>
                <w:rFonts w:ascii="Times New Roman" w:hAnsi="Times New Roman" w:cs="Times New Roman"/>
                <w:b/>
                <w:bCs/>
              </w:rPr>
            </w:pPr>
            <w:r w:rsidRPr="00B14104">
              <w:rPr>
                <w:rFonts w:ascii="Times New Roman" w:hAnsi="Times New Roman" w:cs="Times New Roman"/>
                <w:b/>
                <w:bCs/>
              </w:rPr>
              <w:t>Quy định về việc chuyển đổi mục đích sử dụng</w:t>
            </w:r>
            <w:r>
              <w:rPr>
                <w:rFonts w:ascii="Times New Roman" w:hAnsi="Times New Roman" w:cs="Times New Roman"/>
                <w:b/>
                <w:bCs/>
              </w:rPr>
              <w:t xml:space="preserve"> nguyên liệu</w:t>
            </w:r>
          </w:p>
          <w:p w14:paraId="477FBB6F" w14:textId="563CC643" w:rsidR="00E850E4" w:rsidRPr="008D6BBD" w:rsidRDefault="008E7DD7" w:rsidP="00B14104">
            <w:pPr>
              <w:jc w:val="both"/>
              <w:rPr>
                <w:rFonts w:ascii="Times New Roman" w:hAnsi="Times New Roman" w:cs="Times New Roman"/>
              </w:rPr>
            </w:pPr>
            <w:r>
              <w:rPr>
                <w:rFonts w:ascii="Times New Roman" w:hAnsi="Times New Roman" w:cs="Times New Roman"/>
                <w:b/>
                <w:bCs/>
              </w:rPr>
              <w:t>(Chưa được đề cập trong Nghị định 54 &amp; dự thảo nghị định)</w:t>
            </w:r>
          </w:p>
        </w:tc>
        <w:tc>
          <w:tcPr>
            <w:tcW w:w="1710" w:type="dxa"/>
            <w:vAlign w:val="center"/>
          </w:tcPr>
          <w:p w14:paraId="0A467EDF" w14:textId="704AFCD8" w:rsidR="00E850E4" w:rsidRPr="009F4AF9" w:rsidRDefault="00E850E4" w:rsidP="00A5656D">
            <w:pPr>
              <w:spacing w:before="120" w:after="20" w:line="360" w:lineRule="auto"/>
              <w:jc w:val="both"/>
              <w:rPr>
                <w:rFonts w:ascii="Times New Roman" w:hAnsi="Times New Roman" w:cs="Times New Roman"/>
              </w:rPr>
            </w:pPr>
            <w:r>
              <w:rPr>
                <w:rFonts w:ascii="Times New Roman" w:hAnsi="Times New Roman" w:cs="Times New Roman"/>
              </w:rPr>
              <w:t>Medochemie</w:t>
            </w:r>
          </w:p>
        </w:tc>
        <w:tc>
          <w:tcPr>
            <w:tcW w:w="3510" w:type="dxa"/>
            <w:vAlign w:val="center"/>
          </w:tcPr>
          <w:p w14:paraId="69E1A268" w14:textId="3401C366" w:rsidR="008E7DD7" w:rsidRPr="008E7DD7" w:rsidRDefault="008E7DD7" w:rsidP="00A5656D">
            <w:pPr>
              <w:spacing w:before="120" w:line="288" w:lineRule="auto"/>
              <w:jc w:val="both"/>
              <w:rPr>
                <w:rFonts w:ascii="Times New Roman" w:hAnsi="Times New Roman" w:cs="Times New Roman"/>
              </w:rPr>
            </w:pPr>
            <w:r w:rsidRPr="008E7DD7">
              <w:rPr>
                <w:rFonts w:ascii="Times New Roman" w:hAnsi="Times New Roman" w:cs="Times New Roman"/>
              </w:rPr>
              <w:t xml:space="preserve">Dự thảo Nghị định </w:t>
            </w:r>
            <w:r w:rsidRPr="008E7DD7">
              <w:rPr>
                <w:rFonts w:ascii="Times New Roman" w:hAnsi="Times New Roman" w:cs="Times New Roman"/>
              </w:rPr>
              <w:t xml:space="preserve">có bổ sung </w:t>
            </w:r>
            <w:r w:rsidR="00B14104" w:rsidRPr="008E7DD7">
              <w:rPr>
                <w:rFonts w:ascii="Times New Roman" w:hAnsi="Times New Roman" w:cs="Times New Roman"/>
              </w:rPr>
              <w:t xml:space="preserve">Điều 80 Quy định về việc chuyển đổi mục đích sử dụng </w:t>
            </w:r>
            <w:r w:rsidRPr="008E7DD7">
              <w:rPr>
                <w:rFonts w:ascii="Times New Roman" w:hAnsi="Times New Roman" w:cs="Times New Roman"/>
              </w:rPr>
              <w:t>dược chất, dược liệu đã được cấp phép nhập khẩu để sản xuất thuốc được cấp giấy đăng ký lưu hành thuốc có chỉ định sử dụng phòng, điều trị bệnh truyền nhiễm thuộc nhóm A.</w:t>
            </w:r>
          </w:p>
          <w:p w14:paraId="3FE0E278" w14:textId="1AEAC6D4" w:rsidR="008E7DD7" w:rsidRPr="008E7DD7" w:rsidRDefault="008E7DD7" w:rsidP="00A5656D">
            <w:pPr>
              <w:spacing w:before="120" w:line="288" w:lineRule="auto"/>
              <w:jc w:val="both"/>
              <w:rPr>
                <w:rFonts w:ascii="Times New Roman" w:hAnsi="Times New Roman" w:cs="Times New Roman"/>
              </w:rPr>
            </w:pPr>
            <w:r w:rsidRPr="008E7DD7">
              <w:rPr>
                <w:rFonts w:ascii="Times New Roman" w:hAnsi="Times New Roman" w:cs="Times New Roman"/>
              </w:rPr>
              <w:t>Tuy nhiên, dự thảo nghị định chưa có quy định về việc cho phép chuyển đổi mục đích sử dụng nguyên liệu</w:t>
            </w:r>
            <w:r>
              <w:rPr>
                <w:rFonts w:ascii="Times New Roman" w:hAnsi="Times New Roman" w:cs="Times New Roman"/>
              </w:rPr>
              <w:t xml:space="preserve"> làm thuốc</w:t>
            </w:r>
            <w:r w:rsidRPr="008E7DD7">
              <w:rPr>
                <w:rFonts w:ascii="Times New Roman" w:hAnsi="Times New Roman" w:cs="Times New Roman"/>
              </w:rPr>
              <w:t xml:space="preserve"> là dược chất, tá dược </w:t>
            </w:r>
            <w:r>
              <w:rPr>
                <w:rFonts w:ascii="Times New Roman" w:hAnsi="Times New Roman" w:cs="Times New Roman"/>
              </w:rPr>
              <w:t xml:space="preserve">nhập </w:t>
            </w:r>
            <w:r>
              <w:rPr>
                <w:rFonts w:ascii="Times New Roman" w:hAnsi="Times New Roman" w:cs="Times New Roman"/>
              </w:rPr>
              <w:t xml:space="preserve">khẩu </w:t>
            </w:r>
            <w:r>
              <w:rPr>
                <w:rFonts w:ascii="Times New Roman" w:hAnsi="Times New Roman" w:cs="Times New Roman"/>
              </w:rPr>
              <w:t>cho mục đích sản xuất thuốc xuất khẩu để sản xuất thuốc lưu hành tại Việt Nam, và ngược lại</w:t>
            </w:r>
            <w:r>
              <w:rPr>
                <w:rFonts w:ascii="Times New Roman" w:hAnsi="Times New Roman" w:cs="Times New Roman"/>
              </w:rPr>
              <w:t>.</w:t>
            </w:r>
          </w:p>
          <w:p w14:paraId="172CEC18" w14:textId="7EA3975E" w:rsidR="00E850E4" w:rsidRDefault="003D18F1" w:rsidP="00A5656D">
            <w:pPr>
              <w:spacing w:before="120" w:line="288" w:lineRule="auto"/>
              <w:jc w:val="both"/>
              <w:rPr>
                <w:rFonts w:ascii="Times New Roman" w:hAnsi="Times New Roman" w:cs="Times New Roman"/>
              </w:rPr>
            </w:pPr>
            <w:r>
              <w:rPr>
                <w:rFonts w:ascii="Times New Roman" w:hAnsi="Times New Roman" w:cs="Times New Roman"/>
              </w:rPr>
              <w:t>Thực tế c</w:t>
            </w:r>
            <w:r w:rsidR="00237B08">
              <w:rPr>
                <w:rFonts w:ascii="Times New Roman" w:hAnsi="Times New Roman" w:cs="Times New Roman"/>
              </w:rPr>
              <w:t>ông ty có thuốc đăng ký lưu hành tại Việt Nam có</w:t>
            </w:r>
            <w:r w:rsidR="00E850E4">
              <w:rPr>
                <w:rFonts w:ascii="Times New Roman" w:hAnsi="Times New Roman" w:cs="Times New Roman"/>
              </w:rPr>
              <w:t xml:space="preserve"> cùng </w:t>
            </w:r>
            <w:r w:rsidR="00237B08">
              <w:rPr>
                <w:rFonts w:ascii="Times New Roman" w:hAnsi="Times New Roman" w:cs="Times New Roman"/>
              </w:rPr>
              <w:t>thành phần nguyên liệu có</w:t>
            </w:r>
            <w:r w:rsidR="00E850E4">
              <w:rPr>
                <w:rFonts w:ascii="Times New Roman" w:hAnsi="Times New Roman" w:cs="Times New Roman"/>
              </w:rPr>
              <w:t xml:space="preserve"> cùng tiêu chuẩn chất </w:t>
            </w:r>
            <w:r w:rsidR="00E850E4">
              <w:rPr>
                <w:rFonts w:ascii="Times New Roman" w:hAnsi="Times New Roman" w:cs="Times New Roman"/>
              </w:rPr>
              <w:lastRenderedPageBreak/>
              <w:t>lượng</w:t>
            </w:r>
            <w:r w:rsidR="00237B08">
              <w:rPr>
                <w:rFonts w:ascii="Times New Roman" w:hAnsi="Times New Roman" w:cs="Times New Roman"/>
              </w:rPr>
              <w:t xml:space="preserve"> và </w:t>
            </w:r>
            <w:r w:rsidR="00E850E4">
              <w:rPr>
                <w:rFonts w:ascii="Times New Roman" w:hAnsi="Times New Roman" w:cs="Times New Roman"/>
              </w:rPr>
              <w:t xml:space="preserve">cùng </w:t>
            </w:r>
            <w:r w:rsidR="00237B08">
              <w:rPr>
                <w:rFonts w:ascii="Times New Roman" w:hAnsi="Times New Roman" w:cs="Times New Roman"/>
              </w:rPr>
              <w:t>nhà sản xuất</w:t>
            </w:r>
            <w:r w:rsidR="005B4E21">
              <w:rPr>
                <w:rFonts w:ascii="Times New Roman" w:hAnsi="Times New Roman" w:cs="Times New Roman"/>
              </w:rPr>
              <w:t xml:space="preserve"> với thuốc xuất khẩu.</w:t>
            </w:r>
          </w:p>
          <w:p w14:paraId="35E49A28" w14:textId="1BB44D4C" w:rsidR="004D41C7" w:rsidRDefault="00794696" w:rsidP="00A5656D">
            <w:pPr>
              <w:spacing w:before="120" w:line="288" w:lineRule="auto"/>
              <w:jc w:val="both"/>
              <w:rPr>
                <w:rFonts w:ascii="Times New Roman" w:hAnsi="Times New Roman" w:cs="Times New Roman"/>
              </w:rPr>
            </w:pPr>
            <w:r>
              <w:rPr>
                <w:rFonts w:ascii="Times New Roman" w:hAnsi="Times New Roman" w:cs="Times New Roman"/>
              </w:rPr>
              <w:t xml:space="preserve">- </w:t>
            </w:r>
            <w:r w:rsidR="004D41C7">
              <w:rPr>
                <w:rFonts w:ascii="Times New Roman" w:hAnsi="Times New Roman" w:cs="Times New Roman"/>
              </w:rPr>
              <w:t>Đối với nguyên liệu làm thuốc</w:t>
            </w:r>
            <w:r w:rsidR="005B4E21">
              <w:rPr>
                <w:rFonts w:ascii="Times New Roman" w:hAnsi="Times New Roman" w:cs="Times New Roman"/>
              </w:rPr>
              <w:t xml:space="preserve"> nhập khẩu để sản xuất thuốc</w:t>
            </w:r>
            <w:r w:rsidR="004D41C7">
              <w:rPr>
                <w:rFonts w:ascii="Times New Roman" w:hAnsi="Times New Roman" w:cs="Times New Roman"/>
              </w:rPr>
              <w:t xml:space="preserve"> có Giấy ĐKLH tại Việt Nam, </w:t>
            </w:r>
            <w:r w:rsidR="005B4E21">
              <w:rPr>
                <w:rFonts w:ascii="Times New Roman" w:hAnsi="Times New Roman" w:cs="Times New Roman"/>
              </w:rPr>
              <w:t>công ty nhập khẩu theo Danh mục công bố nguyên liệu trên website Cục QLD.</w:t>
            </w:r>
          </w:p>
          <w:p w14:paraId="7B6D02A2" w14:textId="1F4DBCB9" w:rsidR="005B4E21" w:rsidRDefault="00794696" w:rsidP="00A5656D">
            <w:pPr>
              <w:spacing w:before="120" w:line="288" w:lineRule="auto"/>
              <w:jc w:val="both"/>
              <w:rPr>
                <w:rFonts w:ascii="Times New Roman" w:hAnsi="Times New Roman" w:cs="Times New Roman"/>
              </w:rPr>
            </w:pPr>
            <w:r>
              <w:rPr>
                <w:rFonts w:ascii="Times New Roman" w:hAnsi="Times New Roman" w:cs="Times New Roman"/>
              </w:rPr>
              <w:t xml:space="preserve">- </w:t>
            </w:r>
            <w:r w:rsidR="005B4E21">
              <w:rPr>
                <w:rFonts w:ascii="Times New Roman" w:hAnsi="Times New Roman" w:cs="Times New Roman"/>
              </w:rPr>
              <w:t xml:space="preserve">Đối với nguyên liệu làm thuốc nhập khẩu để sản xuất thuốc xuất khẩu, công ty nhập khẩu nguyên liệu theo GPNK được cấp bởi Cục QLD trên đó ghi rõ mục đích </w:t>
            </w:r>
            <w:r>
              <w:rPr>
                <w:rFonts w:ascii="Times New Roman" w:hAnsi="Times New Roman" w:cs="Times New Roman"/>
              </w:rPr>
              <w:t xml:space="preserve">sử dụng </w:t>
            </w:r>
            <w:r w:rsidR="005B4E21">
              <w:rPr>
                <w:rFonts w:ascii="Times New Roman" w:hAnsi="Times New Roman" w:cs="Times New Roman"/>
              </w:rPr>
              <w:t>là để sản xuất thuốc xuất khẩu.</w:t>
            </w:r>
          </w:p>
          <w:p w14:paraId="543F1CC1" w14:textId="77777777" w:rsidR="00E850E4" w:rsidRDefault="00E850E4" w:rsidP="00A5656D">
            <w:pPr>
              <w:spacing w:before="120" w:line="288" w:lineRule="auto"/>
              <w:jc w:val="both"/>
              <w:rPr>
                <w:rFonts w:ascii="Times New Roman" w:hAnsi="Times New Roman" w:cs="Times New Roman"/>
              </w:rPr>
            </w:pPr>
            <w:r>
              <w:rPr>
                <w:rFonts w:ascii="Times New Roman" w:hAnsi="Times New Roman" w:cs="Times New Roman"/>
              </w:rPr>
              <w:t>Thực tế</w:t>
            </w:r>
            <w:r w:rsidR="00794696">
              <w:rPr>
                <w:rFonts w:ascii="Times New Roman" w:hAnsi="Times New Roman" w:cs="Times New Roman"/>
              </w:rPr>
              <w:t xml:space="preserve"> có trường hợp</w:t>
            </w:r>
            <w:r>
              <w:rPr>
                <w:rFonts w:ascii="Times New Roman" w:hAnsi="Times New Roman" w:cs="Times New Roman"/>
              </w:rPr>
              <w:t xml:space="preserve"> </w:t>
            </w:r>
            <w:r w:rsidR="00794696">
              <w:rPr>
                <w:rFonts w:ascii="Times New Roman" w:hAnsi="Times New Roman" w:cs="Times New Roman"/>
              </w:rPr>
              <w:t>nguyên liệu nhập khẩu để sản xuất thuốc xuất khẩu còn tồn kho nhưng công ty không thể sử dụng để sản xuất thuốc lưu hành tại Việt Nam vì mục đích sử dụng nguyên liệu đã ghi rõ trên GPNK là để sản xuất thuốc xuất khẩu. Hơn nữa, Nghị định 54 và Dự thảo nghị định này cũng không đề cập rõ việc cho phép doanh nghiệp được chuyển đổi mục đích sử dụng nguyên liệu nhập khẩu trong những trường hợp trên.</w:t>
            </w:r>
            <w:r w:rsidR="003D18F1">
              <w:rPr>
                <w:rFonts w:ascii="Times New Roman" w:hAnsi="Times New Roman" w:cs="Times New Roman"/>
              </w:rPr>
              <w:t xml:space="preserve"> </w:t>
            </w:r>
          </w:p>
          <w:p w14:paraId="4D7DF9EB" w14:textId="3358BBF8" w:rsidR="003D18F1" w:rsidRDefault="003D18F1" w:rsidP="00A5656D">
            <w:pPr>
              <w:spacing w:before="120" w:line="288" w:lineRule="auto"/>
              <w:jc w:val="both"/>
              <w:rPr>
                <w:rFonts w:ascii="Times New Roman" w:hAnsi="Times New Roman" w:cs="Times New Roman"/>
              </w:rPr>
            </w:pPr>
            <w:r>
              <w:rPr>
                <w:rFonts w:ascii="Times New Roman" w:hAnsi="Times New Roman" w:cs="Times New Roman"/>
              </w:rPr>
              <w:t xml:space="preserve">Việc nhập khẩu và quản lý nguyên liệu </w:t>
            </w:r>
            <w:r w:rsidR="00AD1751">
              <w:rPr>
                <w:rFonts w:ascii="Times New Roman" w:hAnsi="Times New Roman" w:cs="Times New Roman"/>
              </w:rPr>
              <w:t xml:space="preserve">riêng biệt </w:t>
            </w:r>
            <w:r>
              <w:rPr>
                <w:rFonts w:ascii="Times New Roman" w:hAnsi="Times New Roman" w:cs="Times New Roman"/>
              </w:rPr>
              <w:t xml:space="preserve">cho thuốc xuất khẩu và thuốc lưu hành trong nước trong khi nguyên liệu </w:t>
            </w:r>
            <w:r w:rsidR="00AD1751">
              <w:rPr>
                <w:rFonts w:ascii="Times New Roman" w:hAnsi="Times New Roman" w:cs="Times New Roman"/>
              </w:rPr>
              <w:t xml:space="preserve">hoàn toàn giống nhau về </w:t>
            </w:r>
            <w:r w:rsidR="00AD1751">
              <w:rPr>
                <w:rFonts w:ascii="Times New Roman" w:hAnsi="Times New Roman" w:cs="Times New Roman"/>
              </w:rPr>
              <w:lastRenderedPageBreak/>
              <w:t xml:space="preserve">nguồn gốc, tiêu chuẩn chất lượng làm tăng </w:t>
            </w:r>
            <w:r>
              <w:rPr>
                <w:rFonts w:ascii="Times New Roman" w:hAnsi="Times New Roman" w:cs="Times New Roman"/>
              </w:rPr>
              <w:t>chi phí nhập khẩu nguyên liệu, chi phí kiểm nghiệm, chi phí bảo quản nguyên liệu</w:t>
            </w:r>
            <w:r w:rsidR="00AD1751">
              <w:rPr>
                <w:rFonts w:ascii="Times New Roman" w:hAnsi="Times New Roman" w:cs="Times New Roman"/>
              </w:rPr>
              <w:t>…</w:t>
            </w:r>
          </w:p>
        </w:tc>
        <w:tc>
          <w:tcPr>
            <w:tcW w:w="3060" w:type="dxa"/>
            <w:vAlign w:val="center"/>
          </w:tcPr>
          <w:p w14:paraId="6F8CC29D" w14:textId="20043212" w:rsidR="00E850E4" w:rsidRPr="003D18F1" w:rsidRDefault="00E850E4" w:rsidP="00A5656D">
            <w:pPr>
              <w:jc w:val="both"/>
              <w:rPr>
                <w:rFonts w:ascii="Times New Roman" w:hAnsi="Times New Roman" w:cs="Times New Roman"/>
              </w:rPr>
            </w:pPr>
            <w:r w:rsidRPr="003D18F1">
              <w:rPr>
                <w:rFonts w:ascii="Times New Roman" w:hAnsi="Times New Roman" w:cs="Times New Roman"/>
              </w:rPr>
              <w:lastRenderedPageBreak/>
              <w:t xml:space="preserve">Đề nghị bổ sung </w:t>
            </w:r>
            <w:r w:rsidR="00AD1751">
              <w:rPr>
                <w:rFonts w:ascii="Times New Roman" w:hAnsi="Times New Roman" w:cs="Times New Roman"/>
              </w:rPr>
              <w:t xml:space="preserve">vào </w:t>
            </w:r>
            <w:r w:rsidR="00A5656D" w:rsidRPr="003D18F1">
              <w:rPr>
                <w:rFonts w:ascii="Times New Roman" w:hAnsi="Times New Roman" w:cs="Times New Roman"/>
              </w:rPr>
              <w:t xml:space="preserve">Dự thảo Nghị định </w:t>
            </w:r>
            <w:r w:rsidR="00AD1751">
              <w:rPr>
                <w:rFonts w:ascii="Times New Roman" w:hAnsi="Times New Roman" w:cs="Times New Roman"/>
              </w:rPr>
              <w:t>q</w:t>
            </w:r>
            <w:r w:rsidRPr="003D18F1">
              <w:rPr>
                <w:rFonts w:ascii="Times New Roman" w:hAnsi="Times New Roman" w:cs="Times New Roman"/>
              </w:rPr>
              <w:t>uy định về việc chuyển đổi mục đích sử dụng nguyên liệu làm thuốc nhập khẩu để sản xuất thuốc được cấp giấy đăng ký lưu hành tại Việt Nam để sản xuất thuốc xuất khẩu</w:t>
            </w:r>
            <w:r w:rsidR="00945EA7" w:rsidRPr="003D18F1">
              <w:rPr>
                <w:rFonts w:ascii="Times New Roman" w:hAnsi="Times New Roman" w:cs="Times New Roman"/>
              </w:rPr>
              <w:t xml:space="preserve">, </w:t>
            </w:r>
            <w:r w:rsidRPr="003D18F1">
              <w:rPr>
                <w:rFonts w:ascii="Times New Roman" w:hAnsi="Times New Roman" w:cs="Times New Roman"/>
              </w:rPr>
              <w:t>và ngược lại</w:t>
            </w:r>
            <w:r w:rsidR="00AD1751">
              <w:rPr>
                <w:rFonts w:ascii="Times New Roman" w:hAnsi="Times New Roman" w:cs="Times New Roman"/>
              </w:rPr>
              <w:t>. Cụ thể như sau:</w:t>
            </w:r>
          </w:p>
          <w:p w14:paraId="650E4E97" w14:textId="77777777" w:rsidR="00E850E4" w:rsidRPr="003D18F1" w:rsidRDefault="00E850E4" w:rsidP="00A5656D">
            <w:pPr>
              <w:jc w:val="both"/>
              <w:rPr>
                <w:rFonts w:ascii="Times New Roman" w:hAnsi="Times New Roman" w:cs="Times New Roman"/>
              </w:rPr>
            </w:pPr>
          </w:p>
          <w:p w14:paraId="0612E478" w14:textId="452C7557" w:rsidR="00E850E4" w:rsidRPr="003D18F1" w:rsidRDefault="009A289E" w:rsidP="00A5656D">
            <w:pPr>
              <w:jc w:val="both"/>
              <w:rPr>
                <w:rFonts w:ascii="Times New Roman" w:hAnsi="Times New Roman" w:cs="Times New Roman"/>
              </w:rPr>
            </w:pPr>
            <w:r w:rsidRPr="003D18F1">
              <w:rPr>
                <w:rFonts w:ascii="Times New Roman" w:hAnsi="Times New Roman" w:cs="Times New Roman"/>
              </w:rPr>
              <w:t xml:space="preserve">Nguyên liệu làm thuốc </w:t>
            </w:r>
            <w:r w:rsidR="00E850E4" w:rsidRPr="003D18F1">
              <w:rPr>
                <w:rFonts w:ascii="Times New Roman" w:hAnsi="Times New Roman" w:cs="Times New Roman"/>
              </w:rPr>
              <w:t>đáp ứng đồng thời các điều kiện sau đây được chuyển đổi mục đích sử dụng để sản xuất thuốc được cấp giấy đăng ký lưu hành tại Việt Nam để sản xuất thuốc xuất khẩu</w:t>
            </w:r>
            <w:r w:rsidR="00945EA7" w:rsidRPr="003D18F1">
              <w:rPr>
                <w:rFonts w:ascii="Times New Roman" w:hAnsi="Times New Roman" w:cs="Times New Roman"/>
              </w:rPr>
              <w:t>,</w:t>
            </w:r>
            <w:r w:rsidR="00E850E4" w:rsidRPr="003D18F1">
              <w:rPr>
                <w:rFonts w:ascii="Times New Roman" w:hAnsi="Times New Roman" w:cs="Times New Roman"/>
              </w:rPr>
              <w:t xml:space="preserve"> và ngược lại:</w:t>
            </w:r>
          </w:p>
          <w:p w14:paraId="4DCBFDB7" w14:textId="77777777" w:rsidR="00E850E4" w:rsidRPr="003D18F1" w:rsidRDefault="00E850E4" w:rsidP="00A5656D">
            <w:pPr>
              <w:jc w:val="both"/>
              <w:rPr>
                <w:rFonts w:ascii="Times New Roman" w:hAnsi="Times New Roman" w:cs="Times New Roman"/>
              </w:rPr>
            </w:pPr>
          </w:p>
          <w:p w14:paraId="60152513" w14:textId="708FD0BF" w:rsidR="00E850E4" w:rsidRPr="003D18F1" w:rsidRDefault="00E850E4" w:rsidP="00A5656D">
            <w:pPr>
              <w:pStyle w:val="ListParagraph"/>
              <w:numPr>
                <w:ilvl w:val="0"/>
                <w:numId w:val="12"/>
              </w:numPr>
              <w:tabs>
                <w:tab w:val="left" w:pos="372"/>
              </w:tabs>
              <w:ind w:left="342" w:hanging="342"/>
              <w:jc w:val="both"/>
              <w:rPr>
                <w:rFonts w:ascii="Times New Roman" w:hAnsi="Times New Roman" w:cs="Times New Roman"/>
              </w:rPr>
            </w:pPr>
            <w:r w:rsidRPr="003D18F1">
              <w:rPr>
                <w:rFonts w:ascii="Times New Roman" w:hAnsi="Times New Roman" w:cs="Times New Roman"/>
              </w:rPr>
              <w:t xml:space="preserve">Có cùng tiêu chuẩn chất </w:t>
            </w:r>
            <w:proofErr w:type="gramStart"/>
            <w:r w:rsidRPr="003D18F1">
              <w:rPr>
                <w:rFonts w:ascii="Times New Roman" w:hAnsi="Times New Roman" w:cs="Times New Roman"/>
              </w:rPr>
              <w:t>lượng;</w:t>
            </w:r>
            <w:proofErr w:type="gramEnd"/>
          </w:p>
          <w:p w14:paraId="569198A0" w14:textId="13499F1F" w:rsidR="00E850E4" w:rsidRPr="003D18F1" w:rsidRDefault="00E850E4" w:rsidP="00A5656D">
            <w:pPr>
              <w:pStyle w:val="ListParagraph"/>
              <w:numPr>
                <w:ilvl w:val="0"/>
                <w:numId w:val="12"/>
              </w:numPr>
              <w:tabs>
                <w:tab w:val="left" w:pos="372"/>
              </w:tabs>
              <w:ind w:left="342" w:hanging="342"/>
              <w:jc w:val="both"/>
              <w:rPr>
                <w:rFonts w:ascii="Times New Roman" w:hAnsi="Times New Roman" w:cs="Times New Roman"/>
              </w:rPr>
            </w:pPr>
            <w:r w:rsidRPr="003D18F1">
              <w:rPr>
                <w:rFonts w:ascii="Times New Roman" w:hAnsi="Times New Roman" w:cs="Times New Roman"/>
              </w:rPr>
              <w:t xml:space="preserve">Cùng nhà sản xuất </w:t>
            </w:r>
            <w:r w:rsidR="00013974" w:rsidRPr="003D18F1">
              <w:rPr>
                <w:rFonts w:ascii="Times New Roman" w:hAnsi="Times New Roman" w:cs="Times New Roman"/>
              </w:rPr>
              <w:t>nguyên liệu</w:t>
            </w:r>
            <w:r w:rsidRPr="003D18F1">
              <w:rPr>
                <w:rFonts w:ascii="Times New Roman" w:hAnsi="Times New Roman" w:cs="Times New Roman"/>
              </w:rPr>
              <w:t xml:space="preserve"> </w:t>
            </w:r>
            <w:r w:rsidR="00013974" w:rsidRPr="003D18F1">
              <w:rPr>
                <w:rFonts w:ascii="Times New Roman" w:hAnsi="Times New Roman" w:cs="Times New Roman"/>
              </w:rPr>
              <w:t xml:space="preserve">được khai </w:t>
            </w:r>
            <w:r w:rsidRPr="003D18F1">
              <w:rPr>
                <w:rFonts w:ascii="Times New Roman" w:hAnsi="Times New Roman" w:cs="Times New Roman"/>
              </w:rPr>
              <w:t xml:space="preserve">trong hồ sơ đăng ký lưu hành thuốc </w:t>
            </w:r>
            <w:r w:rsidR="00945EA7" w:rsidRPr="003D18F1">
              <w:rPr>
                <w:rFonts w:ascii="Times New Roman" w:hAnsi="Times New Roman" w:cs="Times New Roman"/>
              </w:rPr>
              <w:t xml:space="preserve">tại </w:t>
            </w:r>
            <w:r w:rsidR="00945EA7" w:rsidRPr="003D18F1">
              <w:rPr>
                <w:rFonts w:ascii="Times New Roman" w:hAnsi="Times New Roman" w:cs="Times New Roman"/>
              </w:rPr>
              <w:lastRenderedPageBreak/>
              <w:t xml:space="preserve">Việt Nam </w:t>
            </w:r>
            <w:r w:rsidRPr="003D18F1">
              <w:rPr>
                <w:rFonts w:ascii="Times New Roman" w:hAnsi="Times New Roman" w:cs="Times New Roman"/>
              </w:rPr>
              <w:t>đã được Bộ Y tế phê duyệt.</w:t>
            </w:r>
          </w:p>
          <w:p w14:paraId="74E97C18" w14:textId="77777777" w:rsidR="00E850E4" w:rsidRPr="003D18F1" w:rsidRDefault="00E850E4" w:rsidP="00A5656D">
            <w:pPr>
              <w:spacing w:before="120" w:line="288" w:lineRule="auto"/>
              <w:jc w:val="both"/>
              <w:rPr>
                <w:rFonts w:ascii="Times New Roman" w:hAnsi="Times New Roman" w:cs="Times New Roman"/>
              </w:rPr>
            </w:pPr>
          </w:p>
        </w:tc>
        <w:tc>
          <w:tcPr>
            <w:tcW w:w="2970" w:type="dxa"/>
          </w:tcPr>
          <w:p w14:paraId="3C4A88C0" w14:textId="5294D914" w:rsidR="00E850E4" w:rsidRPr="00874CB6" w:rsidRDefault="00640B5A" w:rsidP="00A5656D">
            <w:pPr>
              <w:spacing w:line="360" w:lineRule="auto"/>
              <w:jc w:val="both"/>
              <w:rPr>
                <w:rFonts w:ascii="Times New Roman" w:hAnsi="Times New Roman" w:cs="Times New Roman"/>
              </w:rPr>
            </w:pPr>
            <w:r>
              <w:rPr>
                <w:rFonts w:ascii="Times New Roman" w:hAnsi="Times New Roman" w:cs="Times New Roman"/>
              </w:rPr>
              <w:lastRenderedPageBreak/>
              <w:t>C</w:t>
            </w:r>
            <w:r w:rsidR="00E850E4">
              <w:rPr>
                <w:rFonts w:ascii="Times New Roman" w:hAnsi="Times New Roman" w:cs="Times New Roman"/>
              </w:rPr>
              <w:t xml:space="preserve">ho phép </w:t>
            </w:r>
            <w:r w:rsidR="00237B08">
              <w:rPr>
                <w:rFonts w:ascii="Times New Roman" w:hAnsi="Times New Roman" w:cs="Times New Roman"/>
              </w:rPr>
              <w:t xml:space="preserve">doanh nghiệp </w:t>
            </w:r>
            <w:r w:rsidR="00E850E4">
              <w:rPr>
                <w:rFonts w:ascii="Times New Roman" w:hAnsi="Times New Roman" w:cs="Times New Roman"/>
              </w:rPr>
              <w:t xml:space="preserve">sử dụng </w:t>
            </w:r>
            <w:r w:rsidR="00237B08">
              <w:rPr>
                <w:rFonts w:ascii="Times New Roman" w:hAnsi="Times New Roman" w:cs="Times New Roman"/>
              </w:rPr>
              <w:t>nguyên liệu</w:t>
            </w:r>
            <w:r w:rsidR="00E850E4">
              <w:rPr>
                <w:rFonts w:ascii="Times New Roman" w:hAnsi="Times New Roman" w:cs="Times New Roman"/>
              </w:rPr>
              <w:t xml:space="preserve"> tồn kho </w:t>
            </w:r>
            <w:r w:rsidR="00237B08">
              <w:rPr>
                <w:rFonts w:ascii="Times New Roman" w:hAnsi="Times New Roman" w:cs="Times New Roman"/>
              </w:rPr>
              <w:t xml:space="preserve">đã </w:t>
            </w:r>
            <w:r w:rsidR="00E850E4">
              <w:rPr>
                <w:rFonts w:ascii="Times New Roman" w:hAnsi="Times New Roman" w:cs="Times New Roman"/>
              </w:rPr>
              <w:t xml:space="preserve">nhập cho mục đích sản xuất thuốc xuất khẩu để sản xuất thuốc lưu hành tại </w:t>
            </w:r>
            <w:r w:rsidR="00237B08">
              <w:rPr>
                <w:rFonts w:ascii="Times New Roman" w:hAnsi="Times New Roman" w:cs="Times New Roman"/>
              </w:rPr>
              <w:t>Việt Nam,</w:t>
            </w:r>
            <w:r w:rsidR="00E850E4">
              <w:rPr>
                <w:rFonts w:ascii="Times New Roman" w:hAnsi="Times New Roman" w:cs="Times New Roman"/>
              </w:rPr>
              <w:t xml:space="preserve"> và ngược lại</w:t>
            </w:r>
            <w:r w:rsidR="009A289E">
              <w:rPr>
                <w:rFonts w:ascii="Times New Roman" w:hAnsi="Times New Roman" w:cs="Times New Roman"/>
              </w:rPr>
              <w:t xml:space="preserve">, miễn </w:t>
            </w:r>
            <w:r w:rsidR="00AD1751">
              <w:rPr>
                <w:rFonts w:ascii="Times New Roman" w:hAnsi="Times New Roman" w:cs="Times New Roman"/>
              </w:rPr>
              <w:t>là</w:t>
            </w:r>
            <w:r w:rsidR="009A289E">
              <w:rPr>
                <w:rFonts w:ascii="Times New Roman" w:hAnsi="Times New Roman" w:cs="Times New Roman"/>
              </w:rPr>
              <w:t xml:space="preserve"> doanh nghiệp hoàn thành nghĩa vụ đóng thuế nhập khẩu theo quy định. Đi</w:t>
            </w:r>
            <w:r w:rsidR="00237B08">
              <w:rPr>
                <w:rFonts w:ascii="Times New Roman" w:hAnsi="Times New Roman" w:cs="Times New Roman"/>
              </w:rPr>
              <w:t xml:space="preserve">ều này giúp doanh nghiệp </w:t>
            </w:r>
            <w:r w:rsidR="00905FD9">
              <w:rPr>
                <w:rFonts w:ascii="Times New Roman" w:hAnsi="Times New Roman" w:cs="Times New Roman"/>
              </w:rPr>
              <w:t>giảm chi phí nhập khẩu nguyên liệu</w:t>
            </w:r>
            <w:r w:rsidR="008E7DD7">
              <w:rPr>
                <w:rFonts w:ascii="Times New Roman" w:hAnsi="Times New Roman" w:cs="Times New Roman"/>
              </w:rPr>
              <w:t xml:space="preserve">, chi phí kiểm nghiệm, chi phí bảo quản nguyên liệu, </w:t>
            </w:r>
            <w:r w:rsidR="00E02275">
              <w:rPr>
                <w:rFonts w:ascii="Times New Roman" w:hAnsi="Times New Roman" w:cs="Times New Roman"/>
              </w:rPr>
              <w:t>đồng thời</w:t>
            </w:r>
            <w:r w:rsidR="00905FD9">
              <w:rPr>
                <w:rFonts w:ascii="Times New Roman" w:hAnsi="Times New Roman" w:cs="Times New Roman"/>
              </w:rPr>
              <w:t xml:space="preserve"> </w:t>
            </w:r>
            <w:r w:rsidR="00237B08">
              <w:rPr>
                <w:rFonts w:ascii="Times New Roman" w:hAnsi="Times New Roman" w:cs="Times New Roman"/>
              </w:rPr>
              <w:t>l</w:t>
            </w:r>
            <w:r>
              <w:rPr>
                <w:rFonts w:ascii="Times New Roman" w:hAnsi="Times New Roman" w:cs="Times New Roman"/>
              </w:rPr>
              <w:t xml:space="preserve">inh động trong </w:t>
            </w:r>
            <w:r w:rsidR="00237B08">
              <w:rPr>
                <w:rFonts w:ascii="Times New Roman" w:hAnsi="Times New Roman" w:cs="Times New Roman"/>
              </w:rPr>
              <w:t xml:space="preserve">việc nhập khẩu nguyên liệu và </w:t>
            </w:r>
            <w:r>
              <w:rPr>
                <w:rFonts w:ascii="Times New Roman" w:hAnsi="Times New Roman" w:cs="Times New Roman"/>
              </w:rPr>
              <w:t>sản xuất</w:t>
            </w:r>
            <w:r w:rsidR="00237B08">
              <w:rPr>
                <w:rFonts w:ascii="Times New Roman" w:hAnsi="Times New Roman" w:cs="Times New Roman"/>
              </w:rPr>
              <w:t xml:space="preserve"> thuốc.</w:t>
            </w:r>
          </w:p>
        </w:tc>
      </w:tr>
    </w:tbl>
    <w:p w14:paraId="53C8ABC7" w14:textId="5387A5A3" w:rsidR="00DF5ED3" w:rsidRPr="00AF1A41" w:rsidRDefault="00DF5ED3" w:rsidP="00AF1A41">
      <w:pPr>
        <w:rPr>
          <w:rFonts w:ascii="Times New Roman" w:hAnsi="Times New Roman" w:cs="Times New Roman"/>
          <w:sz w:val="4"/>
          <w:szCs w:val="4"/>
        </w:rPr>
      </w:pPr>
    </w:p>
    <w:sectPr w:rsidR="00DF5ED3" w:rsidRPr="00AF1A41" w:rsidSect="00AF1A41">
      <w:footerReference w:type="default" r:id="rId8"/>
      <w:pgSz w:w="15840" w:h="12240" w:orient="landscape" w:code="1"/>
      <w:pgMar w:top="851" w:right="851" w:bottom="993" w:left="851" w:header="720"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1CB0" w14:textId="77777777" w:rsidR="009E0495" w:rsidRDefault="009E0495" w:rsidP="00821614">
      <w:pPr>
        <w:spacing w:after="0" w:line="240" w:lineRule="auto"/>
      </w:pPr>
      <w:r>
        <w:separator/>
      </w:r>
    </w:p>
  </w:endnote>
  <w:endnote w:type="continuationSeparator" w:id="0">
    <w:p w14:paraId="6F370B64" w14:textId="77777777" w:rsidR="009E0495" w:rsidRDefault="009E0495" w:rsidP="0082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8922" w14:textId="0EB37D39" w:rsidR="00821614" w:rsidRPr="00821614" w:rsidRDefault="00821614" w:rsidP="00821614">
    <w:pPr>
      <w:pStyle w:val="Footer"/>
      <w:jc w:val="right"/>
      <w:rPr>
        <w:rFonts w:ascii="Times New Roman" w:hAnsi="Times New Roman" w:cs="Times New Roman"/>
      </w:rPr>
    </w:pPr>
    <w:r w:rsidRPr="00821614">
      <w:rPr>
        <w:rFonts w:ascii="Times New Roman" w:hAnsi="Times New Roman" w:cs="Times New Roman"/>
      </w:rPr>
      <w:t xml:space="preserve">Trang </w:t>
    </w:r>
    <w:sdt>
      <w:sdtPr>
        <w:rPr>
          <w:rFonts w:ascii="Times New Roman" w:hAnsi="Times New Roman" w:cs="Times New Roman"/>
        </w:rPr>
        <w:id w:val="1083565665"/>
        <w:docPartObj>
          <w:docPartGallery w:val="Page Numbers (Bottom of Page)"/>
          <w:docPartUnique/>
        </w:docPartObj>
      </w:sdtPr>
      <w:sdtContent>
        <w:sdt>
          <w:sdtPr>
            <w:rPr>
              <w:rFonts w:ascii="Times New Roman" w:hAnsi="Times New Roman" w:cs="Times New Roman"/>
            </w:rPr>
            <w:id w:val="-1705238520"/>
            <w:docPartObj>
              <w:docPartGallery w:val="Page Numbers (Top of Page)"/>
              <w:docPartUnique/>
            </w:docPartObj>
          </w:sdtPr>
          <w:sdtContent>
            <w:r w:rsidRPr="00821614">
              <w:rPr>
                <w:rFonts w:ascii="Times New Roman" w:hAnsi="Times New Roman" w:cs="Times New Roman"/>
              </w:rPr>
              <w:fldChar w:fldCharType="begin"/>
            </w:r>
            <w:r w:rsidRPr="00821614">
              <w:rPr>
                <w:rFonts w:ascii="Times New Roman" w:hAnsi="Times New Roman" w:cs="Times New Roman"/>
              </w:rPr>
              <w:instrText xml:space="preserve"> PAGE </w:instrText>
            </w:r>
            <w:r w:rsidRPr="00821614">
              <w:rPr>
                <w:rFonts w:ascii="Times New Roman" w:hAnsi="Times New Roman" w:cs="Times New Roman"/>
              </w:rPr>
              <w:fldChar w:fldCharType="separate"/>
            </w:r>
            <w:r w:rsidRPr="00821614">
              <w:rPr>
                <w:rFonts w:ascii="Times New Roman" w:hAnsi="Times New Roman" w:cs="Times New Roman"/>
                <w:noProof/>
              </w:rPr>
              <w:t>2</w:t>
            </w:r>
            <w:r w:rsidRPr="00821614">
              <w:rPr>
                <w:rFonts w:ascii="Times New Roman" w:hAnsi="Times New Roman" w:cs="Times New Roman"/>
              </w:rPr>
              <w:fldChar w:fldCharType="end"/>
            </w:r>
            <w:r w:rsidRPr="00821614">
              <w:rPr>
                <w:rFonts w:ascii="Times New Roman" w:hAnsi="Times New Roman" w:cs="Times New Roman"/>
              </w:rPr>
              <w:t xml:space="preserve"> / </w:t>
            </w:r>
            <w:r w:rsidRPr="00821614">
              <w:rPr>
                <w:rFonts w:ascii="Times New Roman" w:hAnsi="Times New Roman" w:cs="Times New Roman"/>
              </w:rPr>
              <w:fldChar w:fldCharType="begin"/>
            </w:r>
            <w:r w:rsidRPr="00821614">
              <w:rPr>
                <w:rFonts w:ascii="Times New Roman" w:hAnsi="Times New Roman" w:cs="Times New Roman"/>
              </w:rPr>
              <w:instrText xml:space="preserve"> NUMPAGES  </w:instrText>
            </w:r>
            <w:r w:rsidRPr="00821614">
              <w:rPr>
                <w:rFonts w:ascii="Times New Roman" w:hAnsi="Times New Roman" w:cs="Times New Roman"/>
              </w:rPr>
              <w:fldChar w:fldCharType="separate"/>
            </w:r>
            <w:r w:rsidRPr="00821614">
              <w:rPr>
                <w:rFonts w:ascii="Times New Roman" w:hAnsi="Times New Roman" w:cs="Times New Roman"/>
                <w:noProof/>
              </w:rPr>
              <w:t>2</w:t>
            </w:r>
            <w:r w:rsidRPr="00821614">
              <w:rPr>
                <w:rFonts w:ascii="Times New Roman" w:hAnsi="Times New Roman" w:cs="Times New Roman"/>
              </w:rPr>
              <w:fldChar w:fldCharType="end"/>
            </w:r>
          </w:sdtContent>
        </w:sdt>
      </w:sdtContent>
    </w:sdt>
  </w:p>
  <w:p w14:paraId="73CCD306" w14:textId="052B40B1" w:rsidR="00821614" w:rsidRDefault="00821614" w:rsidP="008216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C2999" w14:textId="77777777" w:rsidR="009E0495" w:rsidRDefault="009E0495" w:rsidP="00821614">
      <w:pPr>
        <w:spacing w:after="0" w:line="240" w:lineRule="auto"/>
      </w:pPr>
      <w:r>
        <w:separator/>
      </w:r>
    </w:p>
  </w:footnote>
  <w:footnote w:type="continuationSeparator" w:id="0">
    <w:p w14:paraId="22184414" w14:textId="77777777" w:rsidR="009E0495" w:rsidRDefault="009E0495" w:rsidP="00821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049C1"/>
    <w:multiLevelType w:val="hybridMultilevel"/>
    <w:tmpl w:val="68167994"/>
    <w:lvl w:ilvl="0" w:tplc="DE8650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337B0"/>
    <w:multiLevelType w:val="hybridMultilevel"/>
    <w:tmpl w:val="A720FEB0"/>
    <w:lvl w:ilvl="0" w:tplc="F300EF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0060F"/>
    <w:multiLevelType w:val="hybridMultilevel"/>
    <w:tmpl w:val="AF524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2D473A"/>
    <w:multiLevelType w:val="hybridMultilevel"/>
    <w:tmpl w:val="6D421C78"/>
    <w:lvl w:ilvl="0" w:tplc="04090005">
      <w:start w:val="1"/>
      <w:numFmt w:val="bullet"/>
      <w:lvlText w:val=""/>
      <w:lvlJc w:val="left"/>
      <w:pPr>
        <w:ind w:left="625" w:hanging="360"/>
      </w:pPr>
      <w:rPr>
        <w:rFonts w:ascii="Wingdings" w:hAnsi="Wingdings" w:hint="default"/>
      </w:rPr>
    </w:lvl>
    <w:lvl w:ilvl="1" w:tplc="04090003" w:tentative="1">
      <w:start w:val="1"/>
      <w:numFmt w:val="bullet"/>
      <w:lvlText w:val="o"/>
      <w:lvlJc w:val="left"/>
      <w:pPr>
        <w:ind w:left="1345" w:hanging="360"/>
      </w:pPr>
      <w:rPr>
        <w:rFonts w:ascii="Courier New" w:hAnsi="Courier New" w:cs="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4" w15:restartNumberingAfterBreak="0">
    <w:nsid w:val="5A890742"/>
    <w:multiLevelType w:val="hybridMultilevel"/>
    <w:tmpl w:val="1868B10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604F0086"/>
    <w:multiLevelType w:val="hybridMultilevel"/>
    <w:tmpl w:val="D33ACE02"/>
    <w:lvl w:ilvl="0" w:tplc="05FE65B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74CE3"/>
    <w:multiLevelType w:val="hybridMultilevel"/>
    <w:tmpl w:val="B9C8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3402A"/>
    <w:multiLevelType w:val="hybridMultilevel"/>
    <w:tmpl w:val="94E0CFBC"/>
    <w:lvl w:ilvl="0" w:tplc="DE8650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B16C4"/>
    <w:multiLevelType w:val="hybridMultilevel"/>
    <w:tmpl w:val="A7DACF24"/>
    <w:lvl w:ilvl="0" w:tplc="07F821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E2450"/>
    <w:multiLevelType w:val="hybridMultilevel"/>
    <w:tmpl w:val="AF52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441D8"/>
    <w:multiLevelType w:val="hybridMultilevel"/>
    <w:tmpl w:val="B122E46E"/>
    <w:lvl w:ilvl="0" w:tplc="91F62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C83288"/>
    <w:multiLevelType w:val="hybridMultilevel"/>
    <w:tmpl w:val="BDFE65F0"/>
    <w:lvl w:ilvl="0" w:tplc="BE206C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074248">
    <w:abstractNumId w:val="9"/>
  </w:num>
  <w:num w:numId="2" w16cid:durableId="493692035">
    <w:abstractNumId w:val="2"/>
  </w:num>
  <w:num w:numId="3" w16cid:durableId="1101877730">
    <w:abstractNumId w:val="8"/>
  </w:num>
  <w:num w:numId="4" w16cid:durableId="1406341049">
    <w:abstractNumId w:val="4"/>
  </w:num>
  <w:num w:numId="5" w16cid:durableId="2005818206">
    <w:abstractNumId w:val="8"/>
  </w:num>
  <w:num w:numId="6" w16cid:durableId="1319269192">
    <w:abstractNumId w:val="4"/>
  </w:num>
  <w:num w:numId="7" w16cid:durableId="2111125236">
    <w:abstractNumId w:val="1"/>
  </w:num>
  <w:num w:numId="8" w16cid:durableId="1867015249">
    <w:abstractNumId w:val="10"/>
  </w:num>
  <w:num w:numId="9" w16cid:durableId="244219520">
    <w:abstractNumId w:val="3"/>
  </w:num>
  <w:num w:numId="10" w16cid:durableId="1448546740">
    <w:abstractNumId w:val="7"/>
  </w:num>
  <w:num w:numId="11" w16cid:durableId="990334579">
    <w:abstractNumId w:val="6"/>
  </w:num>
  <w:num w:numId="12" w16cid:durableId="1888645071">
    <w:abstractNumId w:val="0"/>
  </w:num>
  <w:num w:numId="13" w16cid:durableId="1082263325">
    <w:abstractNumId w:val="5"/>
  </w:num>
  <w:num w:numId="14" w16cid:durableId="371534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6A"/>
    <w:rsid w:val="00013974"/>
    <w:rsid w:val="00016978"/>
    <w:rsid w:val="000413F0"/>
    <w:rsid w:val="00080644"/>
    <w:rsid w:val="000945F1"/>
    <w:rsid w:val="000A7197"/>
    <w:rsid w:val="000B7A6D"/>
    <w:rsid w:val="000C0162"/>
    <w:rsid w:val="000F0929"/>
    <w:rsid w:val="000F485F"/>
    <w:rsid w:val="001052FB"/>
    <w:rsid w:val="00106D14"/>
    <w:rsid w:val="00111BDE"/>
    <w:rsid w:val="00114858"/>
    <w:rsid w:val="00116063"/>
    <w:rsid w:val="00131922"/>
    <w:rsid w:val="0013308D"/>
    <w:rsid w:val="00135C6E"/>
    <w:rsid w:val="001A6C1C"/>
    <w:rsid w:val="001B033D"/>
    <w:rsid w:val="001B7E10"/>
    <w:rsid w:val="001C4C79"/>
    <w:rsid w:val="001E67D8"/>
    <w:rsid w:val="001F6906"/>
    <w:rsid w:val="002071D0"/>
    <w:rsid w:val="00210E02"/>
    <w:rsid w:val="002367A4"/>
    <w:rsid w:val="00237B08"/>
    <w:rsid w:val="00242483"/>
    <w:rsid w:val="00293534"/>
    <w:rsid w:val="00293CEC"/>
    <w:rsid w:val="002A0021"/>
    <w:rsid w:val="002A6C4B"/>
    <w:rsid w:val="002B38CA"/>
    <w:rsid w:val="002B4795"/>
    <w:rsid w:val="002C2E36"/>
    <w:rsid w:val="002C330C"/>
    <w:rsid w:val="002C5BED"/>
    <w:rsid w:val="002D1DD5"/>
    <w:rsid w:val="002F011F"/>
    <w:rsid w:val="002F3957"/>
    <w:rsid w:val="003060C5"/>
    <w:rsid w:val="00306E72"/>
    <w:rsid w:val="00323E7C"/>
    <w:rsid w:val="00327E6A"/>
    <w:rsid w:val="003416E9"/>
    <w:rsid w:val="00343963"/>
    <w:rsid w:val="00347566"/>
    <w:rsid w:val="00363894"/>
    <w:rsid w:val="003654F8"/>
    <w:rsid w:val="003D18F1"/>
    <w:rsid w:val="003E05E7"/>
    <w:rsid w:val="003E2FAA"/>
    <w:rsid w:val="003E553D"/>
    <w:rsid w:val="003F0714"/>
    <w:rsid w:val="003F1DE5"/>
    <w:rsid w:val="00400F6C"/>
    <w:rsid w:val="004479CC"/>
    <w:rsid w:val="00452F35"/>
    <w:rsid w:val="00491C90"/>
    <w:rsid w:val="004A1778"/>
    <w:rsid w:val="004A4437"/>
    <w:rsid w:val="004B590C"/>
    <w:rsid w:val="004C7669"/>
    <w:rsid w:val="004D41C7"/>
    <w:rsid w:val="004E073B"/>
    <w:rsid w:val="00515520"/>
    <w:rsid w:val="0053705F"/>
    <w:rsid w:val="00547C76"/>
    <w:rsid w:val="00584B64"/>
    <w:rsid w:val="005868CB"/>
    <w:rsid w:val="00596F3A"/>
    <w:rsid w:val="005A4149"/>
    <w:rsid w:val="005B4E21"/>
    <w:rsid w:val="005D2CD0"/>
    <w:rsid w:val="005E328A"/>
    <w:rsid w:val="00640804"/>
    <w:rsid w:val="00640B5A"/>
    <w:rsid w:val="00641039"/>
    <w:rsid w:val="00656068"/>
    <w:rsid w:val="00662700"/>
    <w:rsid w:val="0067586F"/>
    <w:rsid w:val="00681F49"/>
    <w:rsid w:val="00685CBC"/>
    <w:rsid w:val="00690213"/>
    <w:rsid w:val="00694572"/>
    <w:rsid w:val="006A3D6F"/>
    <w:rsid w:val="006A3E15"/>
    <w:rsid w:val="006B5CB0"/>
    <w:rsid w:val="006B631F"/>
    <w:rsid w:val="006B6536"/>
    <w:rsid w:val="00701936"/>
    <w:rsid w:val="007059B2"/>
    <w:rsid w:val="00737757"/>
    <w:rsid w:val="0074555B"/>
    <w:rsid w:val="00746F41"/>
    <w:rsid w:val="00765D13"/>
    <w:rsid w:val="00794696"/>
    <w:rsid w:val="007A0819"/>
    <w:rsid w:val="007B542A"/>
    <w:rsid w:val="007C7116"/>
    <w:rsid w:val="007D67F3"/>
    <w:rsid w:val="00806E26"/>
    <w:rsid w:val="00807343"/>
    <w:rsid w:val="00811A05"/>
    <w:rsid w:val="00814480"/>
    <w:rsid w:val="00821614"/>
    <w:rsid w:val="00823F33"/>
    <w:rsid w:val="00826635"/>
    <w:rsid w:val="00855967"/>
    <w:rsid w:val="00862704"/>
    <w:rsid w:val="00874CB6"/>
    <w:rsid w:val="0089038A"/>
    <w:rsid w:val="00892B41"/>
    <w:rsid w:val="008C5DD4"/>
    <w:rsid w:val="008C7F73"/>
    <w:rsid w:val="008D6BBD"/>
    <w:rsid w:val="008D6C23"/>
    <w:rsid w:val="008E7DD7"/>
    <w:rsid w:val="008F13A4"/>
    <w:rsid w:val="00905FD9"/>
    <w:rsid w:val="009166A1"/>
    <w:rsid w:val="00940FD9"/>
    <w:rsid w:val="00945EA7"/>
    <w:rsid w:val="00954564"/>
    <w:rsid w:val="00964501"/>
    <w:rsid w:val="00980268"/>
    <w:rsid w:val="00987A8B"/>
    <w:rsid w:val="009940CC"/>
    <w:rsid w:val="00995DD6"/>
    <w:rsid w:val="009A289E"/>
    <w:rsid w:val="009D47BB"/>
    <w:rsid w:val="009E0495"/>
    <w:rsid w:val="009F4AF9"/>
    <w:rsid w:val="00A045DA"/>
    <w:rsid w:val="00A05ECB"/>
    <w:rsid w:val="00A074BE"/>
    <w:rsid w:val="00A16690"/>
    <w:rsid w:val="00A35260"/>
    <w:rsid w:val="00A5656D"/>
    <w:rsid w:val="00A64F7C"/>
    <w:rsid w:val="00AD1751"/>
    <w:rsid w:val="00AF0C10"/>
    <w:rsid w:val="00AF1A41"/>
    <w:rsid w:val="00B02FBC"/>
    <w:rsid w:val="00B056F7"/>
    <w:rsid w:val="00B14104"/>
    <w:rsid w:val="00B3235C"/>
    <w:rsid w:val="00B44766"/>
    <w:rsid w:val="00B56E0E"/>
    <w:rsid w:val="00BA06AE"/>
    <w:rsid w:val="00BB44EE"/>
    <w:rsid w:val="00BE65F3"/>
    <w:rsid w:val="00C011A3"/>
    <w:rsid w:val="00C15B09"/>
    <w:rsid w:val="00C303CD"/>
    <w:rsid w:val="00C32676"/>
    <w:rsid w:val="00C41783"/>
    <w:rsid w:val="00C63AA7"/>
    <w:rsid w:val="00C66EF0"/>
    <w:rsid w:val="00C812E4"/>
    <w:rsid w:val="00C8615C"/>
    <w:rsid w:val="00C86582"/>
    <w:rsid w:val="00CB4D1D"/>
    <w:rsid w:val="00CC1A06"/>
    <w:rsid w:val="00CC2A9C"/>
    <w:rsid w:val="00D2686F"/>
    <w:rsid w:val="00D448A7"/>
    <w:rsid w:val="00D54FA7"/>
    <w:rsid w:val="00D91816"/>
    <w:rsid w:val="00DA3544"/>
    <w:rsid w:val="00DB517C"/>
    <w:rsid w:val="00DB7215"/>
    <w:rsid w:val="00DC30FF"/>
    <w:rsid w:val="00DD55F9"/>
    <w:rsid w:val="00DE58EE"/>
    <w:rsid w:val="00DE62FD"/>
    <w:rsid w:val="00DF5ED3"/>
    <w:rsid w:val="00E02275"/>
    <w:rsid w:val="00E44EBD"/>
    <w:rsid w:val="00E468AC"/>
    <w:rsid w:val="00E850E4"/>
    <w:rsid w:val="00EA629A"/>
    <w:rsid w:val="00EC1243"/>
    <w:rsid w:val="00EE40EB"/>
    <w:rsid w:val="00EF0943"/>
    <w:rsid w:val="00F344AA"/>
    <w:rsid w:val="00F55A6B"/>
    <w:rsid w:val="00F57C9A"/>
    <w:rsid w:val="00F83708"/>
    <w:rsid w:val="00FD363E"/>
    <w:rsid w:val="00FE2CBB"/>
    <w:rsid w:val="00FE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10871"/>
  <w15:chartTrackingRefBased/>
  <w15:docId w15:val="{A17FBC01-DA6C-4684-8FB9-35EC7737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w:basedOn w:val="Normal"/>
    <w:next w:val="Normal"/>
    <w:link w:val="Heading1Char"/>
    <w:qFormat/>
    <w:rsid w:val="00327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unhideWhenUsed/>
    <w:qFormat/>
    <w:rsid w:val="00327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
    <w:unhideWhenUsed/>
    <w:qFormat/>
    <w:rsid w:val="00327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
    <w:unhideWhenUsed/>
    <w:qFormat/>
    <w:rsid w:val="00327E6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Char"/>
    <w:basedOn w:val="Normal"/>
    <w:next w:val="Normal"/>
    <w:link w:val="Heading5Char"/>
    <w:unhideWhenUsed/>
    <w:qFormat/>
    <w:rsid w:val="00327E6A"/>
    <w:pPr>
      <w:keepNext/>
      <w:keepLines/>
      <w:spacing w:before="80" w:after="40"/>
      <w:outlineLvl w:val="4"/>
    </w:pPr>
    <w:rPr>
      <w:rFonts w:eastAsiaTheme="majorEastAsia" w:cstheme="majorBidi"/>
      <w:color w:val="0F4761" w:themeColor="accent1" w:themeShade="BF"/>
    </w:rPr>
  </w:style>
  <w:style w:type="paragraph" w:styleId="Heading6">
    <w:name w:val="heading 6"/>
    <w:aliases w:val="Heading 6 Char Char Char,HINH,Bullet"/>
    <w:basedOn w:val="Normal"/>
    <w:next w:val="Normal"/>
    <w:link w:val="Heading6Char"/>
    <w:unhideWhenUsed/>
    <w:qFormat/>
    <w:rsid w:val="00327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27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327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27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327E6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ection Char,Chapter Title Char,Heading 2 Char1 Char,Heading 2 Char Char1 Char,Chapter Headings Char Char Char,Heading 2 Char Char Char Char1 Char,Heading 2 Char Char Char1 Char,Heading 2 Char Char Char Char Char1 Char"/>
    <w:basedOn w:val="DefaultParagraphFont"/>
    <w:link w:val="Heading2"/>
    <w:rsid w:val="00327E6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uiPriority w:val="9"/>
    <w:semiHidden/>
    <w:rsid w:val="00327E6A"/>
    <w:rPr>
      <w:rFonts w:eastAsiaTheme="majorEastAsia" w:cstheme="majorBidi"/>
      <w:color w:val="0F4761" w:themeColor="accent1" w:themeShade="BF"/>
      <w:sz w:val="28"/>
      <w:szCs w:val="28"/>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link w:val="Heading4"/>
    <w:uiPriority w:val="9"/>
    <w:semiHidden/>
    <w:rsid w:val="00327E6A"/>
    <w:rPr>
      <w:rFonts w:eastAsiaTheme="majorEastAsia" w:cstheme="majorBidi"/>
      <w:i/>
      <w:iCs/>
      <w:color w:val="0F4761" w:themeColor="accent1" w:themeShade="BF"/>
    </w:rPr>
  </w:style>
  <w:style w:type="character" w:customStyle="1" w:styleId="Heading5Char">
    <w:name w:val="Heading 5 Char"/>
    <w:aliases w:val="Char Char"/>
    <w:basedOn w:val="DefaultParagraphFont"/>
    <w:link w:val="Heading5"/>
    <w:uiPriority w:val="9"/>
    <w:semiHidden/>
    <w:rsid w:val="00327E6A"/>
    <w:rPr>
      <w:rFonts w:eastAsiaTheme="majorEastAsia" w:cstheme="majorBidi"/>
      <w:color w:val="0F4761" w:themeColor="accent1" w:themeShade="BF"/>
    </w:rPr>
  </w:style>
  <w:style w:type="character" w:customStyle="1" w:styleId="Heading6Char">
    <w:name w:val="Heading 6 Char"/>
    <w:aliases w:val="Heading 6 Char Char Char Char,HINH Char,Bullet Char"/>
    <w:basedOn w:val="DefaultParagraphFont"/>
    <w:link w:val="Heading6"/>
    <w:uiPriority w:val="9"/>
    <w:semiHidden/>
    <w:rsid w:val="00327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E6A"/>
    <w:rPr>
      <w:rFonts w:eastAsiaTheme="majorEastAsia" w:cstheme="majorBidi"/>
      <w:color w:val="272727" w:themeColor="text1" w:themeTint="D8"/>
    </w:rPr>
  </w:style>
  <w:style w:type="paragraph" w:styleId="Title">
    <w:name w:val="Title"/>
    <w:basedOn w:val="Normal"/>
    <w:next w:val="Normal"/>
    <w:link w:val="TitleChar"/>
    <w:uiPriority w:val="10"/>
    <w:qFormat/>
    <w:rsid w:val="00327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E6A"/>
    <w:pPr>
      <w:spacing w:before="160"/>
      <w:jc w:val="center"/>
    </w:pPr>
    <w:rPr>
      <w:i/>
      <w:iCs/>
      <w:color w:val="404040" w:themeColor="text1" w:themeTint="BF"/>
    </w:rPr>
  </w:style>
  <w:style w:type="character" w:customStyle="1" w:styleId="QuoteChar">
    <w:name w:val="Quote Char"/>
    <w:basedOn w:val="DefaultParagraphFont"/>
    <w:link w:val="Quote"/>
    <w:uiPriority w:val="29"/>
    <w:rsid w:val="00327E6A"/>
    <w:rPr>
      <w:i/>
      <w:iCs/>
      <w:color w:val="404040" w:themeColor="text1" w:themeTint="BF"/>
    </w:rPr>
  </w:style>
  <w:style w:type="paragraph" w:styleId="ListParagraph">
    <w:name w:val="List Paragraph"/>
    <w:basedOn w:val="Normal"/>
    <w:uiPriority w:val="34"/>
    <w:qFormat/>
    <w:rsid w:val="00327E6A"/>
    <w:pPr>
      <w:ind w:left="720"/>
      <w:contextualSpacing/>
    </w:pPr>
  </w:style>
  <w:style w:type="character" w:styleId="IntenseEmphasis">
    <w:name w:val="Intense Emphasis"/>
    <w:basedOn w:val="DefaultParagraphFont"/>
    <w:uiPriority w:val="21"/>
    <w:qFormat/>
    <w:rsid w:val="00327E6A"/>
    <w:rPr>
      <w:i/>
      <w:iCs/>
      <w:color w:val="0F4761" w:themeColor="accent1" w:themeShade="BF"/>
    </w:rPr>
  </w:style>
  <w:style w:type="paragraph" w:styleId="IntenseQuote">
    <w:name w:val="Intense Quote"/>
    <w:basedOn w:val="Normal"/>
    <w:next w:val="Normal"/>
    <w:link w:val="IntenseQuoteChar"/>
    <w:uiPriority w:val="30"/>
    <w:qFormat/>
    <w:rsid w:val="00327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E6A"/>
    <w:rPr>
      <w:i/>
      <w:iCs/>
      <w:color w:val="0F4761" w:themeColor="accent1" w:themeShade="BF"/>
    </w:rPr>
  </w:style>
  <w:style w:type="character" w:styleId="IntenseReference">
    <w:name w:val="Intense Reference"/>
    <w:basedOn w:val="DefaultParagraphFont"/>
    <w:uiPriority w:val="32"/>
    <w:qFormat/>
    <w:rsid w:val="00327E6A"/>
    <w:rPr>
      <w:b/>
      <w:bCs/>
      <w:smallCaps/>
      <w:color w:val="0F4761" w:themeColor="accent1" w:themeShade="BF"/>
      <w:spacing w:val="5"/>
    </w:rPr>
  </w:style>
  <w:style w:type="table" w:styleId="TableGrid">
    <w:name w:val="Table Grid"/>
    <w:basedOn w:val="TableNormal"/>
    <w:uiPriority w:val="39"/>
    <w:rsid w:val="0032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614"/>
  </w:style>
  <w:style w:type="paragraph" w:styleId="Footer">
    <w:name w:val="footer"/>
    <w:basedOn w:val="Normal"/>
    <w:link w:val="FooterChar"/>
    <w:uiPriority w:val="99"/>
    <w:unhideWhenUsed/>
    <w:rsid w:val="00821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614"/>
  </w:style>
  <w:style w:type="paragraph" w:styleId="Revision">
    <w:name w:val="Revision"/>
    <w:hidden/>
    <w:uiPriority w:val="99"/>
    <w:semiHidden/>
    <w:rsid w:val="00363894"/>
    <w:pPr>
      <w:spacing w:after="0" w:line="240" w:lineRule="auto"/>
    </w:pPr>
  </w:style>
  <w:style w:type="paragraph" w:styleId="NormalWeb">
    <w:name w:val="Normal (Web)"/>
    <w:basedOn w:val="Normal"/>
    <w:uiPriority w:val="99"/>
    <w:unhideWhenUsed/>
    <w:rsid w:val="00681F49"/>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styleId="FootnoteText">
    <w:name w:val="footnote text"/>
    <w:basedOn w:val="Normal"/>
    <w:link w:val="FootnoteTextChar"/>
    <w:rsid w:val="00641039"/>
    <w:pPr>
      <w:spacing w:after="0" w:line="240" w:lineRule="auto"/>
    </w:pPr>
    <w:rPr>
      <w:rFonts w:ascii="Times New Roman" w:eastAsia="Times New Roman" w:hAnsi="Times New Roman" w:cs="Times New Roman"/>
      <w:kern w:val="0"/>
      <w:sz w:val="20"/>
      <w:szCs w:val="20"/>
      <w:lang w:eastAsia="x-none"/>
      <w14:ligatures w14:val="none"/>
    </w:rPr>
  </w:style>
  <w:style w:type="character" w:customStyle="1" w:styleId="FootnoteTextChar">
    <w:name w:val="Footnote Text Char"/>
    <w:basedOn w:val="DefaultParagraphFont"/>
    <w:link w:val="FootnoteText"/>
    <w:rsid w:val="00641039"/>
    <w:rPr>
      <w:rFonts w:ascii="Times New Roman" w:eastAsia="Times New Roman" w:hAnsi="Times New Roman" w:cs="Times New Roman"/>
      <w:kern w:val="0"/>
      <w:sz w:val="20"/>
      <w:szCs w:val="20"/>
      <w:lang w:eastAsia="x-none"/>
      <w14:ligatures w14:val="none"/>
    </w:rPr>
  </w:style>
  <w:style w:type="character" w:styleId="FootnoteReference">
    <w:name w:val="footnote reference"/>
    <w:uiPriority w:val="99"/>
    <w:rsid w:val="0064103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8939">
      <w:bodyDiv w:val="1"/>
      <w:marLeft w:val="0"/>
      <w:marRight w:val="0"/>
      <w:marTop w:val="0"/>
      <w:marBottom w:val="0"/>
      <w:divBdr>
        <w:top w:val="none" w:sz="0" w:space="0" w:color="auto"/>
        <w:left w:val="none" w:sz="0" w:space="0" w:color="auto"/>
        <w:bottom w:val="none" w:sz="0" w:space="0" w:color="auto"/>
        <w:right w:val="none" w:sz="0" w:space="0" w:color="auto"/>
      </w:divBdr>
      <w:divsChild>
        <w:div w:id="477692721">
          <w:marLeft w:val="0"/>
          <w:marRight w:val="0"/>
          <w:marTop w:val="0"/>
          <w:marBottom w:val="0"/>
          <w:divBdr>
            <w:top w:val="none" w:sz="0" w:space="0" w:color="auto"/>
            <w:left w:val="none" w:sz="0" w:space="0" w:color="auto"/>
            <w:bottom w:val="none" w:sz="0" w:space="0" w:color="auto"/>
            <w:right w:val="none" w:sz="0" w:space="0" w:color="auto"/>
          </w:divBdr>
          <w:divsChild>
            <w:div w:id="825785518">
              <w:marLeft w:val="0"/>
              <w:marRight w:val="0"/>
              <w:marTop w:val="0"/>
              <w:marBottom w:val="0"/>
              <w:divBdr>
                <w:top w:val="none" w:sz="0" w:space="0" w:color="auto"/>
                <w:left w:val="none" w:sz="0" w:space="0" w:color="auto"/>
                <w:bottom w:val="none" w:sz="0" w:space="0" w:color="auto"/>
                <w:right w:val="none" w:sz="0" w:space="0" w:color="auto"/>
              </w:divBdr>
            </w:div>
            <w:div w:id="1098719662">
              <w:marLeft w:val="0"/>
              <w:marRight w:val="0"/>
              <w:marTop w:val="0"/>
              <w:marBottom w:val="0"/>
              <w:divBdr>
                <w:top w:val="none" w:sz="0" w:space="0" w:color="auto"/>
                <w:left w:val="none" w:sz="0" w:space="0" w:color="auto"/>
                <w:bottom w:val="none" w:sz="0" w:space="0" w:color="auto"/>
                <w:right w:val="none" w:sz="0" w:space="0" w:color="auto"/>
              </w:divBdr>
              <w:divsChild>
                <w:div w:id="1549947604">
                  <w:marLeft w:val="0"/>
                  <w:marRight w:val="0"/>
                  <w:marTop w:val="0"/>
                  <w:marBottom w:val="0"/>
                  <w:divBdr>
                    <w:top w:val="none" w:sz="0" w:space="0" w:color="auto"/>
                    <w:left w:val="none" w:sz="0" w:space="0" w:color="auto"/>
                    <w:bottom w:val="none" w:sz="0" w:space="0" w:color="auto"/>
                    <w:right w:val="none" w:sz="0" w:space="0" w:color="auto"/>
                  </w:divBdr>
                  <w:divsChild>
                    <w:div w:id="11035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2467">
              <w:marLeft w:val="0"/>
              <w:marRight w:val="0"/>
              <w:marTop w:val="0"/>
              <w:marBottom w:val="0"/>
              <w:divBdr>
                <w:top w:val="none" w:sz="0" w:space="0" w:color="auto"/>
                <w:left w:val="none" w:sz="0" w:space="0" w:color="auto"/>
                <w:bottom w:val="none" w:sz="0" w:space="0" w:color="auto"/>
                <w:right w:val="none" w:sz="0" w:space="0" w:color="auto"/>
              </w:divBdr>
              <w:divsChild>
                <w:div w:id="3014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4385">
          <w:marLeft w:val="0"/>
          <w:marRight w:val="0"/>
          <w:marTop w:val="0"/>
          <w:marBottom w:val="0"/>
          <w:divBdr>
            <w:top w:val="none" w:sz="0" w:space="0" w:color="auto"/>
            <w:left w:val="none" w:sz="0" w:space="0" w:color="auto"/>
            <w:bottom w:val="none" w:sz="0" w:space="0" w:color="auto"/>
            <w:right w:val="none" w:sz="0" w:space="0" w:color="auto"/>
          </w:divBdr>
          <w:divsChild>
            <w:div w:id="202140178">
              <w:marLeft w:val="0"/>
              <w:marRight w:val="0"/>
              <w:marTop w:val="0"/>
              <w:marBottom w:val="0"/>
              <w:divBdr>
                <w:top w:val="none" w:sz="0" w:space="0" w:color="auto"/>
                <w:left w:val="none" w:sz="0" w:space="0" w:color="auto"/>
                <w:bottom w:val="none" w:sz="0" w:space="0" w:color="auto"/>
                <w:right w:val="none" w:sz="0" w:space="0" w:color="auto"/>
              </w:divBdr>
              <w:divsChild>
                <w:div w:id="2024890261">
                  <w:marLeft w:val="0"/>
                  <w:marRight w:val="0"/>
                  <w:marTop w:val="0"/>
                  <w:marBottom w:val="0"/>
                  <w:divBdr>
                    <w:top w:val="none" w:sz="0" w:space="0" w:color="auto"/>
                    <w:left w:val="none" w:sz="0" w:space="0" w:color="auto"/>
                    <w:bottom w:val="none" w:sz="0" w:space="0" w:color="auto"/>
                    <w:right w:val="none" w:sz="0" w:space="0" w:color="auto"/>
                  </w:divBdr>
                  <w:divsChild>
                    <w:div w:id="19360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466">
      <w:bodyDiv w:val="1"/>
      <w:marLeft w:val="0"/>
      <w:marRight w:val="0"/>
      <w:marTop w:val="0"/>
      <w:marBottom w:val="0"/>
      <w:divBdr>
        <w:top w:val="none" w:sz="0" w:space="0" w:color="auto"/>
        <w:left w:val="none" w:sz="0" w:space="0" w:color="auto"/>
        <w:bottom w:val="none" w:sz="0" w:space="0" w:color="auto"/>
        <w:right w:val="none" w:sz="0" w:space="0" w:color="auto"/>
      </w:divBdr>
      <w:divsChild>
        <w:div w:id="1335570565">
          <w:marLeft w:val="0"/>
          <w:marRight w:val="0"/>
          <w:marTop w:val="0"/>
          <w:marBottom w:val="0"/>
          <w:divBdr>
            <w:top w:val="none" w:sz="0" w:space="0" w:color="auto"/>
            <w:left w:val="none" w:sz="0" w:space="0" w:color="auto"/>
            <w:bottom w:val="none" w:sz="0" w:space="0" w:color="auto"/>
            <w:right w:val="none" w:sz="0" w:space="0" w:color="auto"/>
          </w:divBdr>
          <w:divsChild>
            <w:div w:id="1725523448">
              <w:marLeft w:val="0"/>
              <w:marRight w:val="0"/>
              <w:marTop w:val="0"/>
              <w:marBottom w:val="0"/>
              <w:divBdr>
                <w:top w:val="none" w:sz="0" w:space="0" w:color="auto"/>
                <w:left w:val="none" w:sz="0" w:space="0" w:color="auto"/>
                <w:bottom w:val="none" w:sz="0" w:space="0" w:color="auto"/>
                <w:right w:val="none" w:sz="0" w:space="0" w:color="auto"/>
              </w:divBdr>
            </w:div>
            <w:div w:id="1684168390">
              <w:marLeft w:val="0"/>
              <w:marRight w:val="0"/>
              <w:marTop w:val="0"/>
              <w:marBottom w:val="0"/>
              <w:divBdr>
                <w:top w:val="none" w:sz="0" w:space="0" w:color="auto"/>
                <w:left w:val="none" w:sz="0" w:space="0" w:color="auto"/>
                <w:bottom w:val="none" w:sz="0" w:space="0" w:color="auto"/>
                <w:right w:val="none" w:sz="0" w:space="0" w:color="auto"/>
              </w:divBdr>
              <w:divsChild>
                <w:div w:id="1806770865">
                  <w:marLeft w:val="0"/>
                  <w:marRight w:val="0"/>
                  <w:marTop w:val="0"/>
                  <w:marBottom w:val="0"/>
                  <w:divBdr>
                    <w:top w:val="none" w:sz="0" w:space="0" w:color="auto"/>
                    <w:left w:val="none" w:sz="0" w:space="0" w:color="auto"/>
                    <w:bottom w:val="none" w:sz="0" w:space="0" w:color="auto"/>
                    <w:right w:val="none" w:sz="0" w:space="0" w:color="auto"/>
                  </w:divBdr>
                  <w:divsChild>
                    <w:div w:id="495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9340">
              <w:marLeft w:val="0"/>
              <w:marRight w:val="0"/>
              <w:marTop w:val="0"/>
              <w:marBottom w:val="0"/>
              <w:divBdr>
                <w:top w:val="none" w:sz="0" w:space="0" w:color="auto"/>
                <w:left w:val="none" w:sz="0" w:space="0" w:color="auto"/>
                <w:bottom w:val="none" w:sz="0" w:space="0" w:color="auto"/>
                <w:right w:val="none" w:sz="0" w:space="0" w:color="auto"/>
              </w:divBdr>
              <w:divsChild>
                <w:div w:id="20410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7458">
          <w:marLeft w:val="0"/>
          <w:marRight w:val="0"/>
          <w:marTop w:val="0"/>
          <w:marBottom w:val="0"/>
          <w:divBdr>
            <w:top w:val="none" w:sz="0" w:space="0" w:color="auto"/>
            <w:left w:val="none" w:sz="0" w:space="0" w:color="auto"/>
            <w:bottom w:val="none" w:sz="0" w:space="0" w:color="auto"/>
            <w:right w:val="none" w:sz="0" w:space="0" w:color="auto"/>
          </w:divBdr>
          <w:divsChild>
            <w:div w:id="1362049977">
              <w:marLeft w:val="0"/>
              <w:marRight w:val="0"/>
              <w:marTop w:val="0"/>
              <w:marBottom w:val="0"/>
              <w:divBdr>
                <w:top w:val="none" w:sz="0" w:space="0" w:color="auto"/>
                <w:left w:val="none" w:sz="0" w:space="0" w:color="auto"/>
                <w:bottom w:val="none" w:sz="0" w:space="0" w:color="auto"/>
                <w:right w:val="none" w:sz="0" w:space="0" w:color="auto"/>
              </w:divBdr>
              <w:divsChild>
                <w:div w:id="1723946245">
                  <w:marLeft w:val="0"/>
                  <w:marRight w:val="0"/>
                  <w:marTop w:val="0"/>
                  <w:marBottom w:val="0"/>
                  <w:divBdr>
                    <w:top w:val="none" w:sz="0" w:space="0" w:color="auto"/>
                    <w:left w:val="none" w:sz="0" w:space="0" w:color="auto"/>
                    <w:bottom w:val="none" w:sz="0" w:space="0" w:color="auto"/>
                    <w:right w:val="none" w:sz="0" w:space="0" w:color="auto"/>
                  </w:divBdr>
                  <w:divsChild>
                    <w:div w:id="327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1381">
      <w:bodyDiv w:val="1"/>
      <w:marLeft w:val="0"/>
      <w:marRight w:val="0"/>
      <w:marTop w:val="0"/>
      <w:marBottom w:val="0"/>
      <w:divBdr>
        <w:top w:val="none" w:sz="0" w:space="0" w:color="auto"/>
        <w:left w:val="none" w:sz="0" w:space="0" w:color="auto"/>
        <w:bottom w:val="none" w:sz="0" w:space="0" w:color="auto"/>
        <w:right w:val="none" w:sz="0" w:space="0" w:color="auto"/>
      </w:divBdr>
    </w:div>
    <w:div w:id="173010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9D30-2FCD-40A8-A12C-96E700BA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CAO TUE</dc:creator>
  <cp:keywords/>
  <dc:description/>
  <cp:lastModifiedBy>Tram Do</cp:lastModifiedBy>
  <cp:revision>39</cp:revision>
  <cp:lastPrinted>2024-12-27T04:10:00Z</cp:lastPrinted>
  <dcterms:created xsi:type="dcterms:W3CDTF">2024-10-31T06:29:00Z</dcterms:created>
  <dcterms:modified xsi:type="dcterms:W3CDTF">2025-02-19T09:12:00Z</dcterms:modified>
</cp:coreProperties>
</file>