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692" w:type="dxa"/>
        <w:tblInd w:w="874" w:type="dxa"/>
        <w:tblCellMar>
          <w:left w:w="0" w:type="dxa"/>
          <w:right w:w="0" w:type="dxa"/>
        </w:tblCellMar>
        <w:tblLook w:val="0000" w:firstRow="0" w:lastRow="0" w:firstColumn="0" w:lastColumn="0" w:noHBand="0" w:noVBand="0"/>
      </w:tblPr>
      <w:tblGrid>
        <w:gridCol w:w="4366"/>
        <w:gridCol w:w="2557"/>
        <w:gridCol w:w="6769"/>
      </w:tblGrid>
      <w:tr w:rsidR="003140D9" w:rsidRPr="002B1F43" w14:paraId="5713880E" w14:textId="77777777" w:rsidTr="001629B6">
        <w:trPr>
          <w:trHeight w:val="701"/>
        </w:trPr>
        <w:tc>
          <w:tcPr>
            <w:tcW w:w="4366" w:type="dxa"/>
            <w:tcMar>
              <w:top w:w="0" w:type="dxa"/>
              <w:left w:w="108" w:type="dxa"/>
              <w:bottom w:w="0" w:type="dxa"/>
              <w:right w:w="108" w:type="dxa"/>
            </w:tcMar>
          </w:tcPr>
          <w:p w14:paraId="44487076" w14:textId="00437BCF" w:rsidR="003140D9" w:rsidRPr="001A712B" w:rsidRDefault="00A73FEA">
            <w:pPr>
              <w:tabs>
                <w:tab w:val="left" w:pos="9919"/>
              </w:tabs>
              <w:spacing w:line="312" w:lineRule="auto"/>
              <w:jc w:val="center"/>
              <w:rPr>
                <w:rFonts w:ascii="Times New Roman" w:hAnsi="Times New Roman"/>
                <w:b/>
                <w:bCs/>
                <w:color w:val="000000" w:themeColor="text1"/>
                <w:sz w:val="24"/>
                <w:szCs w:val="24"/>
                <w:lang w:val="pt-BR"/>
              </w:rPr>
            </w:pPr>
            <w:r w:rsidRPr="001A712B">
              <w:rPr>
                <w:rFonts w:ascii="Times New Roman" w:hAnsi="Times New Roman"/>
                <w:b/>
                <w:bCs/>
                <w:color w:val="000000" w:themeColor="text1"/>
                <w:sz w:val="24"/>
                <w:szCs w:val="24"/>
                <w:lang w:val="pt-BR"/>
              </w:rPr>
              <w:t>CÔNG TY C</w:t>
            </w:r>
            <w:r w:rsidR="006620C1" w:rsidRPr="001A712B">
              <w:rPr>
                <w:rFonts w:ascii="Times New Roman" w:hAnsi="Times New Roman"/>
                <w:b/>
                <w:bCs/>
                <w:color w:val="000000" w:themeColor="text1"/>
                <w:sz w:val="24"/>
                <w:szCs w:val="24"/>
                <w:lang w:val="pt-BR"/>
              </w:rPr>
              <w:t>P</w:t>
            </w:r>
            <w:r w:rsidRPr="001A712B">
              <w:rPr>
                <w:rFonts w:ascii="Times New Roman" w:hAnsi="Times New Roman"/>
                <w:b/>
                <w:bCs/>
                <w:color w:val="000000" w:themeColor="text1"/>
                <w:sz w:val="24"/>
                <w:szCs w:val="24"/>
                <w:lang w:val="pt-BR"/>
              </w:rPr>
              <w:t xml:space="preserve"> TRAPHACO</w:t>
            </w:r>
          </w:p>
          <w:p w14:paraId="2A0F3C01" w14:textId="64F2568C" w:rsidR="003140D9" w:rsidRPr="001A712B" w:rsidRDefault="00A73FEA">
            <w:pPr>
              <w:tabs>
                <w:tab w:val="left" w:pos="9919"/>
              </w:tabs>
              <w:spacing w:line="312" w:lineRule="auto"/>
              <w:jc w:val="center"/>
              <w:rPr>
                <w:rFonts w:ascii="Times New Roman" w:hAnsi="Times New Roman"/>
                <w:color w:val="000000" w:themeColor="text1"/>
                <w:sz w:val="24"/>
                <w:szCs w:val="24"/>
                <w:lang w:val="pt-BR"/>
              </w:rPr>
            </w:pPr>
            <w:r w:rsidRPr="00AA503F">
              <w:rPr>
                <w:rFonts w:ascii="Times New Roman" w:hAnsi="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A4259F0" wp14:editId="1E8124D4">
                      <wp:simplePos x="0" y="0"/>
                      <wp:positionH relativeFrom="column">
                        <wp:posOffset>733425</wp:posOffset>
                      </wp:positionH>
                      <wp:positionV relativeFrom="paragraph">
                        <wp:posOffset>220980</wp:posOffset>
                      </wp:positionV>
                      <wp:extent cx="1038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6719934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7.4pt" to="13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itGwIAADYEAAAOAAAAZHJzL2Uyb0RvYy54bWysU9uO2yAQfa/Uf0C8J75ski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"/>
                  </w:pict>
                </mc:Fallback>
              </mc:AlternateContent>
            </w:r>
            <w:r w:rsidRPr="001A712B">
              <w:rPr>
                <w:rFonts w:ascii="Times New Roman" w:hAnsi="Times New Roman"/>
                <w:color w:val="000000" w:themeColor="text1"/>
                <w:sz w:val="24"/>
                <w:szCs w:val="24"/>
                <w:lang w:val="pt-BR"/>
              </w:rPr>
              <w:t>Số:</w:t>
            </w:r>
            <w:r w:rsidR="00E37F8E">
              <w:rPr>
                <w:rFonts w:ascii="Times New Roman" w:hAnsi="Times New Roman"/>
                <w:color w:val="000000" w:themeColor="text1"/>
                <w:sz w:val="24"/>
                <w:szCs w:val="24"/>
                <w:lang w:val="pt-BR"/>
              </w:rPr>
              <w:t xml:space="preserve"> 1</w:t>
            </w:r>
            <w:r w:rsidR="0007363C">
              <w:rPr>
                <w:rFonts w:ascii="Times New Roman" w:hAnsi="Times New Roman"/>
                <w:color w:val="000000" w:themeColor="text1"/>
                <w:sz w:val="24"/>
                <w:szCs w:val="24"/>
                <w:lang w:val="pt-BR"/>
              </w:rPr>
              <w:t>7</w:t>
            </w:r>
            <w:r w:rsidR="00E37F8E">
              <w:rPr>
                <w:rFonts w:ascii="Times New Roman" w:hAnsi="Times New Roman"/>
                <w:color w:val="000000" w:themeColor="text1"/>
                <w:sz w:val="24"/>
                <w:szCs w:val="24"/>
                <w:lang w:val="pt-BR"/>
              </w:rPr>
              <w:t>/2024/</w:t>
            </w:r>
            <w:r w:rsidRPr="001A712B">
              <w:rPr>
                <w:rFonts w:ascii="Times New Roman" w:hAnsi="Times New Roman"/>
                <w:color w:val="000000" w:themeColor="text1"/>
                <w:sz w:val="24"/>
                <w:szCs w:val="24"/>
                <w:lang w:val="pt-BR"/>
              </w:rPr>
              <w:t>TRA – PC</w:t>
            </w:r>
          </w:p>
        </w:tc>
        <w:tc>
          <w:tcPr>
            <w:tcW w:w="2557" w:type="dxa"/>
          </w:tcPr>
          <w:p w14:paraId="257DC3BD" w14:textId="77777777" w:rsidR="003140D9" w:rsidRPr="001A712B" w:rsidRDefault="003140D9">
            <w:pPr>
              <w:tabs>
                <w:tab w:val="left" w:pos="9919"/>
              </w:tabs>
              <w:spacing w:line="312" w:lineRule="auto"/>
              <w:jc w:val="center"/>
              <w:rPr>
                <w:rFonts w:ascii="Times New Roman" w:hAnsi="Times New Roman"/>
                <w:b/>
                <w:bCs/>
                <w:noProof/>
                <w:color w:val="000000" w:themeColor="text1"/>
                <w:sz w:val="24"/>
                <w:szCs w:val="24"/>
                <w:lang w:val="pt-BR"/>
              </w:rPr>
            </w:pPr>
          </w:p>
        </w:tc>
        <w:tc>
          <w:tcPr>
            <w:tcW w:w="6769" w:type="dxa"/>
            <w:tcMar>
              <w:top w:w="0" w:type="dxa"/>
              <w:left w:w="108" w:type="dxa"/>
              <w:bottom w:w="0" w:type="dxa"/>
              <w:right w:w="108" w:type="dxa"/>
            </w:tcMar>
          </w:tcPr>
          <w:p w14:paraId="64CAE72D" w14:textId="4B159A8A" w:rsidR="003140D9" w:rsidRPr="001A712B" w:rsidRDefault="00A73FEA">
            <w:pPr>
              <w:tabs>
                <w:tab w:val="left" w:pos="9919"/>
              </w:tabs>
              <w:spacing w:line="312" w:lineRule="auto"/>
              <w:jc w:val="center"/>
              <w:rPr>
                <w:rFonts w:ascii="Times New Roman" w:hAnsi="Times New Roman"/>
                <w:color w:val="000000" w:themeColor="text1"/>
                <w:sz w:val="24"/>
                <w:szCs w:val="24"/>
                <w:lang w:val="pt-BR"/>
              </w:rPr>
            </w:pPr>
            <w:r w:rsidRPr="00AA503F">
              <w:rPr>
                <w:rFonts w:ascii="Times New Roman" w:hAnsi="Times New Roman"/>
                <w:b/>
                <w:bCs/>
                <w:noProof/>
                <w:color w:val="000000" w:themeColor="text1"/>
                <w:sz w:val="24"/>
                <w:szCs w:val="24"/>
              </w:rPr>
              <mc:AlternateContent>
                <mc:Choice Requires="wps">
                  <w:drawing>
                    <wp:anchor distT="0" distB="0" distL="114300" distR="114300" simplePos="0" relativeHeight="251664384" behindDoc="0" locked="0" layoutInCell="1" allowOverlap="1" wp14:anchorId="5B6EAE48" wp14:editId="4020F51F">
                      <wp:simplePos x="0" y="0"/>
                      <wp:positionH relativeFrom="column">
                        <wp:posOffset>1405025</wp:posOffset>
                      </wp:positionH>
                      <wp:positionV relativeFrom="paragraph">
                        <wp:posOffset>471441</wp:posOffset>
                      </wp:positionV>
                      <wp:extent cx="1381760" cy="0"/>
                      <wp:effectExtent l="9525"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91728C3"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37.1pt" to="219.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YM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"/>
                  </w:pict>
                </mc:Fallback>
              </mc:AlternateContent>
            </w:r>
            <w:r w:rsidRPr="001A712B">
              <w:rPr>
                <w:rFonts w:ascii="Times New Roman" w:hAnsi="Times New Roman"/>
                <w:b/>
                <w:bCs/>
                <w:color w:val="000000" w:themeColor="text1"/>
                <w:sz w:val="24"/>
                <w:szCs w:val="24"/>
                <w:lang w:val="pt-BR"/>
              </w:rPr>
              <w:t>CỘNG HÒA XÃ HỘI CHỦ NGHĨA VIỆT NAM</w:t>
            </w:r>
            <w:r w:rsidRPr="001A712B">
              <w:rPr>
                <w:rFonts w:ascii="Times New Roman" w:hAnsi="Times New Roman"/>
                <w:b/>
                <w:bCs/>
                <w:color w:val="000000" w:themeColor="text1"/>
                <w:sz w:val="24"/>
                <w:szCs w:val="24"/>
                <w:lang w:val="pt-BR"/>
              </w:rPr>
              <w:br/>
              <w:t>Độc lập – Tự do – Hạnh phúc</w:t>
            </w:r>
          </w:p>
        </w:tc>
      </w:tr>
      <w:tr w:rsidR="00AA503F" w:rsidRPr="002B1F43" w14:paraId="3DE167F2" w14:textId="77777777" w:rsidTr="001629B6">
        <w:trPr>
          <w:trHeight w:val="1193"/>
        </w:trPr>
        <w:tc>
          <w:tcPr>
            <w:tcW w:w="4366" w:type="dxa"/>
            <w:tcMar>
              <w:top w:w="0" w:type="dxa"/>
              <w:left w:w="108" w:type="dxa"/>
              <w:bottom w:w="0" w:type="dxa"/>
              <w:right w:w="108" w:type="dxa"/>
            </w:tcMar>
          </w:tcPr>
          <w:p w14:paraId="235771B5" w14:textId="4B233111" w:rsidR="003140D9" w:rsidRPr="001A712B" w:rsidRDefault="00A73FEA" w:rsidP="001629B6">
            <w:pPr>
              <w:tabs>
                <w:tab w:val="left" w:pos="9919"/>
              </w:tabs>
              <w:spacing w:before="60" w:line="312" w:lineRule="auto"/>
              <w:rPr>
                <w:rFonts w:ascii="Times New Roman" w:hAnsi="Times New Roman"/>
                <w:i/>
                <w:color w:val="000000" w:themeColor="text1"/>
                <w:sz w:val="24"/>
                <w:szCs w:val="24"/>
                <w:lang w:val="pt-BR"/>
              </w:rPr>
            </w:pPr>
            <w:r w:rsidRPr="001A712B">
              <w:rPr>
                <w:rFonts w:ascii="Times New Roman" w:hAnsi="Times New Roman"/>
                <w:i/>
                <w:color w:val="000000" w:themeColor="text1"/>
                <w:sz w:val="24"/>
                <w:szCs w:val="24"/>
                <w:lang w:val="pt-BR"/>
              </w:rPr>
              <w:t xml:space="preserve">V/v: Góp ý Dự thảo </w:t>
            </w:r>
            <w:r w:rsidR="00347338">
              <w:rPr>
                <w:rFonts w:ascii="Times New Roman" w:hAnsi="Times New Roman"/>
                <w:i/>
                <w:color w:val="000000" w:themeColor="text1"/>
                <w:sz w:val="24"/>
                <w:szCs w:val="24"/>
                <w:lang w:val="pt-BR"/>
              </w:rPr>
              <w:t>Nghị định quy định chi tiết một số điều và biện pháp thi hành luật Dược</w:t>
            </w:r>
            <w:r w:rsidR="0029052E">
              <w:rPr>
                <w:rFonts w:ascii="Times New Roman" w:hAnsi="Times New Roman"/>
                <w:i/>
                <w:color w:val="000000" w:themeColor="text1"/>
                <w:sz w:val="24"/>
                <w:szCs w:val="24"/>
                <w:lang w:val="pt-BR"/>
              </w:rPr>
              <w:t xml:space="preserve"> (Dự thảo ngày</w:t>
            </w:r>
            <w:r w:rsidR="00347338">
              <w:rPr>
                <w:rFonts w:ascii="Times New Roman" w:hAnsi="Times New Roman"/>
                <w:i/>
                <w:color w:val="000000" w:themeColor="text1"/>
                <w:sz w:val="24"/>
                <w:szCs w:val="24"/>
                <w:lang w:val="pt-BR"/>
              </w:rPr>
              <w:t xml:space="preserve"> 09/01/2025</w:t>
            </w:r>
            <w:r w:rsidR="0029052E">
              <w:rPr>
                <w:rFonts w:ascii="Times New Roman" w:hAnsi="Times New Roman"/>
                <w:i/>
                <w:color w:val="000000" w:themeColor="text1"/>
                <w:sz w:val="24"/>
                <w:szCs w:val="24"/>
                <w:lang w:val="pt-BR"/>
              </w:rPr>
              <w:t>)</w:t>
            </w:r>
          </w:p>
        </w:tc>
        <w:tc>
          <w:tcPr>
            <w:tcW w:w="2557" w:type="dxa"/>
          </w:tcPr>
          <w:p w14:paraId="6CB1E074" w14:textId="77777777" w:rsidR="003140D9" w:rsidRPr="001A712B" w:rsidRDefault="003140D9">
            <w:pPr>
              <w:tabs>
                <w:tab w:val="left" w:pos="9919"/>
              </w:tabs>
              <w:spacing w:line="312" w:lineRule="auto"/>
              <w:jc w:val="right"/>
              <w:rPr>
                <w:rFonts w:ascii="Times New Roman" w:hAnsi="Times New Roman"/>
                <w:i/>
                <w:iCs/>
                <w:color w:val="000000" w:themeColor="text1"/>
                <w:sz w:val="24"/>
                <w:szCs w:val="24"/>
                <w:lang w:val="pt-BR"/>
              </w:rPr>
            </w:pPr>
          </w:p>
        </w:tc>
        <w:tc>
          <w:tcPr>
            <w:tcW w:w="6769" w:type="dxa"/>
            <w:tcMar>
              <w:top w:w="0" w:type="dxa"/>
              <w:left w:w="108" w:type="dxa"/>
              <w:bottom w:w="0" w:type="dxa"/>
              <w:right w:w="108" w:type="dxa"/>
            </w:tcMar>
          </w:tcPr>
          <w:p w14:paraId="3E260AB7" w14:textId="77777777" w:rsidR="001629B6" w:rsidRDefault="00A73FEA">
            <w:pPr>
              <w:tabs>
                <w:tab w:val="left" w:pos="9919"/>
              </w:tabs>
              <w:spacing w:line="312" w:lineRule="auto"/>
              <w:jc w:val="center"/>
              <w:rPr>
                <w:rFonts w:ascii="Times New Roman" w:hAnsi="Times New Roman"/>
                <w:i/>
                <w:iCs/>
                <w:color w:val="000000" w:themeColor="text1"/>
                <w:sz w:val="24"/>
                <w:szCs w:val="24"/>
                <w:lang w:val="pt-BR"/>
              </w:rPr>
            </w:pPr>
            <w:r w:rsidRPr="001A712B">
              <w:rPr>
                <w:rFonts w:ascii="Times New Roman" w:hAnsi="Times New Roman"/>
                <w:i/>
                <w:iCs/>
                <w:color w:val="000000" w:themeColor="text1"/>
                <w:sz w:val="24"/>
                <w:szCs w:val="24"/>
                <w:lang w:val="pt-BR"/>
              </w:rPr>
              <w:t xml:space="preserve">                                        </w:t>
            </w:r>
          </w:p>
          <w:p w14:paraId="7EFCA8B7" w14:textId="6AFD0BEA" w:rsidR="003140D9" w:rsidRPr="001A712B" w:rsidRDefault="00A73FEA" w:rsidP="001629B6">
            <w:pPr>
              <w:tabs>
                <w:tab w:val="left" w:pos="9919"/>
              </w:tabs>
              <w:spacing w:line="312" w:lineRule="auto"/>
              <w:jc w:val="right"/>
              <w:rPr>
                <w:rFonts w:ascii="Times New Roman" w:hAnsi="Times New Roman"/>
                <w:color w:val="000000" w:themeColor="text1"/>
                <w:sz w:val="24"/>
                <w:szCs w:val="24"/>
                <w:lang w:val="pt-BR"/>
              </w:rPr>
            </w:pPr>
            <w:r w:rsidRPr="001A712B">
              <w:rPr>
                <w:rFonts w:ascii="Times New Roman" w:hAnsi="Times New Roman"/>
                <w:i/>
                <w:iCs/>
                <w:color w:val="000000" w:themeColor="text1"/>
                <w:sz w:val="24"/>
                <w:szCs w:val="24"/>
                <w:lang w:val="pt-BR"/>
              </w:rPr>
              <w:t>Hà Nội, ngày</w:t>
            </w:r>
            <w:r w:rsidR="001629B6">
              <w:rPr>
                <w:rFonts w:ascii="Times New Roman" w:hAnsi="Times New Roman"/>
                <w:i/>
                <w:iCs/>
                <w:color w:val="000000" w:themeColor="text1"/>
                <w:sz w:val="24"/>
                <w:szCs w:val="24"/>
                <w:lang w:val="pt-BR"/>
              </w:rPr>
              <w:t xml:space="preserve"> </w:t>
            </w:r>
            <w:r w:rsidR="0007363C">
              <w:rPr>
                <w:rFonts w:ascii="Times New Roman" w:hAnsi="Times New Roman"/>
                <w:i/>
                <w:iCs/>
                <w:color w:val="000000" w:themeColor="text1"/>
                <w:sz w:val="24"/>
                <w:szCs w:val="24"/>
                <w:lang w:val="pt-BR"/>
              </w:rPr>
              <w:t>17</w:t>
            </w:r>
            <w:r w:rsidRPr="001A712B">
              <w:rPr>
                <w:rFonts w:ascii="Times New Roman" w:hAnsi="Times New Roman"/>
                <w:i/>
                <w:iCs/>
                <w:color w:val="000000" w:themeColor="text1"/>
                <w:sz w:val="24"/>
                <w:szCs w:val="24"/>
                <w:lang w:val="pt-BR"/>
              </w:rPr>
              <w:t xml:space="preserve"> tháng</w:t>
            </w:r>
            <w:r w:rsidR="00BB3ACE" w:rsidRPr="001A712B">
              <w:rPr>
                <w:rFonts w:ascii="Times New Roman" w:hAnsi="Times New Roman"/>
                <w:i/>
                <w:iCs/>
                <w:color w:val="000000" w:themeColor="text1"/>
                <w:sz w:val="24"/>
                <w:szCs w:val="24"/>
                <w:lang w:val="pt-BR"/>
              </w:rPr>
              <w:t xml:space="preserve"> </w:t>
            </w:r>
            <w:r w:rsidR="00347338">
              <w:rPr>
                <w:rFonts w:ascii="Times New Roman" w:hAnsi="Times New Roman"/>
                <w:i/>
                <w:iCs/>
                <w:color w:val="000000" w:themeColor="text1"/>
                <w:sz w:val="24"/>
                <w:szCs w:val="24"/>
                <w:lang w:val="pt-BR"/>
              </w:rPr>
              <w:t>0</w:t>
            </w:r>
            <w:r w:rsidR="001629B6">
              <w:rPr>
                <w:rFonts w:ascii="Times New Roman" w:hAnsi="Times New Roman"/>
                <w:i/>
                <w:iCs/>
                <w:color w:val="000000" w:themeColor="text1"/>
                <w:sz w:val="24"/>
                <w:szCs w:val="24"/>
                <w:lang w:val="pt-BR"/>
              </w:rPr>
              <w:t>2</w:t>
            </w:r>
            <w:r w:rsidRPr="001A712B">
              <w:rPr>
                <w:rFonts w:ascii="Times New Roman" w:hAnsi="Times New Roman"/>
                <w:i/>
                <w:iCs/>
                <w:color w:val="000000" w:themeColor="text1"/>
                <w:sz w:val="24"/>
                <w:szCs w:val="24"/>
                <w:lang w:val="pt-BR"/>
              </w:rPr>
              <w:t xml:space="preserve"> năm 202</w:t>
            </w:r>
            <w:r w:rsidR="00347338">
              <w:rPr>
                <w:rFonts w:ascii="Times New Roman" w:hAnsi="Times New Roman"/>
                <w:i/>
                <w:iCs/>
                <w:color w:val="000000" w:themeColor="text1"/>
                <w:sz w:val="24"/>
                <w:szCs w:val="24"/>
                <w:lang w:val="pt-BR"/>
              </w:rPr>
              <w:t>5</w:t>
            </w:r>
          </w:p>
        </w:tc>
      </w:tr>
    </w:tbl>
    <w:p w14:paraId="0B5D854F" w14:textId="77777777" w:rsidR="003140D9" w:rsidRPr="001A712B" w:rsidRDefault="003140D9">
      <w:pPr>
        <w:tabs>
          <w:tab w:val="left" w:pos="9919"/>
        </w:tabs>
        <w:spacing w:line="312" w:lineRule="auto"/>
        <w:rPr>
          <w:rFonts w:ascii="Times New Roman" w:hAnsi="Times New Roman"/>
          <w:color w:val="000000" w:themeColor="text1"/>
          <w:sz w:val="24"/>
          <w:szCs w:val="24"/>
          <w:lang w:val="pt-BR"/>
        </w:rPr>
      </w:pPr>
    </w:p>
    <w:tbl>
      <w:tblPr>
        <w:tblW w:w="10006" w:type="dxa"/>
        <w:tblInd w:w="987" w:type="dxa"/>
        <w:tblCellMar>
          <w:left w:w="0" w:type="dxa"/>
          <w:right w:w="0" w:type="dxa"/>
        </w:tblCellMar>
        <w:tblLook w:val="0000" w:firstRow="0" w:lastRow="0" w:firstColumn="0" w:lastColumn="0" w:noHBand="0" w:noVBand="0"/>
      </w:tblPr>
      <w:tblGrid>
        <w:gridCol w:w="2313"/>
        <w:gridCol w:w="7693"/>
      </w:tblGrid>
      <w:tr w:rsidR="00AA503F" w:rsidRPr="00AA503F" w14:paraId="019CABFE" w14:textId="77777777" w:rsidTr="0060326E">
        <w:trPr>
          <w:trHeight w:val="693"/>
        </w:trPr>
        <w:tc>
          <w:tcPr>
            <w:tcW w:w="2313" w:type="dxa"/>
            <w:tcMar>
              <w:top w:w="0" w:type="dxa"/>
              <w:left w:w="108" w:type="dxa"/>
              <w:bottom w:w="0" w:type="dxa"/>
              <w:right w:w="108" w:type="dxa"/>
            </w:tcMar>
          </w:tcPr>
          <w:p w14:paraId="1DCFEBBD" w14:textId="77777777" w:rsidR="003140D9" w:rsidRPr="00AA503F" w:rsidRDefault="00A73FEA">
            <w:pPr>
              <w:tabs>
                <w:tab w:val="left" w:pos="9919"/>
              </w:tabs>
              <w:spacing w:line="312" w:lineRule="auto"/>
              <w:jc w:val="center"/>
              <w:rPr>
                <w:rFonts w:ascii="Times New Roman" w:hAnsi="Times New Roman"/>
                <w:b/>
                <w:color w:val="000000" w:themeColor="text1"/>
                <w:sz w:val="24"/>
                <w:szCs w:val="24"/>
              </w:rPr>
            </w:pPr>
            <w:r w:rsidRPr="00AA503F">
              <w:rPr>
                <w:rFonts w:ascii="Times New Roman" w:hAnsi="Times New Roman"/>
                <w:b/>
                <w:color w:val="000000" w:themeColor="text1"/>
                <w:sz w:val="24"/>
                <w:szCs w:val="24"/>
              </w:rPr>
              <w:t>Kính gửi:</w:t>
            </w:r>
          </w:p>
        </w:tc>
        <w:tc>
          <w:tcPr>
            <w:tcW w:w="7693" w:type="dxa"/>
            <w:tcMar>
              <w:top w:w="0" w:type="dxa"/>
              <w:left w:w="108" w:type="dxa"/>
              <w:bottom w:w="0" w:type="dxa"/>
              <w:right w:w="108" w:type="dxa"/>
            </w:tcMar>
          </w:tcPr>
          <w:p w14:paraId="4D34460B" w14:textId="774E6687" w:rsidR="003140D9" w:rsidRDefault="001629B6" w:rsidP="001629B6">
            <w:pPr>
              <w:pStyle w:val="ListParagraph"/>
              <w:numPr>
                <w:ilvl w:val="0"/>
                <w:numId w:val="16"/>
              </w:numPr>
              <w:tabs>
                <w:tab w:val="left" w:pos="9919"/>
              </w:tabs>
              <w:spacing w:line="312" w:lineRule="auto"/>
              <w:rPr>
                <w:rFonts w:ascii="Times New Roman" w:hAnsi="Times New Roman"/>
                <w:color w:val="000000" w:themeColor="text1"/>
                <w:sz w:val="24"/>
                <w:szCs w:val="24"/>
              </w:rPr>
            </w:pPr>
            <w:r w:rsidRPr="001629B6">
              <w:rPr>
                <w:rFonts w:ascii="Times New Roman" w:hAnsi="Times New Roman"/>
                <w:color w:val="000000" w:themeColor="text1"/>
                <w:sz w:val="24"/>
                <w:szCs w:val="24"/>
              </w:rPr>
              <w:t>Bộ Y tế</w:t>
            </w:r>
          </w:p>
          <w:p w14:paraId="72D76970" w14:textId="014182A7" w:rsidR="001629B6" w:rsidRPr="001629B6" w:rsidRDefault="001629B6" w:rsidP="001629B6">
            <w:pPr>
              <w:pStyle w:val="ListParagraph"/>
              <w:numPr>
                <w:ilvl w:val="0"/>
                <w:numId w:val="16"/>
              </w:numPr>
              <w:tabs>
                <w:tab w:val="left" w:pos="9919"/>
              </w:tabs>
              <w:spacing w:line="312" w:lineRule="auto"/>
              <w:rPr>
                <w:rFonts w:ascii="Times New Roman" w:hAnsi="Times New Roman"/>
                <w:color w:val="000000" w:themeColor="text1"/>
                <w:sz w:val="24"/>
                <w:szCs w:val="24"/>
              </w:rPr>
            </w:pPr>
            <w:r>
              <w:rPr>
                <w:rFonts w:ascii="Times New Roman" w:hAnsi="Times New Roman"/>
                <w:color w:val="000000" w:themeColor="text1"/>
                <w:sz w:val="24"/>
                <w:szCs w:val="24"/>
              </w:rPr>
              <w:t>Hiệp hội Doanh nghiệp Dược Việt Nam</w:t>
            </w:r>
          </w:p>
          <w:p w14:paraId="052F45FD" w14:textId="77777777" w:rsidR="003140D9" w:rsidRPr="00AA503F" w:rsidRDefault="003140D9" w:rsidP="000760CE">
            <w:pPr>
              <w:tabs>
                <w:tab w:val="left" w:pos="9919"/>
              </w:tabs>
              <w:spacing w:line="312" w:lineRule="auto"/>
              <w:rPr>
                <w:rFonts w:ascii="Times New Roman" w:hAnsi="Times New Roman"/>
                <w:color w:val="000000" w:themeColor="text1"/>
                <w:sz w:val="24"/>
                <w:szCs w:val="24"/>
              </w:rPr>
            </w:pPr>
          </w:p>
        </w:tc>
      </w:tr>
    </w:tbl>
    <w:p w14:paraId="14BD1AD5" w14:textId="7BC01B75" w:rsidR="003140D9" w:rsidRPr="00DA47B2" w:rsidRDefault="00CB4F86" w:rsidP="00DA47B2">
      <w:pPr>
        <w:spacing w:line="312" w:lineRule="auto"/>
        <w:ind w:right="113"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Sau khi </w:t>
      </w:r>
      <w:r w:rsidR="00347338">
        <w:rPr>
          <w:rFonts w:ascii="Times New Roman" w:hAnsi="Times New Roman"/>
          <w:bCs/>
          <w:color w:val="000000" w:themeColor="text1"/>
          <w:sz w:val="24"/>
          <w:szCs w:val="24"/>
        </w:rPr>
        <w:t xml:space="preserve">đọc và </w:t>
      </w:r>
      <w:r>
        <w:rPr>
          <w:rFonts w:ascii="Times New Roman" w:hAnsi="Times New Roman"/>
          <w:bCs/>
          <w:color w:val="000000" w:themeColor="text1"/>
          <w:sz w:val="24"/>
          <w:szCs w:val="24"/>
        </w:rPr>
        <w:t>nghiên cứu</w:t>
      </w:r>
      <w:r w:rsidR="00347338">
        <w:rPr>
          <w:rFonts w:ascii="Times New Roman" w:hAnsi="Times New Roman"/>
          <w:bCs/>
          <w:color w:val="000000" w:themeColor="text1"/>
          <w:sz w:val="24"/>
          <w:szCs w:val="24"/>
        </w:rPr>
        <w:t xml:space="preserve"> Dự thảo Nghị định </w:t>
      </w:r>
      <w:r w:rsidR="00347338">
        <w:rPr>
          <w:rFonts w:ascii="Times New Roman" w:hAnsi="Times New Roman"/>
          <w:i/>
          <w:color w:val="000000" w:themeColor="text1"/>
          <w:sz w:val="24"/>
          <w:szCs w:val="24"/>
          <w:lang w:val="pt-BR"/>
        </w:rPr>
        <w:t>quy định chi tiết một số điều và biện pháp thi hành luật Dược (bản Dự thảo ngày 09/01/2025</w:t>
      </w:r>
      <w:proofErr w:type="gramStart"/>
      <w:r w:rsidR="00347338">
        <w:rPr>
          <w:rFonts w:ascii="Times New Roman" w:hAnsi="Times New Roman"/>
          <w:i/>
          <w:color w:val="000000" w:themeColor="text1"/>
          <w:sz w:val="24"/>
          <w:szCs w:val="24"/>
          <w:lang w:val="pt-BR"/>
        </w:rPr>
        <w:t>)</w:t>
      </w:r>
      <w:r w:rsidR="0034733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w:t>
      </w:r>
      <w:proofErr w:type="gramEnd"/>
      <w:r>
        <w:rPr>
          <w:rFonts w:ascii="Times New Roman" w:hAnsi="Times New Roman"/>
          <w:bCs/>
          <w:color w:val="000000" w:themeColor="text1"/>
          <w:sz w:val="24"/>
          <w:szCs w:val="24"/>
        </w:rPr>
        <w:t xml:space="preserve"> </w:t>
      </w:r>
      <w:r w:rsidR="00A73FEA" w:rsidRPr="00AA503F">
        <w:rPr>
          <w:rFonts w:ascii="Times New Roman" w:hAnsi="Times New Roman"/>
          <w:bCs/>
          <w:color w:val="000000" w:themeColor="text1"/>
          <w:sz w:val="24"/>
          <w:szCs w:val="24"/>
        </w:rPr>
        <w:t xml:space="preserve">Công ty </w:t>
      </w:r>
      <w:proofErr w:type="spellStart"/>
      <w:r w:rsidR="0029052E">
        <w:rPr>
          <w:rFonts w:ascii="Times New Roman" w:hAnsi="Times New Roman"/>
          <w:bCs/>
          <w:color w:val="000000" w:themeColor="text1"/>
          <w:sz w:val="24"/>
          <w:szCs w:val="24"/>
        </w:rPr>
        <w:t>c</w:t>
      </w:r>
      <w:r w:rsidR="00A73FEA" w:rsidRPr="00AA503F">
        <w:rPr>
          <w:rFonts w:ascii="Times New Roman" w:hAnsi="Times New Roman"/>
          <w:bCs/>
          <w:color w:val="000000" w:themeColor="text1"/>
          <w:sz w:val="24"/>
          <w:szCs w:val="24"/>
        </w:rPr>
        <w:t>ổ</w:t>
      </w:r>
      <w:proofErr w:type="spellEnd"/>
      <w:r w:rsidR="00A73FEA" w:rsidRPr="00AA503F">
        <w:rPr>
          <w:rFonts w:ascii="Times New Roman" w:hAnsi="Times New Roman"/>
          <w:bCs/>
          <w:color w:val="000000" w:themeColor="text1"/>
          <w:sz w:val="24"/>
          <w:szCs w:val="24"/>
        </w:rPr>
        <w:t xml:space="preserve"> </w:t>
      </w:r>
      <w:proofErr w:type="spellStart"/>
      <w:r w:rsidR="00A73FEA" w:rsidRPr="00AA503F">
        <w:rPr>
          <w:rFonts w:ascii="Times New Roman" w:hAnsi="Times New Roman"/>
          <w:bCs/>
          <w:color w:val="000000" w:themeColor="text1"/>
          <w:sz w:val="24"/>
          <w:szCs w:val="24"/>
        </w:rPr>
        <w:t>phần</w:t>
      </w:r>
      <w:proofErr w:type="spellEnd"/>
      <w:r w:rsidR="00A73FEA" w:rsidRPr="00AA503F">
        <w:rPr>
          <w:rFonts w:ascii="Times New Roman" w:hAnsi="Times New Roman"/>
          <w:bCs/>
          <w:color w:val="000000" w:themeColor="text1"/>
          <w:sz w:val="24"/>
          <w:szCs w:val="24"/>
        </w:rPr>
        <w:t xml:space="preserve"> </w:t>
      </w:r>
      <w:proofErr w:type="spellStart"/>
      <w:r w:rsidR="00A73FEA" w:rsidRPr="00AA503F">
        <w:rPr>
          <w:rFonts w:ascii="Times New Roman" w:hAnsi="Times New Roman"/>
          <w:bCs/>
          <w:color w:val="000000" w:themeColor="text1"/>
          <w:sz w:val="24"/>
          <w:szCs w:val="24"/>
        </w:rPr>
        <w:t>Traphaco</w:t>
      </w:r>
      <w:proofErr w:type="spellEnd"/>
      <w:r w:rsidR="00A73FEA" w:rsidRPr="00AA503F">
        <w:rPr>
          <w:rFonts w:ascii="Times New Roman" w:hAnsi="Times New Roman"/>
          <w:bCs/>
          <w:color w:val="000000" w:themeColor="text1"/>
          <w:sz w:val="24"/>
          <w:szCs w:val="24"/>
        </w:rPr>
        <w:t xml:space="preserve"> </w:t>
      </w:r>
      <w:proofErr w:type="spellStart"/>
      <w:r w:rsidR="00A73FEA" w:rsidRPr="00AA503F">
        <w:rPr>
          <w:rFonts w:ascii="Times New Roman" w:hAnsi="Times New Roman"/>
          <w:bCs/>
          <w:color w:val="000000" w:themeColor="text1"/>
          <w:sz w:val="24"/>
          <w:szCs w:val="24"/>
        </w:rPr>
        <w:t>có</w:t>
      </w:r>
      <w:proofErr w:type="spellEnd"/>
      <w:r w:rsidR="00A73FEA" w:rsidRPr="00AA503F">
        <w:rPr>
          <w:rFonts w:ascii="Times New Roman" w:hAnsi="Times New Roman"/>
          <w:bCs/>
          <w:color w:val="000000" w:themeColor="text1"/>
          <w:sz w:val="24"/>
          <w:szCs w:val="24"/>
        </w:rPr>
        <w:t xml:space="preserve"> ý </w:t>
      </w:r>
      <w:proofErr w:type="spellStart"/>
      <w:r w:rsidR="00A73FEA" w:rsidRPr="00AA503F">
        <w:rPr>
          <w:rFonts w:ascii="Times New Roman" w:hAnsi="Times New Roman"/>
          <w:bCs/>
          <w:color w:val="000000" w:themeColor="text1"/>
          <w:sz w:val="24"/>
          <w:szCs w:val="24"/>
        </w:rPr>
        <w:t>kiến</w:t>
      </w:r>
      <w:proofErr w:type="spellEnd"/>
      <w:r w:rsidR="00A73FEA" w:rsidRPr="00AA503F">
        <w:rPr>
          <w:rFonts w:ascii="Times New Roman" w:hAnsi="Times New Roman"/>
          <w:bCs/>
          <w:color w:val="000000" w:themeColor="text1"/>
          <w:sz w:val="24"/>
          <w:szCs w:val="24"/>
        </w:rPr>
        <w:t xml:space="preserve"> đóng góp như sau:</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5386"/>
        <w:gridCol w:w="4253"/>
      </w:tblGrid>
      <w:tr w:rsidR="00207F80" w:rsidRPr="006D51EE" w14:paraId="2EBDFD55" w14:textId="77777777" w:rsidTr="00D35E13">
        <w:trPr>
          <w:trHeight w:val="480"/>
          <w:tblHeader/>
        </w:trPr>
        <w:tc>
          <w:tcPr>
            <w:tcW w:w="709" w:type="dxa"/>
            <w:shd w:val="clear" w:color="auto" w:fill="auto"/>
            <w:vAlign w:val="center"/>
            <w:hideMark/>
          </w:tcPr>
          <w:p w14:paraId="4959C8EF" w14:textId="77777777" w:rsidR="0029052E" w:rsidRPr="006D51EE" w:rsidRDefault="0029052E" w:rsidP="0029052E">
            <w:pPr>
              <w:jc w:val="center"/>
              <w:rPr>
                <w:rFonts w:ascii="Times New Roman" w:hAnsi="Times New Roman"/>
                <w:b/>
                <w:bCs/>
                <w:sz w:val="24"/>
                <w:szCs w:val="24"/>
                <w:lang w:val="vi-VN" w:eastAsia="vi-VN"/>
              </w:rPr>
            </w:pPr>
            <w:r w:rsidRPr="006D51EE">
              <w:rPr>
                <w:rFonts w:ascii="Times New Roman" w:hAnsi="Times New Roman"/>
                <w:b/>
                <w:bCs/>
                <w:sz w:val="24"/>
                <w:szCs w:val="24"/>
                <w:lang w:val="vi-VN" w:eastAsia="vi-VN"/>
              </w:rPr>
              <w:t>TT</w:t>
            </w:r>
          </w:p>
        </w:tc>
        <w:tc>
          <w:tcPr>
            <w:tcW w:w="4678" w:type="dxa"/>
            <w:shd w:val="clear" w:color="auto" w:fill="auto"/>
            <w:vAlign w:val="center"/>
            <w:hideMark/>
          </w:tcPr>
          <w:p w14:paraId="147E5EFE" w14:textId="77777777" w:rsidR="0029052E" w:rsidRPr="006D51EE" w:rsidRDefault="0029052E" w:rsidP="0029052E">
            <w:pPr>
              <w:jc w:val="center"/>
              <w:rPr>
                <w:rFonts w:ascii="Times New Roman" w:hAnsi="Times New Roman"/>
                <w:b/>
                <w:bCs/>
                <w:sz w:val="24"/>
                <w:szCs w:val="24"/>
                <w:lang w:val="vi-VN" w:eastAsia="vi-VN"/>
              </w:rPr>
            </w:pPr>
            <w:r w:rsidRPr="006D51EE">
              <w:rPr>
                <w:rFonts w:ascii="Times New Roman" w:hAnsi="Times New Roman"/>
                <w:b/>
                <w:bCs/>
                <w:sz w:val="24"/>
                <w:szCs w:val="24"/>
                <w:lang w:val="vi-VN" w:eastAsia="vi-VN"/>
              </w:rPr>
              <w:t>Nội dung điều khoản dự thảo</w:t>
            </w:r>
          </w:p>
        </w:tc>
        <w:tc>
          <w:tcPr>
            <w:tcW w:w="5386" w:type="dxa"/>
            <w:shd w:val="clear" w:color="auto" w:fill="auto"/>
            <w:vAlign w:val="center"/>
            <w:hideMark/>
          </w:tcPr>
          <w:p w14:paraId="4F0EF01E" w14:textId="77777777" w:rsidR="0029052E" w:rsidRPr="006D51EE" w:rsidRDefault="0029052E" w:rsidP="0029052E">
            <w:pPr>
              <w:jc w:val="center"/>
              <w:rPr>
                <w:rFonts w:ascii="Times New Roman" w:hAnsi="Times New Roman"/>
                <w:b/>
                <w:bCs/>
                <w:sz w:val="24"/>
                <w:szCs w:val="24"/>
                <w:lang w:val="vi-VN" w:eastAsia="vi-VN"/>
              </w:rPr>
            </w:pPr>
            <w:r w:rsidRPr="006D51EE">
              <w:rPr>
                <w:rFonts w:ascii="Times New Roman" w:hAnsi="Times New Roman"/>
                <w:b/>
                <w:bCs/>
                <w:sz w:val="24"/>
                <w:szCs w:val="24"/>
                <w:lang w:val="vi-VN" w:eastAsia="vi-VN"/>
              </w:rPr>
              <w:t>Nội dung góp ý, điều chỉnh</w:t>
            </w:r>
          </w:p>
        </w:tc>
        <w:tc>
          <w:tcPr>
            <w:tcW w:w="4253" w:type="dxa"/>
            <w:shd w:val="clear" w:color="auto" w:fill="auto"/>
            <w:vAlign w:val="center"/>
            <w:hideMark/>
          </w:tcPr>
          <w:p w14:paraId="0B1E916F" w14:textId="77777777" w:rsidR="0029052E" w:rsidRPr="006D51EE" w:rsidRDefault="0029052E" w:rsidP="0029052E">
            <w:pPr>
              <w:jc w:val="center"/>
              <w:rPr>
                <w:rFonts w:ascii="Times New Roman" w:hAnsi="Times New Roman"/>
                <w:b/>
                <w:bCs/>
                <w:sz w:val="24"/>
                <w:szCs w:val="24"/>
                <w:lang w:val="vi-VN" w:eastAsia="vi-VN"/>
              </w:rPr>
            </w:pPr>
            <w:r w:rsidRPr="006D51EE">
              <w:rPr>
                <w:rFonts w:ascii="Times New Roman" w:hAnsi="Times New Roman"/>
                <w:b/>
                <w:bCs/>
                <w:sz w:val="24"/>
                <w:szCs w:val="24"/>
                <w:lang w:val="vi-VN" w:eastAsia="vi-VN"/>
              </w:rPr>
              <w:t>Lý do</w:t>
            </w:r>
          </w:p>
        </w:tc>
      </w:tr>
      <w:tr w:rsidR="00207F80" w:rsidRPr="006D51EE" w14:paraId="6AAFB6D3" w14:textId="77777777" w:rsidTr="00D35E13">
        <w:trPr>
          <w:trHeight w:val="1126"/>
        </w:trPr>
        <w:tc>
          <w:tcPr>
            <w:tcW w:w="709" w:type="dxa"/>
            <w:shd w:val="clear" w:color="auto" w:fill="auto"/>
          </w:tcPr>
          <w:p w14:paraId="44847CE1" w14:textId="5F070E9F" w:rsidR="0029052E" w:rsidRPr="006D51EE" w:rsidRDefault="00F50ACA" w:rsidP="0029052E">
            <w:pPr>
              <w:jc w:val="center"/>
              <w:rPr>
                <w:rFonts w:ascii="Times New Roman" w:hAnsi="Times New Roman"/>
                <w:sz w:val="24"/>
                <w:szCs w:val="24"/>
                <w:lang w:eastAsia="vi-VN"/>
              </w:rPr>
            </w:pPr>
            <w:r w:rsidRPr="006D51EE">
              <w:rPr>
                <w:rFonts w:ascii="Times New Roman" w:hAnsi="Times New Roman"/>
                <w:sz w:val="24"/>
                <w:szCs w:val="24"/>
                <w:lang w:eastAsia="vi-VN"/>
              </w:rPr>
              <w:t>1</w:t>
            </w:r>
          </w:p>
        </w:tc>
        <w:tc>
          <w:tcPr>
            <w:tcW w:w="4678" w:type="dxa"/>
            <w:shd w:val="clear" w:color="auto" w:fill="auto"/>
          </w:tcPr>
          <w:p w14:paraId="54A76EC8" w14:textId="507F6EBF" w:rsidR="00347338" w:rsidRPr="006D51EE" w:rsidRDefault="0023543A" w:rsidP="00ED6867">
            <w:pPr>
              <w:pStyle w:val="Body"/>
              <w:spacing w:line="240" w:lineRule="auto"/>
              <w:rPr>
                <w:rFonts w:hAnsi="Times New Roman" w:cs="Times New Roman"/>
                <w:b/>
                <w:bCs/>
                <w:iCs/>
                <w:color w:val="auto"/>
                <w:sz w:val="24"/>
                <w:szCs w:val="24"/>
              </w:rPr>
            </w:pPr>
            <w:r w:rsidRPr="006D51EE">
              <w:rPr>
                <w:rFonts w:hAnsi="Times New Roman" w:cs="Times New Roman"/>
                <w:b/>
                <w:sz w:val="24"/>
                <w:szCs w:val="24"/>
                <w:lang w:eastAsia="vi-VN"/>
              </w:rPr>
              <w:t>“</w:t>
            </w:r>
            <w:proofErr w:type="spellStart"/>
            <w:r w:rsidR="00347338" w:rsidRPr="006D51EE">
              <w:rPr>
                <w:rFonts w:hAnsi="Times New Roman" w:cs="Times New Roman"/>
                <w:b/>
                <w:sz w:val="24"/>
                <w:szCs w:val="24"/>
                <w:lang w:eastAsia="vi-VN"/>
              </w:rPr>
              <w:t>Điều</w:t>
            </w:r>
            <w:proofErr w:type="spellEnd"/>
            <w:r w:rsidR="00347338" w:rsidRPr="006D51EE">
              <w:rPr>
                <w:rFonts w:hAnsi="Times New Roman" w:cs="Times New Roman"/>
                <w:b/>
                <w:sz w:val="24"/>
                <w:szCs w:val="24"/>
                <w:lang w:eastAsia="vi-VN"/>
              </w:rPr>
              <w:t xml:space="preserve"> 11</w:t>
            </w:r>
            <w:r w:rsidR="007E26AC">
              <w:rPr>
                <w:rFonts w:hAnsi="Times New Roman" w:cs="Times New Roman"/>
                <w:b/>
                <w:sz w:val="24"/>
                <w:szCs w:val="24"/>
                <w:lang w:val="vi-VN" w:eastAsia="vi-VN"/>
              </w:rPr>
              <w:t>6</w:t>
            </w:r>
            <w:r w:rsidR="00347338" w:rsidRPr="006D51EE">
              <w:rPr>
                <w:rFonts w:hAnsi="Times New Roman" w:cs="Times New Roman"/>
                <w:b/>
                <w:sz w:val="24"/>
                <w:szCs w:val="24"/>
                <w:lang w:eastAsia="vi-VN"/>
              </w:rPr>
              <w:t>.</w:t>
            </w:r>
            <w:r w:rsidR="00347338" w:rsidRPr="006D51EE">
              <w:rPr>
                <w:rFonts w:hAnsi="Times New Roman" w:cs="Times New Roman"/>
                <w:sz w:val="24"/>
                <w:szCs w:val="24"/>
                <w:lang w:eastAsia="vi-VN"/>
              </w:rPr>
              <w:t xml:space="preserve"> </w:t>
            </w:r>
            <w:r w:rsidR="00347338" w:rsidRPr="006D51EE">
              <w:rPr>
                <w:rFonts w:hAnsi="Times New Roman" w:cs="Times New Roman"/>
                <w:b/>
                <w:bCs/>
                <w:iCs/>
                <w:color w:val="auto"/>
                <w:sz w:val="24"/>
                <w:szCs w:val="24"/>
              </w:rPr>
              <w:t>Các trường hợp kiến nghị về mức giá bán buôn thuốc dự kiến đã công bố, công bố lại</w:t>
            </w:r>
          </w:p>
          <w:p w14:paraId="3651DF33" w14:textId="77777777" w:rsidR="00347338" w:rsidRPr="006D51EE" w:rsidRDefault="00347338" w:rsidP="00ED6867">
            <w:pPr>
              <w:pStyle w:val="Body"/>
              <w:spacing w:line="240" w:lineRule="auto"/>
              <w:rPr>
                <w:rFonts w:hAnsi="Times New Roman" w:cs="Times New Roman"/>
                <w:bCs/>
                <w:iCs/>
                <w:color w:val="auto"/>
                <w:sz w:val="24"/>
                <w:szCs w:val="24"/>
              </w:rPr>
            </w:pPr>
            <w:r w:rsidRPr="006D51EE">
              <w:rPr>
                <w:rFonts w:hAnsi="Times New Roman" w:cs="Times New Roman"/>
                <w:bCs/>
                <w:iCs/>
                <w:color w:val="auto"/>
                <w:sz w:val="24"/>
                <w:szCs w:val="24"/>
              </w:rPr>
              <w:t xml:space="preserve">1. Đối với thuốc đã có giá bán buôn thuốc dự kiến của mặt hàng tương tự đã công bố, công bố lại và chưa có kiến nghị của Bộ Y tế: </w:t>
            </w:r>
          </w:p>
          <w:p w14:paraId="7DEC7A9F" w14:textId="77777777" w:rsidR="00347338" w:rsidRPr="006D51EE" w:rsidRDefault="00347338" w:rsidP="00347338">
            <w:pPr>
              <w:pStyle w:val="Body"/>
              <w:spacing w:line="240" w:lineRule="auto"/>
              <w:ind w:firstLine="567"/>
              <w:rPr>
                <w:rFonts w:hAnsi="Times New Roman" w:cs="Times New Roman"/>
                <w:iCs/>
                <w:color w:val="auto"/>
                <w:sz w:val="24"/>
                <w:szCs w:val="24"/>
              </w:rPr>
            </w:pPr>
            <w:r w:rsidRPr="006D51EE">
              <w:rPr>
                <w:rFonts w:hAnsi="Times New Roman" w:cs="Times New Roman"/>
                <w:iCs/>
                <w:color w:val="auto"/>
                <w:sz w:val="24"/>
                <w:szCs w:val="24"/>
              </w:rPr>
              <w:t xml:space="preserve">a) </w:t>
            </w:r>
            <w:r w:rsidRPr="006D51EE">
              <w:rPr>
                <w:rFonts w:hAnsi="Times New Roman" w:cs="Times New Roman"/>
                <w:iCs/>
                <w:color w:val="auto"/>
                <w:sz w:val="24"/>
                <w:szCs w:val="24"/>
                <w:u w:val="single"/>
              </w:rPr>
              <w:t>Giá thuốc sản xuất tại</w:t>
            </w:r>
            <w:r w:rsidRPr="006D51EE">
              <w:rPr>
                <w:rFonts w:hAnsi="Times New Roman" w:cs="Times New Roman"/>
                <w:iCs/>
                <w:color w:val="auto"/>
                <w:sz w:val="24"/>
                <w:szCs w:val="24"/>
              </w:rPr>
              <w:t xml:space="preserve"> các nước có cơ quan quản lý dược chặt chẽ cao hơn giá thuốc Biệt dược gốc hoặc sinh phẩm tham chiếu;</w:t>
            </w:r>
          </w:p>
          <w:p w14:paraId="29B7AC1D" w14:textId="237E09D4" w:rsidR="0029052E" w:rsidRPr="006D51EE" w:rsidRDefault="006F60D1" w:rsidP="006F60D1">
            <w:pPr>
              <w:pStyle w:val="Body"/>
              <w:spacing w:line="240" w:lineRule="auto"/>
              <w:ind w:firstLine="567"/>
              <w:rPr>
                <w:rFonts w:hAnsi="Times New Roman" w:cs="Times New Roman"/>
                <w:iCs/>
                <w:color w:val="auto"/>
                <w:sz w:val="24"/>
                <w:szCs w:val="24"/>
              </w:rPr>
            </w:pPr>
            <w:r w:rsidRPr="006D51EE">
              <w:rPr>
                <w:rFonts w:hAnsi="Times New Roman" w:cs="Times New Roman"/>
                <w:iCs/>
                <w:color w:val="auto"/>
                <w:sz w:val="24"/>
                <w:szCs w:val="24"/>
              </w:rPr>
              <w:t xml:space="preserve">b) </w:t>
            </w:r>
            <w:r w:rsidRPr="006D51EE">
              <w:rPr>
                <w:rFonts w:hAnsi="Times New Roman" w:cs="Times New Roman"/>
                <w:iCs/>
                <w:color w:val="auto"/>
                <w:sz w:val="24"/>
                <w:szCs w:val="24"/>
                <w:u w:val="single"/>
              </w:rPr>
              <w:t>Giá thuốc nhập khẩu sản xuất tại</w:t>
            </w:r>
            <w:r w:rsidRPr="006D51EE">
              <w:rPr>
                <w:rFonts w:hAnsi="Times New Roman" w:cs="Times New Roman"/>
                <w:iCs/>
                <w:color w:val="auto"/>
                <w:sz w:val="24"/>
                <w:szCs w:val="24"/>
              </w:rPr>
              <w:t xml:space="preserve"> các nước không có cơ quan quản lý dược chặt chẽ cao hơn giá thuốc sản xuất tại các nước có cơ quan quản lý dược chặt chẽ hoặc cao hơn giá thuốc Biệt dược gốc hoặc sinh phẩm tham chiếu;</w:t>
            </w:r>
            <w:r w:rsidR="0023543A" w:rsidRPr="006D51EE">
              <w:rPr>
                <w:rFonts w:hAnsi="Times New Roman" w:cs="Times New Roman"/>
                <w:iCs/>
                <w:color w:val="auto"/>
                <w:sz w:val="24"/>
                <w:szCs w:val="24"/>
              </w:rPr>
              <w:t>”</w:t>
            </w:r>
          </w:p>
        </w:tc>
        <w:tc>
          <w:tcPr>
            <w:tcW w:w="5386" w:type="dxa"/>
            <w:shd w:val="clear" w:color="auto" w:fill="auto"/>
          </w:tcPr>
          <w:p w14:paraId="71325142" w14:textId="77777777" w:rsidR="0029052E" w:rsidRPr="006D51EE" w:rsidRDefault="00ED6867" w:rsidP="0029052E">
            <w:pPr>
              <w:rPr>
                <w:rFonts w:ascii="Times New Roman" w:hAnsi="Times New Roman"/>
                <w:sz w:val="24"/>
                <w:szCs w:val="24"/>
                <w:lang w:eastAsia="vi-VN"/>
              </w:rPr>
            </w:pPr>
            <w:r w:rsidRPr="006D51EE">
              <w:rPr>
                <w:rFonts w:ascii="Times New Roman" w:hAnsi="Times New Roman"/>
                <w:sz w:val="24"/>
                <w:szCs w:val="24"/>
                <w:lang w:eastAsia="vi-VN"/>
              </w:rPr>
              <w:t>Sửa đổi điểm a Khoản 1 Điều 115 Dự thảo như sau:</w:t>
            </w:r>
          </w:p>
          <w:p w14:paraId="5F2B48E3" w14:textId="2651118B" w:rsidR="006F60D1" w:rsidRPr="006D51EE" w:rsidRDefault="00ED6867" w:rsidP="006F60D1">
            <w:pPr>
              <w:pStyle w:val="Body"/>
              <w:spacing w:line="240" w:lineRule="auto"/>
              <w:rPr>
                <w:rFonts w:hAnsi="Times New Roman" w:cs="Times New Roman"/>
                <w:iCs/>
                <w:color w:val="auto"/>
                <w:sz w:val="24"/>
                <w:szCs w:val="24"/>
              </w:rPr>
            </w:pPr>
            <w:r w:rsidRPr="006D51EE">
              <w:rPr>
                <w:rFonts w:hAnsi="Times New Roman" w:cs="Times New Roman"/>
                <w:sz w:val="24"/>
                <w:szCs w:val="24"/>
                <w:lang w:eastAsia="vi-VN"/>
              </w:rPr>
              <w:t>“a</w:t>
            </w:r>
            <w:r w:rsidR="006F60D1" w:rsidRPr="006D51EE">
              <w:rPr>
                <w:rFonts w:hAnsi="Times New Roman" w:cs="Times New Roman"/>
                <w:sz w:val="24"/>
                <w:szCs w:val="24"/>
                <w:lang w:eastAsia="vi-VN"/>
              </w:rPr>
              <w:t xml:space="preserve">) </w:t>
            </w:r>
            <w:r w:rsidR="006F60D1" w:rsidRPr="006D51EE">
              <w:rPr>
                <w:rFonts w:hAnsi="Times New Roman" w:cs="Times New Roman"/>
                <w:iCs/>
                <w:color w:val="auto"/>
                <w:sz w:val="24"/>
                <w:szCs w:val="24"/>
              </w:rPr>
              <w:t xml:space="preserve">Giá thuốc </w:t>
            </w:r>
            <w:r w:rsidR="006F60D1" w:rsidRPr="006D51EE">
              <w:rPr>
                <w:rFonts w:hAnsi="Times New Roman" w:cs="Times New Roman"/>
                <w:iCs/>
                <w:color w:val="FF0000"/>
                <w:sz w:val="24"/>
                <w:szCs w:val="24"/>
                <w:u w:val="single"/>
              </w:rPr>
              <w:t xml:space="preserve">nhập khẩu </w:t>
            </w:r>
            <w:r w:rsidR="006F60D1" w:rsidRPr="006D51EE">
              <w:rPr>
                <w:rFonts w:hAnsi="Times New Roman" w:cs="Times New Roman"/>
                <w:iCs/>
                <w:color w:val="auto"/>
                <w:sz w:val="24"/>
                <w:szCs w:val="24"/>
                <w:u w:val="single"/>
              </w:rPr>
              <w:t>sản xuất</w:t>
            </w:r>
            <w:r w:rsidR="006F60D1" w:rsidRPr="006D51EE">
              <w:rPr>
                <w:rFonts w:hAnsi="Times New Roman" w:cs="Times New Roman"/>
                <w:iCs/>
                <w:color w:val="auto"/>
                <w:sz w:val="24"/>
                <w:szCs w:val="24"/>
              </w:rPr>
              <w:t xml:space="preserve"> tại các nước có cơ quan quản lý dược chặt chẽ cao hơn giá thuốc Biệt dược gốc hoặc sinh phẩm tham chiếu;”</w:t>
            </w:r>
          </w:p>
          <w:p w14:paraId="0F4BB6B6" w14:textId="77777777" w:rsidR="006F60D1" w:rsidRPr="006D51EE" w:rsidRDefault="006F60D1" w:rsidP="006F60D1">
            <w:pPr>
              <w:pStyle w:val="Body"/>
              <w:spacing w:line="240" w:lineRule="auto"/>
              <w:rPr>
                <w:rFonts w:hAnsi="Times New Roman" w:cs="Times New Roman"/>
                <w:iCs/>
                <w:color w:val="auto"/>
                <w:sz w:val="24"/>
                <w:szCs w:val="24"/>
              </w:rPr>
            </w:pPr>
          </w:p>
          <w:p w14:paraId="0652AF5A" w14:textId="3246BF72" w:rsidR="00ED6867" w:rsidRPr="006D51EE" w:rsidRDefault="00ED6867" w:rsidP="0029052E">
            <w:pPr>
              <w:rPr>
                <w:rFonts w:ascii="Times New Roman" w:hAnsi="Times New Roman"/>
                <w:sz w:val="24"/>
                <w:szCs w:val="24"/>
                <w:lang w:eastAsia="vi-VN"/>
              </w:rPr>
            </w:pPr>
          </w:p>
        </w:tc>
        <w:tc>
          <w:tcPr>
            <w:tcW w:w="4253" w:type="dxa"/>
            <w:shd w:val="clear" w:color="auto" w:fill="auto"/>
          </w:tcPr>
          <w:p w14:paraId="2D1DC8DE" w14:textId="397CFF69" w:rsidR="0029052E" w:rsidRPr="006D51EE" w:rsidRDefault="00504992" w:rsidP="00C2313A">
            <w:pPr>
              <w:jc w:val="both"/>
              <w:rPr>
                <w:rFonts w:ascii="Times New Roman" w:hAnsi="Times New Roman"/>
                <w:sz w:val="24"/>
                <w:szCs w:val="24"/>
                <w:lang w:eastAsia="vi-VN"/>
              </w:rPr>
            </w:pPr>
            <w:r w:rsidRPr="006D51EE">
              <w:rPr>
                <w:rFonts w:ascii="Times New Roman" w:hAnsi="Times New Roman"/>
                <w:sz w:val="24"/>
                <w:szCs w:val="24"/>
                <w:lang w:eastAsia="vi-VN"/>
              </w:rPr>
              <w:t>Bổ sung từ ngữ làm rõ, tránh gây hiểu nhầm.</w:t>
            </w:r>
          </w:p>
        </w:tc>
      </w:tr>
      <w:tr w:rsidR="00207F80" w:rsidRPr="006D51EE" w14:paraId="4253E349" w14:textId="77777777" w:rsidTr="00D35E13">
        <w:trPr>
          <w:trHeight w:val="3614"/>
        </w:trPr>
        <w:tc>
          <w:tcPr>
            <w:tcW w:w="709" w:type="dxa"/>
            <w:shd w:val="clear" w:color="auto" w:fill="auto"/>
          </w:tcPr>
          <w:p w14:paraId="7205B61C" w14:textId="2CC8C76C" w:rsidR="0029052E" w:rsidRPr="006D51EE" w:rsidRDefault="00F50ACA" w:rsidP="0029052E">
            <w:pPr>
              <w:jc w:val="center"/>
              <w:rPr>
                <w:rFonts w:ascii="Times New Roman" w:hAnsi="Times New Roman"/>
                <w:sz w:val="24"/>
                <w:szCs w:val="24"/>
                <w:lang w:eastAsia="vi-VN"/>
              </w:rPr>
            </w:pPr>
            <w:r w:rsidRPr="006D51EE">
              <w:rPr>
                <w:rFonts w:ascii="Times New Roman" w:hAnsi="Times New Roman"/>
                <w:sz w:val="24"/>
                <w:szCs w:val="24"/>
                <w:lang w:eastAsia="vi-VN"/>
              </w:rPr>
              <w:lastRenderedPageBreak/>
              <w:t>2</w:t>
            </w:r>
          </w:p>
        </w:tc>
        <w:tc>
          <w:tcPr>
            <w:tcW w:w="4678" w:type="dxa"/>
            <w:shd w:val="clear" w:color="auto" w:fill="auto"/>
          </w:tcPr>
          <w:p w14:paraId="60283ADE" w14:textId="12F5F415" w:rsidR="0029052E" w:rsidRPr="006D51EE" w:rsidRDefault="006F60D1" w:rsidP="00504992">
            <w:pPr>
              <w:jc w:val="both"/>
              <w:rPr>
                <w:rFonts w:ascii="Times New Roman" w:hAnsi="Times New Roman"/>
                <w:sz w:val="24"/>
                <w:szCs w:val="24"/>
                <w:lang w:eastAsia="vi-VN"/>
              </w:rPr>
            </w:pPr>
            <w:r w:rsidRPr="006D51EE">
              <w:rPr>
                <w:rFonts w:ascii="Times New Roman" w:hAnsi="Times New Roman"/>
                <w:sz w:val="24"/>
                <w:szCs w:val="24"/>
                <w:lang w:eastAsia="vi-VN"/>
              </w:rPr>
              <w:t>Điểm b, c khoản 2, điểm c, đ khoản 3, điểm c khoản 4 Điều 83: Quy định đối với giấy tờ chuyên ngành mà cơ sở kinh doanh dược, tổ chức, cá nhân cần xuất trình và nộp khi thông quan xuất khẩu, nhập khẩu thuốc, nguyên liệu làm thuốc</w:t>
            </w:r>
          </w:p>
        </w:tc>
        <w:tc>
          <w:tcPr>
            <w:tcW w:w="5386" w:type="dxa"/>
            <w:shd w:val="clear" w:color="auto" w:fill="auto"/>
          </w:tcPr>
          <w:p w14:paraId="026749AB" w14:textId="2CB7D0C9" w:rsidR="0029052E" w:rsidRPr="006D51EE" w:rsidRDefault="006F60D1" w:rsidP="00504992">
            <w:pPr>
              <w:jc w:val="both"/>
              <w:rPr>
                <w:rFonts w:ascii="Times New Roman" w:hAnsi="Times New Roman"/>
                <w:sz w:val="24"/>
                <w:szCs w:val="24"/>
                <w:lang w:eastAsia="vi-VN"/>
              </w:rPr>
            </w:pPr>
            <w:r w:rsidRPr="006D51EE">
              <w:rPr>
                <w:rFonts w:ascii="Times New Roman" w:hAnsi="Times New Roman"/>
                <w:sz w:val="24"/>
                <w:szCs w:val="24"/>
                <w:lang w:eastAsia="vi-VN"/>
              </w:rPr>
              <w:t>Đề nghị bỏ các trường hợp cần "xuất trình bản chính hoặc bản sao có chứng thực để đối chiếu"</w:t>
            </w:r>
          </w:p>
        </w:tc>
        <w:tc>
          <w:tcPr>
            <w:tcW w:w="4253" w:type="dxa"/>
            <w:shd w:val="clear" w:color="auto" w:fill="auto"/>
          </w:tcPr>
          <w:p w14:paraId="07765DB4" w14:textId="77777777" w:rsidR="006F60D1" w:rsidRPr="006D51EE" w:rsidRDefault="006F60D1" w:rsidP="00504992">
            <w:pPr>
              <w:jc w:val="both"/>
              <w:rPr>
                <w:rFonts w:ascii="Times New Roman" w:hAnsi="Times New Roman"/>
                <w:sz w:val="24"/>
                <w:szCs w:val="24"/>
                <w:lang w:eastAsia="vi-VN"/>
              </w:rPr>
            </w:pPr>
            <w:r w:rsidRPr="006D51EE">
              <w:rPr>
                <w:rFonts w:ascii="Times New Roman" w:hAnsi="Times New Roman"/>
                <w:sz w:val="24"/>
                <w:szCs w:val="24"/>
                <w:lang w:eastAsia="vi-VN"/>
              </w:rPr>
              <w:t>Để đơn giản hóa thủ tục. Theo đó, cơ sở nhập khẩu đóng dấu xác nhận bản sao rồi thì phải chịu hoàn toàn trách nhiệm về tính chính xác và trung thực của các văn bản đó.</w:t>
            </w:r>
          </w:p>
          <w:p w14:paraId="4F81D1A1" w14:textId="62F56A07" w:rsidR="0029052E" w:rsidRPr="006D51EE" w:rsidRDefault="006F60D1" w:rsidP="00504992">
            <w:pPr>
              <w:jc w:val="both"/>
              <w:rPr>
                <w:rFonts w:ascii="Times New Roman" w:hAnsi="Times New Roman"/>
                <w:sz w:val="24"/>
                <w:szCs w:val="24"/>
                <w:lang w:eastAsia="vi-VN"/>
              </w:rPr>
            </w:pPr>
            <w:r w:rsidRPr="006D51EE">
              <w:rPr>
                <w:rFonts w:ascii="Times New Roman" w:hAnsi="Times New Roman"/>
                <w:sz w:val="24"/>
                <w:szCs w:val="24"/>
                <w:lang w:eastAsia="vi-VN"/>
              </w:rPr>
              <w:t>Việc yêu cầu phải xuất trình bản chính Phiếu kiểm nghiệm sẽ làm mất nhiều thời gian của doanh nghiệp trong việc đề nghị nhà sản xuất thực hiện riêng cho thị trường Việt Nam. Cùng với đó, việc gửi phiếu kiểm nghiệm gốc sẽ tốn nhiều thời gian, làm lỡ thời điểm thông quan hàng hóa, tốn kém chi phí lưu kho cũng như làm chậm tiến độ sản xuất của doanh nghiệp.</w:t>
            </w:r>
          </w:p>
        </w:tc>
      </w:tr>
      <w:tr w:rsidR="00C2313A" w:rsidRPr="006D51EE" w14:paraId="202C6879" w14:textId="77777777" w:rsidTr="00D35E13">
        <w:trPr>
          <w:trHeight w:val="3112"/>
        </w:trPr>
        <w:tc>
          <w:tcPr>
            <w:tcW w:w="709" w:type="dxa"/>
            <w:shd w:val="clear" w:color="auto" w:fill="auto"/>
          </w:tcPr>
          <w:p w14:paraId="5C5686EF" w14:textId="270B57F3" w:rsidR="00C2313A" w:rsidRPr="006D51EE" w:rsidRDefault="00F50ACA" w:rsidP="0029052E">
            <w:pPr>
              <w:jc w:val="center"/>
              <w:rPr>
                <w:rFonts w:ascii="Times New Roman" w:hAnsi="Times New Roman"/>
                <w:sz w:val="24"/>
                <w:szCs w:val="24"/>
                <w:lang w:eastAsia="vi-VN"/>
              </w:rPr>
            </w:pPr>
            <w:r w:rsidRPr="006D51EE">
              <w:rPr>
                <w:rFonts w:ascii="Times New Roman" w:hAnsi="Times New Roman"/>
                <w:sz w:val="24"/>
                <w:szCs w:val="24"/>
                <w:lang w:eastAsia="vi-VN"/>
              </w:rPr>
              <w:t>3</w:t>
            </w:r>
          </w:p>
        </w:tc>
        <w:tc>
          <w:tcPr>
            <w:tcW w:w="4678" w:type="dxa"/>
            <w:shd w:val="clear" w:color="auto" w:fill="auto"/>
          </w:tcPr>
          <w:p w14:paraId="1F219EA0" w14:textId="3A35D803" w:rsidR="000A0622" w:rsidRPr="006D51EE" w:rsidRDefault="0023543A" w:rsidP="0023543A">
            <w:pPr>
              <w:autoSpaceDE w:val="0"/>
              <w:autoSpaceDN w:val="0"/>
              <w:adjustRightInd w:val="0"/>
              <w:rPr>
                <w:rFonts w:ascii="Times New Roman" w:eastAsia="Arial Unicode MS" w:hAnsi="Times New Roman"/>
                <w:b/>
                <w:color w:val="000000"/>
                <w:sz w:val="24"/>
                <w:szCs w:val="24"/>
                <w:u w:color="000000"/>
                <w:bdr w:val="nil"/>
                <w:lang w:eastAsia="vi-VN"/>
              </w:rPr>
            </w:pPr>
            <w:r w:rsidRPr="006D51EE">
              <w:rPr>
                <w:rFonts w:ascii="Times New Roman" w:eastAsia="Arial Unicode MS" w:hAnsi="Times New Roman"/>
                <w:b/>
                <w:color w:val="000000"/>
                <w:sz w:val="24"/>
                <w:szCs w:val="24"/>
                <w:u w:color="000000"/>
                <w:bdr w:val="nil"/>
                <w:lang w:eastAsia="vi-VN"/>
              </w:rPr>
              <w:t>“</w:t>
            </w:r>
            <w:r w:rsidR="000A0622" w:rsidRPr="006D51EE">
              <w:rPr>
                <w:rFonts w:ascii="Times New Roman" w:eastAsia="Arial Unicode MS" w:hAnsi="Times New Roman"/>
                <w:b/>
                <w:color w:val="000000"/>
                <w:sz w:val="24"/>
                <w:szCs w:val="24"/>
                <w:u w:color="000000"/>
                <w:bdr w:val="nil"/>
                <w:lang w:eastAsia="vi-VN"/>
              </w:rPr>
              <w:t>Điều 27</w:t>
            </w:r>
            <w:r w:rsidR="000A0622" w:rsidRPr="006D51EE">
              <w:rPr>
                <w:rFonts w:ascii="Times New Roman" w:eastAsia="Arial Unicode MS" w:hAnsi="Times New Roman"/>
                <w:b/>
                <w:color w:val="000000"/>
                <w:sz w:val="24"/>
                <w:szCs w:val="24"/>
                <w:u w:color="000000"/>
                <w:bdr w:val="nil"/>
                <w:vertAlign w:val="superscript"/>
                <w:lang w:eastAsia="vi-VN"/>
              </w:rPr>
              <w:footnoteReference w:id="1"/>
            </w:r>
            <w:r w:rsidR="000A0622" w:rsidRPr="006D51EE">
              <w:rPr>
                <w:rFonts w:ascii="Times New Roman" w:eastAsia="Arial Unicode MS" w:hAnsi="Times New Roman"/>
                <w:b/>
                <w:color w:val="000000"/>
                <w:sz w:val="24"/>
                <w:szCs w:val="24"/>
                <w:u w:color="000000"/>
                <w:bdr w:val="nil"/>
                <w:lang w:eastAsia="vi-VN"/>
              </w:rPr>
              <w:t xml:space="preserve">. Địa bàn mở quầy thuốc, tủ thuốc trạm y tế xã </w:t>
            </w:r>
          </w:p>
          <w:p w14:paraId="67CF2A3A" w14:textId="77777777" w:rsidR="000A0622" w:rsidRPr="006D51EE" w:rsidRDefault="000A0622" w:rsidP="0023543A">
            <w:pPr>
              <w:autoSpaceDE w:val="0"/>
              <w:autoSpaceDN w:val="0"/>
              <w:adjustRightInd w:val="0"/>
              <w:jc w:val="both"/>
              <w:rPr>
                <w:rFonts w:ascii="Times New Roman" w:eastAsia="Arial Unicode MS" w:hAnsi="Times New Roman"/>
                <w:bCs/>
                <w:iCs/>
                <w:sz w:val="24"/>
                <w:szCs w:val="24"/>
                <w:u w:color="000000"/>
                <w:bdr w:val="nil"/>
              </w:rPr>
            </w:pPr>
            <w:r w:rsidRPr="006D51EE">
              <w:rPr>
                <w:rFonts w:ascii="Times New Roman" w:eastAsia="Arial Unicode MS" w:hAnsi="Times New Roman"/>
                <w:bCs/>
                <w:iCs/>
                <w:sz w:val="24"/>
                <w:szCs w:val="24"/>
                <w:u w:color="000000"/>
                <w:bdr w:val="nil"/>
              </w:rPr>
              <w:t>1. Địa bàn mở quầy thuốc:</w:t>
            </w:r>
          </w:p>
          <w:p w14:paraId="1193E590" w14:textId="77777777" w:rsidR="000A0622" w:rsidRPr="006D51EE" w:rsidRDefault="000A0622" w:rsidP="0023543A">
            <w:pPr>
              <w:autoSpaceDE w:val="0"/>
              <w:autoSpaceDN w:val="0"/>
              <w:adjustRightInd w:val="0"/>
              <w:jc w:val="both"/>
              <w:rPr>
                <w:rFonts w:ascii="Times New Roman" w:eastAsia="Arial Unicode MS" w:hAnsi="Times New Roman"/>
                <w:bCs/>
                <w:iCs/>
                <w:sz w:val="24"/>
                <w:szCs w:val="24"/>
                <w:u w:color="000000"/>
                <w:bdr w:val="nil"/>
              </w:rPr>
            </w:pPr>
            <w:r w:rsidRPr="006D51EE">
              <w:rPr>
                <w:rFonts w:ascii="Times New Roman" w:eastAsia="Arial Unicode MS" w:hAnsi="Times New Roman"/>
                <w:bCs/>
                <w:iCs/>
                <w:sz w:val="24"/>
                <w:szCs w:val="24"/>
                <w:u w:color="000000"/>
                <w:bdr w:val="nil"/>
              </w:rPr>
              <w:t>a) Xã, thị trấn;</w:t>
            </w:r>
          </w:p>
          <w:p w14:paraId="08D3003E" w14:textId="77777777" w:rsidR="00C2313A" w:rsidRPr="006D51EE" w:rsidRDefault="000A0622" w:rsidP="0023543A">
            <w:pPr>
              <w:jc w:val="both"/>
              <w:rPr>
                <w:rFonts w:ascii="Times New Roman" w:eastAsia="Arial Unicode MS" w:hAnsi="Times New Roman"/>
                <w:bCs/>
                <w:iCs/>
                <w:sz w:val="24"/>
                <w:szCs w:val="24"/>
                <w:u w:color="000000"/>
                <w:bdr w:val="nil"/>
              </w:rPr>
            </w:pPr>
            <w:r w:rsidRPr="006D51EE">
              <w:rPr>
                <w:rFonts w:ascii="Times New Roman" w:eastAsia="Arial Unicode MS" w:hAnsi="Times New Roman"/>
                <w:bCs/>
                <w:iCs/>
                <w:sz w:val="24"/>
                <w:szCs w:val="24"/>
                <w:u w:color="000000"/>
                <w:bdr w:val="nil"/>
              </w:rPr>
              <w:t xml:space="preserve">b) Các địa bàn mới được chuyển đổi từ xã, thị trấn thành phường, </w:t>
            </w:r>
            <w:r w:rsidRPr="006D51EE">
              <w:rPr>
                <w:rFonts w:ascii="Times New Roman" w:eastAsia="Arial Unicode MS" w:hAnsi="Times New Roman"/>
                <w:bCs/>
                <w:iCs/>
                <w:sz w:val="24"/>
                <w:szCs w:val="24"/>
                <w:u w:val="single" w:color="000000"/>
                <w:bdr w:val="nil"/>
              </w:rPr>
              <w:t xml:space="preserve">nếu chưa có đủ một cơ sở bán lẻ thuốc phục vụ </w:t>
            </w:r>
            <w:r w:rsidRPr="006D51EE">
              <w:rPr>
                <w:rFonts w:ascii="Times New Roman" w:eastAsia="Arial Unicode MS" w:hAnsi="Times New Roman"/>
                <w:bCs/>
                <w:iCs/>
                <w:color w:val="FF0000"/>
                <w:sz w:val="24"/>
                <w:szCs w:val="24"/>
                <w:u w:val="single" w:color="000000"/>
                <w:bdr w:val="nil"/>
              </w:rPr>
              <w:t xml:space="preserve">2.000 </w:t>
            </w:r>
            <w:r w:rsidRPr="006D51EE">
              <w:rPr>
                <w:rFonts w:ascii="Times New Roman" w:eastAsia="Arial Unicode MS" w:hAnsi="Times New Roman"/>
                <w:bCs/>
                <w:iCs/>
                <w:sz w:val="24"/>
                <w:szCs w:val="24"/>
                <w:u w:val="single" w:color="000000"/>
                <w:bdr w:val="nil"/>
              </w:rPr>
              <w:t>dân</w:t>
            </w:r>
            <w:r w:rsidRPr="006D51EE">
              <w:rPr>
                <w:rFonts w:ascii="Times New Roman" w:eastAsia="Arial Unicode MS" w:hAnsi="Times New Roman"/>
                <w:bCs/>
                <w:iCs/>
                <w:sz w:val="24"/>
                <w:szCs w:val="24"/>
                <w:u w:color="000000"/>
                <w:bdr w:val="nil"/>
              </w:rPr>
              <w:t xml:space="preserve"> thì được tiếp tục mở mới quầy thuốc và được phép hoạt động không quá 03 năm kể từ ngày địa bàn được chuyển đổi;</w:t>
            </w:r>
          </w:p>
          <w:p w14:paraId="7E836B04" w14:textId="4ACDBC32" w:rsidR="0023543A" w:rsidRPr="006D51EE" w:rsidRDefault="0023543A" w:rsidP="0023543A">
            <w:pPr>
              <w:jc w:val="both"/>
              <w:rPr>
                <w:rFonts w:ascii="Times New Roman" w:hAnsi="Times New Roman"/>
                <w:b/>
                <w:sz w:val="24"/>
                <w:szCs w:val="24"/>
                <w:lang w:val="fr-FR"/>
              </w:rPr>
            </w:pPr>
            <w:r w:rsidRPr="006D51EE">
              <w:rPr>
                <w:rFonts w:ascii="Times New Roman" w:eastAsia="Arial Unicode MS" w:hAnsi="Times New Roman"/>
                <w:bCs/>
                <w:iCs/>
                <w:sz w:val="24"/>
                <w:szCs w:val="24"/>
                <w:u w:color="000000"/>
                <w:bdr w:val="nil"/>
              </w:rPr>
              <w:t>c) […]</w:t>
            </w:r>
            <w:r w:rsidR="00F50ACA" w:rsidRPr="006D51EE">
              <w:rPr>
                <w:rFonts w:ascii="Times New Roman" w:eastAsia="Arial Unicode MS" w:hAnsi="Times New Roman"/>
                <w:b/>
                <w:color w:val="000000"/>
                <w:sz w:val="24"/>
                <w:szCs w:val="24"/>
                <w:u w:color="000000"/>
                <w:bdr w:val="nil"/>
                <w:lang w:eastAsia="vi-VN"/>
              </w:rPr>
              <w:t>”</w:t>
            </w:r>
          </w:p>
        </w:tc>
        <w:tc>
          <w:tcPr>
            <w:tcW w:w="5386" w:type="dxa"/>
            <w:shd w:val="clear" w:color="auto" w:fill="auto"/>
          </w:tcPr>
          <w:p w14:paraId="12AD83BF" w14:textId="65FC9CF9" w:rsidR="00C2313A" w:rsidRPr="006D51EE" w:rsidRDefault="00F1559E" w:rsidP="0029052E">
            <w:pPr>
              <w:rPr>
                <w:rFonts w:ascii="Times New Roman" w:hAnsi="Times New Roman"/>
                <w:sz w:val="24"/>
                <w:szCs w:val="24"/>
                <w:lang w:eastAsia="vi-VN"/>
              </w:rPr>
            </w:pPr>
            <w:r w:rsidRPr="006D51EE">
              <w:rPr>
                <w:rFonts w:ascii="Times New Roman" w:hAnsi="Times New Roman"/>
                <w:sz w:val="24"/>
                <w:szCs w:val="24"/>
                <w:lang w:eastAsia="vi-VN"/>
              </w:rPr>
              <w:t>Đề nghị xem xét lại con số 2.000 dân quy định</w:t>
            </w:r>
            <w:r w:rsidR="0023543A" w:rsidRPr="006D51EE">
              <w:rPr>
                <w:rFonts w:ascii="Times New Roman" w:hAnsi="Times New Roman"/>
                <w:sz w:val="24"/>
                <w:szCs w:val="24"/>
                <w:lang w:eastAsia="vi-VN"/>
              </w:rPr>
              <w:t xml:space="preserve"> </w:t>
            </w:r>
            <w:r w:rsidRPr="006D51EE">
              <w:rPr>
                <w:rFonts w:ascii="Times New Roman" w:hAnsi="Times New Roman"/>
                <w:sz w:val="24"/>
                <w:szCs w:val="24"/>
                <w:lang w:eastAsia="vi-VN"/>
              </w:rPr>
              <w:t>tại điểm b Khoản 1 Điều 271 Dự thảo</w:t>
            </w:r>
            <w:r w:rsidR="00F50ACA" w:rsidRPr="006D51EE">
              <w:rPr>
                <w:rFonts w:ascii="Times New Roman" w:hAnsi="Times New Roman"/>
                <w:sz w:val="24"/>
                <w:szCs w:val="24"/>
                <w:lang w:eastAsia="vi-VN"/>
              </w:rPr>
              <w:t>.</w:t>
            </w:r>
          </w:p>
        </w:tc>
        <w:tc>
          <w:tcPr>
            <w:tcW w:w="4253" w:type="dxa"/>
            <w:shd w:val="clear" w:color="auto" w:fill="auto"/>
          </w:tcPr>
          <w:p w14:paraId="25A403A4" w14:textId="4403C0C5" w:rsidR="00C2313A" w:rsidRPr="006D51EE" w:rsidRDefault="00F50ACA" w:rsidP="00C2313A">
            <w:pPr>
              <w:jc w:val="both"/>
              <w:rPr>
                <w:rFonts w:ascii="Times New Roman" w:hAnsi="Times New Roman"/>
                <w:sz w:val="24"/>
                <w:szCs w:val="24"/>
                <w:lang w:eastAsia="vi-VN"/>
              </w:rPr>
            </w:pPr>
            <w:r w:rsidRPr="006D51EE">
              <w:rPr>
                <w:rFonts w:ascii="Times New Roman" w:hAnsi="Times New Roman"/>
                <w:sz w:val="24"/>
                <w:szCs w:val="24"/>
                <w:lang w:eastAsia="vi-VN"/>
              </w:rPr>
              <w:t xml:space="preserve">Một cơ sở bán lẻ thuốc phục vụ tối thiểu 2.000 dân thì có thể gây quá tải hệ thống chăm sóc sức khỏe. Trong khi đó, nhu cầu chăm sóc sức khỏe ngày càng </w:t>
            </w:r>
            <w:proofErr w:type="spellStart"/>
            <w:r w:rsidRPr="006D51EE">
              <w:rPr>
                <w:rFonts w:ascii="Times New Roman" w:hAnsi="Times New Roman"/>
                <w:sz w:val="24"/>
                <w:szCs w:val="24"/>
                <w:lang w:eastAsia="vi-VN"/>
              </w:rPr>
              <w:t>lớn</w:t>
            </w:r>
            <w:proofErr w:type="spellEnd"/>
            <w:r w:rsidRPr="006D51EE">
              <w:rPr>
                <w:rFonts w:ascii="Times New Roman" w:hAnsi="Times New Roman"/>
                <w:sz w:val="24"/>
                <w:szCs w:val="24"/>
                <w:lang w:eastAsia="vi-VN"/>
              </w:rPr>
              <w:t xml:space="preserve"> </w:t>
            </w:r>
            <w:proofErr w:type="spellStart"/>
            <w:r w:rsidRPr="006D51EE">
              <w:rPr>
                <w:rFonts w:ascii="Times New Roman" w:hAnsi="Times New Roman"/>
                <w:sz w:val="24"/>
                <w:szCs w:val="24"/>
                <w:lang w:eastAsia="vi-VN"/>
              </w:rPr>
              <w:t>và</w:t>
            </w:r>
            <w:proofErr w:type="spellEnd"/>
            <w:r w:rsidRPr="006D51EE">
              <w:rPr>
                <w:rFonts w:ascii="Times New Roman" w:hAnsi="Times New Roman"/>
                <w:sz w:val="24"/>
                <w:szCs w:val="24"/>
                <w:lang w:eastAsia="vi-VN"/>
              </w:rPr>
              <w:t xml:space="preserve"> </w:t>
            </w:r>
            <w:proofErr w:type="spellStart"/>
            <w:r w:rsidRPr="006D51EE">
              <w:rPr>
                <w:rFonts w:ascii="Times New Roman" w:hAnsi="Times New Roman"/>
                <w:sz w:val="24"/>
                <w:szCs w:val="24"/>
                <w:lang w:eastAsia="vi-VN"/>
              </w:rPr>
              <w:t>cần</w:t>
            </w:r>
            <w:proofErr w:type="spellEnd"/>
            <w:r w:rsidRPr="006D51EE">
              <w:rPr>
                <w:rFonts w:ascii="Times New Roman" w:hAnsi="Times New Roman"/>
                <w:sz w:val="24"/>
                <w:szCs w:val="24"/>
                <w:lang w:eastAsia="vi-VN"/>
              </w:rPr>
              <w:t xml:space="preserve"> </w:t>
            </w:r>
            <w:proofErr w:type="spellStart"/>
            <w:r w:rsidRPr="006D51EE">
              <w:rPr>
                <w:rFonts w:ascii="Times New Roman" w:hAnsi="Times New Roman"/>
                <w:sz w:val="24"/>
                <w:szCs w:val="24"/>
                <w:lang w:eastAsia="vi-VN"/>
              </w:rPr>
              <w:t>tỷ</w:t>
            </w:r>
            <w:proofErr w:type="spellEnd"/>
            <w:r w:rsidRPr="006D51EE">
              <w:rPr>
                <w:rFonts w:ascii="Times New Roman" w:hAnsi="Times New Roman"/>
                <w:sz w:val="24"/>
                <w:szCs w:val="24"/>
                <w:lang w:eastAsia="vi-VN"/>
              </w:rPr>
              <w:t xml:space="preserve"> </w:t>
            </w:r>
            <w:proofErr w:type="spellStart"/>
            <w:r w:rsidRPr="006D51EE">
              <w:rPr>
                <w:rFonts w:ascii="Times New Roman" w:hAnsi="Times New Roman"/>
                <w:sz w:val="24"/>
                <w:szCs w:val="24"/>
                <w:lang w:eastAsia="vi-VN"/>
              </w:rPr>
              <w:t>lệ</w:t>
            </w:r>
            <w:proofErr w:type="spellEnd"/>
            <w:r w:rsidRPr="006D51EE">
              <w:rPr>
                <w:rFonts w:ascii="Times New Roman" w:hAnsi="Times New Roman"/>
                <w:sz w:val="24"/>
                <w:szCs w:val="24"/>
                <w:lang w:eastAsia="vi-VN"/>
              </w:rPr>
              <w:t xml:space="preserve"> </w:t>
            </w:r>
            <w:proofErr w:type="spellStart"/>
            <w:r w:rsidRPr="006D51EE">
              <w:rPr>
                <w:rFonts w:ascii="Times New Roman" w:hAnsi="Times New Roman"/>
                <w:sz w:val="24"/>
                <w:szCs w:val="24"/>
                <w:lang w:eastAsia="vi-VN"/>
              </w:rPr>
              <w:t>thuận</w:t>
            </w:r>
            <w:proofErr w:type="spellEnd"/>
            <w:r w:rsidRPr="006D51EE">
              <w:rPr>
                <w:rFonts w:ascii="Times New Roman" w:hAnsi="Times New Roman"/>
                <w:sz w:val="24"/>
                <w:szCs w:val="24"/>
                <w:lang w:eastAsia="vi-VN"/>
              </w:rPr>
              <w:t xml:space="preserve"> </w:t>
            </w:r>
            <w:proofErr w:type="spellStart"/>
            <w:r w:rsidRPr="006D51EE">
              <w:rPr>
                <w:rFonts w:ascii="Times New Roman" w:hAnsi="Times New Roman"/>
                <w:sz w:val="24"/>
                <w:szCs w:val="24"/>
                <w:lang w:eastAsia="vi-VN"/>
              </w:rPr>
              <w:t>với</w:t>
            </w:r>
            <w:proofErr w:type="spellEnd"/>
            <w:r w:rsidRPr="006D51EE">
              <w:rPr>
                <w:rFonts w:ascii="Times New Roman" w:hAnsi="Times New Roman"/>
                <w:sz w:val="24"/>
                <w:szCs w:val="24"/>
                <w:lang w:eastAsia="vi-VN"/>
              </w:rPr>
              <w:t xml:space="preserve"> số lượng cơ sở bán lẻ trên địa bàn. Do đó, kính đề nghị Ban soạn thảo xem xét tính toán lại số lượng người dân được phục vụ tính trên một cơ sở bán lẻ thuốc được quy định tại điểm b Khoản 1 Điều 271 này.</w:t>
            </w:r>
          </w:p>
        </w:tc>
      </w:tr>
      <w:tr w:rsidR="00AB0B49" w:rsidRPr="006D51EE" w14:paraId="4B54BEE3" w14:textId="77777777" w:rsidTr="00D35E13">
        <w:trPr>
          <w:trHeight w:val="1265"/>
        </w:trPr>
        <w:tc>
          <w:tcPr>
            <w:tcW w:w="709" w:type="dxa"/>
            <w:shd w:val="clear" w:color="auto" w:fill="auto"/>
          </w:tcPr>
          <w:p w14:paraId="3620BF8A" w14:textId="1E0BF366" w:rsidR="00AB0B49" w:rsidRPr="006D51EE" w:rsidRDefault="00AB0B49" w:rsidP="0029052E">
            <w:pPr>
              <w:jc w:val="center"/>
              <w:rPr>
                <w:rFonts w:ascii="Times New Roman" w:hAnsi="Times New Roman"/>
                <w:sz w:val="24"/>
                <w:szCs w:val="24"/>
                <w:lang w:eastAsia="vi-VN"/>
              </w:rPr>
            </w:pPr>
            <w:r w:rsidRPr="006D51EE">
              <w:rPr>
                <w:rFonts w:ascii="Times New Roman" w:hAnsi="Times New Roman"/>
                <w:sz w:val="24"/>
                <w:szCs w:val="24"/>
                <w:lang w:eastAsia="vi-VN"/>
              </w:rPr>
              <w:t>4</w:t>
            </w:r>
          </w:p>
        </w:tc>
        <w:tc>
          <w:tcPr>
            <w:tcW w:w="4678" w:type="dxa"/>
            <w:shd w:val="clear" w:color="auto" w:fill="auto"/>
          </w:tcPr>
          <w:p w14:paraId="2160E0C9" w14:textId="518533A5" w:rsidR="00AB0B49" w:rsidRPr="006D51EE" w:rsidRDefault="00AB0B49" w:rsidP="0023543A">
            <w:pPr>
              <w:autoSpaceDE w:val="0"/>
              <w:autoSpaceDN w:val="0"/>
              <w:adjustRightInd w:val="0"/>
              <w:rPr>
                <w:rFonts w:ascii="Times New Roman" w:eastAsia="Arial Unicode MS" w:hAnsi="Times New Roman"/>
                <w:b/>
                <w:color w:val="000000"/>
                <w:sz w:val="24"/>
                <w:szCs w:val="24"/>
                <w:u w:color="000000"/>
                <w:bdr w:val="nil"/>
                <w:lang w:eastAsia="vi-VN"/>
              </w:rPr>
            </w:pPr>
            <w:r w:rsidRPr="006D51EE">
              <w:rPr>
                <w:rFonts w:ascii="Times New Roman" w:eastAsia="Arial Unicode MS" w:hAnsi="Times New Roman"/>
                <w:bCs/>
                <w:iCs/>
                <w:sz w:val="24"/>
                <w:szCs w:val="24"/>
                <w:u w:color="000000"/>
                <w:bdr w:val="nil"/>
              </w:rPr>
              <w:t>Quy định về “Đơn vị đóng gói nhỏ nhất để tính thặng số bán lẻ”</w:t>
            </w:r>
          </w:p>
        </w:tc>
        <w:tc>
          <w:tcPr>
            <w:tcW w:w="5386" w:type="dxa"/>
            <w:shd w:val="clear" w:color="auto" w:fill="auto"/>
          </w:tcPr>
          <w:p w14:paraId="1C9C35B8" w14:textId="1AECC2DF" w:rsidR="00AB0B49" w:rsidRPr="006D51EE" w:rsidRDefault="00AB0B49" w:rsidP="0029052E">
            <w:pPr>
              <w:rPr>
                <w:rFonts w:ascii="Times New Roman" w:hAnsi="Times New Roman"/>
                <w:sz w:val="24"/>
                <w:szCs w:val="24"/>
                <w:lang w:eastAsia="vi-VN"/>
              </w:rPr>
            </w:pPr>
            <w:r w:rsidRPr="006D51EE">
              <w:rPr>
                <w:rFonts w:ascii="Times New Roman" w:eastAsia="Arial Unicode MS" w:hAnsi="Times New Roman"/>
                <w:bCs/>
                <w:iCs/>
                <w:sz w:val="24"/>
                <w:szCs w:val="24"/>
                <w:u w:color="000000"/>
                <w:bdr w:val="nil"/>
              </w:rPr>
              <w:t xml:space="preserve">Quy định về “Đơn vị đóng gói nhỏ nhất để tính thặng số bán lẻ” nên để tại Nghị định </w:t>
            </w:r>
            <w:r w:rsidR="008957D3" w:rsidRPr="006D51EE">
              <w:rPr>
                <w:rFonts w:ascii="Times New Roman" w:eastAsia="Arial Unicode MS" w:hAnsi="Times New Roman"/>
                <w:bCs/>
                <w:iCs/>
                <w:sz w:val="24"/>
                <w:szCs w:val="24"/>
                <w:u w:color="000000"/>
                <w:bdr w:val="nil"/>
              </w:rPr>
              <w:t xml:space="preserve">(Điều 118 Dự thảo) thay </w:t>
            </w:r>
            <w:r w:rsidRPr="006D51EE">
              <w:rPr>
                <w:rFonts w:ascii="Times New Roman" w:eastAsia="Arial Unicode MS" w:hAnsi="Times New Roman"/>
                <w:bCs/>
                <w:iCs/>
                <w:sz w:val="24"/>
                <w:szCs w:val="24"/>
                <w:u w:color="000000"/>
                <w:bdr w:val="nil"/>
              </w:rPr>
              <w:t>vì đưa vào Phụ lục</w:t>
            </w:r>
            <w:r w:rsidRPr="006D51EE">
              <w:rPr>
                <w:rFonts w:ascii="Times New Roman" w:hAnsi="Times New Roman"/>
                <w:strike/>
                <w:spacing w:val="-4"/>
                <w:sz w:val="24"/>
                <w:szCs w:val="24"/>
                <w:lang w:val="pt-BR"/>
              </w:rPr>
              <w:t xml:space="preserve"> </w:t>
            </w:r>
          </w:p>
        </w:tc>
        <w:tc>
          <w:tcPr>
            <w:tcW w:w="4253" w:type="dxa"/>
            <w:shd w:val="clear" w:color="auto" w:fill="auto"/>
          </w:tcPr>
          <w:p w14:paraId="2FC59E40" w14:textId="1C192DAB" w:rsidR="00AB0B49" w:rsidRPr="006D51EE" w:rsidRDefault="00AB0B49" w:rsidP="00AB0B49">
            <w:pPr>
              <w:rPr>
                <w:rFonts w:ascii="Times New Roman" w:hAnsi="Times New Roman"/>
                <w:sz w:val="24"/>
                <w:szCs w:val="24"/>
                <w:lang w:eastAsia="vi-VN"/>
              </w:rPr>
            </w:pPr>
            <w:r w:rsidRPr="006D51EE">
              <w:rPr>
                <w:rFonts w:ascii="Times New Roman" w:eastAsia="Arial Unicode MS" w:hAnsi="Times New Roman"/>
                <w:bCs/>
                <w:iCs/>
                <w:sz w:val="24"/>
                <w:szCs w:val="24"/>
                <w:u w:color="000000"/>
                <w:bdr w:val="nil"/>
              </w:rPr>
              <w:t>để thuận tiện cho việc theo dõi và áp dụng.</w:t>
            </w:r>
          </w:p>
        </w:tc>
      </w:tr>
      <w:tr w:rsidR="008957D3" w:rsidRPr="006D51EE" w14:paraId="1C9467EE" w14:textId="77777777" w:rsidTr="00D35E13">
        <w:trPr>
          <w:trHeight w:val="2339"/>
        </w:trPr>
        <w:tc>
          <w:tcPr>
            <w:tcW w:w="709" w:type="dxa"/>
            <w:shd w:val="clear" w:color="auto" w:fill="auto"/>
          </w:tcPr>
          <w:p w14:paraId="58821267" w14:textId="4A27294E" w:rsidR="008957D3" w:rsidRPr="006D51EE" w:rsidRDefault="006D51EE" w:rsidP="0029052E">
            <w:pPr>
              <w:jc w:val="center"/>
              <w:rPr>
                <w:rFonts w:ascii="Times New Roman" w:hAnsi="Times New Roman"/>
                <w:sz w:val="24"/>
                <w:szCs w:val="24"/>
                <w:lang w:eastAsia="vi-VN"/>
              </w:rPr>
            </w:pPr>
            <w:r>
              <w:rPr>
                <w:rFonts w:ascii="Times New Roman" w:hAnsi="Times New Roman"/>
                <w:sz w:val="24"/>
                <w:szCs w:val="24"/>
                <w:lang w:eastAsia="vi-VN"/>
              </w:rPr>
              <w:lastRenderedPageBreak/>
              <w:t>5</w:t>
            </w:r>
          </w:p>
        </w:tc>
        <w:tc>
          <w:tcPr>
            <w:tcW w:w="4678" w:type="dxa"/>
            <w:shd w:val="clear" w:color="auto" w:fill="auto"/>
          </w:tcPr>
          <w:p w14:paraId="04540307" w14:textId="7C9AAFBA" w:rsidR="008957D3" w:rsidRPr="006D51EE" w:rsidRDefault="008957D3" w:rsidP="008957D3">
            <w:pPr>
              <w:rPr>
                <w:rFonts w:ascii="Times New Roman" w:hAnsi="Times New Roman"/>
                <w:b/>
                <w:bCs/>
                <w:spacing w:val="-6"/>
                <w:sz w:val="24"/>
                <w:szCs w:val="24"/>
              </w:rPr>
            </w:pPr>
            <w:r w:rsidRPr="006D51EE">
              <w:rPr>
                <w:rFonts w:ascii="Times New Roman" w:hAnsi="Times New Roman"/>
                <w:b/>
                <w:spacing w:val="-6"/>
                <w:sz w:val="24"/>
                <w:szCs w:val="24"/>
                <w:lang w:val="vi-VN" w:eastAsia="vi-VN"/>
              </w:rPr>
              <w:t>Điều</w:t>
            </w:r>
            <w:r w:rsidRPr="006D51EE">
              <w:rPr>
                <w:rFonts w:ascii="Times New Roman" w:hAnsi="Times New Roman"/>
                <w:b/>
                <w:spacing w:val="-6"/>
                <w:sz w:val="24"/>
                <w:szCs w:val="24"/>
                <w:lang w:eastAsia="vi-VN"/>
              </w:rPr>
              <w:t xml:space="preserve"> 79</w:t>
            </w:r>
            <w:r w:rsidRPr="006D51EE">
              <w:rPr>
                <w:rStyle w:val="FootnoteReference"/>
                <w:rFonts w:ascii="Times New Roman" w:hAnsi="Times New Roman"/>
                <w:b/>
                <w:spacing w:val="-6"/>
                <w:sz w:val="24"/>
                <w:szCs w:val="24"/>
                <w:lang w:eastAsia="vi-VN"/>
              </w:rPr>
              <w:footnoteReference w:id="2"/>
            </w:r>
            <w:r w:rsidRPr="006D51EE">
              <w:rPr>
                <w:rFonts w:ascii="Times New Roman" w:hAnsi="Times New Roman"/>
                <w:b/>
                <w:spacing w:val="-6"/>
                <w:sz w:val="24"/>
                <w:szCs w:val="24"/>
                <w:lang w:eastAsia="vi-VN"/>
              </w:rPr>
              <w:t xml:space="preserve">. </w:t>
            </w:r>
            <w:r w:rsidRPr="006D51EE">
              <w:rPr>
                <w:rFonts w:ascii="Times New Roman" w:hAnsi="Times New Roman"/>
                <w:b/>
                <w:bCs/>
                <w:spacing w:val="-6"/>
                <w:sz w:val="24"/>
                <w:szCs w:val="24"/>
              </w:rPr>
              <w:t>Thủ tục và thời gian cấp phép nhập khẩu nguyên liệu làm thuốc chưa có Giấy đăng ký lưu hành tại Việt Nam trừ nguyên liệu làm t</w:t>
            </w:r>
            <w:r w:rsidRPr="006D51EE">
              <w:rPr>
                <w:rFonts w:ascii="Times New Roman" w:hAnsi="Times New Roman"/>
                <w:b/>
                <w:bCs/>
                <w:spacing w:val="-6"/>
                <w:sz w:val="24"/>
                <w:szCs w:val="24"/>
                <w:lang w:val="vi-VN"/>
              </w:rPr>
              <w:t>hu</w:t>
            </w:r>
            <w:r w:rsidRPr="006D51EE">
              <w:rPr>
                <w:rFonts w:ascii="Times New Roman" w:hAnsi="Times New Roman"/>
                <w:b/>
                <w:bCs/>
                <w:spacing w:val="-6"/>
                <w:sz w:val="24"/>
                <w:szCs w:val="24"/>
              </w:rPr>
              <w:t>ố</w:t>
            </w:r>
            <w:r w:rsidRPr="006D51EE">
              <w:rPr>
                <w:rFonts w:ascii="Times New Roman" w:hAnsi="Times New Roman"/>
                <w:b/>
                <w:bCs/>
                <w:spacing w:val="-6"/>
                <w:sz w:val="24"/>
                <w:szCs w:val="24"/>
                <w:lang w:val="vi-VN"/>
              </w:rPr>
              <w:t>c phải kiểm soát đặc biệt</w:t>
            </w:r>
            <w:r w:rsidRPr="006D51EE">
              <w:rPr>
                <w:rFonts w:ascii="Times New Roman" w:hAnsi="Times New Roman"/>
                <w:b/>
                <w:bCs/>
                <w:spacing w:val="-6"/>
                <w:sz w:val="24"/>
                <w:szCs w:val="24"/>
              </w:rPr>
              <w:t xml:space="preserve">; bao bì tiếp xúc trực tiếp với thuốc, chất chuẩn </w:t>
            </w:r>
          </w:p>
          <w:p w14:paraId="1108EF5C" w14:textId="3FCAB71C" w:rsidR="008957D3" w:rsidRPr="006D51EE" w:rsidRDefault="008957D3" w:rsidP="0023543A">
            <w:pPr>
              <w:autoSpaceDE w:val="0"/>
              <w:autoSpaceDN w:val="0"/>
              <w:adjustRightInd w:val="0"/>
              <w:rPr>
                <w:rFonts w:ascii="Times New Roman" w:eastAsia="Arial Unicode MS" w:hAnsi="Times New Roman"/>
                <w:bCs/>
                <w:iCs/>
                <w:sz w:val="24"/>
                <w:szCs w:val="24"/>
                <w:u w:color="000000"/>
                <w:bdr w:val="nil"/>
              </w:rPr>
            </w:pPr>
            <w:r w:rsidRPr="006D51EE">
              <w:rPr>
                <w:rFonts w:ascii="Times New Roman" w:eastAsia="Arial Unicode MS" w:hAnsi="Times New Roman"/>
                <w:bCs/>
                <w:iCs/>
                <w:sz w:val="24"/>
                <w:szCs w:val="24"/>
                <w:u w:color="000000"/>
                <w:bdr w:val="nil"/>
              </w:rPr>
              <w:t xml:space="preserve">“2. Đối với các trường hợp nhập khẩu nguyên liệu làm thuốc được quy định tại </w:t>
            </w:r>
            <w:r w:rsidRPr="006D51EE">
              <w:rPr>
                <w:rFonts w:ascii="Times New Roman" w:eastAsia="Arial Unicode MS" w:hAnsi="Times New Roman"/>
                <w:bCs/>
                <w:iCs/>
                <w:sz w:val="24"/>
                <w:szCs w:val="24"/>
                <w:u w:val="single" w:color="000000"/>
                <w:bdr w:val="nil"/>
              </w:rPr>
              <w:t>Điều 85</w:t>
            </w:r>
            <w:r w:rsidRPr="006D51EE">
              <w:rPr>
                <w:rFonts w:ascii="Times New Roman" w:eastAsia="Arial Unicode MS" w:hAnsi="Times New Roman"/>
                <w:bCs/>
                <w:iCs/>
                <w:sz w:val="24"/>
                <w:szCs w:val="24"/>
                <w:u w:color="000000"/>
                <w:bdr w:val="nil"/>
              </w:rPr>
              <w:t xml:space="preserve"> Nghị định này:”</w:t>
            </w:r>
          </w:p>
        </w:tc>
        <w:tc>
          <w:tcPr>
            <w:tcW w:w="5386" w:type="dxa"/>
            <w:shd w:val="clear" w:color="auto" w:fill="auto"/>
          </w:tcPr>
          <w:p w14:paraId="08937AD3" w14:textId="77777777" w:rsidR="008957D3" w:rsidRPr="006D51EE" w:rsidRDefault="008957D3" w:rsidP="0029052E">
            <w:pPr>
              <w:rPr>
                <w:rFonts w:ascii="Times New Roman" w:eastAsia="Arial Unicode MS" w:hAnsi="Times New Roman"/>
                <w:bCs/>
                <w:iCs/>
                <w:sz w:val="24"/>
                <w:szCs w:val="24"/>
                <w:u w:color="000000"/>
                <w:bdr w:val="nil"/>
              </w:rPr>
            </w:pPr>
            <w:r w:rsidRPr="006D51EE">
              <w:rPr>
                <w:rFonts w:ascii="Times New Roman" w:eastAsia="Arial Unicode MS" w:hAnsi="Times New Roman"/>
                <w:bCs/>
                <w:iCs/>
                <w:sz w:val="24"/>
                <w:szCs w:val="24"/>
                <w:u w:color="000000"/>
                <w:bdr w:val="nil"/>
              </w:rPr>
              <w:t>Sửa lại dẫn chiếu tại Khoản 2 Điều 79 cho đúng:</w:t>
            </w:r>
          </w:p>
          <w:p w14:paraId="5807D968" w14:textId="1DF5CA07" w:rsidR="008957D3" w:rsidRPr="006D51EE" w:rsidRDefault="008957D3" w:rsidP="008957D3">
            <w:pPr>
              <w:autoSpaceDE w:val="0"/>
              <w:autoSpaceDN w:val="0"/>
              <w:adjustRightInd w:val="0"/>
              <w:rPr>
                <w:rFonts w:ascii="Times New Roman" w:eastAsia="Arial Unicode MS" w:hAnsi="Times New Roman"/>
                <w:bCs/>
                <w:iCs/>
                <w:sz w:val="24"/>
                <w:szCs w:val="24"/>
                <w:u w:color="000000"/>
                <w:bdr w:val="nil"/>
              </w:rPr>
            </w:pPr>
            <w:r w:rsidRPr="006D51EE">
              <w:rPr>
                <w:rFonts w:ascii="Times New Roman" w:eastAsia="Arial Unicode MS" w:hAnsi="Times New Roman"/>
                <w:bCs/>
                <w:iCs/>
                <w:sz w:val="24"/>
                <w:szCs w:val="24"/>
                <w:u w:color="000000"/>
                <w:bdr w:val="nil"/>
              </w:rPr>
              <w:t xml:space="preserve">““2. Đối với các trường hợp nhập khẩu nguyên liệu làm thuốc được quy định tại </w:t>
            </w:r>
            <w:r w:rsidRPr="006D51EE">
              <w:rPr>
                <w:rFonts w:ascii="Times New Roman" w:eastAsia="Arial Unicode MS" w:hAnsi="Times New Roman"/>
                <w:bCs/>
                <w:iCs/>
                <w:sz w:val="24"/>
                <w:szCs w:val="24"/>
                <w:u w:val="single" w:color="000000"/>
                <w:bdr w:val="nil"/>
              </w:rPr>
              <w:t>Điều 77</w:t>
            </w:r>
            <w:r w:rsidRPr="006D51EE">
              <w:rPr>
                <w:rFonts w:ascii="Times New Roman" w:eastAsia="Arial Unicode MS" w:hAnsi="Times New Roman"/>
                <w:bCs/>
                <w:iCs/>
                <w:sz w:val="24"/>
                <w:szCs w:val="24"/>
                <w:u w:color="000000"/>
                <w:bdr w:val="nil"/>
              </w:rPr>
              <w:t xml:space="preserve"> Nghị định này:”</w:t>
            </w:r>
          </w:p>
          <w:p w14:paraId="1ED34C27" w14:textId="3E8A3B0B" w:rsidR="008957D3" w:rsidRPr="006D51EE" w:rsidRDefault="008957D3" w:rsidP="0029052E">
            <w:pPr>
              <w:rPr>
                <w:rFonts w:ascii="Times New Roman" w:eastAsia="Arial Unicode MS" w:hAnsi="Times New Roman"/>
                <w:bCs/>
                <w:iCs/>
                <w:sz w:val="24"/>
                <w:szCs w:val="24"/>
                <w:u w:color="000000"/>
                <w:bdr w:val="nil"/>
              </w:rPr>
            </w:pPr>
          </w:p>
        </w:tc>
        <w:tc>
          <w:tcPr>
            <w:tcW w:w="4253" w:type="dxa"/>
            <w:shd w:val="clear" w:color="auto" w:fill="auto"/>
          </w:tcPr>
          <w:p w14:paraId="2B1D42B2" w14:textId="2B44316E" w:rsidR="008957D3" w:rsidRPr="006D51EE" w:rsidRDefault="008957D3" w:rsidP="00AB0B49">
            <w:pPr>
              <w:rPr>
                <w:rFonts w:ascii="Times New Roman" w:eastAsia="Arial Unicode MS" w:hAnsi="Times New Roman"/>
                <w:bCs/>
                <w:iCs/>
                <w:sz w:val="24"/>
                <w:szCs w:val="24"/>
                <w:u w:color="000000"/>
                <w:bdr w:val="nil"/>
              </w:rPr>
            </w:pPr>
            <w:r w:rsidRPr="006D51EE">
              <w:rPr>
                <w:rFonts w:ascii="Times New Roman" w:eastAsia="Arial Unicode MS" w:hAnsi="Times New Roman"/>
                <w:bCs/>
                <w:iCs/>
                <w:sz w:val="24"/>
                <w:szCs w:val="24"/>
                <w:u w:color="000000"/>
                <w:bdr w:val="nil"/>
              </w:rPr>
              <w:t>Dẫn chiếu nhầm lẫn</w:t>
            </w:r>
          </w:p>
        </w:tc>
      </w:tr>
      <w:tr w:rsidR="006D51EE" w:rsidRPr="006D51EE" w14:paraId="3762B263" w14:textId="77777777" w:rsidTr="00D35E13">
        <w:trPr>
          <w:trHeight w:val="4242"/>
        </w:trPr>
        <w:tc>
          <w:tcPr>
            <w:tcW w:w="709" w:type="dxa"/>
            <w:shd w:val="clear" w:color="auto" w:fill="auto"/>
          </w:tcPr>
          <w:p w14:paraId="513F8B6D" w14:textId="5B6866EE" w:rsidR="006D51EE" w:rsidRPr="006D51EE" w:rsidRDefault="006D51EE" w:rsidP="0029052E">
            <w:pPr>
              <w:jc w:val="center"/>
              <w:rPr>
                <w:rFonts w:ascii="Times New Roman" w:hAnsi="Times New Roman"/>
                <w:sz w:val="24"/>
                <w:szCs w:val="24"/>
                <w:lang w:eastAsia="vi-VN"/>
              </w:rPr>
            </w:pPr>
            <w:r>
              <w:rPr>
                <w:rFonts w:ascii="Times New Roman" w:hAnsi="Times New Roman"/>
                <w:sz w:val="24"/>
                <w:szCs w:val="24"/>
                <w:lang w:eastAsia="vi-VN"/>
              </w:rPr>
              <w:t>6</w:t>
            </w:r>
          </w:p>
        </w:tc>
        <w:tc>
          <w:tcPr>
            <w:tcW w:w="4678" w:type="dxa"/>
            <w:shd w:val="clear" w:color="auto" w:fill="auto"/>
          </w:tcPr>
          <w:p w14:paraId="0DD4B3D6" w14:textId="27D8F235" w:rsidR="006D51EE" w:rsidRPr="006D51EE" w:rsidRDefault="006D51EE" w:rsidP="008957D3">
            <w:pPr>
              <w:rPr>
                <w:rFonts w:ascii="Times New Roman" w:hAnsi="Times New Roman"/>
                <w:spacing w:val="-6"/>
                <w:sz w:val="24"/>
                <w:szCs w:val="24"/>
                <w:lang w:eastAsia="vi-VN"/>
              </w:rPr>
            </w:pPr>
            <w:r w:rsidRPr="006D51EE">
              <w:rPr>
                <w:rFonts w:ascii="Times New Roman" w:hAnsi="Times New Roman"/>
                <w:spacing w:val="-6"/>
                <w:sz w:val="24"/>
                <w:szCs w:val="24"/>
                <w:lang w:eastAsia="vi-VN"/>
              </w:rPr>
              <w:t xml:space="preserve">Các quy định về thủ tục cấp phép nhập khẩu bao bì tiếp xúc trực tiếp với thuốc </w:t>
            </w:r>
            <w:r>
              <w:rPr>
                <w:rFonts w:ascii="Times New Roman" w:hAnsi="Times New Roman"/>
                <w:spacing w:val="-6"/>
                <w:sz w:val="24"/>
                <w:szCs w:val="24"/>
                <w:lang w:eastAsia="vi-VN"/>
              </w:rPr>
              <w:t xml:space="preserve">và chất chuẩn </w:t>
            </w:r>
            <w:r w:rsidRPr="006D51EE">
              <w:rPr>
                <w:rFonts w:ascii="Times New Roman" w:hAnsi="Times New Roman"/>
                <w:spacing w:val="-6"/>
                <w:sz w:val="24"/>
                <w:szCs w:val="24"/>
                <w:lang w:eastAsia="vi-VN"/>
              </w:rPr>
              <w:t>tại Điều 79 Dự thảo.</w:t>
            </w:r>
          </w:p>
        </w:tc>
        <w:tc>
          <w:tcPr>
            <w:tcW w:w="5386" w:type="dxa"/>
            <w:shd w:val="clear" w:color="auto" w:fill="auto"/>
          </w:tcPr>
          <w:p w14:paraId="3403C70D" w14:textId="52DFD552" w:rsidR="006D51EE" w:rsidRPr="006D51EE" w:rsidRDefault="006D51EE" w:rsidP="0029052E">
            <w:pPr>
              <w:rPr>
                <w:rFonts w:ascii="Times New Roman" w:eastAsia="Arial Unicode MS" w:hAnsi="Times New Roman"/>
                <w:bCs/>
                <w:iCs/>
                <w:sz w:val="24"/>
                <w:szCs w:val="24"/>
                <w:u w:color="000000"/>
                <w:bdr w:val="nil"/>
              </w:rPr>
            </w:pPr>
            <w:r w:rsidRPr="006D51EE">
              <w:rPr>
                <w:rFonts w:ascii="Times New Roman" w:eastAsia="Arial Unicode MS" w:hAnsi="Times New Roman"/>
                <w:bCs/>
                <w:iCs/>
                <w:sz w:val="24"/>
                <w:szCs w:val="24"/>
                <w:u w:color="000000"/>
                <w:bdr w:val="nil"/>
              </w:rPr>
              <w:t>Bỏ các quy định về thủ tục cấp phép nhập khẩu bao bì tiếp xúc trực tiếp với thuốc</w:t>
            </w:r>
            <w:r>
              <w:rPr>
                <w:rFonts w:ascii="Times New Roman" w:eastAsia="Arial Unicode MS" w:hAnsi="Times New Roman"/>
                <w:bCs/>
                <w:iCs/>
                <w:sz w:val="24"/>
                <w:szCs w:val="24"/>
                <w:u w:color="000000"/>
                <w:bdr w:val="nil"/>
              </w:rPr>
              <w:t>.</w:t>
            </w:r>
          </w:p>
        </w:tc>
        <w:tc>
          <w:tcPr>
            <w:tcW w:w="4253" w:type="dxa"/>
            <w:shd w:val="clear" w:color="auto" w:fill="auto"/>
          </w:tcPr>
          <w:p w14:paraId="057AF13A" w14:textId="77777777" w:rsidR="006D51EE" w:rsidRDefault="006D51EE" w:rsidP="00CF2E08">
            <w:pPr>
              <w:pStyle w:val="ListParagraph"/>
              <w:numPr>
                <w:ilvl w:val="0"/>
                <w:numId w:val="16"/>
              </w:numPr>
              <w:ind w:left="322" w:hanging="284"/>
              <w:jc w:val="both"/>
              <w:rPr>
                <w:rFonts w:ascii="Times New Roman" w:eastAsia="Arial Unicode MS" w:hAnsi="Times New Roman"/>
                <w:bCs/>
                <w:iCs/>
                <w:sz w:val="24"/>
                <w:szCs w:val="24"/>
                <w:u w:color="000000"/>
                <w:bdr w:val="nil"/>
              </w:rPr>
            </w:pPr>
            <w:r w:rsidRPr="00CF2E08">
              <w:rPr>
                <w:rFonts w:ascii="Times New Roman" w:eastAsia="Arial Unicode MS" w:hAnsi="Times New Roman"/>
                <w:bCs/>
                <w:iCs/>
                <w:sz w:val="24"/>
                <w:szCs w:val="24"/>
                <w:u w:color="000000"/>
                <w:bdr w:val="nil"/>
              </w:rPr>
              <w:t xml:space="preserve">Theo quy định tại Nghị định 54 và khoản 8 Điều 82 Dự thảo Nghị định này thì: Thương nhân được </w:t>
            </w:r>
            <w:proofErr w:type="spellStart"/>
            <w:r w:rsidRPr="00CF2E08">
              <w:rPr>
                <w:rFonts w:ascii="Times New Roman" w:eastAsia="Arial Unicode MS" w:hAnsi="Times New Roman"/>
                <w:bCs/>
                <w:iCs/>
                <w:sz w:val="24"/>
                <w:szCs w:val="24"/>
                <w:u w:color="000000"/>
                <w:bdr w:val="nil"/>
              </w:rPr>
              <w:t>phép</w:t>
            </w:r>
            <w:proofErr w:type="spellEnd"/>
            <w:r w:rsidRPr="00CF2E08">
              <w:rPr>
                <w:rFonts w:ascii="Times New Roman" w:eastAsia="Arial Unicode MS" w:hAnsi="Times New Roman"/>
                <w:bCs/>
                <w:iCs/>
                <w:sz w:val="24"/>
                <w:szCs w:val="24"/>
                <w:u w:color="000000"/>
                <w:bdr w:val="nil"/>
              </w:rPr>
              <w:t xml:space="preserve"> </w:t>
            </w:r>
            <w:proofErr w:type="spellStart"/>
            <w:r w:rsidRPr="00CF2E08">
              <w:rPr>
                <w:rFonts w:ascii="Times New Roman" w:eastAsia="Arial Unicode MS" w:hAnsi="Times New Roman"/>
                <w:bCs/>
                <w:iCs/>
                <w:sz w:val="24"/>
                <w:szCs w:val="24"/>
                <w:u w:color="000000"/>
                <w:bdr w:val="nil"/>
              </w:rPr>
              <w:t>nhập</w:t>
            </w:r>
            <w:proofErr w:type="spellEnd"/>
            <w:r w:rsidRPr="00CF2E08">
              <w:rPr>
                <w:rFonts w:ascii="Times New Roman" w:eastAsia="Arial Unicode MS" w:hAnsi="Times New Roman"/>
                <w:bCs/>
                <w:iCs/>
                <w:sz w:val="24"/>
                <w:szCs w:val="24"/>
                <w:u w:color="000000"/>
                <w:bdr w:val="nil"/>
              </w:rPr>
              <w:t xml:space="preserve"> </w:t>
            </w:r>
            <w:proofErr w:type="spellStart"/>
            <w:r w:rsidRPr="00CF2E08">
              <w:rPr>
                <w:rFonts w:ascii="Times New Roman" w:eastAsia="Arial Unicode MS" w:hAnsi="Times New Roman"/>
                <w:bCs/>
                <w:iCs/>
                <w:sz w:val="24"/>
                <w:szCs w:val="24"/>
                <w:u w:color="000000"/>
                <w:bdr w:val="nil"/>
              </w:rPr>
              <w:t>khẩu</w:t>
            </w:r>
            <w:proofErr w:type="spellEnd"/>
            <w:r w:rsidRPr="00CF2E08">
              <w:rPr>
                <w:rFonts w:ascii="Times New Roman" w:eastAsia="Arial Unicode MS" w:hAnsi="Times New Roman"/>
                <w:bCs/>
                <w:iCs/>
                <w:sz w:val="24"/>
                <w:szCs w:val="24"/>
                <w:u w:color="000000"/>
                <w:bdr w:val="nil"/>
              </w:rPr>
              <w:t xml:space="preserve">, </w:t>
            </w:r>
            <w:proofErr w:type="spellStart"/>
            <w:r w:rsidRPr="00CF2E08">
              <w:rPr>
                <w:rFonts w:ascii="Times New Roman" w:eastAsia="Arial Unicode MS" w:hAnsi="Times New Roman"/>
                <w:bCs/>
                <w:iCs/>
                <w:sz w:val="24"/>
                <w:szCs w:val="24"/>
                <w:u w:color="000000"/>
                <w:bdr w:val="nil"/>
              </w:rPr>
              <w:t>xuất</w:t>
            </w:r>
            <w:proofErr w:type="spellEnd"/>
            <w:r w:rsidRPr="00CF2E08">
              <w:rPr>
                <w:rFonts w:ascii="Times New Roman" w:eastAsia="Arial Unicode MS" w:hAnsi="Times New Roman"/>
                <w:bCs/>
                <w:iCs/>
                <w:sz w:val="24"/>
                <w:szCs w:val="24"/>
                <w:u w:color="000000"/>
                <w:bdr w:val="nil"/>
              </w:rPr>
              <w:t xml:space="preserve"> </w:t>
            </w:r>
            <w:proofErr w:type="spellStart"/>
            <w:r w:rsidRPr="00CF2E08">
              <w:rPr>
                <w:rFonts w:ascii="Times New Roman" w:eastAsia="Arial Unicode MS" w:hAnsi="Times New Roman"/>
                <w:bCs/>
                <w:iCs/>
                <w:sz w:val="24"/>
                <w:szCs w:val="24"/>
                <w:u w:color="000000"/>
                <w:bdr w:val="nil"/>
              </w:rPr>
              <w:t>khẩu</w:t>
            </w:r>
            <w:proofErr w:type="spellEnd"/>
            <w:r w:rsidRPr="00CF2E08">
              <w:rPr>
                <w:rFonts w:ascii="Times New Roman" w:eastAsia="Arial Unicode MS" w:hAnsi="Times New Roman"/>
                <w:bCs/>
                <w:iCs/>
                <w:sz w:val="24"/>
                <w:szCs w:val="24"/>
                <w:u w:color="000000"/>
                <w:bdr w:val="nil"/>
              </w:rPr>
              <w:t xml:space="preserve"> bao </w:t>
            </w:r>
            <w:proofErr w:type="spellStart"/>
            <w:r w:rsidRPr="00CF2E08">
              <w:rPr>
                <w:rFonts w:ascii="Times New Roman" w:eastAsia="Arial Unicode MS" w:hAnsi="Times New Roman"/>
                <w:bCs/>
                <w:iCs/>
                <w:sz w:val="24"/>
                <w:szCs w:val="24"/>
                <w:u w:color="000000"/>
                <w:bdr w:val="nil"/>
              </w:rPr>
              <w:t>bì</w:t>
            </w:r>
            <w:proofErr w:type="spellEnd"/>
            <w:r w:rsidRPr="00CF2E08">
              <w:rPr>
                <w:rFonts w:ascii="Times New Roman" w:eastAsia="Arial Unicode MS" w:hAnsi="Times New Roman"/>
                <w:bCs/>
                <w:iCs/>
                <w:sz w:val="24"/>
                <w:szCs w:val="24"/>
                <w:u w:color="000000"/>
                <w:bdr w:val="nil"/>
              </w:rPr>
              <w:t xml:space="preserve"> tiếp xúc trực tiếp với thuốc mà không cần giấy phép nhập khẩu của Bộ Y tế.</w:t>
            </w:r>
          </w:p>
          <w:p w14:paraId="0FF7FAF1" w14:textId="5884F1C5" w:rsidR="00CF2E08" w:rsidRPr="00CF2E08" w:rsidRDefault="00CF2E08" w:rsidP="00CF2E08">
            <w:pPr>
              <w:pStyle w:val="ListParagraph"/>
              <w:numPr>
                <w:ilvl w:val="0"/>
                <w:numId w:val="16"/>
              </w:numPr>
              <w:ind w:left="322" w:hanging="284"/>
              <w:jc w:val="both"/>
              <w:rPr>
                <w:rFonts w:ascii="Times New Roman" w:eastAsia="Arial Unicode MS" w:hAnsi="Times New Roman"/>
                <w:bCs/>
                <w:iCs/>
                <w:sz w:val="24"/>
                <w:szCs w:val="24"/>
                <w:u w:color="000000"/>
                <w:bdr w:val="nil"/>
              </w:rPr>
            </w:pPr>
            <w:r>
              <w:rPr>
                <w:rFonts w:ascii="Times New Roman" w:eastAsia="Arial Unicode MS" w:hAnsi="Times New Roman"/>
                <w:bCs/>
                <w:iCs/>
                <w:sz w:val="24"/>
                <w:szCs w:val="24"/>
                <w:u w:color="000000"/>
                <w:bdr w:val="nil"/>
              </w:rPr>
              <w:t xml:space="preserve">Phù hợp với </w:t>
            </w:r>
            <w:proofErr w:type="spellStart"/>
            <w:r>
              <w:rPr>
                <w:rFonts w:ascii="Times New Roman" w:eastAsia="Arial Unicode MS" w:hAnsi="Times New Roman"/>
                <w:bCs/>
                <w:iCs/>
                <w:sz w:val="24"/>
                <w:szCs w:val="24"/>
                <w:u w:color="000000"/>
                <w:bdr w:val="nil"/>
              </w:rPr>
              <w:t>Quyết</w:t>
            </w:r>
            <w:proofErr w:type="spellEnd"/>
            <w:r>
              <w:rPr>
                <w:rFonts w:ascii="Times New Roman" w:eastAsia="Arial Unicode MS" w:hAnsi="Times New Roman"/>
                <w:bCs/>
                <w:iCs/>
                <w:sz w:val="24"/>
                <w:szCs w:val="24"/>
                <w:u w:color="000000"/>
                <w:bdr w:val="nil"/>
              </w:rPr>
              <w:t xml:space="preserve"> </w:t>
            </w:r>
            <w:proofErr w:type="spellStart"/>
            <w:r>
              <w:rPr>
                <w:rFonts w:ascii="Times New Roman" w:eastAsia="Arial Unicode MS" w:hAnsi="Times New Roman"/>
                <w:bCs/>
                <w:iCs/>
                <w:sz w:val="24"/>
                <w:szCs w:val="24"/>
                <w:u w:color="000000"/>
                <w:bdr w:val="nil"/>
              </w:rPr>
              <w:t>định</w:t>
            </w:r>
            <w:proofErr w:type="spellEnd"/>
            <w:r>
              <w:rPr>
                <w:rFonts w:ascii="Times New Roman" w:eastAsia="Arial Unicode MS" w:hAnsi="Times New Roman"/>
                <w:bCs/>
                <w:iCs/>
                <w:sz w:val="24"/>
                <w:szCs w:val="24"/>
                <w:u w:color="000000"/>
                <w:bdr w:val="nil"/>
              </w:rPr>
              <w:t xml:space="preserve"> 1661/</w:t>
            </w:r>
            <w:r>
              <w:rPr>
                <w:rFonts w:cs="Arial"/>
                <w:color w:val="000000"/>
                <w:sz w:val="18"/>
                <w:szCs w:val="18"/>
                <w:shd w:val="clear" w:color="auto" w:fill="FFFFFF"/>
              </w:rPr>
              <w:t xml:space="preserve"> QĐ-</w:t>
            </w:r>
            <w:proofErr w:type="spellStart"/>
            <w:r>
              <w:rPr>
                <w:rFonts w:cs="Arial"/>
                <w:color w:val="000000"/>
                <w:sz w:val="18"/>
                <w:szCs w:val="18"/>
                <w:shd w:val="clear" w:color="auto" w:fill="FFFFFF"/>
              </w:rPr>
              <w:t>TTg</w:t>
            </w:r>
            <w:proofErr w:type="spellEnd"/>
            <w:r>
              <w:rPr>
                <w:rFonts w:cs="Arial"/>
                <w:color w:val="000000"/>
                <w:sz w:val="18"/>
                <w:szCs w:val="18"/>
                <w:shd w:val="clear" w:color="auto" w:fill="FFFFFF"/>
              </w:rPr>
              <w:t xml:space="preserve"> </w:t>
            </w:r>
            <w:proofErr w:type="spellStart"/>
            <w:r>
              <w:rPr>
                <w:rFonts w:cs="Arial"/>
                <w:color w:val="000000"/>
                <w:sz w:val="18"/>
                <w:szCs w:val="18"/>
                <w:shd w:val="clear" w:color="auto" w:fill="FFFFFF"/>
              </w:rPr>
              <w:t>ngày</w:t>
            </w:r>
            <w:proofErr w:type="spellEnd"/>
            <w:r>
              <w:rPr>
                <w:rFonts w:cs="Arial"/>
                <w:color w:val="000000"/>
                <w:sz w:val="18"/>
                <w:szCs w:val="18"/>
                <w:shd w:val="clear" w:color="auto" w:fill="FFFFFF"/>
              </w:rPr>
              <w:t xml:space="preserve"> 14 </w:t>
            </w:r>
            <w:proofErr w:type="spellStart"/>
            <w:r w:rsidRPr="00CF2E08">
              <w:rPr>
                <w:rFonts w:ascii="Times New Roman" w:eastAsia="Arial Unicode MS" w:hAnsi="Times New Roman"/>
                <w:bCs/>
                <w:iCs/>
                <w:sz w:val="24"/>
                <w:szCs w:val="24"/>
                <w:u w:color="000000"/>
                <w:bdr w:val="nil"/>
              </w:rPr>
              <w:t>tháng</w:t>
            </w:r>
            <w:proofErr w:type="spellEnd"/>
            <w:r w:rsidRPr="00CF2E08">
              <w:rPr>
                <w:rFonts w:ascii="Times New Roman" w:eastAsia="Arial Unicode MS" w:hAnsi="Times New Roman"/>
                <w:bCs/>
                <w:iCs/>
                <w:sz w:val="24"/>
                <w:szCs w:val="24"/>
                <w:u w:color="000000"/>
                <w:bdr w:val="nil"/>
              </w:rPr>
              <w:t xml:space="preserve"> 10 năm 2021 của Thủ tướng Chính phủ (Thủ tục hành chính số 32 tại Phần I của Phương án cắt giảm, đơn giản hóa quy định liên quan đến hoạt động kinh doanh thuộc phạm vi chức năng quản lý của Bộ Y tế được ban hành kèm theo Quyết định này).</w:t>
            </w:r>
          </w:p>
        </w:tc>
      </w:tr>
      <w:tr w:rsidR="006D51EE" w:rsidRPr="006D51EE" w14:paraId="029A1415" w14:textId="77777777" w:rsidTr="00D35E13">
        <w:trPr>
          <w:trHeight w:val="5032"/>
        </w:trPr>
        <w:tc>
          <w:tcPr>
            <w:tcW w:w="709" w:type="dxa"/>
            <w:shd w:val="clear" w:color="auto" w:fill="auto"/>
          </w:tcPr>
          <w:p w14:paraId="04F31334" w14:textId="4F41B13F" w:rsidR="006D51EE" w:rsidRPr="006D51EE" w:rsidRDefault="006D51EE" w:rsidP="0029052E">
            <w:pPr>
              <w:jc w:val="center"/>
              <w:rPr>
                <w:rFonts w:ascii="Times New Roman" w:hAnsi="Times New Roman"/>
                <w:sz w:val="24"/>
                <w:szCs w:val="24"/>
                <w:lang w:eastAsia="vi-VN"/>
              </w:rPr>
            </w:pPr>
            <w:r>
              <w:rPr>
                <w:rFonts w:ascii="Times New Roman" w:hAnsi="Times New Roman"/>
                <w:sz w:val="24"/>
                <w:szCs w:val="24"/>
                <w:lang w:eastAsia="vi-VN"/>
              </w:rPr>
              <w:lastRenderedPageBreak/>
              <w:t>7</w:t>
            </w:r>
          </w:p>
        </w:tc>
        <w:tc>
          <w:tcPr>
            <w:tcW w:w="4678" w:type="dxa"/>
            <w:shd w:val="clear" w:color="auto" w:fill="auto"/>
          </w:tcPr>
          <w:p w14:paraId="791FD731" w14:textId="79CA87F9" w:rsidR="006D51EE" w:rsidRPr="006D51EE" w:rsidRDefault="006D51EE" w:rsidP="006D51EE">
            <w:pPr>
              <w:jc w:val="both"/>
              <w:rPr>
                <w:rFonts w:ascii="Times New Roman" w:hAnsi="Times New Roman"/>
                <w:b/>
                <w:sz w:val="24"/>
                <w:szCs w:val="24"/>
                <w:lang w:val="de-DE"/>
              </w:rPr>
            </w:pPr>
            <w:proofErr w:type="spellStart"/>
            <w:r w:rsidRPr="006D51EE">
              <w:rPr>
                <w:rFonts w:ascii="Times New Roman" w:hAnsi="Times New Roman"/>
                <w:b/>
                <w:sz w:val="24"/>
                <w:szCs w:val="24"/>
                <w:lang w:val="de-DE"/>
              </w:rPr>
              <w:t>Điều</w:t>
            </w:r>
            <w:proofErr w:type="spellEnd"/>
            <w:r w:rsidRPr="006D51EE">
              <w:rPr>
                <w:rFonts w:ascii="Times New Roman" w:hAnsi="Times New Roman"/>
                <w:b/>
                <w:sz w:val="24"/>
                <w:szCs w:val="24"/>
                <w:lang w:val="de-DE"/>
              </w:rPr>
              <w:t xml:space="preserve"> </w:t>
            </w:r>
            <w:r w:rsidRPr="006D51EE">
              <w:rPr>
                <w:rFonts w:ascii="Times New Roman" w:hAnsi="Times New Roman"/>
                <w:b/>
                <w:sz w:val="24"/>
                <w:szCs w:val="24"/>
              </w:rPr>
              <w:t>8</w:t>
            </w:r>
            <w:r w:rsidR="007E26AC">
              <w:rPr>
                <w:rFonts w:ascii="Times New Roman" w:hAnsi="Times New Roman"/>
                <w:b/>
                <w:sz w:val="24"/>
                <w:szCs w:val="24"/>
                <w:lang w:val="vi-VN"/>
              </w:rPr>
              <w:t>3</w:t>
            </w:r>
            <w:r w:rsidRPr="006D51EE">
              <w:rPr>
                <w:rStyle w:val="FootnoteReference"/>
                <w:rFonts w:ascii="Times New Roman" w:hAnsi="Times New Roman"/>
                <w:b/>
                <w:sz w:val="24"/>
                <w:szCs w:val="24"/>
                <w:lang w:val="de-DE"/>
              </w:rPr>
              <w:footnoteReference w:id="3"/>
            </w:r>
            <w:r w:rsidRPr="006D51EE">
              <w:rPr>
                <w:rFonts w:ascii="Times New Roman" w:hAnsi="Times New Roman"/>
                <w:b/>
                <w:sz w:val="24"/>
                <w:szCs w:val="24"/>
                <w:lang w:val="de-DE"/>
              </w:rPr>
              <w:t>. Quy định về nhập khẩu thuốc, nguyên liệu làm thuốc</w:t>
            </w:r>
          </w:p>
          <w:p w14:paraId="3360BD4C" w14:textId="7C955708" w:rsidR="006D51EE" w:rsidRPr="006D51EE" w:rsidRDefault="006D51EE" w:rsidP="006D51EE">
            <w:pPr>
              <w:jc w:val="both"/>
              <w:rPr>
                <w:rFonts w:ascii="Times New Roman" w:hAnsi="Times New Roman"/>
                <w:sz w:val="24"/>
                <w:szCs w:val="24"/>
                <w:u w:val="single"/>
                <w:lang w:val="de-DE"/>
              </w:rPr>
            </w:pPr>
            <w:r w:rsidRPr="006D51EE">
              <w:rPr>
                <w:rFonts w:ascii="Times New Roman" w:hAnsi="Times New Roman"/>
                <w:spacing w:val="-6"/>
                <w:sz w:val="24"/>
                <w:szCs w:val="24"/>
                <w:lang w:eastAsia="vi-VN"/>
              </w:rPr>
              <w:t>“</w:t>
            </w:r>
            <w:r w:rsidRPr="006D51EE">
              <w:rPr>
                <w:rFonts w:ascii="Times New Roman" w:hAnsi="Times New Roman"/>
                <w:sz w:val="24"/>
                <w:szCs w:val="24"/>
                <w:lang w:val="de-DE"/>
              </w:rPr>
              <w:t>6.</w:t>
            </w:r>
            <w:r w:rsidRPr="006D51EE">
              <w:rPr>
                <w:rFonts w:ascii="Times New Roman" w:hAnsi="Times New Roman"/>
                <w:sz w:val="24"/>
                <w:szCs w:val="24"/>
                <w:lang w:val="vi-VN"/>
              </w:rPr>
              <w:t xml:space="preserve"> </w:t>
            </w:r>
            <w:r w:rsidRPr="006D51EE">
              <w:rPr>
                <w:rFonts w:ascii="Times New Roman" w:hAnsi="Times New Roman"/>
                <w:sz w:val="24"/>
                <w:szCs w:val="24"/>
                <w:lang w:val="de-DE"/>
              </w:rPr>
              <w:t>Văn phòng đại diện tại Việt Nam của cơ sở sản xuất, cơ sở đứng tên đăng ký, cơ sở sở hữu giấy phép lưu hành của thuốc thử lâm sàng, thuốc đánh giá sinh khả dụng, thử tương đương sinh học</w:t>
            </w:r>
            <w:r w:rsidRPr="006D51EE">
              <w:rPr>
                <w:rFonts w:ascii="Times New Roman" w:hAnsi="Times New Roman"/>
                <w:sz w:val="24"/>
                <w:szCs w:val="24"/>
                <w:lang w:val="vi-VN"/>
              </w:rPr>
              <w:t>;</w:t>
            </w:r>
            <w:r w:rsidRPr="006D51EE">
              <w:rPr>
                <w:rFonts w:ascii="Times New Roman" w:hAnsi="Times New Roman"/>
                <w:sz w:val="24"/>
                <w:szCs w:val="24"/>
                <w:lang w:val="de-DE"/>
              </w:rPr>
              <w:t xml:space="preserve"> cơ sở nhận thử thuốc trên lâm sàng, cơ sở nhận đánh giá sinh khả dụng, thử tương đương sinh học được nhập khẩu thuốc, nguyên liệu làm thuốc, </w:t>
            </w:r>
            <w:r w:rsidRPr="006D51EE">
              <w:rPr>
                <w:rFonts w:ascii="Times New Roman" w:hAnsi="Times New Roman"/>
                <w:sz w:val="24"/>
                <w:szCs w:val="24"/>
                <w:u w:val="single"/>
                <w:lang w:val="de-DE"/>
              </w:rPr>
              <w:t>bao bì tiếp xúc trực tiếp với thuốc</w:t>
            </w:r>
            <w:r w:rsidRPr="006D51EE">
              <w:rPr>
                <w:rFonts w:ascii="Times New Roman" w:hAnsi="Times New Roman"/>
                <w:sz w:val="24"/>
                <w:szCs w:val="24"/>
                <w:lang w:val="de-DE"/>
              </w:rPr>
              <w:t xml:space="preserve"> và chất chuẩn </w:t>
            </w:r>
            <w:r w:rsidRPr="006D51EE">
              <w:rPr>
                <w:rFonts w:ascii="Times New Roman" w:hAnsi="Times New Roman"/>
                <w:sz w:val="24"/>
                <w:szCs w:val="24"/>
                <w:u w:val="single"/>
                <w:lang w:val="de-DE"/>
              </w:rPr>
              <w:t xml:space="preserve">để phục vụ việc thử lâm sàng, đánh giá sinh khả dụng, thử tương đương sinh học, đăng ký lưu hành, nghiên cứu, kiểm nghiệm thuốc, nguyên liệu làm thuốc. </w:t>
            </w:r>
          </w:p>
          <w:p w14:paraId="0838CB0A" w14:textId="0CB2C006" w:rsidR="006D51EE" w:rsidRPr="006D51EE" w:rsidRDefault="006D51EE" w:rsidP="006D51EE">
            <w:pPr>
              <w:jc w:val="both"/>
              <w:rPr>
                <w:rFonts w:ascii="Times New Roman" w:hAnsi="Times New Roman"/>
                <w:sz w:val="24"/>
                <w:szCs w:val="24"/>
                <w:lang w:val="de-DE"/>
              </w:rPr>
            </w:pPr>
            <w:r w:rsidRPr="006D51EE">
              <w:rPr>
                <w:rFonts w:ascii="Times New Roman" w:hAnsi="Times New Roman"/>
                <w:sz w:val="24"/>
                <w:szCs w:val="24"/>
                <w:lang w:val="de-DE"/>
              </w:rPr>
              <w:t>[...]</w:t>
            </w:r>
          </w:p>
          <w:p w14:paraId="7C34648A" w14:textId="733CC11E" w:rsidR="006D51EE" w:rsidRPr="00371921" w:rsidRDefault="006D51EE" w:rsidP="006D51EE">
            <w:pPr>
              <w:jc w:val="both"/>
              <w:rPr>
                <w:rFonts w:ascii="Times New Roman" w:hAnsi="Times New Roman"/>
                <w:sz w:val="24"/>
                <w:szCs w:val="24"/>
                <w:lang w:val="de-DE"/>
              </w:rPr>
            </w:pPr>
            <w:r w:rsidRPr="006D51EE">
              <w:rPr>
                <w:rFonts w:ascii="Times New Roman" w:hAnsi="Times New Roman"/>
                <w:sz w:val="24"/>
                <w:szCs w:val="24"/>
                <w:lang w:val="de-DE"/>
              </w:rPr>
              <w:t xml:space="preserve">8. </w:t>
            </w:r>
            <w:r w:rsidRPr="006D51EE">
              <w:rPr>
                <w:rFonts w:ascii="Times New Roman" w:hAnsi="Times New Roman"/>
                <w:sz w:val="24"/>
                <w:szCs w:val="24"/>
                <w:u w:val="single"/>
                <w:lang w:val="nl-NL"/>
              </w:rPr>
              <w:t>Thương nhân</w:t>
            </w:r>
            <w:r w:rsidRPr="006D51EE">
              <w:rPr>
                <w:rFonts w:ascii="Times New Roman" w:hAnsi="Times New Roman"/>
                <w:sz w:val="24"/>
                <w:szCs w:val="24"/>
                <w:lang w:val="nl-NL"/>
              </w:rPr>
              <w:t xml:space="preserve"> được phép nhập khẩu, xuất khẩu bao bì tiếp xúc trực tiếp với thuốc mà không cần giấy phép nhập khẩu của Bộ Y tế.</w:t>
            </w:r>
            <w:r>
              <w:rPr>
                <w:rFonts w:ascii="Times New Roman" w:hAnsi="Times New Roman"/>
                <w:sz w:val="24"/>
                <w:szCs w:val="24"/>
                <w:lang w:val="nl-NL"/>
              </w:rPr>
              <w:t>”</w:t>
            </w:r>
          </w:p>
        </w:tc>
        <w:tc>
          <w:tcPr>
            <w:tcW w:w="5386" w:type="dxa"/>
            <w:shd w:val="clear" w:color="auto" w:fill="auto"/>
          </w:tcPr>
          <w:p w14:paraId="0101FA3F" w14:textId="344B63F5" w:rsidR="006D51EE" w:rsidRPr="006D51EE" w:rsidRDefault="006D51EE" w:rsidP="0029052E">
            <w:pPr>
              <w:rPr>
                <w:rFonts w:ascii="Times New Roman" w:eastAsia="Arial Unicode MS" w:hAnsi="Times New Roman"/>
                <w:bCs/>
                <w:iCs/>
                <w:sz w:val="24"/>
                <w:szCs w:val="24"/>
                <w:u w:color="000000"/>
                <w:bdr w:val="nil"/>
              </w:rPr>
            </w:pPr>
            <w:r>
              <w:rPr>
                <w:rFonts w:ascii="Times New Roman" w:eastAsia="Arial Unicode MS" w:hAnsi="Times New Roman"/>
                <w:bCs/>
                <w:iCs/>
                <w:sz w:val="24"/>
                <w:szCs w:val="24"/>
                <w:u w:color="000000"/>
                <w:bdr w:val="nil"/>
              </w:rPr>
              <w:t>Xem xét sửa đổi quy định tại 02 khoản này cho thống nhất.</w:t>
            </w:r>
          </w:p>
        </w:tc>
        <w:tc>
          <w:tcPr>
            <w:tcW w:w="4253" w:type="dxa"/>
            <w:shd w:val="clear" w:color="auto" w:fill="auto"/>
          </w:tcPr>
          <w:p w14:paraId="43E9FCF5" w14:textId="4BBFE0A6" w:rsidR="006D51EE" w:rsidRPr="006D51EE" w:rsidRDefault="006D51EE" w:rsidP="006D51EE">
            <w:pPr>
              <w:jc w:val="both"/>
              <w:rPr>
                <w:rFonts w:ascii="Times New Roman" w:eastAsia="Arial Unicode MS" w:hAnsi="Times New Roman"/>
                <w:bCs/>
                <w:iCs/>
                <w:sz w:val="24"/>
                <w:szCs w:val="24"/>
                <w:u w:color="000000"/>
                <w:bdr w:val="nil"/>
              </w:rPr>
            </w:pPr>
            <w:r>
              <w:rPr>
                <w:rFonts w:ascii="Times New Roman" w:eastAsia="Arial Unicode MS" w:hAnsi="Times New Roman"/>
                <w:bCs/>
                <w:iCs/>
                <w:sz w:val="24"/>
                <w:szCs w:val="24"/>
                <w:u w:color="000000"/>
                <w:bdr w:val="nil"/>
              </w:rPr>
              <w:t>Khoản 6 Điều 82 Dự thảo quy định một số đối tượng được phép nhập khẩu bao bì tiếp xúc trực tiếp với thuốc để thực hiện một số hoạt động nhất định. Trong khi Khoản 8 Điều này lại quy định chung chung đối tượng là “Thương nhân” được phép nhập khẩu, xuất khẩu bao bì tiếp xúc trực tiếp với thuốc. Do đó, quy định tại 2 khoản này có thể gây mâu thuẫn hoặc hiểu nhầm.</w:t>
            </w:r>
          </w:p>
        </w:tc>
      </w:tr>
      <w:tr w:rsidR="00FF4409" w:rsidRPr="006D51EE" w14:paraId="1A4232CC" w14:textId="77777777" w:rsidTr="00D35E13">
        <w:trPr>
          <w:trHeight w:val="2254"/>
        </w:trPr>
        <w:tc>
          <w:tcPr>
            <w:tcW w:w="709" w:type="dxa"/>
            <w:vMerge w:val="restart"/>
            <w:shd w:val="clear" w:color="auto" w:fill="auto"/>
          </w:tcPr>
          <w:p w14:paraId="7F16C84B" w14:textId="76AE9327" w:rsidR="00FF4409" w:rsidRPr="001E0A0F" w:rsidRDefault="00FF4409" w:rsidP="0029052E">
            <w:pPr>
              <w:jc w:val="center"/>
              <w:rPr>
                <w:rFonts w:ascii="Times New Roman" w:hAnsi="Times New Roman"/>
                <w:color w:val="000000" w:themeColor="text1"/>
                <w:sz w:val="24"/>
                <w:szCs w:val="24"/>
                <w:lang w:eastAsia="vi-VN"/>
              </w:rPr>
            </w:pPr>
            <w:r w:rsidRPr="001E0A0F">
              <w:rPr>
                <w:rFonts w:ascii="Times New Roman" w:hAnsi="Times New Roman"/>
                <w:color w:val="000000" w:themeColor="text1"/>
                <w:sz w:val="24"/>
                <w:szCs w:val="24"/>
                <w:lang w:eastAsia="vi-VN"/>
              </w:rPr>
              <w:t>8</w:t>
            </w:r>
          </w:p>
        </w:tc>
        <w:tc>
          <w:tcPr>
            <w:tcW w:w="4678" w:type="dxa"/>
            <w:vMerge w:val="restart"/>
            <w:shd w:val="clear" w:color="auto" w:fill="auto"/>
          </w:tcPr>
          <w:p w14:paraId="7B4BB772" w14:textId="53C28B24" w:rsidR="00FF4409" w:rsidRPr="001E0A0F" w:rsidRDefault="00FF4409" w:rsidP="006D51EE">
            <w:pPr>
              <w:jc w:val="both"/>
              <w:rPr>
                <w:rFonts w:ascii="Times New Roman" w:hAnsi="Times New Roman"/>
                <w:b/>
                <w:color w:val="000000" w:themeColor="text1"/>
                <w:sz w:val="24"/>
                <w:szCs w:val="24"/>
                <w:lang w:val="nl-NL"/>
              </w:rPr>
            </w:pPr>
            <w:proofErr w:type="spellStart"/>
            <w:r w:rsidRPr="001E0A0F">
              <w:rPr>
                <w:rFonts w:ascii="Times New Roman" w:hAnsi="Times New Roman"/>
                <w:b/>
                <w:color w:val="000000" w:themeColor="text1"/>
                <w:sz w:val="24"/>
                <w:szCs w:val="24"/>
                <w:lang w:val="nl-NL"/>
              </w:rPr>
              <w:t>Điều</w:t>
            </w:r>
            <w:proofErr w:type="spellEnd"/>
            <w:r w:rsidRPr="001E0A0F">
              <w:rPr>
                <w:rFonts w:ascii="Times New Roman" w:hAnsi="Times New Roman"/>
                <w:b/>
                <w:color w:val="000000" w:themeColor="text1"/>
                <w:sz w:val="24"/>
                <w:szCs w:val="24"/>
                <w:lang w:val="nl-NL"/>
              </w:rPr>
              <w:t xml:space="preserve"> 10</w:t>
            </w:r>
            <w:r w:rsidR="007E26AC">
              <w:rPr>
                <w:rFonts w:ascii="Times New Roman" w:hAnsi="Times New Roman"/>
                <w:b/>
                <w:color w:val="000000" w:themeColor="text1"/>
                <w:sz w:val="24"/>
                <w:szCs w:val="24"/>
                <w:lang w:val="vi-VN"/>
              </w:rPr>
              <w:t>4</w:t>
            </w:r>
            <w:r w:rsidRPr="001E0A0F">
              <w:rPr>
                <w:rFonts w:ascii="Times New Roman" w:hAnsi="Times New Roman"/>
                <w:b/>
                <w:color w:val="000000" w:themeColor="text1"/>
                <w:sz w:val="24"/>
                <w:szCs w:val="24"/>
                <w:lang w:val="nl-NL"/>
              </w:rPr>
              <w:t>. Quy định các thông tin, hình ảnh không được sử dụng trong nội dung quảng cáo thuốc</w:t>
            </w:r>
          </w:p>
          <w:p w14:paraId="22C99869" w14:textId="559C22C0" w:rsidR="00FF4409" w:rsidRPr="001E0A0F" w:rsidRDefault="00FF4409" w:rsidP="006328D1">
            <w:pPr>
              <w:rPr>
                <w:rFonts w:ascii="Times New Roman" w:hAnsi="Times New Roman"/>
                <w:color w:val="000000" w:themeColor="text1"/>
                <w:sz w:val="24"/>
                <w:szCs w:val="24"/>
                <w:lang w:val="nl-NL"/>
              </w:rPr>
            </w:pPr>
            <w:r w:rsidRPr="001E0A0F">
              <w:rPr>
                <w:rFonts w:ascii="Times New Roman" w:hAnsi="Times New Roman"/>
                <w:color w:val="000000" w:themeColor="text1"/>
                <w:sz w:val="24"/>
                <w:szCs w:val="24"/>
                <w:lang w:val="nl-NL"/>
              </w:rPr>
              <w:t xml:space="preserve">“6. Các từ, cụm từ: “điều trị tận gốc”, “tiệt trừ”, “chuyên trị”, “hàng đầu”, “đầu bảng”, “đầu tay”, “lựa chọn”, “chất lượng cao”, “đảm bảo 100%”, “an toàn”, “dứt”, “cắt đứt”, “chặn đứng”, “giảm ngay”, “giảm liền”, “giảm tức thì”, “khỏi ngay”, “khỏi hẳn”, “yên tâm”, “không lo”, “khỏi lo”, “khuyên dùng”, </w:t>
            </w:r>
            <w:r w:rsidRPr="001E0A0F">
              <w:rPr>
                <w:rFonts w:ascii="Times New Roman" w:hAnsi="Times New Roman"/>
                <w:color w:val="FF0000"/>
                <w:sz w:val="24"/>
                <w:szCs w:val="24"/>
                <w:lang w:val="nl-NL"/>
              </w:rPr>
              <w:t xml:space="preserve">“hotline”, “điện thoại tư vấn” </w:t>
            </w:r>
            <w:r w:rsidRPr="001E0A0F">
              <w:rPr>
                <w:rFonts w:ascii="Times New Roman" w:hAnsi="Times New Roman"/>
                <w:color w:val="000000" w:themeColor="text1"/>
                <w:sz w:val="24"/>
                <w:szCs w:val="24"/>
                <w:u w:val="single"/>
                <w:lang w:val="nl-NL"/>
              </w:rPr>
              <w:t>và</w:t>
            </w:r>
            <w:r w:rsidRPr="001E0A0F">
              <w:rPr>
                <w:rFonts w:ascii="Times New Roman" w:hAnsi="Times New Roman"/>
                <w:color w:val="FF0000"/>
                <w:sz w:val="24"/>
                <w:szCs w:val="24"/>
                <w:u w:val="single"/>
                <w:lang w:val="nl-NL"/>
              </w:rPr>
              <w:t xml:space="preserve"> các từ, cụm từ có ý nghĩa tương tự</w:t>
            </w:r>
            <w:r w:rsidRPr="001E0A0F">
              <w:rPr>
                <w:rFonts w:ascii="Times New Roman" w:hAnsi="Times New Roman"/>
                <w:color w:val="000000" w:themeColor="text1"/>
                <w:sz w:val="24"/>
                <w:szCs w:val="24"/>
                <w:lang w:val="nl-NL"/>
              </w:rPr>
              <w:t>.”</w:t>
            </w:r>
          </w:p>
          <w:p w14:paraId="280ED9B0" w14:textId="7D7B3922" w:rsidR="00FF4409" w:rsidRPr="001E0A0F" w:rsidRDefault="00FF4409" w:rsidP="006D51EE">
            <w:pPr>
              <w:jc w:val="both"/>
              <w:rPr>
                <w:rFonts w:ascii="Times New Roman" w:hAnsi="Times New Roman"/>
                <w:color w:val="000000" w:themeColor="text1"/>
                <w:sz w:val="24"/>
                <w:szCs w:val="24"/>
                <w:lang w:val="nl-NL"/>
              </w:rPr>
            </w:pPr>
          </w:p>
        </w:tc>
        <w:tc>
          <w:tcPr>
            <w:tcW w:w="5386" w:type="dxa"/>
            <w:shd w:val="clear" w:color="auto" w:fill="auto"/>
          </w:tcPr>
          <w:p w14:paraId="027FB452" w14:textId="3E2C6B69" w:rsidR="00FF4409" w:rsidRPr="001E0A0F" w:rsidRDefault="00FF4409" w:rsidP="006328D1">
            <w:pPr>
              <w:jc w:val="both"/>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 xml:space="preserve">Liệt kê cụ thể các từ, cụm từ không được sử dụng trong nội dung quảng cáo, thay vì viết “và các từ, cụm từ có ý nghĩa tương tự” như đề cập tại Khoản 6 Điều 103 Dự thảo. </w:t>
            </w:r>
          </w:p>
          <w:p w14:paraId="5CC1F2E7" w14:textId="336BDF7E" w:rsidR="00FF4409" w:rsidRPr="001E0A0F" w:rsidRDefault="00FF4409" w:rsidP="006328D1">
            <w:pPr>
              <w:jc w:val="both"/>
              <w:rPr>
                <w:rFonts w:ascii="Times New Roman" w:eastAsia="Arial Unicode MS" w:hAnsi="Times New Roman"/>
                <w:bCs/>
                <w:iCs/>
                <w:color w:val="000000" w:themeColor="text1"/>
                <w:sz w:val="24"/>
                <w:szCs w:val="24"/>
                <w:u w:color="000000"/>
                <w:bdr w:val="nil"/>
              </w:rPr>
            </w:pPr>
          </w:p>
        </w:tc>
        <w:tc>
          <w:tcPr>
            <w:tcW w:w="4253" w:type="dxa"/>
            <w:shd w:val="clear" w:color="auto" w:fill="auto"/>
          </w:tcPr>
          <w:p w14:paraId="17906A14" w14:textId="53497C2A" w:rsidR="00FF4409" w:rsidRPr="001E0A0F" w:rsidRDefault="00FF4409" w:rsidP="00512C13">
            <w:pPr>
              <w:jc w:val="both"/>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 Nếu không liệt kê cụ thể các từ, cụm từ không được phép sử dụng trong nội dung quảng cáo mà viết theo hướng loại trừ các “từ, cụm từ có ý nghĩa tương tự” có thể dẫn đến cách hiểu không thống nhất hoặc bị phụ thuộc vào quan điểm của chuyên viên thẩm duyệt hồ sơ.</w:t>
            </w:r>
          </w:p>
        </w:tc>
      </w:tr>
      <w:tr w:rsidR="00FF4409" w:rsidRPr="006D51EE" w14:paraId="352737B4" w14:textId="77777777" w:rsidTr="00D35E13">
        <w:trPr>
          <w:trHeight w:val="1204"/>
        </w:trPr>
        <w:tc>
          <w:tcPr>
            <w:tcW w:w="709" w:type="dxa"/>
            <w:vMerge/>
            <w:shd w:val="clear" w:color="auto" w:fill="auto"/>
          </w:tcPr>
          <w:p w14:paraId="585F6F2A" w14:textId="77777777" w:rsidR="00FF4409" w:rsidRPr="001E0A0F" w:rsidRDefault="00FF4409" w:rsidP="0029052E">
            <w:pPr>
              <w:jc w:val="center"/>
              <w:rPr>
                <w:rFonts w:ascii="Times New Roman" w:hAnsi="Times New Roman"/>
                <w:color w:val="000000" w:themeColor="text1"/>
                <w:sz w:val="24"/>
                <w:szCs w:val="24"/>
                <w:lang w:eastAsia="vi-VN"/>
              </w:rPr>
            </w:pPr>
          </w:p>
        </w:tc>
        <w:tc>
          <w:tcPr>
            <w:tcW w:w="4678" w:type="dxa"/>
            <w:vMerge/>
            <w:shd w:val="clear" w:color="auto" w:fill="auto"/>
          </w:tcPr>
          <w:p w14:paraId="60387672" w14:textId="77777777" w:rsidR="00FF4409" w:rsidRPr="001E0A0F" w:rsidRDefault="00FF4409" w:rsidP="006D51EE">
            <w:pPr>
              <w:jc w:val="both"/>
              <w:rPr>
                <w:rFonts w:ascii="Times New Roman" w:hAnsi="Times New Roman"/>
                <w:b/>
                <w:color w:val="000000" w:themeColor="text1"/>
                <w:sz w:val="24"/>
                <w:szCs w:val="24"/>
                <w:lang w:val="nl-NL"/>
              </w:rPr>
            </w:pPr>
          </w:p>
        </w:tc>
        <w:tc>
          <w:tcPr>
            <w:tcW w:w="5386" w:type="dxa"/>
            <w:shd w:val="clear" w:color="auto" w:fill="auto"/>
          </w:tcPr>
          <w:p w14:paraId="7124EB99" w14:textId="3A06717C" w:rsidR="00FF4409" w:rsidRPr="001E0A0F" w:rsidRDefault="00FF4409" w:rsidP="006328D1">
            <w:pPr>
              <w:jc w:val="both"/>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 xml:space="preserve">Bỏ cụm từ “Hotline”, “điện thoại tư vấn” khỏi danh sách các từ, cụm từ không được phép sử dụng trong nội dung quảng cáo </w:t>
            </w:r>
          </w:p>
        </w:tc>
        <w:tc>
          <w:tcPr>
            <w:tcW w:w="4253" w:type="dxa"/>
            <w:shd w:val="clear" w:color="auto" w:fill="auto"/>
          </w:tcPr>
          <w:p w14:paraId="7DF73074" w14:textId="77777777" w:rsidR="00FF4409" w:rsidRPr="001E0A0F" w:rsidRDefault="00FF4409" w:rsidP="006328D1">
            <w:pPr>
              <w:jc w:val="both"/>
              <w:rPr>
                <w:rFonts w:ascii="Times New Roman" w:eastAsia="Arial Unicode MS" w:hAnsi="Times New Roman"/>
                <w:bCs/>
                <w:iCs/>
                <w:color w:val="000000" w:themeColor="text1"/>
                <w:sz w:val="24"/>
                <w:szCs w:val="24"/>
                <w:u w:color="000000"/>
                <w:bdr w:val="nil"/>
              </w:rPr>
            </w:pPr>
            <w:proofErr w:type="spellStart"/>
            <w:r w:rsidRPr="001E0A0F">
              <w:rPr>
                <w:rFonts w:ascii="Times New Roman" w:eastAsia="Arial Unicode MS" w:hAnsi="Times New Roman"/>
                <w:bCs/>
                <w:iCs/>
                <w:color w:val="000000" w:themeColor="text1"/>
                <w:sz w:val="24"/>
                <w:szCs w:val="24"/>
                <w:u w:color="000000"/>
                <w:bdr w:val="nil"/>
              </w:rPr>
              <w:t>Luật</w:t>
            </w:r>
            <w:proofErr w:type="spellEnd"/>
            <w:r w:rsidRPr="001E0A0F">
              <w:rPr>
                <w:rFonts w:ascii="Times New Roman" w:eastAsia="Arial Unicode MS" w:hAnsi="Times New Roman"/>
                <w:bCs/>
                <w:iCs/>
                <w:color w:val="000000" w:themeColor="text1"/>
                <w:sz w:val="24"/>
                <w:szCs w:val="24"/>
                <w:u w:color="000000"/>
                <w:bdr w:val="nil"/>
              </w:rPr>
              <w:t xml:space="preserve"> </w:t>
            </w:r>
            <w:proofErr w:type="spellStart"/>
            <w:r w:rsidRPr="001E0A0F">
              <w:rPr>
                <w:rFonts w:ascii="Times New Roman" w:eastAsia="Arial Unicode MS" w:hAnsi="Times New Roman"/>
                <w:bCs/>
                <w:iCs/>
                <w:color w:val="000000" w:themeColor="text1"/>
                <w:sz w:val="24"/>
                <w:szCs w:val="24"/>
                <w:u w:color="000000"/>
                <w:bdr w:val="nil"/>
              </w:rPr>
              <w:t>số</w:t>
            </w:r>
            <w:proofErr w:type="spellEnd"/>
            <w:r w:rsidRPr="001E0A0F">
              <w:rPr>
                <w:rFonts w:ascii="Times New Roman" w:eastAsia="Arial Unicode MS" w:hAnsi="Times New Roman"/>
                <w:bCs/>
                <w:iCs/>
                <w:color w:val="000000" w:themeColor="text1"/>
                <w:sz w:val="24"/>
                <w:szCs w:val="24"/>
                <w:u w:color="000000"/>
                <w:bdr w:val="nil"/>
              </w:rPr>
              <w:t xml:space="preserve"> 44/2024/QH15 </w:t>
            </w:r>
            <w:proofErr w:type="spellStart"/>
            <w:r w:rsidRPr="001E0A0F">
              <w:rPr>
                <w:rFonts w:ascii="Times New Roman" w:eastAsia="Arial Unicode MS" w:hAnsi="Times New Roman"/>
                <w:bCs/>
                <w:iCs/>
                <w:color w:val="000000" w:themeColor="text1"/>
                <w:sz w:val="24"/>
                <w:szCs w:val="24"/>
                <w:u w:color="000000"/>
                <w:bdr w:val="nil"/>
              </w:rPr>
              <w:t>đã</w:t>
            </w:r>
            <w:proofErr w:type="spellEnd"/>
            <w:r w:rsidRPr="001E0A0F">
              <w:rPr>
                <w:rFonts w:ascii="Times New Roman" w:eastAsia="Arial Unicode MS" w:hAnsi="Times New Roman"/>
                <w:bCs/>
                <w:iCs/>
                <w:color w:val="000000" w:themeColor="text1"/>
                <w:sz w:val="24"/>
                <w:szCs w:val="24"/>
                <w:u w:color="000000"/>
                <w:bdr w:val="nil"/>
              </w:rPr>
              <w:t xml:space="preserve"> </w:t>
            </w:r>
            <w:proofErr w:type="spellStart"/>
            <w:r w:rsidRPr="001E0A0F">
              <w:rPr>
                <w:rFonts w:ascii="Times New Roman" w:eastAsia="Arial Unicode MS" w:hAnsi="Times New Roman"/>
                <w:bCs/>
                <w:iCs/>
                <w:color w:val="000000" w:themeColor="text1"/>
                <w:sz w:val="24"/>
                <w:szCs w:val="24"/>
                <w:u w:color="000000"/>
                <w:bdr w:val="nil"/>
              </w:rPr>
              <w:t>bổ</w:t>
            </w:r>
            <w:proofErr w:type="spellEnd"/>
            <w:r w:rsidRPr="001E0A0F">
              <w:rPr>
                <w:rFonts w:ascii="Times New Roman" w:eastAsia="Arial Unicode MS" w:hAnsi="Times New Roman"/>
                <w:bCs/>
                <w:iCs/>
                <w:color w:val="000000" w:themeColor="text1"/>
                <w:sz w:val="24"/>
                <w:szCs w:val="24"/>
                <w:u w:color="000000"/>
                <w:bdr w:val="nil"/>
              </w:rPr>
              <w:t xml:space="preserve"> sung quy định cho phép bán một số loại thuốc theo phương thức thương mại điện tử. </w:t>
            </w:r>
          </w:p>
          <w:p w14:paraId="306F33E9" w14:textId="1619A18F" w:rsidR="00FF4409" w:rsidRPr="001E0A0F" w:rsidRDefault="00FF4409" w:rsidP="006328D1">
            <w:pPr>
              <w:jc w:val="both"/>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 xml:space="preserve">Mặt khác, khi bán hàng theo phương thức thương mại điện tử thì việc doanh nghiệp </w:t>
            </w:r>
            <w:r w:rsidRPr="001E0A0F">
              <w:rPr>
                <w:rFonts w:ascii="Times New Roman" w:eastAsia="Arial Unicode MS" w:hAnsi="Times New Roman"/>
                <w:bCs/>
                <w:iCs/>
                <w:color w:val="000000" w:themeColor="text1"/>
                <w:sz w:val="24"/>
                <w:szCs w:val="24"/>
                <w:u w:color="000000"/>
                <w:bdr w:val="nil"/>
              </w:rPr>
              <w:lastRenderedPageBreak/>
              <w:t>cung cấp Hotline, điện thoại tư vấn là cần thiết để người tiêu dùng nắm bắt thông tin, thuận lợi và phù hợp cho việc kinh doanh theo phương thức này.</w:t>
            </w:r>
          </w:p>
        </w:tc>
      </w:tr>
      <w:tr w:rsidR="006328D1" w:rsidRPr="006D51EE" w14:paraId="30325894" w14:textId="77777777" w:rsidTr="00D35E13">
        <w:trPr>
          <w:trHeight w:val="638"/>
        </w:trPr>
        <w:tc>
          <w:tcPr>
            <w:tcW w:w="709" w:type="dxa"/>
            <w:shd w:val="clear" w:color="auto" w:fill="auto"/>
          </w:tcPr>
          <w:p w14:paraId="7E8CCCAC" w14:textId="22504478" w:rsidR="006328D1" w:rsidRPr="001E0A0F" w:rsidRDefault="00FF4409" w:rsidP="0029052E">
            <w:pPr>
              <w:jc w:val="center"/>
              <w:rPr>
                <w:rFonts w:ascii="Times New Roman" w:hAnsi="Times New Roman"/>
                <w:color w:val="000000" w:themeColor="text1"/>
                <w:sz w:val="24"/>
                <w:szCs w:val="24"/>
                <w:lang w:eastAsia="vi-VN"/>
              </w:rPr>
            </w:pPr>
            <w:r w:rsidRPr="001E0A0F">
              <w:rPr>
                <w:rFonts w:ascii="Times New Roman" w:hAnsi="Times New Roman"/>
                <w:color w:val="000000" w:themeColor="text1"/>
                <w:sz w:val="24"/>
                <w:szCs w:val="24"/>
                <w:lang w:eastAsia="vi-VN"/>
              </w:rPr>
              <w:lastRenderedPageBreak/>
              <w:t>9</w:t>
            </w:r>
          </w:p>
        </w:tc>
        <w:tc>
          <w:tcPr>
            <w:tcW w:w="4678" w:type="dxa"/>
            <w:shd w:val="clear" w:color="auto" w:fill="auto"/>
          </w:tcPr>
          <w:p w14:paraId="7A94CF6D" w14:textId="3E7011E0" w:rsidR="006328D1" w:rsidRPr="001E0A0F" w:rsidRDefault="00C0383D" w:rsidP="006D51EE">
            <w:pPr>
              <w:jc w:val="both"/>
              <w:rPr>
                <w:rFonts w:ascii="Times New Roman" w:hAnsi="Times New Roman"/>
                <w:b/>
                <w:color w:val="000000" w:themeColor="text1"/>
                <w:sz w:val="24"/>
                <w:szCs w:val="24"/>
                <w:lang w:val="de-DE"/>
              </w:rPr>
            </w:pPr>
            <w:r w:rsidRPr="001E0A0F">
              <w:rPr>
                <w:rFonts w:ascii="Times New Roman" w:hAnsi="Times New Roman"/>
                <w:b/>
                <w:color w:val="000000" w:themeColor="text1"/>
                <w:sz w:val="24"/>
                <w:szCs w:val="24"/>
                <w:lang w:val="de-DE"/>
              </w:rPr>
              <w:t>Chưa có</w:t>
            </w:r>
            <w:r w:rsidR="00FF4409" w:rsidRPr="001E0A0F">
              <w:rPr>
                <w:rFonts w:ascii="Times New Roman" w:hAnsi="Times New Roman"/>
                <w:b/>
                <w:color w:val="000000" w:themeColor="text1"/>
                <w:sz w:val="24"/>
                <w:szCs w:val="24"/>
                <w:lang w:val="de-DE"/>
              </w:rPr>
              <w:t xml:space="preserve"> quy định hướng dẫn rõ ràng Điều 79 luật Dược</w:t>
            </w:r>
          </w:p>
        </w:tc>
        <w:tc>
          <w:tcPr>
            <w:tcW w:w="5386" w:type="dxa"/>
            <w:shd w:val="clear" w:color="auto" w:fill="auto"/>
          </w:tcPr>
          <w:p w14:paraId="5BDFF731" w14:textId="67FA11BE" w:rsidR="00FF4409" w:rsidRPr="001E0A0F" w:rsidRDefault="00FF4409" w:rsidP="006328D1">
            <w:pPr>
              <w:jc w:val="both"/>
              <w:rPr>
                <w:rFonts w:cs="Arial"/>
                <w:color w:val="000000" w:themeColor="text1"/>
                <w:sz w:val="18"/>
                <w:szCs w:val="18"/>
                <w:shd w:val="clear" w:color="auto" w:fill="FFFF96"/>
                <w:lang w:eastAsia="vi-VN"/>
              </w:rPr>
            </w:pPr>
            <w:r w:rsidRPr="001E0A0F">
              <w:rPr>
                <w:rFonts w:ascii="Times New Roman" w:eastAsia="Arial Unicode MS" w:hAnsi="Times New Roman"/>
                <w:bCs/>
                <w:iCs/>
                <w:color w:val="000000" w:themeColor="text1"/>
                <w:sz w:val="24"/>
                <w:szCs w:val="24"/>
                <w:u w:color="000000"/>
                <w:bdr w:val="nil"/>
              </w:rPr>
              <w:t>Bổ sung</w:t>
            </w:r>
            <w:r w:rsidR="006328D1" w:rsidRPr="001E0A0F">
              <w:rPr>
                <w:rFonts w:ascii="Times New Roman" w:eastAsia="Arial Unicode MS" w:hAnsi="Times New Roman"/>
                <w:bCs/>
                <w:iCs/>
                <w:color w:val="000000" w:themeColor="text1"/>
                <w:sz w:val="24"/>
                <w:szCs w:val="24"/>
                <w:u w:color="000000"/>
                <w:bdr w:val="nil"/>
              </w:rPr>
              <w:t xml:space="preserve"> quy định</w:t>
            </w:r>
            <w:r w:rsidRPr="001E0A0F">
              <w:rPr>
                <w:rFonts w:ascii="Times New Roman" w:eastAsia="Arial Unicode MS" w:hAnsi="Times New Roman"/>
                <w:bCs/>
                <w:iCs/>
                <w:color w:val="000000" w:themeColor="text1"/>
                <w:sz w:val="24"/>
                <w:szCs w:val="24"/>
                <w:u w:color="000000"/>
                <w:bdr w:val="nil"/>
              </w:rPr>
              <w:t xml:space="preserve"> hướng dẫn và làm </w:t>
            </w:r>
            <w:proofErr w:type="gramStart"/>
            <w:r w:rsidRPr="001E0A0F">
              <w:rPr>
                <w:rFonts w:ascii="Times New Roman" w:eastAsia="Arial Unicode MS" w:hAnsi="Times New Roman"/>
                <w:bCs/>
                <w:iCs/>
                <w:color w:val="000000" w:themeColor="text1"/>
                <w:sz w:val="24"/>
                <w:szCs w:val="24"/>
                <w:u w:color="000000"/>
                <w:bdr w:val="nil"/>
              </w:rPr>
              <w:t>rõ  Điều</w:t>
            </w:r>
            <w:proofErr w:type="gramEnd"/>
            <w:r w:rsidRPr="001E0A0F">
              <w:rPr>
                <w:rFonts w:ascii="Times New Roman" w:eastAsia="Arial Unicode MS" w:hAnsi="Times New Roman"/>
                <w:bCs/>
                <w:iCs/>
                <w:color w:val="000000" w:themeColor="text1"/>
                <w:sz w:val="24"/>
                <w:szCs w:val="24"/>
                <w:u w:color="000000"/>
                <w:bdr w:val="nil"/>
              </w:rPr>
              <w:t xml:space="preserve"> 79 luật Dược. Cụ thể: Bổ sung quy định “Việc quảng cáo thuốc thực hiện theo đúng nội dung quảng cáo đã được Bộ Y tế xác nhận” ở đây được hiểu là đúng theo các nội dung thông tin thể hiện dưới dạng chữ viết. Còn phần hình ảnh (hình ảnh Diễn viên, các hình minh họa khác trừ hình ảnh liên quan đến sản phẩm) thì doanh nghiệp được thay đổi tùy chỉnh, miễn sao đảm bảo không vi phạm điều cấm của pháp luật về quảng cáo. </w:t>
            </w:r>
          </w:p>
          <w:p w14:paraId="39E68CFF" w14:textId="1ACE2FA8" w:rsidR="006328D1" w:rsidRPr="001E0A0F" w:rsidRDefault="006328D1" w:rsidP="006328D1">
            <w:pPr>
              <w:jc w:val="both"/>
              <w:rPr>
                <w:rFonts w:ascii="Times New Roman" w:eastAsia="Arial Unicode MS" w:hAnsi="Times New Roman"/>
                <w:bCs/>
                <w:iCs/>
                <w:color w:val="000000" w:themeColor="text1"/>
                <w:sz w:val="24"/>
                <w:szCs w:val="24"/>
                <w:u w:color="000000"/>
                <w:bdr w:val="nil"/>
              </w:rPr>
            </w:pPr>
          </w:p>
        </w:tc>
        <w:tc>
          <w:tcPr>
            <w:tcW w:w="4253" w:type="dxa"/>
            <w:shd w:val="clear" w:color="auto" w:fill="auto"/>
          </w:tcPr>
          <w:p w14:paraId="6567C314" w14:textId="7001BB51" w:rsidR="006328D1" w:rsidRPr="001E0A0F" w:rsidRDefault="00FF4409" w:rsidP="006328D1">
            <w:pPr>
              <w:jc w:val="both"/>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 xml:space="preserve">Việc bổ sung quy định này là rất cần thiết, đặc biệt là đối với các công cụ quảng cáo Banner/Poster vì hình thức quảng cáo online thay đổi nhanh chóng theo xu hướng (“trend”) xã hội. Do vậy, </w:t>
            </w:r>
            <w:r w:rsidR="006328D1" w:rsidRPr="001E0A0F">
              <w:rPr>
                <w:rFonts w:ascii="Times New Roman" w:eastAsia="Arial Unicode MS" w:hAnsi="Times New Roman"/>
                <w:bCs/>
                <w:iCs/>
                <w:color w:val="000000" w:themeColor="text1"/>
                <w:sz w:val="24"/>
                <w:szCs w:val="24"/>
                <w:u w:color="000000"/>
                <w:bdr w:val="nil"/>
              </w:rPr>
              <w:t xml:space="preserve">Doanh nghiệp </w:t>
            </w:r>
            <w:r w:rsidRPr="001E0A0F">
              <w:rPr>
                <w:rFonts w:ascii="Times New Roman" w:eastAsia="Arial Unicode MS" w:hAnsi="Times New Roman"/>
                <w:bCs/>
                <w:iCs/>
                <w:color w:val="000000" w:themeColor="text1"/>
                <w:sz w:val="24"/>
                <w:szCs w:val="24"/>
                <w:u w:color="000000"/>
                <w:bdr w:val="nil"/>
              </w:rPr>
              <w:t>cần có</w:t>
            </w:r>
            <w:r w:rsidR="006328D1" w:rsidRPr="001E0A0F">
              <w:rPr>
                <w:rFonts w:ascii="Times New Roman" w:eastAsia="Arial Unicode MS" w:hAnsi="Times New Roman"/>
                <w:bCs/>
                <w:iCs/>
                <w:color w:val="000000" w:themeColor="text1"/>
                <w:sz w:val="24"/>
                <w:szCs w:val="24"/>
                <w:u w:color="000000"/>
                <w:bdr w:val="nil"/>
              </w:rPr>
              <w:t xml:space="preserve"> công cụ quảng cáo kịp thời hướng tới người tiêu dùng </w:t>
            </w:r>
            <w:r w:rsidRPr="001E0A0F">
              <w:rPr>
                <w:rFonts w:ascii="Times New Roman" w:eastAsia="Arial Unicode MS" w:hAnsi="Times New Roman"/>
                <w:bCs/>
                <w:iCs/>
                <w:color w:val="000000" w:themeColor="text1"/>
                <w:sz w:val="24"/>
                <w:szCs w:val="24"/>
                <w:u w:color="000000"/>
                <w:bdr w:val="nil"/>
              </w:rPr>
              <w:t xml:space="preserve">nhưng vẫn đảm bảo </w:t>
            </w:r>
            <w:r w:rsidR="006328D1" w:rsidRPr="001E0A0F">
              <w:rPr>
                <w:rFonts w:ascii="Times New Roman" w:eastAsia="Arial Unicode MS" w:hAnsi="Times New Roman"/>
                <w:bCs/>
                <w:iCs/>
                <w:color w:val="000000" w:themeColor="text1"/>
                <w:sz w:val="24"/>
                <w:szCs w:val="24"/>
                <w:u w:color="000000"/>
                <w:bdr w:val="nil"/>
              </w:rPr>
              <w:t>phù hợp với nội dung quảng cáo đã được cấp phép.</w:t>
            </w:r>
          </w:p>
          <w:p w14:paraId="5CBBEAFA" w14:textId="77777777" w:rsidR="006328D1" w:rsidRPr="001E0A0F" w:rsidRDefault="006328D1" w:rsidP="006D51EE">
            <w:pPr>
              <w:jc w:val="both"/>
              <w:rPr>
                <w:rFonts w:ascii="Times New Roman" w:eastAsia="Arial Unicode MS" w:hAnsi="Times New Roman"/>
                <w:bCs/>
                <w:iCs/>
                <w:color w:val="000000" w:themeColor="text1"/>
                <w:sz w:val="24"/>
                <w:szCs w:val="24"/>
                <w:u w:color="000000"/>
                <w:bdr w:val="nil"/>
              </w:rPr>
            </w:pPr>
          </w:p>
        </w:tc>
      </w:tr>
      <w:tr w:rsidR="00012484" w:rsidRPr="006D51EE" w14:paraId="697EE5C0" w14:textId="77777777" w:rsidTr="00D35E13">
        <w:trPr>
          <w:trHeight w:val="638"/>
        </w:trPr>
        <w:tc>
          <w:tcPr>
            <w:tcW w:w="709" w:type="dxa"/>
            <w:shd w:val="clear" w:color="auto" w:fill="auto"/>
          </w:tcPr>
          <w:p w14:paraId="692F96B4" w14:textId="733771E6" w:rsidR="00012484" w:rsidRPr="001E0A0F" w:rsidRDefault="00FF4409" w:rsidP="0029052E">
            <w:pPr>
              <w:jc w:val="center"/>
              <w:rPr>
                <w:rFonts w:ascii="Times New Roman" w:hAnsi="Times New Roman"/>
                <w:color w:val="000000" w:themeColor="text1"/>
                <w:sz w:val="24"/>
                <w:szCs w:val="24"/>
                <w:lang w:eastAsia="vi-VN"/>
              </w:rPr>
            </w:pPr>
            <w:r w:rsidRPr="001E0A0F">
              <w:rPr>
                <w:rFonts w:ascii="Times New Roman" w:hAnsi="Times New Roman"/>
                <w:color w:val="000000" w:themeColor="text1"/>
                <w:sz w:val="24"/>
                <w:szCs w:val="24"/>
                <w:lang w:eastAsia="vi-VN"/>
              </w:rPr>
              <w:t>10</w:t>
            </w:r>
          </w:p>
        </w:tc>
        <w:tc>
          <w:tcPr>
            <w:tcW w:w="4678" w:type="dxa"/>
            <w:shd w:val="clear" w:color="auto" w:fill="auto"/>
          </w:tcPr>
          <w:p w14:paraId="61B5617D" w14:textId="42B2ABE4" w:rsidR="00012484" w:rsidRPr="001E0A0F" w:rsidRDefault="00012484" w:rsidP="006D51EE">
            <w:pPr>
              <w:jc w:val="both"/>
              <w:rPr>
                <w:rFonts w:ascii="Times New Roman" w:hAnsi="Times New Roman"/>
                <w:b/>
                <w:color w:val="000000" w:themeColor="text1"/>
                <w:sz w:val="24"/>
                <w:szCs w:val="24"/>
                <w:lang w:val="de-DE"/>
              </w:rPr>
            </w:pPr>
            <w:proofErr w:type="spellStart"/>
            <w:r w:rsidRPr="001E0A0F">
              <w:rPr>
                <w:rFonts w:ascii="Times New Roman" w:hAnsi="Times New Roman"/>
                <w:b/>
                <w:color w:val="000000" w:themeColor="text1"/>
                <w:sz w:val="24"/>
                <w:szCs w:val="24"/>
                <w:lang w:val="de-DE"/>
              </w:rPr>
              <w:t>Điều</w:t>
            </w:r>
            <w:proofErr w:type="spellEnd"/>
            <w:r w:rsidRPr="001E0A0F">
              <w:rPr>
                <w:rFonts w:ascii="Times New Roman" w:hAnsi="Times New Roman"/>
                <w:b/>
                <w:color w:val="000000" w:themeColor="text1"/>
                <w:sz w:val="24"/>
                <w:szCs w:val="24"/>
                <w:lang w:val="de-DE"/>
              </w:rPr>
              <w:t xml:space="preserve"> 10</w:t>
            </w:r>
            <w:r w:rsidR="007E26AC">
              <w:rPr>
                <w:rFonts w:ascii="Times New Roman" w:hAnsi="Times New Roman"/>
                <w:b/>
                <w:color w:val="000000" w:themeColor="text1"/>
                <w:sz w:val="24"/>
                <w:szCs w:val="24"/>
                <w:lang w:val="vi-VN"/>
              </w:rPr>
              <w:t>5</w:t>
            </w:r>
            <w:bookmarkStart w:id="0" w:name="_GoBack"/>
            <w:bookmarkEnd w:id="0"/>
            <w:r w:rsidRPr="001E0A0F">
              <w:rPr>
                <w:rFonts w:ascii="Times New Roman" w:hAnsi="Times New Roman"/>
                <w:b/>
                <w:color w:val="000000" w:themeColor="text1"/>
                <w:sz w:val="24"/>
                <w:szCs w:val="24"/>
                <w:lang w:val="de-DE"/>
              </w:rPr>
              <w:t>. Quy định trình tự thủ tục cấp giấy xác nhận nội dung quảng cáo thuốc</w:t>
            </w:r>
          </w:p>
        </w:tc>
        <w:tc>
          <w:tcPr>
            <w:tcW w:w="5386" w:type="dxa"/>
            <w:shd w:val="clear" w:color="auto" w:fill="auto"/>
          </w:tcPr>
          <w:p w14:paraId="0802C126" w14:textId="77777777" w:rsidR="00012484" w:rsidRPr="001E0A0F" w:rsidRDefault="00012484" w:rsidP="00D35E13">
            <w:pPr>
              <w:spacing w:before="60" w:after="60" w:line="271" w:lineRule="auto"/>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Đề nghị bổ sung quy định về:</w:t>
            </w:r>
          </w:p>
          <w:p w14:paraId="5C39CE8C" w14:textId="02A27A44" w:rsidR="00012484" w:rsidRPr="001E0A0F" w:rsidRDefault="00012484" w:rsidP="00D35E13">
            <w:pPr>
              <w:pStyle w:val="ListParagraph"/>
              <w:numPr>
                <w:ilvl w:val="0"/>
                <w:numId w:val="16"/>
              </w:numPr>
              <w:spacing w:before="60" w:after="60" w:line="271" w:lineRule="auto"/>
              <w:ind w:left="456" w:hanging="425"/>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Hình thức nộp hồ sơ đề nghị cấp Giấy xác nhận nội dung quảng cáo thuốc: trực tiếp hay trực tuyến, nơi nhận.</w:t>
            </w:r>
          </w:p>
          <w:p w14:paraId="205241D0" w14:textId="77777777" w:rsidR="00012484" w:rsidRPr="001E0A0F" w:rsidRDefault="00012484" w:rsidP="00D35E13">
            <w:pPr>
              <w:pStyle w:val="ListParagraph"/>
              <w:numPr>
                <w:ilvl w:val="0"/>
                <w:numId w:val="16"/>
              </w:numPr>
              <w:spacing w:before="60" w:after="60" w:line="271" w:lineRule="auto"/>
              <w:ind w:left="456" w:hanging="425"/>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Bổ sung quy định về số lần</w:t>
            </w:r>
            <w:r w:rsidR="005818EA" w:rsidRPr="001E0A0F">
              <w:rPr>
                <w:rFonts w:ascii="Times New Roman" w:eastAsia="Arial Unicode MS" w:hAnsi="Times New Roman"/>
                <w:bCs/>
                <w:iCs/>
                <w:color w:val="000000" w:themeColor="text1"/>
                <w:sz w:val="24"/>
                <w:szCs w:val="24"/>
                <w:u w:color="000000"/>
                <w:bdr w:val="nil"/>
              </w:rPr>
              <w:t xml:space="preserve"> hoặc khoảng thời gian</w:t>
            </w:r>
            <w:r w:rsidRPr="001E0A0F">
              <w:rPr>
                <w:rFonts w:ascii="Times New Roman" w:eastAsia="Arial Unicode MS" w:hAnsi="Times New Roman"/>
                <w:bCs/>
                <w:iCs/>
                <w:color w:val="000000" w:themeColor="text1"/>
                <w:sz w:val="24"/>
                <w:szCs w:val="24"/>
                <w:u w:color="000000"/>
                <w:bdr w:val="nil"/>
              </w:rPr>
              <w:t xml:space="preserve"> tối đa mà doanh nghiệp được bổ sung hồ sơ đề nghị cấp Giấy xác nhận nội dung quảng cáo thuốc</w:t>
            </w:r>
            <w:r w:rsidR="007B40F1" w:rsidRPr="001E0A0F">
              <w:rPr>
                <w:rFonts w:ascii="Times New Roman" w:eastAsia="Arial Unicode MS" w:hAnsi="Times New Roman"/>
                <w:bCs/>
                <w:iCs/>
                <w:color w:val="000000" w:themeColor="text1"/>
                <w:sz w:val="24"/>
                <w:szCs w:val="24"/>
                <w:u w:color="000000"/>
                <w:bdr w:val="nil"/>
              </w:rPr>
              <w:t>. Trong đó, đề nghị quy định theo hướng cho phép doanh nghiệp bổ sung ít nhất 02 lần hoặc vô thời hạn)</w:t>
            </w:r>
          </w:p>
          <w:p w14:paraId="0669DA0C" w14:textId="3218993B" w:rsidR="001B2DEC" w:rsidRPr="001E0A0F" w:rsidRDefault="001B2DEC" w:rsidP="00D35E13">
            <w:pPr>
              <w:pStyle w:val="ListParagraph"/>
              <w:numPr>
                <w:ilvl w:val="0"/>
                <w:numId w:val="16"/>
              </w:numPr>
              <w:spacing w:before="60" w:after="60" w:line="271" w:lineRule="auto"/>
              <w:ind w:left="453" w:hanging="425"/>
              <w:contextualSpacing w:val="0"/>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Kính đề nghị Bộ Y tế cập nhật website</w:t>
            </w:r>
            <w:r w:rsidR="004B6011" w:rsidRPr="001E0A0F">
              <w:rPr>
                <w:rFonts w:ascii="Times New Roman" w:eastAsia="Arial Unicode MS" w:hAnsi="Times New Roman"/>
                <w:bCs/>
                <w:iCs/>
                <w:color w:val="000000" w:themeColor="text1"/>
                <w:sz w:val="24"/>
                <w:szCs w:val="24"/>
                <w:u w:color="000000"/>
                <w:bdr w:val="nil"/>
              </w:rPr>
              <w:t xml:space="preserve"> phần nộp online hồ sơ đề nghị cấp giấy xác nhận nội dung quảng cáo có hiển thị công khai tiến trình thẩm định hồ sơ trên cổng thông tin</w:t>
            </w:r>
            <w:r w:rsidR="00512C13" w:rsidRPr="001E0A0F">
              <w:rPr>
                <w:rFonts w:ascii="Times New Roman" w:eastAsia="Arial Unicode MS" w:hAnsi="Times New Roman"/>
                <w:bCs/>
                <w:iCs/>
                <w:color w:val="000000" w:themeColor="text1"/>
                <w:sz w:val="24"/>
                <w:szCs w:val="24"/>
                <w:u w:color="000000"/>
                <w:bdr w:val="nil"/>
              </w:rPr>
              <w:t xml:space="preserve"> để cơ quan quản lý và doanh nghiệp thuận tiện cho việc theo dõi.</w:t>
            </w:r>
          </w:p>
        </w:tc>
        <w:tc>
          <w:tcPr>
            <w:tcW w:w="4253" w:type="dxa"/>
            <w:shd w:val="clear" w:color="auto" w:fill="auto"/>
          </w:tcPr>
          <w:p w14:paraId="25DEA579" w14:textId="554EE042" w:rsidR="00012484" w:rsidRPr="001E0A0F" w:rsidRDefault="00512C13" w:rsidP="006D51EE">
            <w:pPr>
              <w:jc w:val="both"/>
              <w:rPr>
                <w:rFonts w:ascii="Times New Roman" w:eastAsia="Arial Unicode MS" w:hAnsi="Times New Roman"/>
                <w:bCs/>
                <w:iCs/>
                <w:color w:val="000000" w:themeColor="text1"/>
                <w:sz w:val="24"/>
                <w:szCs w:val="24"/>
                <w:u w:color="000000"/>
                <w:bdr w:val="nil"/>
              </w:rPr>
            </w:pPr>
            <w:r w:rsidRPr="001E0A0F">
              <w:rPr>
                <w:rFonts w:ascii="Times New Roman" w:eastAsia="Arial Unicode MS" w:hAnsi="Times New Roman"/>
                <w:bCs/>
                <w:iCs/>
                <w:color w:val="000000" w:themeColor="text1"/>
                <w:sz w:val="24"/>
                <w:szCs w:val="24"/>
                <w:u w:color="000000"/>
                <w:bdr w:val="nil"/>
              </w:rPr>
              <w:t>Quy định cụ thể, rõ ràng để áp dụng, tránh phát sinh vướng mắc trong quá trình thực hiện.</w:t>
            </w:r>
          </w:p>
        </w:tc>
      </w:tr>
    </w:tbl>
    <w:p w14:paraId="5261F43D" w14:textId="77777777" w:rsidR="00DA47B2" w:rsidRPr="00AA503F" w:rsidRDefault="00DA47B2">
      <w:pPr>
        <w:tabs>
          <w:tab w:val="left" w:leader="dot" w:pos="8640"/>
          <w:tab w:val="left" w:pos="9919"/>
        </w:tabs>
        <w:spacing w:line="288" w:lineRule="auto"/>
        <w:jc w:val="both"/>
        <w:rPr>
          <w:rFonts w:ascii="Times New Roman" w:hAnsi="Times New Roman"/>
          <w:color w:val="000000" w:themeColor="text1"/>
          <w:sz w:val="24"/>
          <w:szCs w:val="24"/>
        </w:rPr>
      </w:pPr>
    </w:p>
    <w:p w14:paraId="35BB1F18" w14:textId="48A21EB8" w:rsidR="003140D9" w:rsidRPr="00AA503F" w:rsidRDefault="00A73FEA">
      <w:pPr>
        <w:tabs>
          <w:tab w:val="left" w:leader="dot" w:pos="8640"/>
          <w:tab w:val="left" w:pos="9919"/>
        </w:tabs>
        <w:spacing w:line="288" w:lineRule="auto"/>
        <w:jc w:val="both"/>
        <w:rPr>
          <w:rFonts w:ascii="Times New Roman" w:hAnsi="Times New Roman"/>
          <w:color w:val="000000" w:themeColor="text1"/>
          <w:sz w:val="24"/>
          <w:szCs w:val="24"/>
        </w:rPr>
      </w:pPr>
      <w:r w:rsidRPr="00AA503F">
        <w:rPr>
          <w:rFonts w:ascii="Times New Roman" w:hAnsi="Times New Roman"/>
          <w:color w:val="000000" w:themeColor="text1"/>
          <w:sz w:val="24"/>
          <w:szCs w:val="24"/>
        </w:rPr>
        <w:lastRenderedPageBreak/>
        <w:t xml:space="preserve">Trên đây là các ý kiến </w:t>
      </w:r>
      <w:r w:rsidR="001629B6">
        <w:rPr>
          <w:rFonts w:ascii="Times New Roman" w:hAnsi="Times New Roman"/>
          <w:color w:val="000000" w:themeColor="text1"/>
          <w:sz w:val="24"/>
          <w:szCs w:val="24"/>
        </w:rPr>
        <w:t>góp ý</w:t>
      </w:r>
      <w:r w:rsidRPr="00AA503F">
        <w:rPr>
          <w:rFonts w:ascii="Times New Roman" w:hAnsi="Times New Roman"/>
          <w:color w:val="000000" w:themeColor="text1"/>
          <w:sz w:val="24"/>
          <w:szCs w:val="24"/>
        </w:rPr>
        <w:t xml:space="preserve"> của chúng tôi đối với các quy định của Dự thảo</w:t>
      </w:r>
      <w:r w:rsidR="00207F80">
        <w:rPr>
          <w:rFonts w:ascii="Times New Roman" w:hAnsi="Times New Roman"/>
          <w:color w:val="000000" w:themeColor="text1"/>
          <w:sz w:val="24"/>
          <w:szCs w:val="24"/>
        </w:rPr>
        <w:t xml:space="preserve"> </w:t>
      </w:r>
      <w:r w:rsidR="00347338">
        <w:rPr>
          <w:rFonts w:ascii="Times New Roman" w:hAnsi="Times New Roman"/>
          <w:color w:val="000000" w:themeColor="text1"/>
          <w:sz w:val="24"/>
          <w:szCs w:val="24"/>
        </w:rPr>
        <w:t>này</w:t>
      </w:r>
      <w:r w:rsidRPr="00AA503F">
        <w:rPr>
          <w:rFonts w:ascii="Times New Roman" w:hAnsi="Times New Roman"/>
          <w:color w:val="000000" w:themeColor="text1"/>
          <w:sz w:val="24"/>
          <w:szCs w:val="24"/>
        </w:rPr>
        <w:t>.</w:t>
      </w:r>
    </w:p>
    <w:p w14:paraId="66A49AA8" w14:textId="18405AEA" w:rsidR="003140D9" w:rsidRPr="00AA503F" w:rsidRDefault="00A73FEA">
      <w:pPr>
        <w:tabs>
          <w:tab w:val="left" w:leader="dot" w:pos="8640"/>
          <w:tab w:val="left" w:pos="9919"/>
        </w:tabs>
        <w:spacing w:line="288" w:lineRule="auto"/>
        <w:jc w:val="both"/>
        <w:rPr>
          <w:rFonts w:ascii="Times New Roman" w:hAnsi="Times New Roman"/>
          <w:color w:val="000000" w:themeColor="text1"/>
          <w:sz w:val="24"/>
          <w:szCs w:val="24"/>
        </w:rPr>
      </w:pPr>
      <w:r w:rsidRPr="00AA503F">
        <w:rPr>
          <w:rFonts w:ascii="Times New Roman" w:hAnsi="Times New Roman"/>
          <w:color w:val="000000" w:themeColor="text1"/>
          <w:sz w:val="24"/>
          <w:szCs w:val="24"/>
        </w:rPr>
        <w:t>Trân trọng c</w:t>
      </w:r>
      <w:r w:rsidR="00347338">
        <w:rPr>
          <w:rFonts w:ascii="Times New Roman" w:hAnsi="Times New Roman"/>
          <w:color w:val="000000" w:themeColor="text1"/>
          <w:sz w:val="24"/>
          <w:szCs w:val="24"/>
        </w:rPr>
        <w:t>ả</w:t>
      </w:r>
      <w:r w:rsidRPr="00AA503F">
        <w:rPr>
          <w:rFonts w:ascii="Times New Roman" w:hAnsi="Times New Roman"/>
          <w:color w:val="000000" w:themeColor="text1"/>
          <w:sz w:val="24"/>
          <w:szCs w:val="24"/>
        </w:rPr>
        <w:t>m ơn!</w:t>
      </w:r>
    </w:p>
    <w:p w14:paraId="53CE0F0C" w14:textId="77777777" w:rsidR="003140D9" w:rsidRPr="00AA503F" w:rsidRDefault="003140D9">
      <w:pPr>
        <w:tabs>
          <w:tab w:val="left" w:leader="dot" w:pos="8640"/>
          <w:tab w:val="left" w:pos="9919"/>
        </w:tabs>
        <w:spacing w:line="312" w:lineRule="auto"/>
        <w:jc w:val="both"/>
        <w:rPr>
          <w:rFonts w:ascii="Times New Roman" w:hAnsi="Times New Roman"/>
          <w:color w:val="000000" w:themeColor="text1"/>
          <w:sz w:val="24"/>
          <w:szCs w:val="24"/>
        </w:rPr>
      </w:pPr>
    </w:p>
    <w:tbl>
      <w:tblPr>
        <w:tblW w:w="12616" w:type="dxa"/>
        <w:tblInd w:w="562" w:type="dxa"/>
        <w:tblLook w:val="01E0" w:firstRow="1" w:lastRow="1" w:firstColumn="1" w:lastColumn="1" w:noHBand="0" w:noVBand="0"/>
      </w:tblPr>
      <w:tblGrid>
        <w:gridCol w:w="5812"/>
        <w:gridCol w:w="6804"/>
      </w:tblGrid>
      <w:tr w:rsidR="00AA503F" w:rsidRPr="00AA503F" w14:paraId="07F73AFC" w14:textId="77777777">
        <w:tc>
          <w:tcPr>
            <w:tcW w:w="5812" w:type="dxa"/>
            <w:shd w:val="clear" w:color="auto" w:fill="auto"/>
          </w:tcPr>
          <w:p w14:paraId="23242E68" w14:textId="77777777" w:rsidR="003140D9" w:rsidRPr="00AA503F" w:rsidRDefault="00A73FEA">
            <w:pPr>
              <w:tabs>
                <w:tab w:val="left" w:pos="1152"/>
                <w:tab w:val="left" w:pos="9919"/>
              </w:tabs>
              <w:spacing w:line="312" w:lineRule="auto"/>
              <w:rPr>
                <w:rFonts w:ascii="Times New Roman" w:hAnsi="Times New Roman"/>
                <w:color w:val="000000" w:themeColor="text1"/>
              </w:rPr>
            </w:pPr>
            <w:r w:rsidRPr="00AA503F">
              <w:rPr>
                <w:rFonts w:ascii="Times New Roman" w:hAnsi="Times New Roman"/>
                <w:b/>
                <w:i/>
                <w:color w:val="000000" w:themeColor="text1"/>
                <w:sz w:val="24"/>
                <w:szCs w:val="24"/>
              </w:rPr>
              <w:br/>
            </w:r>
            <w:r w:rsidRPr="00AA503F">
              <w:rPr>
                <w:rFonts w:ascii="Times New Roman" w:hAnsi="Times New Roman"/>
                <w:b/>
                <w:i/>
                <w:color w:val="000000" w:themeColor="text1"/>
              </w:rPr>
              <w:t>Nơi nhận:</w:t>
            </w:r>
            <w:r w:rsidRPr="00AA503F">
              <w:rPr>
                <w:rFonts w:ascii="Times New Roman" w:hAnsi="Times New Roman"/>
                <w:b/>
                <w:i/>
                <w:color w:val="000000" w:themeColor="text1"/>
              </w:rPr>
              <w:br/>
            </w:r>
            <w:r w:rsidRPr="00AA503F">
              <w:rPr>
                <w:rFonts w:ascii="Times New Roman" w:hAnsi="Times New Roman"/>
                <w:color w:val="000000" w:themeColor="text1"/>
              </w:rPr>
              <w:t>- Như kính gửi;</w:t>
            </w:r>
            <w:r w:rsidRPr="00AA503F">
              <w:rPr>
                <w:rFonts w:ascii="Times New Roman" w:hAnsi="Times New Roman"/>
                <w:color w:val="000000" w:themeColor="text1"/>
              </w:rPr>
              <w:br/>
              <w:t xml:space="preserve">- </w:t>
            </w:r>
            <w:proofErr w:type="spellStart"/>
            <w:r w:rsidRPr="00AA503F">
              <w:rPr>
                <w:rFonts w:ascii="Times New Roman" w:hAnsi="Times New Roman"/>
                <w:color w:val="000000" w:themeColor="text1"/>
              </w:rPr>
              <w:t>Lưu</w:t>
            </w:r>
            <w:proofErr w:type="spellEnd"/>
            <w:r w:rsidRPr="00AA503F">
              <w:rPr>
                <w:rFonts w:ascii="Times New Roman" w:hAnsi="Times New Roman"/>
                <w:color w:val="000000" w:themeColor="text1"/>
              </w:rPr>
              <w:t>: PC-</w:t>
            </w:r>
            <w:proofErr w:type="gramStart"/>
            <w:r w:rsidRPr="00AA503F">
              <w:rPr>
                <w:rFonts w:ascii="Times New Roman" w:hAnsi="Times New Roman"/>
                <w:color w:val="000000" w:themeColor="text1"/>
              </w:rPr>
              <w:t>P.QTRR</w:t>
            </w:r>
            <w:proofErr w:type="gramEnd"/>
            <w:r w:rsidRPr="00AA503F">
              <w:rPr>
                <w:rFonts w:ascii="Times New Roman" w:hAnsi="Times New Roman"/>
                <w:color w:val="000000" w:themeColor="text1"/>
              </w:rPr>
              <w:t>.</w:t>
            </w:r>
          </w:p>
        </w:tc>
        <w:tc>
          <w:tcPr>
            <w:tcW w:w="6804" w:type="dxa"/>
            <w:shd w:val="clear" w:color="auto" w:fill="auto"/>
          </w:tcPr>
          <w:p w14:paraId="3E15069A" w14:textId="147FAA21" w:rsidR="003140D9" w:rsidRPr="00AA503F" w:rsidRDefault="00A73FEA">
            <w:pPr>
              <w:tabs>
                <w:tab w:val="left" w:pos="1152"/>
                <w:tab w:val="left" w:pos="9919"/>
              </w:tabs>
              <w:spacing w:line="312" w:lineRule="auto"/>
              <w:jc w:val="center"/>
              <w:rPr>
                <w:rFonts w:ascii="Times New Roman" w:hAnsi="Times New Roman"/>
                <w:b/>
                <w:color w:val="000000" w:themeColor="text1"/>
                <w:sz w:val="24"/>
                <w:szCs w:val="24"/>
              </w:rPr>
            </w:pPr>
            <w:r w:rsidRPr="00AA503F">
              <w:rPr>
                <w:rFonts w:ascii="Times New Roman" w:hAnsi="Times New Roman"/>
                <w:b/>
                <w:color w:val="000000" w:themeColor="text1"/>
                <w:sz w:val="24"/>
                <w:szCs w:val="24"/>
              </w:rPr>
              <w:t xml:space="preserve">            TỔNG GIÁM ĐỐC</w:t>
            </w:r>
            <w:r w:rsidRPr="00AA503F">
              <w:rPr>
                <w:rFonts w:ascii="Times New Roman" w:hAnsi="Times New Roman"/>
                <w:b/>
                <w:color w:val="000000" w:themeColor="text1"/>
                <w:sz w:val="24"/>
                <w:szCs w:val="24"/>
              </w:rPr>
              <w:br/>
            </w:r>
            <w:r w:rsidRPr="00AA503F">
              <w:rPr>
                <w:rFonts w:ascii="Times New Roman" w:hAnsi="Times New Roman"/>
                <w:i/>
                <w:color w:val="000000" w:themeColor="text1"/>
                <w:sz w:val="24"/>
                <w:szCs w:val="24"/>
              </w:rPr>
              <w:br/>
            </w:r>
            <w:r w:rsidRPr="00AA503F">
              <w:rPr>
                <w:rFonts w:ascii="Times New Roman" w:hAnsi="Times New Roman"/>
                <w:color w:val="000000" w:themeColor="text1"/>
                <w:sz w:val="24"/>
                <w:szCs w:val="24"/>
              </w:rPr>
              <w:br/>
            </w:r>
          </w:p>
          <w:p w14:paraId="47AB0BF9" w14:textId="6D0D6ED2" w:rsidR="003140D9" w:rsidRPr="00AA503F" w:rsidRDefault="00B61F43">
            <w:pPr>
              <w:tabs>
                <w:tab w:val="left" w:pos="1152"/>
                <w:tab w:val="left" w:pos="9919"/>
              </w:tabs>
              <w:spacing w:line="312"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Trần Túc Mã</w:t>
            </w:r>
          </w:p>
        </w:tc>
      </w:tr>
    </w:tbl>
    <w:p w14:paraId="04FEB3BF" w14:textId="77777777" w:rsidR="003140D9" w:rsidRPr="00AA503F" w:rsidRDefault="003140D9" w:rsidP="005D4092">
      <w:pPr>
        <w:spacing w:line="312" w:lineRule="auto"/>
        <w:rPr>
          <w:rFonts w:ascii="Times New Roman" w:hAnsi="Times New Roman"/>
          <w:color w:val="000000" w:themeColor="text1"/>
          <w:sz w:val="24"/>
          <w:szCs w:val="24"/>
        </w:rPr>
      </w:pPr>
    </w:p>
    <w:sectPr w:rsidR="003140D9" w:rsidRPr="00AA503F">
      <w:footerReference w:type="default" r:id="rId7"/>
      <w:pgSz w:w="16840" w:h="11907" w:orient="landscape" w:code="9"/>
      <w:pgMar w:top="851"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77F45" w14:textId="77777777" w:rsidR="0094710D" w:rsidRDefault="0094710D">
      <w:r>
        <w:separator/>
      </w:r>
    </w:p>
  </w:endnote>
  <w:endnote w:type="continuationSeparator" w:id="0">
    <w:p w14:paraId="5F07B29B" w14:textId="77777777" w:rsidR="0094710D" w:rsidRDefault="0094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D6A8" w14:textId="0EB01833" w:rsidR="002E7408" w:rsidRDefault="0094710D" w:rsidP="00EE6C34">
    <w:pPr>
      <w:pStyle w:val="Footer"/>
      <w:jc w:val="center"/>
      <w:rPr>
        <w:rFonts w:ascii="Times New Roman" w:hAnsi="Times New Roman"/>
      </w:rPr>
    </w:pPr>
    <w:sdt>
      <w:sdtPr>
        <w:rPr>
          <w:rFonts w:ascii="Times New Roman" w:hAnsi="Times New Roman"/>
        </w:rPr>
        <w:id w:val="420147259"/>
        <w:docPartObj>
          <w:docPartGallery w:val="Page Numbers (Bottom of Page)"/>
          <w:docPartUnique/>
        </w:docPartObj>
      </w:sdtPr>
      <w:sdtEndPr>
        <w:rPr>
          <w:noProof/>
        </w:rPr>
      </w:sdtEndPr>
      <w:sdtContent>
        <w:r w:rsidR="002E7408">
          <w:rPr>
            <w:rFonts w:ascii="Times New Roman" w:hAnsi="Times New Roman"/>
          </w:rPr>
          <w:fldChar w:fldCharType="begin"/>
        </w:r>
        <w:r w:rsidR="002E7408">
          <w:rPr>
            <w:rFonts w:ascii="Times New Roman" w:hAnsi="Times New Roman"/>
          </w:rPr>
          <w:instrText xml:space="preserve"> PAGE   \* MERGEFORMAT </w:instrText>
        </w:r>
        <w:r w:rsidR="002E7408">
          <w:rPr>
            <w:rFonts w:ascii="Times New Roman" w:hAnsi="Times New Roman"/>
          </w:rPr>
          <w:fldChar w:fldCharType="separate"/>
        </w:r>
        <w:r w:rsidR="002E7408">
          <w:rPr>
            <w:rFonts w:ascii="Times New Roman" w:hAnsi="Times New Roman"/>
            <w:noProof/>
          </w:rPr>
          <w:t>2</w:t>
        </w:r>
        <w:r w:rsidR="002E7408">
          <w:rPr>
            <w:rFonts w:ascii="Times New Roman" w:hAnsi="Times New Roman"/>
            <w:noProof/>
          </w:rPr>
          <w:fldChar w:fldCharType="end"/>
        </w:r>
      </w:sdtContent>
    </w:sdt>
    <w:r w:rsidR="002E7408">
      <w:rPr>
        <w:rFonts w:ascii="Times New Roman" w:hAnsi="Times New Roman"/>
      </w:rPr>
      <w:t xml:space="preserve"> </w:t>
    </w:r>
  </w:p>
  <w:p w14:paraId="674CCF5C" w14:textId="77777777" w:rsidR="002E7408" w:rsidRDefault="002E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6B577" w14:textId="77777777" w:rsidR="0094710D" w:rsidRDefault="0094710D">
      <w:r>
        <w:separator/>
      </w:r>
    </w:p>
  </w:footnote>
  <w:footnote w:type="continuationSeparator" w:id="0">
    <w:p w14:paraId="5CEE8946" w14:textId="77777777" w:rsidR="0094710D" w:rsidRDefault="0094710D">
      <w:r>
        <w:continuationSeparator/>
      </w:r>
    </w:p>
  </w:footnote>
  <w:footnote w:id="1">
    <w:p w14:paraId="687D8AD7" w14:textId="77777777" w:rsidR="000A0622" w:rsidRDefault="000A0622" w:rsidP="000A0622">
      <w:pPr>
        <w:pStyle w:val="FootnoteText"/>
      </w:pPr>
      <w:r>
        <w:rPr>
          <w:rStyle w:val="FootnoteReference"/>
        </w:rPr>
        <w:footnoteRef/>
      </w:r>
      <w:r>
        <w:t xml:space="preserve"> Điều 36 Nghị định 54</w:t>
      </w:r>
    </w:p>
  </w:footnote>
  <w:footnote w:id="2">
    <w:p w14:paraId="1FD12DFC" w14:textId="77777777" w:rsidR="008957D3" w:rsidRDefault="008957D3" w:rsidP="008957D3">
      <w:pPr>
        <w:pStyle w:val="FootnoteText"/>
      </w:pPr>
      <w:r>
        <w:rPr>
          <w:rStyle w:val="FootnoteReference"/>
        </w:rPr>
        <w:footnoteRef/>
      </w:r>
      <w:r>
        <w:t xml:space="preserve"> Điều 88 Nghị định 54</w:t>
      </w:r>
    </w:p>
  </w:footnote>
  <w:footnote w:id="3">
    <w:p w14:paraId="558F5D7F" w14:textId="77777777" w:rsidR="006D51EE" w:rsidRDefault="006D51EE" w:rsidP="006D51EE">
      <w:pPr>
        <w:pStyle w:val="FootnoteText"/>
      </w:pPr>
      <w:r>
        <w:rPr>
          <w:rStyle w:val="FootnoteReference"/>
        </w:rPr>
        <w:footnoteRef/>
      </w:r>
      <w:r>
        <w:t xml:space="preserve"> Điều 91 Nghị định 54, được sửa đổi, bổ sung bởi Nghị định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15CE"/>
    <w:multiLevelType w:val="hybridMultilevel"/>
    <w:tmpl w:val="C2408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304"/>
    <w:multiLevelType w:val="hybridMultilevel"/>
    <w:tmpl w:val="7FC4E20E"/>
    <w:lvl w:ilvl="0" w:tplc="00EA5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1C0E"/>
    <w:multiLevelType w:val="hybridMultilevel"/>
    <w:tmpl w:val="7CCAB7CA"/>
    <w:lvl w:ilvl="0" w:tplc="7FEC11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F4104"/>
    <w:multiLevelType w:val="hybridMultilevel"/>
    <w:tmpl w:val="FD7C053C"/>
    <w:lvl w:ilvl="0" w:tplc="EA681F0C">
      <w:numFmt w:val="bullet"/>
      <w:lvlText w:val="-"/>
      <w:lvlJc w:val="left"/>
      <w:pPr>
        <w:ind w:left="360" w:hanging="360"/>
      </w:pPr>
      <w:rPr>
        <w:rFonts w:ascii="Times New Roman" w:eastAsia="Courier New"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3BE2135A"/>
    <w:multiLevelType w:val="hybridMultilevel"/>
    <w:tmpl w:val="42B0B83C"/>
    <w:lvl w:ilvl="0" w:tplc="959E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B7DD6"/>
    <w:multiLevelType w:val="hybridMultilevel"/>
    <w:tmpl w:val="E886DD72"/>
    <w:lvl w:ilvl="0" w:tplc="7ED2CEC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BF115DF"/>
    <w:multiLevelType w:val="hybridMultilevel"/>
    <w:tmpl w:val="01D495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3EE0E25"/>
    <w:multiLevelType w:val="hybridMultilevel"/>
    <w:tmpl w:val="7D606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89358D3"/>
    <w:multiLevelType w:val="hybridMultilevel"/>
    <w:tmpl w:val="D0A29102"/>
    <w:lvl w:ilvl="0" w:tplc="3416B98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813DC8"/>
    <w:multiLevelType w:val="hybridMultilevel"/>
    <w:tmpl w:val="4DA41402"/>
    <w:lvl w:ilvl="0" w:tplc="9CFC1104">
      <w:start w:val="16"/>
      <w:numFmt w:val="bullet"/>
      <w:lvlText w:val="-"/>
      <w:lvlJc w:val="left"/>
      <w:pPr>
        <w:ind w:left="720" w:hanging="360"/>
      </w:pPr>
      <w:rPr>
        <w:rFonts w:ascii="Arial" w:eastAsia="Times New Roman"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91933"/>
    <w:multiLevelType w:val="hybridMultilevel"/>
    <w:tmpl w:val="BDBC7CA0"/>
    <w:lvl w:ilvl="0" w:tplc="6BC26BB0">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5DAC4B0E"/>
    <w:multiLevelType w:val="hybridMultilevel"/>
    <w:tmpl w:val="28328674"/>
    <w:lvl w:ilvl="0" w:tplc="42D2FEF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F370A7E"/>
    <w:multiLevelType w:val="hybridMultilevel"/>
    <w:tmpl w:val="06A2D282"/>
    <w:lvl w:ilvl="0" w:tplc="22E86BDA">
      <w:start w:val="2"/>
      <w:numFmt w:val="bullet"/>
      <w:lvlText w:val="-"/>
      <w:lvlJc w:val="left"/>
      <w:pPr>
        <w:ind w:left="720" w:hanging="360"/>
      </w:pPr>
      <w:rPr>
        <w:rFonts w:ascii="Arial" w:eastAsia="Times New Roman" w:hAnsi="Arial" w:cs="Arial"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53880"/>
    <w:multiLevelType w:val="hybridMultilevel"/>
    <w:tmpl w:val="DCDC9312"/>
    <w:lvl w:ilvl="0" w:tplc="B232B96C">
      <w:start w:val="2"/>
      <w:numFmt w:val="bullet"/>
      <w:lvlText w:val="-"/>
      <w:lvlJc w:val="left"/>
      <w:pPr>
        <w:ind w:left="1590" w:hanging="360"/>
      </w:pPr>
      <w:rPr>
        <w:rFonts w:ascii="Arial" w:eastAsia="Times New Roman" w:hAnsi="Arial"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4" w15:restartNumberingAfterBreak="0">
    <w:nsid w:val="75AF0891"/>
    <w:multiLevelType w:val="hybridMultilevel"/>
    <w:tmpl w:val="AFEA3744"/>
    <w:lvl w:ilvl="0" w:tplc="37D090F0">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75BF5F25"/>
    <w:multiLevelType w:val="hybridMultilevel"/>
    <w:tmpl w:val="0EE4BE18"/>
    <w:lvl w:ilvl="0" w:tplc="959E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E78FD"/>
    <w:multiLevelType w:val="hybridMultilevel"/>
    <w:tmpl w:val="D1A2C74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E7F33F4"/>
    <w:multiLevelType w:val="hybridMultilevel"/>
    <w:tmpl w:val="60C866DE"/>
    <w:lvl w:ilvl="0" w:tplc="8A5C83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6"/>
  </w:num>
  <w:num w:numId="5">
    <w:abstractNumId w:val="8"/>
  </w:num>
  <w:num w:numId="6">
    <w:abstractNumId w:val="0"/>
  </w:num>
  <w:num w:numId="7">
    <w:abstractNumId w:val="14"/>
  </w:num>
  <w:num w:numId="8">
    <w:abstractNumId w:val="10"/>
  </w:num>
  <w:num w:numId="9">
    <w:abstractNumId w:val="4"/>
  </w:num>
  <w:num w:numId="10">
    <w:abstractNumId w:val="15"/>
  </w:num>
  <w:num w:numId="11">
    <w:abstractNumId w:val="13"/>
  </w:num>
  <w:num w:numId="12">
    <w:abstractNumId w:val="9"/>
  </w:num>
  <w:num w:numId="13">
    <w:abstractNumId w:val="6"/>
  </w:num>
  <w:num w:numId="14">
    <w:abstractNumId w:val="5"/>
  </w:num>
  <w:num w:numId="15">
    <w:abstractNumId w:val="11"/>
  </w:num>
  <w:num w:numId="16">
    <w:abstractNumId w:val="1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D9"/>
    <w:rsid w:val="00012484"/>
    <w:rsid w:val="000127E8"/>
    <w:rsid w:val="00033C88"/>
    <w:rsid w:val="0005414A"/>
    <w:rsid w:val="00065AA7"/>
    <w:rsid w:val="0007079D"/>
    <w:rsid w:val="0007363C"/>
    <w:rsid w:val="00073F6A"/>
    <w:rsid w:val="000760CE"/>
    <w:rsid w:val="00092C39"/>
    <w:rsid w:val="000A0622"/>
    <w:rsid w:val="000D4DB2"/>
    <w:rsid w:val="000F2E2F"/>
    <w:rsid w:val="00111344"/>
    <w:rsid w:val="00135D54"/>
    <w:rsid w:val="0014431D"/>
    <w:rsid w:val="00152B37"/>
    <w:rsid w:val="001629B6"/>
    <w:rsid w:val="001910A7"/>
    <w:rsid w:val="001A712B"/>
    <w:rsid w:val="001B2DEC"/>
    <w:rsid w:val="001B3BED"/>
    <w:rsid w:val="001B4A0B"/>
    <w:rsid w:val="001C79FF"/>
    <w:rsid w:val="001E0A0F"/>
    <w:rsid w:val="001E5F07"/>
    <w:rsid w:val="00201602"/>
    <w:rsid w:val="00207F80"/>
    <w:rsid w:val="0021407F"/>
    <w:rsid w:val="002329D0"/>
    <w:rsid w:val="0023543A"/>
    <w:rsid w:val="002516FD"/>
    <w:rsid w:val="00271BB2"/>
    <w:rsid w:val="00274D2A"/>
    <w:rsid w:val="0029052E"/>
    <w:rsid w:val="002911CD"/>
    <w:rsid w:val="002B1F43"/>
    <w:rsid w:val="002E1B18"/>
    <w:rsid w:val="002E7408"/>
    <w:rsid w:val="002E791B"/>
    <w:rsid w:val="00307824"/>
    <w:rsid w:val="003140D9"/>
    <w:rsid w:val="00327862"/>
    <w:rsid w:val="003359DD"/>
    <w:rsid w:val="00347338"/>
    <w:rsid w:val="00371921"/>
    <w:rsid w:val="003720BD"/>
    <w:rsid w:val="003A6430"/>
    <w:rsid w:val="003B3EE5"/>
    <w:rsid w:val="003F20F1"/>
    <w:rsid w:val="004279C7"/>
    <w:rsid w:val="00434869"/>
    <w:rsid w:val="0049400C"/>
    <w:rsid w:val="004B6011"/>
    <w:rsid w:val="004C2ADC"/>
    <w:rsid w:val="004D5679"/>
    <w:rsid w:val="004F5843"/>
    <w:rsid w:val="00504992"/>
    <w:rsid w:val="00512C13"/>
    <w:rsid w:val="00525BE4"/>
    <w:rsid w:val="005379EE"/>
    <w:rsid w:val="005775C9"/>
    <w:rsid w:val="005818EA"/>
    <w:rsid w:val="00582DD8"/>
    <w:rsid w:val="005D4092"/>
    <w:rsid w:val="005E2CD3"/>
    <w:rsid w:val="005E2F82"/>
    <w:rsid w:val="005F2F04"/>
    <w:rsid w:val="0060326E"/>
    <w:rsid w:val="00607FB2"/>
    <w:rsid w:val="00625316"/>
    <w:rsid w:val="006328D1"/>
    <w:rsid w:val="006620C1"/>
    <w:rsid w:val="00692501"/>
    <w:rsid w:val="00697627"/>
    <w:rsid w:val="006D51EE"/>
    <w:rsid w:val="006F60D1"/>
    <w:rsid w:val="007227DA"/>
    <w:rsid w:val="0076447E"/>
    <w:rsid w:val="00773B8C"/>
    <w:rsid w:val="007B40F1"/>
    <w:rsid w:val="007B7EBD"/>
    <w:rsid w:val="007D56EC"/>
    <w:rsid w:val="007E26AC"/>
    <w:rsid w:val="0080084F"/>
    <w:rsid w:val="00816F2D"/>
    <w:rsid w:val="00854C93"/>
    <w:rsid w:val="00865FA5"/>
    <w:rsid w:val="00893FBB"/>
    <w:rsid w:val="008957D3"/>
    <w:rsid w:val="008E282E"/>
    <w:rsid w:val="008E6FEC"/>
    <w:rsid w:val="009464A7"/>
    <w:rsid w:val="0094710D"/>
    <w:rsid w:val="00955C6F"/>
    <w:rsid w:val="009B2921"/>
    <w:rsid w:val="009C1E2B"/>
    <w:rsid w:val="009D4967"/>
    <w:rsid w:val="009E3278"/>
    <w:rsid w:val="00A211EA"/>
    <w:rsid w:val="00A23B26"/>
    <w:rsid w:val="00A53418"/>
    <w:rsid w:val="00A73FEA"/>
    <w:rsid w:val="00A77966"/>
    <w:rsid w:val="00AA175F"/>
    <w:rsid w:val="00AA503F"/>
    <w:rsid w:val="00AB0B49"/>
    <w:rsid w:val="00AB4906"/>
    <w:rsid w:val="00AD1DEC"/>
    <w:rsid w:val="00B22BD6"/>
    <w:rsid w:val="00B510A1"/>
    <w:rsid w:val="00B546B4"/>
    <w:rsid w:val="00B61F43"/>
    <w:rsid w:val="00B95C83"/>
    <w:rsid w:val="00BA3551"/>
    <w:rsid w:val="00BB12CD"/>
    <w:rsid w:val="00BB3ACE"/>
    <w:rsid w:val="00BF31FD"/>
    <w:rsid w:val="00BF7AEE"/>
    <w:rsid w:val="00C0383D"/>
    <w:rsid w:val="00C2313A"/>
    <w:rsid w:val="00C54514"/>
    <w:rsid w:val="00C5720C"/>
    <w:rsid w:val="00C57866"/>
    <w:rsid w:val="00CA545F"/>
    <w:rsid w:val="00CB4F86"/>
    <w:rsid w:val="00CC107A"/>
    <w:rsid w:val="00CD0DF3"/>
    <w:rsid w:val="00CF2E08"/>
    <w:rsid w:val="00D02AFC"/>
    <w:rsid w:val="00D16ADE"/>
    <w:rsid w:val="00D21316"/>
    <w:rsid w:val="00D35E13"/>
    <w:rsid w:val="00DA47B2"/>
    <w:rsid w:val="00DF6215"/>
    <w:rsid w:val="00E3149D"/>
    <w:rsid w:val="00E33BB5"/>
    <w:rsid w:val="00E37F8E"/>
    <w:rsid w:val="00E432CB"/>
    <w:rsid w:val="00E44B7F"/>
    <w:rsid w:val="00E46D10"/>
    <w:rsid w:val="00E92D73"/>
    <w:rsid w:val="00EA279E"/>
    <w:rsid w:val="00EA7904"/>
    <w:rsid w:val="00EC6CFE"/>
    <w:rsid w:val="00ED6867"/>
    <w:rsid w:val="00EE6C34"/>
    <w:rsid w:val="00EF02F4"/>
    <w:rsid w:val="00F03848"/>
    <w:rsid w:val="00F1559E"/>
    <w:rsid w:val="00F21B8B"/>
    <w:rsid w:val="00F50ACA"/>
    <w:rsid w:val="00F84B54"/>
    <w:rsid w:val="00FC054B"/>
    <w:rsid w:val="00FF2E60"/>
    <w:rsid w:val="00FF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C896A"/>
  <w15:chartTrackingRefBased/>
  <w15:docId w15:val="{650BC22F-1328-4FF1-BF70-2D57E918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Times New Roman"/>
      <w:sz w:val="20"/>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rsid w:val="009E3278"/>
    <w:pPr>
      <w:keepNext/>
      <w:keepLines/>
      <w:spacing w:before="120" w:after="120" w:line="276" w:lineRule="auto"/>
      <w:ind w:firstLine="720"/>
      <w:jc w:val="both"/>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autoRedefine/>
    <w:unhideWhenUsed/>
    <w:qFormat/>
    <w:rsid w:val="00CD0DF3"/>
    <w:pPr>
      <w:shd w:val="clear" w:color="auto" w:fill="FFFFFF"/>
      <w:spacing w:before="120" w:after="120" w:line="156" w:lineRule="atLeast"/>
      <w:jc w:val="both"/>
    </w:pPr>
    <w:rPr>
      <w:rFonts w:ascii="Times New Roman" w:eastAsia="Calibri" w:hAnsi="Times New Roman"/>
      <w:noProof/>
      <w:color w:val="000000" w:themeColor="text1"/>
      <w:sz w:val="24"/>
      <w:szCs w:val="24"/>
      <w:shd w:val="clear" w:color="auto" w:fill="FFFFFF"/>
      <w:lang w:val="es-ES"/>
    </w:rPr>
  </w:style>
  <w:style w:type="paragraph" w:styleId="CommentText">
    <w:name w:val="annotation text"/>
    <w:basedOn w:val="Normal"/>
    <w:link w:val="CommentTextChar"/>
    <w:autoRedefine/>
    <w:qFormat/>
    <w:pPr>
      <w:spacing w:before="80" w:after="80" w:line="300" w:lineRule="exact"/>
      <w:jc w:val="both"/>
    </w:pPr>
    <w:rPr>
      <w:rFonts w:asciiTheme="minorHAnsi" w:hAnsiTheme="minorHAnsi" w:cstheme="minorBidi"/>
      <w:noProof/>
      <w:sz w:val="22"/>
      <w:szCs w:val="22"/>
    </w:rPr>
  </w:style>
  <w:style w:type="character" w:customStyle="1" w:styleId="CommentTextChar">
    <w:name w:val="Comment Text Char"/>
    <w:basedOn w:val="DefaultParagraphFont"/>
    <w:link w:val="CommentText"/>
    <w:rPr>
      <w:noProof/>
    </w:rPr>
  </w:style>
  <w:style w:type="character" w:styleId="CommentReference">
    <w:name w:val="annotation reference"/>
    <w:basedOn w:val="DefaultParagraphFont"/>
    <w:unhideWhenUsed/>
    <w:rPr>
      <w:rFonts w:ascii="Times New Roman" w:hAnsi="Times New Roman"/>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character" w:customStyle="1" w:styleId="NormalWebChar">
    <w:name w:val="Normal (Web) Char"/>
    <w:link w:val="NormalWeb"/>
    <w:locked/>
    <w:rsid w:val="00CD0DF3"/>
    <w:rPr>
      <w:rFonts w:ascii="Times New Roman" w:eastAsia="Calibri" w:hAnsi="Times New Roman" w:cs="Times New Roman"/>
      <w:noProof/>
      <w:color w:val="000000" w:themeColor="text1"/>
      <w:sz w:val="24"/>
      <w:szCs w:val="24"/>
      <w:shd w:val="clear" w:color="auto" w:fill="FFFFFF"/>
      <w:lang w:val="es-ES"/>
    </w:rPr>
  </w:style>
  <w:style w:type="paragraph" w:styleId="CommentSubject">
    <w:name w:val="annotation subject"/>
    <w:basedOn w:val="CommentText"/>
    <w:next w:val="CommentText"/>
    <w:link w:val="CommentSubjectChar"/>
    <w:uiPriority w:val="99"/>
    <w:semiHidden/>
    <w:unhideWhenUsed/>
    <w:pPr>
      <w:spacing w:before="0" w:after="0" w:line="240" w:lineRule="auto"/>
      <w:jc w:val="left"/>
    </w:pPr>
    <w:rPr>
      <w:rFonts w:ascii="Arial" w:hAnsi="Arial" w:cs="Times New Roman"/>
      <w:b/>
      <w:bCs/>
      <w:noProof w:val="0"/>
      <w:sz w:val="20"/>
      <w:szCs w:val="20"/>
    </w:rPr>
  </w:style>
  <w:style w:type="character" w:customStyle="1" w:styleId="CommentSubjectChar">
    <w:name w:val="Comment Subject Char"/>
    <w:basedOn w:val="CommentTextChar"/>
    <w:link w:val="CommentSubject"/>
    <w:uiPriority w:val="99"/>
    <w:semiHidden/>
    <w:rPr>
      <w:rFonts w:ascii="Arial" w:hAnsi="Arial" w:cs="Times New Roman"/>
      <w:b/>
      <w:bCs/>
      <w:noProof/>
      <w:sz w:val="20"/>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9E3278"/>
    <w:rPr>
      <w:rFonts w:ascii="Times New Roman" w:hAnsi="Times New Roman" w:cs="Times New Roman"/>
      <w:b/>
      <w:sz w:val="28"/>
      <w:szCs w:val="28"/>
    </w:rPr>
  </w:style>
  <w:style w:type="paragraph" w:customStyle="1" w:styleId="Body">
    <w:name w:val="Body"/>
    <w:rsid w:val="00347338"/>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sz w:val="28"/>
      <w:szCs w:val="28"/>
      <w:u w:color="000000"/>
      <w:bdr w:val="nil"/>
    </w:rPr>
  </w:style>
  <w:style w:type="paragraph" w:styleId="FootnoteText">
    <w:name w:val="footnote text"/>
    <w:basedOn w:val="Normal"/>
    <w:link w:val="FootnoteTextChar"/>
    <w:rsid w:val="000A0622"/>
    <w:rPr>
      <w:rFonts w:ascii="Times New Roman" w:hAnsi="Times New Roman"/>
      <w:lang w:eastAsia="x-none"/>
    </w:rPr>
  </w:style>
  <w:style w:type="character" w:customStyle="1" w:styleId="FootnoteTextChar">
    <w:name w:val="Footnote Text Char"/>
    <w:basedOn w:val="DefaultParagraphFont"/>
    <w:link w:val="FootnoteText"/>
    <w:rsid w:val="000A0622"/>
    <w:rPr>
      <w:rFonts w:ascii="Times New Roman" w:hAnsi="Times New Roman" w:cs="Times New Roman"/>
      <w:sz w:val="20"/>
      <w:szCs w:val="20"/>
      <w:lang w:eastAsia="x-none"/>
    </w:rPr>
  </w:style>
  <w:style w:type="character" w:styleId="FootnoteReference">
    <w:name w:val="footnote reference"/>
    <w:uiPriority w:val="99"/>
    <w:rsid w:val="000A062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8888">
      <w:bodyDiv w:val="1"/>
      <w:marLeft w:val="0"/>
      <w:marRight w:val="0"/>
      <w:marTop w:val="0"/>
      <w:marBottom w:val="0"/>
      <w:divBdr>
        <w:top w:val="none" w:sz="0" w:space="0" w:color="auto"/>
        <w:left w:val="none" w:sz="0" w:space="0" w:color="auto"/>
        <w:bottom w:val="none" w:sz="0" w:space="0" w:color="auto"/>
        <w:right w:val="none" w:sz="0" w:space="0" w:color="auto"/>
      </w:divBdr>
    </w:div>
    <w:div w:id="342896144">
      <w:bodyDiv w:val="1"/>
      <w:marLeft w:val="0"/>
      <w:marRight w:val="0"/>
      <w:marTop w:val="0"/>
      <w:marBottom w:val="0"/>
      <w:divBdr>
        <w:top w:val="none" w:sz="0" w:space="0" w:color="auto"/>
        <w:left w:val="none" w:sz="0" w:space="0" w:color="auto"/>
        <w:bottom w:val="none" w:sz="0" w:space="0" w:color="auto"/>
        <w:right w:val="none" w:sz="0" w:space="0" w:color="auto"/>
      </w:divBdr>
    </w:div>
    <w:div w:id="373772030">
      <w:bodyDiv w:val="1"/>
      <w:marLeft w:val="0"/>
      <w:marRight w:val="0"/>
      <w:marTop w:val="0"/>
      <w:marBottom w:val="0"/>
      <w:divBdr>
        <w:top w:val="none" w:sz="0" w:space="0" w:color="auto"/>
        <w:left w:val="none" w:sz="0" w:space="0" w:color="auto"/>
        <w:bottom w:val="none" w:sz="0" w:space="0" w:color="auto"/>
        <w:right w:val="none" w:sz="0" w:space="0" w:color="auto"/>
      </w:divBdr>
    </w:div>
    <w:div w:id="469248035">
      <w:bodyDiv w:val="1"/>
      <w:marLeft w:val="0"/>
      <w:marRight w:val="0"/>
      <w:marTop w:val="0"/>
      <w:marBottom w:val="0"/>
      <w:divBdr>
        <w:top w:val="none" w:sz="0" w:space="0" w:color="auto"/>
        <w:left w:val="none" w:sz="0" w:space="0" w:color="auto"/>
        <w:bottom w:val="none" w:sz="0" w:space="0" w:color="auto"/>
        <w:right w:val="none" w:sz="0" w:space="0" w:color="auto"/>
      </w:divBdr>
    </w:div>
    <w:div w:id="645663645">
      <w:bodyDiv w:val="1"/>
      <w:marLeft w:val="0"/>
      <w:marRight w:val="0"/>
      <w:marTop w:val="0"/>
      <w:marBottom w:val="0"/>
      <w:divBdr>
        <w:top w:val="none" w:sz="0" w:space="0" w:color="auto"/>
        <w:left w:val="none" w:sz="0" w:space="0" w:color="auto"/>
        <w:bottom w:val="none" w:sz="0" w:space="0" w:color="auto"/>
        <w:right w:val="none" w:sz="0" w:space="0" w:color="auto"/>
      </w:divBdr>
    </w:div>
    <w:div w:id="947663660">
      <w:bodyDiv w:val="1"/>
      <w:marLeft w:val="0"/>
      <w:marRight w:val="0"/>
      <w:marTop w:val="0"/>
      <w:marBottom w:val="0"/>
      <w:divBdr>
        <w:top w:val="none" w:sz="0" w:space="0" w:color="auto"/>
        <w:left w:val="none" w:sz="0" w:space="0" w:color="auto"/>
        <w:bottom w:val="none" w:sz="0" w:space="0" w:color="auto"/>
        <w:right w:val="none" w:sz="0" w:space="0" w:color="auto"/>
      </w:divBdr>
    </w:div>
    <w:div w:id="971904187">
      <w:bodyDiv w:val="1"/>
      <w:marLeft w:val="0"/>
      <w:marRight w:val="0"/>
      <w:marTop w:val="0"/>
      <w:marBottom w:val="0"/>
      <w:divBdr>
        <w:top w:val="none" w:sz="0" w:space="0" w:color="auto"/>
        <w:left w:val="none" w:sz="0" w:space="0" w:color="auto"/>
        <w:bottom w:val="none" w:sz="0" w:space="0" w:color="auto"/>
        <w:right w:val="none" w:sz="0" w:space="0" w:color="auto"/>
      </w:divBdr>
    </w:div>
    <w:div w:id="1388450731">
      <w:bodyDiv w:val="1"/>
      <w:marLeft w:val="0"/>
      <w:marRight w:val="0"/>
      <w:marTop w:val="0"/>
      <w:marBottom w:val="0"/>
      <w:divBdr>
        <w:top w:val="none" w:sz="0" w:space="0" w:color="auto"/>
        <w:left w:val="none" w:sz="0" w:space="0" w:color="auto"/>
        <w:bottom w:val="none" w:sz="0" w:space="0" w:color="auto"/>
        <w:right w:val="none" w:sz="0" w:space="0" w:color="auto"/>
      </w:divBdr>
    </w:div>
    <w:div w:id="1557087921">
      <w:bodyDiv w:val="1"/>
      <w:marLeft w:val="0"/>
      <w:marRight w:val="0"/>
      <w:marTop w:val="0"/>
      <w:marBottom w:val="0"/>
      <w:divBdr>
        <w:top w:val="none" w:sz="0" w:space="0" w:color="auto"/>
        <w:left w:val="none" w:sz="0" w:space="0" w:color="auto"/>
        <w:bottom w:val="none" w:sz="0" w:space="0" w:color="auto"/>
        <w:right w:val="none" w:sz="0" w:space="0" w:color="auto"/>
      </w:divBdr>
    </w:div>
    <w:div w:id="1657953973">
      <w:bodyDiv w:val="1"/>
      <w:marLeft w:val="0"/>
      <w:marRight w:val="0"/>
      <w:marTop w:val="0"/>
      <w:marBottom w:val="0"/>
      <w:divBdr>
        <w:top w:val="none" w:sz="0" w:space="0" w:color="auto"/>
        <w:left w:val="none" w:sz="0" w:space="0" w:color="auto"/>
        <w:bottom w:val="none" w:sz="0" w:space="0" w:color="auto"/>
        <w:right w:val="none" w:sz="0" w:space="0" w:color="auto"/>
      </w:divBdr>
    </w:div>
    <w:div w:id="1959024126">
      <w:bodyDiv w:val="1"/>
      <w:marLeft w:val="0"/>
      <w:marRight w:val="0"/>
      <w:marTop w:val="0"/>
      <w:marBottom w:val="0"/>
      <w:divBdr>
        <w:top w:val="none" w:sz="0" w:space="0" w:color="auto"/>
        <w:left w:val="none" w:sz="0" w:space="0" w:color="auto"/>
        <w:bottom w:val="none" w:sz="0" w:space="0" w:color="auto"/>
        <w:right w:val="none" w:sz="0" w:space="0" w:color="auto"/>
      </w:divBdr>
    </w:div>
    <w:div w:id="2004309832">
      <w:bodyDiv w:val="1"/>
      <w:marLeft w:val="0"/>
      <w:marRight w:val="0"/>
      <w:marTop w:val="0"/>
      <w:marBottom w:val="0"/>
      <w:divBdr>
        <w:top w:val="none" w:sz="0" w:space="0" w:color="auto"/>
        <w:left w:val="none" w:sz="0" w:space="0" w:color="auto"/>
        <w:bottom w:val="none" w:sz="0" w:space="0" w:color="auto"/>
        <w:right w:val="none" w:sz="0" w:space="0" w:color="auto"/>
      </w:divBdr>
    </w:div>
    <w:div w:id="20242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6</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Lý-Pháp chế P.QTRR</dc:creator>
  <cp:keywords/>
  <dc:description/>
  <cp:lastModifiedBy>Thao Nguyen</cp:lastModifiedBy>
  <cp:revision>40</cp:revision>
  <cp:lastPrinted>2025-02-07T02:51:00Z</cp:lastPrinted>
  <dcterms:created xsi:type="dcterms:W3CDTF">2024-07-23T03:06:00Z</dcterms:created>
  <dcterms:modified xsi:type="dcterms:W3CDTF">2025-02-18T03:06:00Z</dcterms:modified>
</cp:coreProperties>
</file>