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103"/>
      </w:tblGrid>
      <w:tr w:rsidR="00FD1F1F" w:rsidRPr="004D4808" w14:paraId="28AA7553" w14:textId="77777777" w:rsidTr="00EB6D2F">
        <w:trPr>
          <w:trHeight w:val="1104"/>
          <w:jc w:val="center"/>
        </w:trPr>
        <w:tc>
          <w:tcPr>
            <w:tcW w:w="5387" w:type="dxa"/>
          </w:tcPr>
          <w:p w14:paraId="57350DB5" w14:textId="77777777" w:rsidR="00FD1F1F" w:rsidRPr="004D4808" w:rsidRDefault="00FD1F1F" w:rsidP="009F1A01">
            <w:pPr>
              <w:spacing w:before="40" w:after="40" w:line="288" w:lineRule="auto"/>
              <w:jc w:val="center"/>
              <w:rPr>
                <w:rFonts w:ascii="Arial" w:hAnsi="Arial" w:cs="Arial"/>
                <w:spacing w:val="-6"/>
              </w:rPr>
            </w:pPr>
            <w:r w:rsidRPr="004D4808">
              <w:rPr>
                <w:rFonts w:ascii="Arial" w:hAnsi="Arial" w:cs="Arial"/>
                <w:spacing w:val="-6"/>
              </w:rPr>
              <w:t>LIÊN HIỆP CÁC HỘI KHKT VIỆT NAM</w:t>
            </w:r>
          </w:p>
          <w:p w14:paraId="295BAE40" w14:textId="77777777" w:rsidR="00FD1F1F" w:rsidRPr="004D4808" w:rsidRDefault="00FD1F1F" w:rsidP="009F1A01">
            <w:pPr>
              <w:spacing w:before="40" w:after="40" w:line="288" w:lineRule="auto"/>
              <w:jc w:val="center"/>
              <w:rPr>
                <w:rFonts w:ascii="Arial" w:hAnsi="Arial" w:cs="Arial"/>
                <w:b/>
              </w:rPr>
            </w:pPr>
            <w:r w:rsidRPr="004D4808">
              <w:rPr>
                <w:rFonts w:ascii="Arial" w:hAnsi="Arial" w:cs="Arial"/>
                <w:b/>
                <w:spacing w:val="-6"/>
              </w:rPr>
              <w:t>HỘI CÁC PHÒNG THỬ NGHIỆM VIỆT NAM</w:t>
            </w:r>
          </w:p>
          <w:p w14:paraId="3D388A64" w14:textId="77777777" w:rsidR="00FD1F1F" w:rsidRPr="004D4808" w:rsidRDefault="00FD1F1F" w:rsidP="009F1A01">
            <w:pPr>
              <w:spacing w:before="40" w:after="40" w:line="288" w:lineRule="auto"/>
              <w:jc w:val="center"/>
              <w:rPr>
                <w:rFonts w:ascii="Arial" w:hAnsi="Arial" w:cs="Arial"/>
              </w:rPr>
            </w:pPr>
            <w:r w:rsidRPr="004D4808">
              <w:rPr>
                <w:rFonts w:ascii="Arial" w:hAnsi="Arial" w:cs="Arial"/>
                <w:noProof/>
                <w:lang w:val="vi-VN" w:eastAsia="vi-VN"/>
              </w:rPr>
              <mc:AlternateContent>
                <mc:Choice Requires="wps">
                  <w:drawing>
                    <wp:anchor distT="4294967292" distB="4294967292" distL="114300" distR="114300" simplePos="0" relativeHeight="251659264" behindDoc="0" locked="0" layoutInCell="1" allowOverlap="1" wp14:anchorId="2E63A8D3" wp14:editId="40507EEB">
                      <wp:simplePos x="0" y="0"/>
                      <wp:positionH relativeFrom="column">
                        <wp:posOffset>958850</wp:posOffset>
                      </wp:positionH>
                      <wp:positionV relativeFrom="paragraph">
                        <wp:posOffset>71120</wp:posOffset>
                      </wp:positionV>
                      <wp:extent cx="11334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72B643"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5pt,5.6pt" to="164.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"/>
                  </w:pict>
                </mc:Fallback>
              </mc:AlternateContent>
            </w:r>
          </w:p>
          <w:p w14:paraId="279B7964" w14:textId="2448C47E" w:rsidR="00FD1F1F" w:rsidRPr="004D4808" w:rsidRDefault="004C6DDC" w:rsidP="009F1A01">
            <w:pPr>
              <w:spacing w:before="40" w:after="40" w:line="288" w:lineRule="auto"/>
              <w:jc w:val="center"/>
              <w:rPr>
                <w:rFonts w:ascii="Arial" w:hAnsi="Arial" w:cs="Arial"/>
              </w:rPr>
            </w:pPr>
            <w:r w:rsidRPr="004D4808">
              <w:rPr>
                <w:rFonts w:ascii="Arial" w:hAnsi="Arial" w:cs="Arial"/>
              </w:rPr>
              <w:t xml:space="preserve"> </w:t>
            </w:r>
          </w:p>
        </w:tc>
        <w:tc>
          <w:tcPr>
            <w:tcW w:w="5103" w:type="dxa"/>
          </w:tcPr>
          <w:p w14:paraId="128CC327" w14:textId="77777777" w:rsidR="00FD1F1F" w:rsidRPr="004D4808" w:rsidRDefault="00FD1F1F" w:rsidP="009F1A01">
            <w:pPr>
              <w:spacing w:before="40" w:after="40" w:line="288" w:lineRule="auto"/>
              <w:jc w:val="center"/>
              <w:rPr>
                <w:rFonts w:ascii="Arial" w:hAnsi="Arial" w:cs="Arial"/>
                <w:bCs/>
                <w:spacing w:val="-6"/>
              </w:rPr>
            </w:pPr>
            <w:r w:rsidRPr="004D4808">
              <w:rPr>
                <w:rFonts w:ascii="Arial" w:hAnsi="Arial" w:cs="Arial"/>
                <w:bCs/>
                <w:spacing w:val="-6"/>
              </w:rPr>
              <w:t>CỘNG HÒA XÃ HỘI CHỦ NGHĨA VIỆT NAM</w:t>
            </w:r>
          </w:p>
          <w:p w14:paraId="3D277022" w14:textId="77777777" w:rsidR="00FD1F1F" w:rsidRPr="004D4808" w:rsidRDefault="00FD1F1F" w:rsidP="009F1A01">
            <w:pPr>
              <w:spacing w:before="40" w:after="40" w:line="288" w:lineRule="auto"/>
              <w:jc w:val="center"/>
              <w:rPr>
                <w:rFonts w:ascii="Arial" w:hAnsi="Arial" w:cs="Arial"/>
                <w:b/>
              </w:rPr>
            </w:pPr>
            <w:r w:rsidRPr="004D4808">
              <w:rPr>
                <w:rFonts w:ascii="Arial" w:hAnsi="Arial" w:cs="Arial"/>
                <w:b/>
              </w:rPr>
              <w:t xml:space="preserve">   Độc lập - Tự do - Hạnh phúc</w:t>
            </w:r>
          </w:p>
          <w:p w14:paraId="2D058E56" w14:textId="77777777" w:rsidR="00FD1F1F" w:rsidRPr="004D4808" w:rsidRDefault="00FD1F1F" w:rsidP="009F1A01">
            <w:pPr>
              <w:spacing w:before="40" w:after="40" w:line="288" w:lineRule="auto"/>
              <w:jc w:val="center"/>
              <w:rPr>
                <w:rFonts w:ascii="Arial" w:hAnsi="Arial" w:cs="Arial"/>
              </w:rPr>
            </w:pPr>
            <w:r w:rsidRPr="004D4808">
              <w:rPr>
                <w:rFonts w:ascii="Arial" w:hAnsi="Arial" w:cs="Arial"/>
                <w:noProof/>
                <w:lang w:val="vi-VN" w:eastAsia="vi-VN"/>
              </w:rPr>
              <mc:AlternateContent>
                <mc:Choice Requires="wps">
                  <w:drawing>
                    <wp:anchor distT="4294967292" distB="4294967292" distL="114300" distR="114300" simplePos="0" relativeHeight="251660288" behindDoc="0" locked="0" layoutInCell="1" allowOverlap="1" wp14:anchorId="6B21D629" wp14:editId="0C21C61A">
                      <wp:simplePos x="0" y="0"/>
                      <wp:positionH relativeFrom="column">
                        <wp:posOffset>1212215</wp:posOffset>
                      </wp:positionH>
                      <wp:positionV relativeFrom="paragraph">
                        <wp:posOffset>38734</wp:posOffset>
                      </wp:positionV>
                      <wp:extent cx="9334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B3518E" id="Straight Connector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5.45pt,3.05pt" to="168.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"/>
                  </w:pict>
                </mc:Fallback>
              </mc:AlternateContent>
            </w:r>
          </w:p>
          <w:p w14:paraId="493245BE" w14:textId="62A4CD09" w:rsidR="00FD1F1F" w:rsidRPr="004D4808" w:rsidRDefault="00FD1F1F" w:rsidP="009F1A01">
            <w:pPr>
              <w:tabs>
                <w:tab w:val="left" w:pos="1965"/>
                <w:tab w:val="right" w:pos="5520"/>
              </w:tabs>
              <w:spacing w:before="40" w:after="40" w:line="288" w:lineRule="auto"/>
              <w:rPr>
                <w:rFonts w:ascii="Arial" w:hAnsi="Arial" w:cs="Arial"/>
                <w:i/>
              </w:rPr>
            </w:pPr>
            <w:r w:rsidRPr="004D4808">
              <w:rPr>
                <w:rFonts w:ascii="Arial" w:hAnsi="Arial" w:cs="Arial"/>
                <w:i/>
              </w:rPr>
              <w:t xml:space="preserve">        </w:t>
            </w:r>
            <w:r w:rsidR="004C6DDC" w:rsidRPr="004D4808">
              <w:rPr>
                <w:rFonts w:ascii="Arial" w:hAnsi="Arial" w:cs="Arial"/>
                <w:i/>
              </w:rPr>
              <w:t xml:space="preserve"> </w:t>
            </w:r>
          </w:p>
        </w:tc>
      </w:tr>
    </w:tbl>
    <w:p w14:paraId="4B04E991" w14:textId="7341A4C1" w:rsidR="00DB3C1A" w:rsidRPr="004D4808" w:rsidRDefault="004C6DDC" w:rsidP="009F1A01">
      <w:pPr>
        <w:spacing w:before="40" w:after="40" w:line="288" w:lineRule="auto"/>
        <w:jc w:val="center"/>
        <w:rPr>
          <w:rFonts w:ascii="Arial" w:hAnsi="Arial" w:cs="Arial"/>
          <w:b/>
          <w:bCs/>
        </w:rPr>
      </w:pPr>
      <w:r w:rsidRPr="004D4808">
        <w:rPr>
          <w:rFonts w:ascii="Arial" w:hAnsi="Arial" w:cs="Arial"/>
          <w:b/>
          <w:bCs/>
        </w:rPr>
        <w:t>Ý KIẾN GÓP Ý VỀ LUẬT HÓA CHẤT SỬA ĐỔI (Dự thảo 7)</w:t>
      </w:r>
    </w:p>
    <w:p w14:paraId="18D5BEC3" w14:textId="77777777" w:rsidR="004C6DDC" w:rsidRPr="004D4808" w:rsidRDefault="004C6DDC" w:rsidP="009F1A01">
      <w:pPr>
        <w:spacing w:before="40" w:after="40" w:line="288" w:lineRule="auto"/>
        <w:jc w:val="center"/>
        <w:rPr>
          <w:rFonts w:ascii="Arial" w:hAnsi="Arial" w:cs="Arial"/>
          <w:b/>
          <w:bCs/>
        </w:rPr>
      </w:pPr>
    </w:p>
    <w:p w14:paraId="32A21019" w14:textId="0F69FFD5" w:rsidR="00C24092" w:rsidRPr="009F1A01" w:rsidRDefault="00097F66" w:rsidP="009F1A01">
      <w:pPr>
        <w:pStyle w:val="ListParagraph"/>
        <w:numPr>
          <w:ilvl w:val="0"/>
          <w:numId w:val="8"/>
        </w:numPr>
        <w:spacing w:before="40" w:after="40" w:line="288" w:lineRule="auto"/>
        <w:ind w:left="0" w:firstLine="360"/>
        <w:jc w:val="both"/>
        <w:rPr>
          <w:rFonts w:ascii="Arial" w:hAnsi="Arial" w:cs="Arial"/>
          <w:b/>
          <w:bCs/>
        </w:rPr>
      </w:pPr>
      <w:r>
        <w:rPr>
          <w:rFonts w:ascii="Arial" w:hAnsi="Arial" w:cs="Arial"/>
        </w:rPr>
        <w:t xml:space="preserve">01 phòng thí nghiệm đều sử dụng rất nhiều hóa chất có thể lên tới 1 vài nghìn hóa chất, bao gồm cả chất độc và chất cấm vì không có </w:t>
      </w:r>
      <w:r w:rsidRPr="00097F66">
        <w:rPr>
          <w:rFonts w:ascii="Arial" w:hAnsi="Arial" w:cs="Arial"/>
          <w:b/>
          <w:bCs/>
        </w:rPr>
        <w:t>chất chuẩn</w:t>
      </w:r>
      <w:r>
        <w:rPr>
          <w:rFonts w:ascii="Arial" w:hAnsi="Arial" w:cs="Arial"/>
        </w:rPr>
        <w:t xml:space="preserve"> độc, </w:t>
      </w:r>
      <w:r w:rsidRPr="00097F66">
        <w:rPr>
          <w:rFonts w:ascii="Arial" w:hAnsi="Arial" w:cs="Arial"/>
          <w:b/>
          <w:bCs/>
        </w:rPr>
        <w:t>chất chuẩn</w:t>
      </w:r>
      <w:r>
        <w:rPr>
          <w:rFonts w:ascii="Arial" w:hAnsi="Arial" w:cs="Arial"/>
        </w:rPr>
        <w:t xml:space="preserve"> cấm thì làm sao phân tích được chất độc, chất cấm. Tuy nhiên, các phòng thí nghiệm chỉ lưu trữ</w:t>
      </w:r>
      <w:r w:rsidR="00992249">
        <w:rPr>
          <w:rFonts w:ascii="Arial" w:hAnsi="Arial" w:cs="Arial"/>
        </w:rPr>
        <w:t xml:space="preserve"> một khối lượng không lớn. Mỗi loại hóa chất chỉ từ </w:t>
      </w:r>
      <w:proofErr w:type="gramStart"/>
      <w:r w:rsidR="00992249">
        <w:rPr>
          <w:rFonts w:ascii="Arial" w:hAnsi="Arial" w:cs="Arial"/>
        </w:rPr>
        <w:t>1 gram</w:t>
      </w:r>
      <w:proofErr w:type="gramEnd"/>
      <w:r w:rsidR="00992249">
        <w:rPr>
          <w:rFonts w:ascii="Arial" w:hAnsi="Arial" w:cs="Arial"/>
        </w:rPr>
        <w:t xml:space="preserve"> đến 1000 gram và đều là loại có độ tinh khiết cao, giá trị cao hơn hóa chất bình thường. V</w:t>
      </w:r>
      <w:r w:rsidR="00FD1B8E">
        <w:rPr>
          <w:rFonts w:ascii="Arial" w:hAnsi="Arial" w:cs="Arial"/>
        </w:rPr>
        <w:t>ừ</w:t>
      </w:r>
      <w:r w:rsidR="00992249">
        <w:rPr>
          <w:rFonts w:ascii="Arial" w:hAnsi="Arial" w:cs="Arial"/>
        </w:rPr>
        <w:t xml:space="preserve">a qua, xảy ra vụ việc mua bán Kali xyanua (KCN) trái phép ngoài chợ hóa chất ở thành phố Hồ Chí Minh và lan sang các công ty kinh doanh hóa chất thí nghiệm dẫn đến tình trạng hiện nay không có đơn vị nào kinh doanh chất này, các phòng thử nghiệm thuộc Hội các phòng thử nghiệm Việt Nam (VinaLAB) </w:t>
      </w:r>
      <w:r w:rsidR="00FD1B8E">
        <w:rPr>
          <w:rFonts w:ascii="Arial" w:hAnsi="Arial" w:cs="Arial"/>
        </w:rPr>
        <w:t xml:space="preserve">được Bộ Nông Nghiệp và Phát triển Nông thôn (nay là Bộ Nông nghiệp và Môi trường) chỉ định </w:t>
      </w:r>
      <w:r w:rsidR="00992249">
        <w:rPr>
          <w:rFonts w:ascii="Arial" w:hAnsi="Arial" w:cs="Arial"/>
        </w:rPr>
        <w:t>không thể mua được KCN nên không thể phân tích được chỉ tiêu Ca, Mg trong phân bón và đất</w:t>
      </w:r>
      <w:r w:rsidR="00FD1B8E">
        <w:rPr>
          <w:rFonts w:ascii="Arial" w:hAnsi="Arial" w:cs="Arial"/>
        </w:rPr>
        <w:t xml:space="preserve">, nên không đáp ứng được yêu cầu quản lý và vẫn không có cơ quan nhà nước nào định đoạt việc này. Do vậy, Luật này cần xác định rõ việc quản lý hóa chất thí nghiệm để giúp phát triển sản xuất hàng hóa trong nước nói chung và phát triển sản xuất hóa chất nói riêng (Sản xuất chất mới) được thuận lợi. </w:t>
      </w:r>
      <w:r w:rsidR="00FD1B8E" w:rsidRPr="009F1A01">
        <w:rPr>
          <w:rFonts w:ascii="Arial" w:hAnsi="Arial" w:cs="Arial"/>
          <w:b/>
          <w:bCs/>
        </w:rPr>
        <w:t>Do vậy, Hội VinaLAB kiến nghị bổ sung 01 quy định về quản lý hóa chất thí nghiệm bao gồm</w:t>
      </w:r>
      <w:r w:rsidR="009F1A01" w:rsidRPr="009F1A01">
        <w:rPr>
          <w:rFonts w:ascii="Arial" w:hAnsi="Arial" w:cs="Arial"/>
          <w:b/>
          <w:bCs/>
        </w:rPr>
        <w:t xml:space="preserve"> </w:t>
      </w:r>
      <w:r w:rsidR="00FD1B8E" w:rsidRPr="009F1A01">
        <w:rPr>
          <w:rFonts w:ascii="Arial" w:hAnsi="Arial" w:cs="Arial"/>
          <w:b/>
          <w:bCs/>
        </w:rPr>
        <w:t>điều chế</w:t>
      </w:r>
      <w:r w:rsidR="009F1A01" w:rsidRPr="009F1A01">
        <w:rPr>
          <w:rFonts w:ascii="Arial" w:hAnsi="Arial" w:cs="Arial"/>
          <w:b/>
          <w:bCs/>
        </w:rPr>
        <w:t>, vận chuyển, bảo quản và sử dụng hóa chất thí nghiệm.</w:t>
      </w:r>
    </w:p>
    <w:p w14:paraId="01018AE0" w14:textId="4EC9E6A4" w:rsidR="001A3D39" w:rsidRPr="00C24092" w:rsidRDefault="004C6DDC" w:rsidP="009F1A01">
      <w:pPr>
        <w:pStyle w:val="ListParagraph"/>
        <w:numPr>
          <w:ilvl w:val="0"/>
          <w:numId w:val="8"/>
        </w:numPr>
        <w:spacing w:before="40" w:after="40" w:line="288" w:lineRule="auto"/>
        <w:ind w:left="0" w:firstLine="360"/>
        <w:jc w:val="both"/>
        <w:rPr>
          <w:rFonts w:ascii="Arial" w:hAnsi="Arial" w:cs="Arial"/>
        </w:rPr>
      </w:pPr>
      <w:r w:rsidRPr="00C24092">
        <w:rPr>
          <w:rFonts w:ascii="Arial" w:hAnsi="Arial" w:cs="Arial"/>
        </w:rPr>
        <w:t>Dự thảo lần này đưa ra nhiều định nghĩa so với luật cũ (31/10). Chưa kể một số định nghĩa có sửa đổi so với luật cũ</w:t>
      </w:r>
      <w:r w:rsidR="00A35ABE" w:rsidRPr="00C24092">
        <w:rPr>
          <w:rFonts w:ascii="Arial" w:hAnsi="Arial" w:cs="Arial"/>
        </w:rPr>
        <w:t>. Tuy nhiên, một số thuật ngữ đề nghị xem xét lai như sau:</w:t>
      </w:r>
    </w:p>
    <w:p w14:paraId="0E92D963" w14:textId="77777777" w:rsidR="001A3D39" w:rsidRPr="004D4808" w:rsidRDefault="001A3D39" w:rsidP="009F1A01">
      <w:pPr>
        <w:pStyle w:val="ListParagraph"/>
        <w:numPr>
          <w:ilvl w:val="0"/>
          <w:numId w:val="9"/>
        </w:numPr>
        <w:tabs>
          <w:tab w:val="left" w:pos="851"/>
          <w:tab w:val="left" w:pos="1134"/>
        </w:tabs>
        <w:spacing w:before="40" w:after="40" w:line="288" w:lineRule="auto"/>
        <w:ind w:left="0" w:firstLine="709"/>
        <w:jc w:val="both"/>
        <w:rPr>
          <w:rFonts w:ascii="Arial" w:hAnsi="Arial" w:cs="Arial"/>
        </w:rPr>
      </w:pPr>
      <w:r w:rsidRPr="004D4808">
        <w:rPr>
          <w:rFonts w:ascii="Arial" w:hAnsi="Arial" w:cs="Arial"/>
        </w:rPr>
        <w:t>“</w:t>
      </w:r>
      <w:r w:rsidR="00A35ABE" w:rsidRPr="004D4808">
        <w:rPr>
          <w:rFonts w:ascii="Arial" w:hAnsi="Arial" w:cs="Arial"/>
        </w:rPr>
        <w:t xml:space="preserve">4. </w:t>
      </w:r>
      <w:r w:rsidR="00A35ABE" w:rsidRPr="004D4808">
        <w:rPr>
          <w:rFonts w:ascii="Arial" w:hAnsi="Arial" w:cs="Arial"/>
          <w:i/>
        </w:rPr>
        <w:t>Hóa chất nguy hiểm</w:t>
      </w:r>
      <w:r w:rsidR="00A35ABE" w:rsidRPr="004D4808">
        <w:rPr>
          <w:rFonts w:ascii="Arial" w:hAnsi="Arial" w:cs="Arial"/>
        </w:rPr>
        <w:t xml:space="preserve"> là hóa chất có thể gây hại cho sức khỏe con người, cơ sở vật chất, tài sản, môi trường và có ít nhất một đặc tính nguy hiểm theo nguyên tắc phân loại của Bộ Công Thương</w:t>
      </w:r>
      <w:r w:rsidRPr="004D4808">
        <w:rPr>
          <w:rFonts w:ascii="Arial" w:hAnsi="Arial" w:cs="Arial"/>
        </w:rPr>
        <w:t>”</w:t>
      </w:r>
      <w:r w:rsidR="00A35ABE" w:rsidRPr="004D4808">
        <w:rPr>
          <w:rFonts w:ascii="Arial" w:hAnsi="Arial" w:cs="Arial"/>
        </w:rPr>
        <w:t xml:space="preserve">. </w:t>
      </w:r>
      <w:r w:rsidR="00A35ABE" w:rsidRPr="004D4808">
        <w:rPr>
          <w:rFonts w:ascii="Arial" w:hAnsi="Arial" w:cs="Arial"/>
        </w:rPr>
        <w:t xml:space="preserve">Không rõ nguyên tắc phân loại của Bộ Công thương là như thế nào? Suy cho cùng cứ hóa chất là độc lại, là nguy hiểm cho nên cần áp dụng đánh giá nguy cơ, phân tích rủi ro để xác định đâu là hóa chất nguy hiểm. Nếu định nghĩa như thế này thì tất cả đều là hóa chất </w:t>
      </w:r>
      <w:r w:rsidRPr="004D4808">
        <w:rPr>
          <w:rFonts w:ascii="Arial" w:hAnsi="Arial" w:cs="Arial"/>
        </w:rPr>
        <w:t xml:space="preserve">nguy hiểm </w:t>
      </w:r>
      <w:r w:rsidR="00A35ABE" w:rsidRPr="004D4808">
        <w:rPr>
          <w:rFonts w:ascii="Arial" w:hAnsi="Arial" w:cs="Arial"/>
        </w:rPr>
        <w:t>hết.</w:t>
      </w:r>
    </w:p>
    <w:p w14:paraId="317C7384" w14:textId="77777777" w:rsidR="001A3D39" w:rsidRPr="004D4808" w:rsidRDefault="001A3D39" w:rsidP="009F1A01">
      <w:pPr>
        <w:pStyle w:val="ListParagraph"/>
        <w:numPr>
          <w:ilvl w:val="0"/>
          <w:numId w:val="9"/>
        </w:numPr>
        <w:tabs>
          <w:tab w:val="left" w:pos="851"/>
          <w:tab w:val="left" w:pos="1134"/>
        </w:tabs>
        <w:spacing w:before="40" w:after="40" w:line="288" w:lineRule="auto"/>
        <w:ind w:left="0" w:firstLine="709"/>
        <w:jc w:val="both"/>
        <w:rPr>
          <w:rFonts w:ascii="Arial" w:hAnsi="Arial" w:cs="Arial"/>
        </w:rPr>
      </w:pPr>
      <w:r w:rsidRPr="004D4808">
        <w:rPr>
          <w:rFonts w:ascii="Arial" w:hAnsi="Arial" w:cs="Arial"/>
        </w:rPr>
        <w:t>“</w:t>
      </w:r>
      <w:r w:rsidRPr="004D4808">
        <w:rPr>
          <w:rFonts w:ascii="Arial" w:hAnsi="Arial" w:cs="Arial"/>
        </w:rPr>
        <w:t xml:space="preserve">7. </w:t>
      </w:r>
      <w:r w:rsidRPr="004D4808">
        <w:rPr>
          <w:rFonts w:ascii="Arial" w:hAnsi="Arial" w:cs="Arial"/>
          <w:i/>
          <w:iCs/>
        </w:rPr>
        <w:t>Hóa chất nguy hiểm trong sản phẩm, hàng hóa</w:t>
      </w:r>
      <w:r w:rsidRPr="004D4808">
        <w:rPr>
          <w:rFonts w:ascii="Arial" w:hAnsi="Arial" w:cs="Arial"/>
        </w:rPr>
        <w:t xml:space="preserve"> là hóa chất nguy hiểm tồn tại trong sản phẩm, hàng hóa có khả năng gây hại cho con người, sinh vật, tài sản và môi trường, được xác định theo quy định của Luật này.</w:t>
      </w:r>
      <w:r w:rsidRPr="004D4808">
        <w:rPr>
          <w:rFonts w:ascii="Arial" w:hAnsi="Arial" w:cs="Arial"/>
        </w:rPr>
        <w:t>” Nhưng luật này lại quy định theo các quy chuẩn kỹ thuật của các Bộ ngành (Điều 30), Tôi thấy có sự vòng vo mà lại không rõ để thực hiện.</w:t>
      </w:r>
    </w:p>
    <w:p w14:paraId="64458F2A" w14:textId="33C6C2E6" w:rsidR="004D4808" w:rsidRPr="004D4808" w:rsidRDefault="001A3D39" w:rsidP="009F1A01">
      <w:pPr>
        <w:pStyle w:val="ListParagraph"/>
        <w:numPr>
          <w:ilvl w:val="0"/>
          <w:numId w:val="9"/>
        </w:numPr>
        <w:tabs>
          <w:tab w:val="left" w:pos="851"/>
          <w:tab w:val="left" w:pos="1134"/>
        </w:tabs>
        <w:spacing w:before="40" w:after="40" w:line="288" w:lineRule="auto"/>
        <w:ind w:left="0" w:firstLine="709"/>
        <w:jc w:val="both"/>
        <w:rPr>
          <w:rFonts w:ascii="Arial" w:hAnsi="Arial" w:cs="Arial"/>
        </w:rPr>
      </w:pPr>
      <w:r w:rsidRPr="004D4808">
        <w:rPr>
          <w:rFonts w:ascii="Arial" w:hAnsi="Arial" w:cs="Arial"/>
        </w:rPr>
        <w:t>“</w:t>
      </w:r>
      <w:r w:rsidRPr="004D4808">
        <w:rPr>
          <w:rFonts w:ascii="Arial" w:hAnsi="Arial" w:cs="Arial"/>
        </w:rPr>
        <w:t xml:space="preserve">15. </w:t>
      </w:r>
      <w:r w:rsidRPr="004D4808">
        <w:rPr>
          <w:rFonts w:ascii="Arial" w:hAnsi="Arial" w:cs="Arial"/>
          <w:i/>
        </w:rPr>
        <w:t xml:space="preserve">Cơ sở hóa chất </w:t>
      </w:r>
      <w:r w:rsidRPr="004D4808">
        <w:rPr>
          <w:rFonts w:ascii="Arial" w:hAnsi="Arial" w:cs="Arial"/>
        </w:rPr>
        <w:t>là nơi diễn ra một hay nhiều các hoạt động sản xuất hóa chất, kinh doanh hóa chất, tồn trữ hóa chất, sử dụng hóa chất, xử lý hóa chất.</w:t>
      </w:r>
      <w:r w:rsidRPr="004D4808">
        <w:rPr>
          <w:rFonts w:ascii="Arial" w:hAnsi="Arial" w:cs="Arial"/>
        </w:rPr>
        <w:t>”</w:t>
      </w:r>
      <w:r w:rsidR="004D4808" w:rsidRPr="004D4808">
        <w:rPr>
          <w:rFonts w:ascii="Arial" w:hAnsi="Arial" w:cs="Arial"/>
        </w:rPr>
        <w:t xml:space="preserve">. Nếu định nghĩa như thế này </w:t>
      </w:r>
      <w:r w:rsidR="00C24092">
        <w:rPr>
          <w:rFonts w:ascii="Arial" w:hAnsi="Arial" w:cs="Arial"/>
        </w:rPr>
        <w:t>và sau này áp</w:t>
      </w:r>
      <w:r w:rsidR="004D4808" w:rsidRPr="004D4808">
        <w:rPr>
          <w:rFonts w:ascii="Arial" w:hAnsi="Arial" w:cs="Arial"/>
        </w:rPr>
        <w:t xml:space="preserve"> quy định điều kiện về khoảng cách thì hầu hết các phòng thí nghiệm của Hội viên Hội thử nghiệm Việt Nam (VinaLAB) </w:t>
      </w:r>
      <w:r w:rsidR="00C24092">
        <w:rPr>
          <w:rFonts w:ascii="Arial" w:hAnsi="Arial" w:cs="Arial"/>
        </w:rPr>
        <w:t xml:space="preserve">sản xuất chất chuẩn </w:t>
      </w:r>
      <w:r w:rsidR="004D4808" w:rsidRPr="004D4808">
        <w:rPr>
          <w:rFonts w:ascii="Arial" w:hAnsi="Arial" w:cs="Arial"/>
        </w:rPr>
        <w:t xml:space="preserve">đều không </w:t>
      </w:r>
      <w:r w:rsidR="00C24092">
        <w:rPr>
          <w:rFonts w:ascii="Arial" w:hAnsi="Arial" w:cs="Arial"/>
        </w:rPr>
        <w:t>đáp ứng</w:t>
      </w:r>
      <w:r w:rsidR="004D4808" w:rsidRPr="004D4808">
        <w:rPr>
          <w:rFonts w:ascii="Arial" w:hAnsi="Arial" w:cs="Arial"/>
        </w:rPr>
        <w:t>.</w:t>
      </w:r>
      <w:r w:rsidR="00C24092">
        <w:rPr>
          <w:rFonts w:ascii="Arial" w:hAnsi="Arial" w:cs="Arial"/>
        </w:rPr>
        <w:t xml:space="preserve"> Trong khi các phòng thí nghiệm này chỉ sản xuất ra các chất chuẩn 99.99% với quy mô 1-2 máy sắc ký điều chế và sản lượng cỡ 5-7ml/ngày.</w:t>
      </w:r>
    </w:p>
    <w:p w14:paraId="35E5742F" w14:textId="519BA037" w:rsidR="004D4808" w:rsidRPr="00C24092" w:rsidRDefault="004D4808" w:rsidP="009F1A01">
      <w:pPr>
        <w:pStyle w:val="ListParagraph"/>
        <w:numPr>
          <w:ilvl w:val="0"/>
          <w:numId w:val="9"/>
        </w:numPr>
        <w:tabs>
          <w:tab w:val="left" w:pos="851"/>
          <w:tab w:val="left" w:pos="1134"/>
        </w:tabs>
        <w:spacing w:before="40" w:after="40" w:line="288" w:lineRule="auto"/>
        <w:ind w:left="0" w:firstLine="709"/>
        <w:jc w:val="both"/>
        <w:rPr>
          <w:rFonts w:ascii="Arial" w:hAnsi="Arial" w:cs="Arial"/>
          <w:color w:val="FF0000"/>
        </w:rPr>
      </w:pPr>
      <w:r>
        <w:rPr>
          <w:rFonts w:ascii="Arial" w:hAnsi="Arial" w:cs="Arial"/>
        </w:rPr>
        <w:t>Đ</w:t>
      </w:r>
      <w:r>
        <w:rPr>
          <w:rFonts w:ascii="Arial" w:hAnsi="Arial" w:cs="Arial"/>
        </w:rPr>
        <w:t xml:space="preserve">ề nghị làm rõ khái niệm </w:t>
      </w:r>
      <w:r>
        <w:rPr>
          <w:rFonts w:ascii="Arial" w:hAnsi="Arial" w:cs="Arial"/>
        </w:rPr>
        <w:t>“</w:t>
      </w:r>
      <w:r>
        <w:rPr>
          <w:rFonts w:ascii="Arial" w:hAnsi="Arial" w:cs="Arial"/>
        </w:rPr>
        <w:t>thử nghiệm hóa chất</w:t>
      </w:r>
      <w:r w:rsidR="00C24092">
        <w:rPr>
          <w:rFonts w:ascii="Arial" w:hAnsi="Arial" w:cs="Arial"/>
        </w:rPr>
        <w:t>”</w:t>
      </w:r>
      <w:r>
        <w:rPr>
          <w:rFonts w:ascii="Arial" w:hAnsi="Arial" w:cs="Arial"/>
        </w:rPr>
        <w:t xml:space="preserve"> trong định nghĩa </w:t>
      </w:r>
      <w:r w:rsidR="00C24092">
        <w:rPr>
          <w:rFonts w:ascii="Arial" w:hAnsi="Arial" w:cs="Arial"/>
        </w:rPr>
        <w:t>“</w:t>
      </w:r>
      <w:r>
        <w:rPr>
          <w:rFonts w:ascii="Arial" w:hAnsi="Arial" w:cs="Arial"/>
        </w:rPr>
        <w:t>hoạt động hóa chất</w:t>
      </w:r>
      <w:r w:rsidR="00C24092">
        <w:rPr>
          <w:rFonts w:ascii="Arial" w:hAnsi="Arial" w:cs="Arial"/>
        </w:rPr>
        <w:t>”. Định nghĩa này có bao hàm dùng hóa chất để thử nghiệm chất lượng sản phẩm hóa không?</w:t>
      </w:r>
    </w:p>
    <w:p w14:paraId="753414BA" w14:textId="77777777" w:rsidR="00C24092" w:rsidRPr="004D4808" w:rsidRDefault="00C24092" w:rsidP="009F1A01">
      <w:pPr>
        <w:pStyle w:val="ListParagraph"/>
        <w:spacing w:before="40" w:after="40" w:line="288" w:lineRule="auto"/>
        <w:ind w:left="1080"/>
        <w:jc w:val="both"/>
        <w:rPr>
          <w:rFonts w:ascii="Arial" w:hAnsi="Arial" w:cs="Arial"/>
          <w:color w:val="FF0000"/>
        </w:rPr>
      </w:pPr>
    </w:p>
    <w:p w14:paraId="3D601CB6" w14:textId="6EDDEB5D" w:rsidR="00C24092" w:rsidRDefault="00C24092" w:rsidP="009F1A01">
      <w:pPr>
        <w:pStyle w:val="ListParagraph"/>
        <w:numPr>
          <w:ilvl w:val="0"/>
          <w:numId w:val="8"/>
        </w:numPr>
        <w:spacing w:before="40" w:after="40" w:line="288" w:lineRule="auto"/>
        <w:ind w:left="0" w:firstLine="360"/>
        <w:jc w:val="both"/>
        <w:rPr>
          <w:rFonts w:ascii="Arial" w:hAnsi="Arial" w:cs="Arial"/>
        </w:rPr>
      </w:pPr>
      <w:r>
        <w:rPr>
          <w:rFonts w:ascii="Arial" w:hAnsi="Arial" w:cs="Arial"/>
        </w:rPr>
        <w:t>Hoạt động tư vấn chuyên ngành hóa chất</w:t>
      </w:r>
      <w:r w:rsidR="0002659E">
        <w:rPr>
          <w:rFonts w:ascii="Arial" w:hAnsi="Arial" w:cs="Arial"/>
        </w:rPr>
        <w:t xml:space="preserve"> (Điều 8).</w:t>
      </w:r>
    </w:p>
    <w:p w14:paraId="2970A6AA" w14:textId="1B2E1F77" w:rsidR="0002659E" w:rsidRDefault="0002659E" w:rsidP="009F1A01">
      <w:pPr>
        <w:pStyle w:val="ListParagraph"/>
        <w:spacing w:before="40" w:after="40" w:line="288" w:lineRule="auto"/>
        <w:ind w:left="0" w:firstLine="360"/>
        <w:jc w:val="both"/>
        <w:rPr>
          <w:rFonts w:ascii="Arial" w:hAnsi="Arial" w:cs="Arial"/>
        </w:rPr>
      </w:pPr>
      <w:r>
        <w:rPr>
          <w:rFonts w:ascii="Arial" w:hAnsi="Arial" w:cs="Arial"/>
        </w:rPr>
        <w:t xml:space="preserve">Có nhất thiết phải quy định </w:t>
      </w:r>
      <w:proofErr w:type="gramStart"/>
      <w:r>
        <w:rPr>
          <w:rFonts w:ascii="Arial" w:hAnsi="Arial" w:cs="Arial"/>
        </w:rPr>
        <w:t>“ hoạt</w:t>
      </w:r>
      <w:proofErr w:type="gramEnd"/>
      <w:r>
        <w:rPr>
          <w:rFonts w:ascii="Arial" w:hAnsi="Arial" w:cs="Arial"/>
        </w:rPr>
        <w:t xml:space="preserve"> động tư vấn hóa chất” là ngành nghề kinh doanh có điều kiện không? Nếu xem tiếp điều sau thì yêu cầu đối với “nhân viên tư vấn hóa chất” không có yêu cầu gì là đặc biệt cả, thậm chí còn lấy tiêu chí từ luật xây dựng sang. Theo dự thào lại thêm thủ tục hành chính </w:t>
      </w:r>
      <w:proofErr w:type="gramStart"/>
      <w:r>
        <w:rPr>
          <w:rFonts w:ascii="Arial" w:hAnsi="Arial" w:cs="Arial"/>
        </w:rPr>
        <w:t>“ cấp</w:t>
      </w:r>
      <w:proofErr w:type="gramEnd"/>
      <w:r>
        <w:rPr>
          <w:rFonts w:ascii="Arial" w:hAnsi="Arial" w:cs="Arial"/>
        </w:rPr>
        <w:t xml:space="preserve"> giấy phép hành nghề tư vấn hóa chất”. Kiến nghị: Tư vấn hóa chất không nên là ngành nghề kinh doanh có điều kiện.</w:t>
      </w:r>
    </w:p>
    <w:p w14:paraId="195E901A" w14:textId="40C2DC22" w:rsidR="0002659E" w:rsidRDefault="0027758B" w:rsidP="009F1A01">
      <w:pPr>
        <w:pStyle w:val="ListParagraph"/>
        <w:numPr>
          <w:ilvl w:val="0"/>
          <w:numId w:val="8"/>
        </w:numPr>
        <w:spacing w:before="40" w:after="40" w:line="288" w:lineRule="auto"/>
        <w:ind w:left="0" w:firstLine="360"/>
        <w:jc w:val="both"/>
        <w:rPr>
          <w:rFonts w:ascii="Arial" w:hAnsi="Arial" w:cs="Arial"/>
        </w:rPr>
      </w:pPr>
      <w:r>
        <w:rPr>
          <w:rFonts w:ascii="Arial" w:hAnsi="Arial" w:cs="Arial"/>
        </w:rPr>
        <w:t>Khoản 3, điều 10. Có thể đưa danh mục hóa chất cấm vào luật này luôn không? Dự thảo tham chiếu sang luật đầu tư. Nếu quy định danh mục hóa chất cấm trong luật này thì các doanh nghiệp trong nước sẽ dễ thực hiện hơn;</w:t>
      </w:r>
    </w:p>
    <w:p w14:paraId="6E2995E0" w14:textId="77777777" w:rsidR="00C31C18" w:rsidRDefault="0027758B" w:rsidP="009F1A01">
      <w:pPr>
        <w:pStyle w:val="ListParagraph"/>
        <w:numPr>
          <w:ilvl w:val="0"/>
          <w:numId w:val="8"/>
        </w:numPr>
        <w:spacing w:before="40" w:after="40" w:line="288" w:lineRule="auto"/>
        <w:ind w:left="0" w:firstLine="360"/>
        <w:jc w:val="both"/>
        <w:rPr>
          <w:rFonts w:ascii="Arial" w:hAnsi="Arial" w:cs="Arial"/>
        </w:rPr>
      </w:pPr>
      <w:r>
        <w:rPr>
          <w:rFonts w:ascii="Arial" w:hAnsi="Arial" w:cs="Arial"/>
        </w:rPr>
        <w:t xml:space="preserve">Mục </w:t>
      </w:r>
      <w:r w:rsidRPr="0027758B">
        <w:rPr>
          <w:rFonts w:ascii="Arial" w:hAnsi="Arial" w:cs="Arial"/>
        </w:rPr>
        <w:t>d</w:t>
      </w:r>
      <w:r>
        <w:rPr>
          <w:rFonts w:ascii="Arial" w:hAnsi="Arial" w:cs="Arial"/>
        </w:rPr>
        <w:t>, Khoản 3, Điều 10: “</w:t>
      </w:r>
      <w:r w:rsidRPr="0027758B">
        <w:rPr>
          <w:rFonts w:ascii="Arial" w:hAnsi="Arial" w:cs="Arial"/>
        </w:rPr>
        <w:t>Tổ chức sản xuất, nhập khẩu, sử dụng, tồn trữ hóa chất cấm phải lập sổ theo dõi theo quy định của Bộ quản lý ngành; quản lý nghiêm ngặt số lượng, bảo đảm không để xảy ra thất thoát, sự cố;</w:t>
      </w:r>
      <w:r>
        <w:rPr>
          <w:rFonts w:ascii="Arial" w:hAnsi="Arial" w:cs="Arial"/>
        </w:rPr>
        <w:t xml:space="preserve">” Sao không thống nhất mẫu sổ theo dõi hóa chất cấm trong Luật này luôn mà lại để Bộ quản lý ngành quy </w:t>
      </w:r>
      <w:proofErr w:type="gramStart"/>
      <w:r>
        <w:rPr>
          <w:rFonts w:ascii="Arial" w:hAnsi="Arial" w:cs="Arial"/>
        </w:rPr>
        <w:t>định?.</w:t>
      </w:r>
      <w:proofErr w:type="gramEnd"/>
    </w:p>
    <w:p w14:paraId="0A6AB96F" w14:textId="3F6A5AC9" w:rsidR="00C31C18" w:rsidRPr="00C31C18" w:rsidRDefault="00C31C18" w:rsidP="009F1A01">
      <w:pPr>
        <w:pStyle w:val="ListParagraph"/>
        <w:numPr>
          <w:ilvl w:val="0"/>
          <w:numId w:val="8"/>
        </w:numPr>
        <w:shd w:val="clear" w:color="auto" w:fill="FFFFFF"/>
        <w:spacing w:before="40" w:after="40" w:line="288" w:lineRule="auto"/>
        <w:jc w:val="both"/>
        <w:rPr>
          <w:rFonts w:ascii="Arial" w:hAnsi="Arial" w:cs="Arial"/>
        </w:rPr>
      </w:pPr>
      <w:r w:rsidRPr="00C31C18">
        <w:rPr>
          <w:rFonts w:ascii="Arial" w:hAnsi="Arial" w:cs="Arial"/>
        </w:rPr>
        <w:t xml:space="preserve">Điều 11. Sản xuất hóa chất </w:t>
      </w:r>
      <w:r w:rsidRPr="00C31C18">
        <w:rPr>
          <w:rFonts w:ascii="Arial" w:hAnsi="Arial" w:cs="Arial"/>
        </w:rPr>
        <w:t>:</w:t>
      </w:r>
      <w:r w:rsidRPr="00C31C18">
        <w:rPr>
          <w:rFonts w:ascii="Arial" w:hAnsi="Arial" w:cs="Arial"/>
        </w:rPr>
        <w:t xml:space="preserve"> </w:t>
      </w:r>
    </w:p>
    <w:p w14:paraId="3B589524" w14:textId="77777777" w:rsidR="00C31C18" w:rsidRPr="00C31C18" w:rsidRDefault="00C31C18" w:rsidP="009F1A01">
      <w:pPr>
        <w:shd w:val="clear" w:color="auto" w:fill="FFFFFF"/>
        <w:spacing w:before="40" w:after="40" w:line="288" w:lineRule="auto"/>
        <w:ind w:firstLine="720"/>
        <w:jc w:val="both"/>
        <w:rPr>
          <w:rFonts w:ascii="Arial" w:hAnsi="Arial" w:cs="Arial"/>
        </w:rPr>
      </w:pPr>
      <w:r w:rsidRPr="00C31C18">
        <w:rPr>
          <w:rFonts w:ascii="Arial" w:hAnsi="Arial" w:cs="Arial"/>
        </w:rPr>
        <w:t>1. Tổ chức, cá nhân sản xuất hóa chất phải đáp ứng các yêu cầu sau:</w:t>
      </w:r>
    </w:p>
    <w:p w14:paraId="505E5A4C" w14:textId="77777777" w:rsidR="00C31C18" w:rsidRDefault="00C31C18" w:rsidP="009F1A01">
      <w:pPr>
        <w:shd w:val="clear" w:color="auto" w:fill="FFFFFF"/>
        <w:spacing w:before="40" w:after="40" w:line="288" w:lineRule="auto"/>
        <w:ind w:firstLine="720"/>
        <w:jc w:val="both"/>
        <w:rPr>
          <w:rFonts w:ascii="Arial" w:hAnsi="Arial" w:cs="Arial"/>
        </w:rPr>
      </w:pPr>
      <w:r w:rsidRPr="00C31C18">
        <w:rPr>
          <w:rFonts w:ascii="Arial" w:hAnsi="Arial" w:cs="Arial"/>
        </w:rPr>
        <w:t xml:space="preserve">a) Được thành lập theo quy định của pháp luật; </w:t>
      </w:r>
    </w:p>
    <w:p w14:paraId="40D04E5F" w14:textId="04E116CA" w:rsidR="00C31C18" w:rsidRPr="00216DD8" w:rsidRDefault="00C31C18" w:rsidP="009F1A01">
      <w:pPr>
        <w:spacing w:before="40" w:after="40" w:line="288" w:lineRule="auto"/>
        <w:ind w:firstLine="360"/>
        <w:jc w:val="both"/>
        <w:rPr>
          <w:rFonts w:ascii="Arial" w:hAnsi="Arial" w:cs="Arial"/>
        </w:rPr>
      </w:pPr>
      <w:r w:rsidRPr="00216DD8">
        <w:rPr>
          <w:rFonts w:ascii="Arial" w:hAnsi="Arial" w:cs="Arial"/>
        </w:rPr>
        <w:t>Nếu viết như thế này thì hiểu “Cá nhân sản xuất hóa chất” phải được thành lập theo quy định của Pháp luật? Cá nhân thành lập theo quy định nào?</w:t>
      </w:r>
      <w:r w:rsidR="00097F66">
        <w:rPr>
          <w:rFonts w:ascii="Arial" w:hAnsi="Arial" w:cs="Arial"/>
        </w:rPr>
        <w:t xml:space="preserve"> (Điều 12 cũng tương tự).</w:t>
      </w:r>
    </w:p>
    <w:p w14:paraId="656D3CEB" w14:textId="04C22326" w:rsidR="00216DD8" w:rsidRPr="00216DD8" w:rsidRDefault="00216DD8" w:rsidP="009F1A01">
      <w:pPr>
        <w:pStyle w:val="ListParagraph"/>
        <w:numPr>
          <w:ilvl w:val="0"/>
          <w:numId w:val="8"/>
        </w:numPr>
        <w:spacing w:before="40" w:after="40" w:line="288" w:lineRule="auto"/>
        <w:ind w:left="0" w:firstLine="360"/>
        <w:jc w:val="both"/>
        <w:rPr>
          <w:rFonts w:ascii="Arial" w:hAnsi="Arial" w:cs="Arial"/>
        </w:rPr>
      </w:pPr>
      <w:r w:rsidRPr="00C31C18">
        <w:rPr>
          <w:rFonts w:ascii="Arial" w:hAnsi="Arial" w:cs="Arial"/>
        </w:rPr>
        <w:t xml:space="preserve">Điều 11. Sản xuất hóa </w:t>
      </w:r>
      <w:proofErr w:type="gramStart"/>
      <w:r w:rsidRPr="00C31C18">
        <w:rPr>
          <w:rFonts w:ascii="Arial" w:hAnsi="Arial" w:cs="Arial"/>
        </w:rPr>
        <w:t>chất :</w:t>
      </w:r>
      <w:proofErr w:type="gramEnd"/>
      <w:r w:rsidRPr="00C31C18">
        <w:rPr>
          <w:rFonts w:ascii="Arial" w:hAnsi="Arial" w:cs="Arial"/>
        </w:rPr>
        <w:t xml:space="preserve"> </w:t>
      </w:r>
      <w:r w:rsidRPr="00216DD8">
        <w:rPr>
          <w:rFonts w:ascii="Arial" w:hAnsi="Arial" w:cs="Arial"/>
        </w:rPr>
        <w:t>Các phòng thí nghiệm sản xuất chất xuất bằng thiết bị sắc ký điều chế. Sản xuất ra các chất có độ tinh khiết 99,99%. Công suất 3-5ml/ ngày có được coi là cơ sở sản xuất khóa chất không?</w:t>
      </w:r>
    </w:p>
    <w:p w14:paraId="0335D263" w14:textId="4D8757B6" w:rsidR="004C6DDC" w:rsidRPr="00216DD8" w:rsidRDefault="00C31C18" w:rsidP="009F1A01">
      <w:pPr>
        <w:pStyle w:val="ListParagraph"/>
        <w:numPr>
          <w:ilvl w:val="0"/>
          <w:numId w:val="8"/>
        </w:numPr>
        <w:spacing w:before="40" w:after="40" w:line="288" w:lineRule="auto"/>
        <w:ind w:left="0" w:firstLine="360"/>
        <w:jc w:val="both"/>
        <w:rPr>
          <w:rFonts w:ascii="Arial" w:hAnsi="Arial" w:cs="Arial"/>
        </w:rPr>
      </w:pPr>
      <w:r w:rsidRPr="00216DD8">
        <w:rPr>
          <w:rFonts w:ascii="Arial" w:hAnsi="Arial" w:cs="Arial"/>
        </w:rPr>
        <w:t xml:space="preserve">Trong dự thảo quy định giấy chứng nhận đủ điều kiện sản xuất có thời hạn 05 năm kể từ này cấp. Đề nghị xem xét việc cấp lại nhằm mục đích gì. Nếu để đảm bảo cơ sở duy trì điều kiện sản xuất theo quy định thì áp dụng cơ chế thanh kiểm tra hặc thừa nhận kết quả đánh giá phù hợp nào đó như chứng chỉ ISO 9001…vv. </w:t>
      </w:r>
      <w:r w:rsidR="00216DD8" w:rsidRPr="00216DD8">
        <w:rPr>
          <w:rFonts w:ascii="Arial" w:hAnsi="Arial" w:cs="Arial"/>
        </w:rPr>
        <w:t>Nếu quy định giấy chứng nhận đủ điều kiện sản xuất có hiệu lực như giấy phép đầu tư 50 năm thì có ảnh hưởng gì đến quản lý không? Kiến nghị nên kéo dài thời hạn giấy chứng nhận đủ điều kiện sản xuất hóa chất.</w:t>
      </w:r>
    </w:p>
    <w:p w14:paraId="6249A7FB" w14:textId="77777777" w:rsidR="004C6DDC" w:rsidRDefault="004C6DDC" w:rsidP="009F1A01">
      <w:pPr>
        <w:pStyle w:val="ListParagraph"/>
        <w:spacing w:before="40" w:after="40" w:line="288" w:lineRule="auto"/>
        <w:ind w:left="360"/>
        <w:jc w:val="both"/>
        <w:rPr>
          <w:rFonts w:ascii="Arial" w:hAnsi="Arial" w:cs="Arial"/>
        </w:rPr>
      </w:pPr>
    </w:p>
    <w:p w14:paraId="5A0AFB57" w14:textId="68FE89AF" w:rsidR="00C1715B" w:rsidRPr="009F1A01" w:rsidRDefault="009F1A01" w:rsidP="009F1A01">
      <w:pPr>
        <w:spacing w:before="40" w:after="40" w:line="288" w:lineRule="auto"/>
        <w:ind w:firstLine="567"/>
        <w:jc w:val="both"/>
        <w:rPr>
          <w:rFonts w:ascii="Arial" w:hAnsi="Arial" w:cs="Arial"/>
          <w:lang w:val="en-US"/>
        </w:rPr>
      </w:pPr>
      <w:r>
        <w:rPr>
          <w:rFonts w:ascii="Arial" w:hAnsi="Arial" w:cs="Arial"/>
          <w:lang w:val="en-US"/>
        </w:rPr>
        <w:t>Trân trọng cảm ơn./.</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812"/>
      </w:tblGrid>
      <w:tr w:rsidR="00DB3C1A" w:rsidRPr="009F1A01" w14:paraId="752EE19D" w14:textId="77777777" w:rsidTr="004C6DDC">
        <w:tc>
          <w:tcPr>
            <w:tcW w:w="3969" w:type="dxa"/>
          </w:tcPr>
          <w:p w14:paraId="535FC492" w14:textId="6A4CA7FD" w:rsidR="004C6DDC" w:rsidRPr="00C31C18" w:rsidRDefault="004C6DDC" w:rsidP="009F1A01">
            <w:pPr>
              <w:spacing w:before="40" w:after="40" w:line="288" w:lineRule="auto"/>
              <w:rPr>
                <w:rFonts w:ascii="Arial" w:hAnsi="Arial" w:cs="Arial"/>
                <w:b/>
                <w:lang w:val="vi-VN"/>
              </w:rPr>
            </w:pPr>
            <w:r w:rsidRPr="00C31C18">
              <w:rPr>
                <w:rFonts w:ascii="Arial" w:hAnsi="Arial" w:cs="Arial"/>
                <w:b/>
                <w:lang w:val="vi-VN"/>
              </w:rPr>
              <w:t xml:space="preserve"> </w:t>
            </w:r>
          </w:p>
          <w:p w14:paraId="73B9FFFC" w14:textId="4BB8A25F" w:rsidR="00DB3C1A" w:rsidRPr="00C31C18" w:rsidRDefault="004C6DDC" w:rsidP="009F1A01">
            <w:pPr>
              <w:spacing w:before="40" w:after="40" w:line="288" w:lineRule="auto"/>
              <w:rPr>
                <w:rFonts w:ascii="Arial" w:hAnsi="Arial" w:cs="Arial"/>
                <w:b/>
                <w:lang w:val="vi-VN"/>
              </w:rPr>
            </w:pPr>
            <w:r w:rsidRPr="00C31C18">
              <w:rPr>
                <w:rFonts w:ascii="Arial" w:hAnsi="Arial" w:cs="Arial"/>
                <w:b/>
                <w:lang w:val="vi-VN"/>
              </w:rPr>
              <w:t xml:space="preserve"> </w:t>
            </w:r>
          </w:p>
        </w:tc>
        <w:tc>
          <w:tcPr>
            <w:tcW w:w="5812" w:type="dxa"/>
          </w:tcPr>
          <w:p w14:paraId="2C4B0E7A" w14:textId="5FEF15E7" w:rsidR="00DB3C1A" w:rsidRPr="009F1A01" w:rsidRDefault="004C6DDC" w:rsidP="009F1A01">
            <w:pPr>
              <w:spacing w:before="40" w:after="40" w:line="288" w:lineRule="auto"/>
              <w:jc w:val="center"/>
              <w:rPr>
                <w:rFonts w:ascii="Arial" w:hAnsi="Arial" w:cs="Arial"/>
                <w:b/>
                <w:lang w:val="vi-VN"/>
              </w:rPr>
            </w:pPr>
            <w:r w:rsidRPr="009F1A01">
              <w:rPr>
                <w:rFonts w:ascii="Arial" w:hAnsi="Arial" w:cs="Arial"/>
                <w:b/>
                <w:lang w:val="vi-VN"/>
              </w:rPr>
              <w:t>Nguyễn Hữu Dũng</w:t>
            </w:r>
          </w:p>
          <w:p w14:paraId="6C26ADB3" w14:textId="0D9A70DD" w:rsidR="009F1A01" w:rsidRPr="009F1A01" w:rsidRDefault="009F1A01" w:rsidP="009F1A01">
            <w:pPr>
              <w:spacing w:before="40" w:after="40" w:line="288" w:lineRule="auto"/>
              <w:jc w:val="center"/>
              <w:rPr>
                <w:rFonts w:ascii="Arial" w:hAnsi="Arial" w:cs="Arial"/>
                <w:b/>
                <w:lang w:val="vi-VN"/>
              </w:rPr>
            </w:pPr>
            <w:r w:rsidRPr="009F1A01">
              <w:rPr>
                <w:rFonts w:ascii="Arial" w:hAnsi="Arial" w:cs="Arial"/>
                <w:b/>
                <w:lang w:val="vi-VN"/>
              </w:rPr>
              <w:t>Phó chủ tịch Hội VinaLAB</w:t>
            </w:r>
          </w:p>
          <w:p w14:paraId="419E68FF" w14:textId="469E8D6E" w:rsidR="00DB3C1A" w:rsidRPr="009F1A01" w:rsidRDefault="004C6DDC" w:rsidP="009F1A01">
            <w:pPr>
              <w:spacing w:before="40" w:after="40" w:line="288" w:lineRule="auto"/>
              <w:jc w:val="center"/>
              <w:rPr>
                <w:rFonts w:ascii="Arial" w:hAnsi="Arial" w:cs="Arial"/>
                <w:b/>
                <w:lang w:val="vi-VN"/>
              </w:rPr>
            </w:pPr>
            <w:r w:rsidRPr="009F1A01">
              <w:rPr>
                <w:rFonts w:ascii="Arial" w:hAnsi="Arial" w:cs="Arial"/>
                <w:b/>
                <w:lang w:val="vi-VN"/>
              </w:rPr>
              <w:t xml:space="preserve"> </w:t>
            </w:r>
          </w:p>
        </w:tc>
      </w:tr>
    </w:tbl>
    <w:p w14:paraId="4BC584BC" w14:textId="5B475168" w:rsidR="000F4937" w:rsidRPr="009F1A01" w:rsidRDefault="000F4937" w:rsidP="009F1A01">
      <w:pPr>
        <w:spacing w:before="40" w:after="40" w:line="288" w:lineRule="auto"/>
        <w:jc w:val="both"/>
        <w:rPr>
          <w:rFonts w:ascii="Arial" w:hAnsi="Arial" w:cs="Arial"/>
          <w:lang w:val="vi-VN"/>
        </w:rPr>
      </w:pPr>
      <w:r w:rsidRPr="009F1A01">
        <w:rPr>
          <w:rFonts w:ascii="Arial" w:hAnsi="Arial" w:cs="Arial"/>
          <w:lang w:val="vi-VN"/>
        </w:rPr>
        <w:t xml:space="preserve">                              </w:t>
      </w:r>
    </w:p>
    <w:p w14:paraId="1C956712" w14:textId="77777777" w:rsidR="00BD7ACF" w:rsidRPr="009F1A01" w:rsidRDefault="000F4937" w:rsidP="009F1A01">
      <w:pPr>
        <w:pStyle w:val="ListParagraph"/>
        <w:spacing w:before="40" w:after="40" w:line="288" w:lineRule="auto"/>
        <w:jc w:val="both"/>
        <w:rPr>
          <w:rFonts w:ascii="Arial" w:hAnsi="Arial" w:cs="Arial"/>
          <w:b/>
          <w:bCs/>
          <w:lang w:val="vi-VN"/>
        </w:rPr>
      </w:pPr>
      <w:r w:rsidRPr="009F1A01">
        <w:rPr>
          <w:rFonts w:ascii="Arial" w:hAnsi="Arial" w:cs="Arial"/>
          <w:b/>
          <w:bCs/>
          <w:lang w:val="vi-VN"/>
        </w:rPr>
        <w:t xml:space="preserve">                                              </w:t>
      </w:r>
    </w:p>
    <w:p w14:paraId="784FD066" w14:textId="174DBE97" w:rsidR="00BD7ACF" w:rsidRPr="009F1A01" w:rsidRDefault="000F4937" w:rsidP="009F1A01">
      <w:pPr>
        <w:pStyle w:val="ListParagraph"/>
        <w:spacing w:before="40" w:after="40" w:line="288" w:lineRule="auto"/>
        <w:jc w:val="both"/>
        <w:rPr>
          <w:rFonts w:ascii="Arial" w:hAnsi="Arial" w:cs="Arial"/>
          <w:b/>
          <w:bCs/>
          <w:lang w:val="vi-VN"/>
        </w:rPr>
      </w:pPr>
      <w:r w:rsidRPr="009F1A01">
        <w:rPr>
          <w:rFonts w:ascii="Arial" w:hAnsi="Arial" w:cs="Arial"/>
          <w:b/>
          <w:bCs/>
          <w:lang w:val="vi-VN"/>
        </w:rPr>
        <w:t xml:space="preserve">            </w:t>
      </w:r>
    </w:p>
    <w:p w14:paraId="1CAB254F" w14:textId="4FE815D6" w:rsidR="002F2973" w:rsidRPr="009F1A01" w:rsidRDefault="002F2973" w:rsidP="009F1A01">
      <w:pPr>
        <w:pStyle w:val="ListParagraph"/>
        <w:spacing w:before="40" w:after="40" w:line="288" w:lineRule="auto"/>
        <w:jc w:val="both"/>
        <w:rPr>
          <w:rFonts w:ascii="Arial" w:hAnsi="Arial" w:cs="Arial"/>
          <w:b/>
          <w:bCs/>
          <w:lang w:val="vi-VN"/>
        </w:rPr>
      </w:pPr>
      <w:r w:rsidRPr="009F1A01">
        <w:rPr>
          <w:rFonts w:ascii="Arial" w:hAnsi="Arial" w:cs="Arial"/>
          <w:b/>
          <w:bCs/>
          <w:lang w:val="vi-VN"/>
        </w:rPr>
        <w:tab/>
      </w:r>
    </w:p>
    <w:sectPr w:rsidR="002F2973" w:rsidRPr="009F1A01" w:rsidSect="00BD7ACF">
      <w:footerReference w:type="default" r:id="rId7"/>
      <w:pgSz w:w="11906" w:h="16838"/>
      <w:pgMar w:top="709"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93A86" w14:textId="77777777" w:rsidR="00813FC0" w:rsidRDefault="00813FC0" w:rsidP="008E7445">
      <w:pPr>
        <w:spacing w:after="0" w:line="240" w:lineRule="auto"/>
      </w:pPr>
      <w:r>
        <w:separator/>
      </w:r>
    </w:p>
  </w:endnote>
  <w:endnote w:type="continuationSeparator" w:id="0">
    <w:p w14:paraId="4AC73F78" w14:textId="77777777" w:rsidR="00813FC0" w:rsidRDefault="00813FC0" w:rsidP="008E7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7CA2E" w14:textId="74968BE2" w:rsidR="008E7445" w:rsidRDefault="008E7445">
    <w:pPr>
      <w:pStyle w:val="Footer"/>
      <w:jc w:val="center"/>
    </w:pPr>
  </w:p>
  <w:p w14:paraId="24C41C13" w14:textId="77777777" w:rsidR="008E7445" w:rsidRDefault="008E7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69C8A" w14:textId="77777777" w:rsidR="00813FC0" w:rsidRDefault="00813FC0" w:rsidP="008E7445">
      <w:pPr>
        <w:spacing w:after="0" w:line="240" w:lineRule="auto"/>
      </w:pPr>
      <w:r>
        <w:separator/>
      </w:r>
    </w:p>
  </w:footnote>
  <w:footnote w:type="continuationSeparator" w:id="0">
    <w:p w14:paraId="0524DCFA" w14:textId="77777777" w:rsidR="00813FC0" w:rsidRDefault="00813FC0" w:rsidP="008E74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8480F"/>
    <w:multiLevelType w:val="hybridMultilevel"/>
    <w:tmpl w:val="7C82E434"/>
    <w:lvl w:ilvl="0" w:tplc="ED3A5F4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EB1FC4"/>
    <w:multiLevelType w:val="hybridMultilevel"/>
    <w:tmpl w:val="77989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67428"/>
    <w:multiLevelType w:val="hybridMultilevel"/>
    <w:tmpl w:val="4350A034"/>
    <w:lvl w:ilvl="0" w:tplc="175C99A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34CA2"/>
    <w:multiLevelType w:val="hybridMultilevel"/>
    <w:tmpl w:val="4E6AA4BC"/>
    <w:lvl w:ilvl="0" w:tplc="00E48D26">
      <w:start w:val="1"/>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AFC32EB"/>
    <w:multiLevelType w:val="hybridMultilevel"/>
    <w:tmpl w:val="D4B6C9C2"/>
    <w:lvl w:ilvl="0" w:tplc="2DAEDD84">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24EE8"/>
    <w:multiLevelType w:val="hybridMultilevel"/>
    <w:tmpl w:val="C0A6252E"/>
    <w:lvl w:ilvl="0" w:tplc="C234CBCE">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514263E"/>
    <w:multiLevelType w:val="hybridMultilevel"/>
    <w:tmpl w:val="6DF2661C"/>
    <w:lvl w:ilvl="0" w:tplc="5C884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C179A9"/>
    <w:multiLevelType w:val="hybridMultilevel"/>
    <w:tmpl w:val="41F6E2B2"/>
    <w:lvl w:ilvl="0" w:tplc="B484A3AA">
      <w:start w:val="4"/>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712A3B88"/>
    <w:multiLevelType w:val="hybridMultilevel"/>
    <w:tmpl w:val="9F1467F4"/>
    <w:lvl w:ilvl="0" w:tplc="7BBEB0C2">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0630580">
    <w:abstractNumId w:val="0"/>
  </w:num>
  <w:num w:numId="2" w16cid:durableId="1076781147">
    <w:abstractNumId w:val="8"/>
  </w:num>
  <w:num w:numId="3" w16cid:durableId="1368947472">
    <w:abstractNumId w:val="2"/>
  </w:num>
  <w:num w:numId="4" w16cid:durableId="2083333758">
    <w:abstractNumId w:val="3"/>
  </w:num>
  <w:num w:numId="5" w16cid:durableId="1295713817">
    <w:abstractNumId w:val="6"/>
  </w:num>
  <w:num w:numId="6" w16cid:durableId="901138924">
    <w:abstractNumId w:val="7"/>
  </w:num>
  <w:num w:numId="7" w16cid:durableId="1990985921">
    <w:abstractNumId w:val="4"/>
  </w:num>
  <w:num w:numId="8" w16cid:durableId="744030899">
    <w:abstractNumId w:val="1"/>
  </w:num>
  <w:num w:numId="9" w16cid:durableId="1166053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2E2"/>
    <w:rsid w:val="0002659E"/>
    <w:rsid w:val="00026DDE"/>
    <w:rsid w:val="00056BB6"/>
    <w:rsid w:val="000614BA"/>
    <w:rsid w:val="0007116E"/>
    <w:rsid w:val="00093087"/>
    <w:rsid w:val="00097F66"/>
    <w:rsid w:val="000A0717"/>
    <w:rsid w:val="000D0AA0"/>
    <w:rsid w:val="000E088E"/>
    <w:rsid w:val="000F4937"/>
    <w:rsid w:val="00131960"/>
    <w:rsid w:val="00182DD6"/>
    <w:rsid w:val="001907F0"/>
    <w:rsid w:val="001A3060"/>
    <w:rsid w:val="001A3D39"/>
    <w:rsid w:val="001A7CEB"/>
    <w:rsid w:val="001F2F7B"/>
    <w:rsid w:val="00202C77"/>
    <w:rsid w:val="00216214"/>
    <w:rsid w:val="00216DD8"/>
    <w:rsid w:val="002476F3"/>
    <w:rsid w:val="002571F7"/>
    <w:rsid w:val="0027758B"/>
    <w:rsid w:val="002879D6"/>
    <w:rsid w:val="002A7E03"/>
    <w:rsid w:val="002B3FB3"/>
    <w:rsid w:val="002F2973"/>
    <w:rsid w:val="00301E8E"/>
    <w:rsid w:val="00304DCC"/>
    <w:rsid w:val="00326E63"/>
    <w:rsid w:val="00330D3A"/>
    <w:rsid w:val="003832F2"/>
    <w:rsid w:val="003B0279"/>
    <w:rsid w:val="003C7E93"/>
    <w:rsid w:val="003D2AA9"/>
    <w:rsid w:val="003E6015"/>
    <w:rsid w:val="003F1E45"/>
    <w:rsid w:val="00400707"/>
    <w:rsid w:val="00401F0B"/>
    <w:rsid w:val="00407949"/>
    <w:rsid w:val="004103E0"/>
    <w:rsid w:val="00422A33"/>
    <w:rsid w:val="004412E2"/>
    <w:rsid w:val="00443901"/>
    <w:rsid w:val="00447608"/>
    <w:rsid w:val="00452D08"/>
    <w:rsid w:val="00473B05"/>
    <w:rsid w:val="00482EDA"/>
    <w:rsid w:val="004906BB"/>
    <w:rsid w:val="004953FD"/>
    <w:rsid w:val="00496016"/>
    <w:rsid w:val="004B1BBD"/>
    <w:rsid w:val="004B6295"/>
    <w:rsid w:val="004C6DDC"/>
    <w:rsid w:val="004D0D6F"/>
    <w:rsid w:val="004D4808"/>
    <w:rsid w:val="004D642F"/>
    <w:rsid w:val="005305F2"/>
    <w:rsid w:val="00540793"/>
    <w:rsid w:val="00593B2F"/>
    <w:rsid w:val="005A0731"/>
    <w:rsid w:val="005A0B3C"/>
    <w:rsid w:val="005C28A9"/>
    <w:rsid w:val="005D79CE"/>
    <w:rsid w:val="005F5BDD"/>
    <w:rsid w:val="006317D7"/>
    <w:rsid w:val="006372EE"/>
    <w:rsid w:val="006541CA"/>
    <w:rsid w:val="0065569C"/>
    <w:rsid w:val="0066051F"/>
    <w:rsid w:val="006A33B1"/>
    <w:rsid w:val="006A5D20"/>
    <w:rsid w:val="006B0651"/>
    <w:rsid w:val="006B2480"/>
    <w:rsid w:val="006B5CA4"/>
    <w:rsid w:val="006C3781"/>
    <w:rsid w:val="006F000C"/>
    <w:rsid w:val="00704F03"/>
    <w:rsid w:val="007647FA"/>
    <w:rsid w:val="00781782"/>
    <w:rsid w:val="0078290F"/>
    <w:rsid w:val="00797CDB"/>
    <w:rsid w:val="007C7830"/>
    <w:rsid w:val="007C7CE1"/>
    <w:rsid w:val="007E178C"/>
    <w:rsid w:val="00811626"/>
    <w:rsid w:val="00813FC0"/>
    <w:rsid w:val="008336BE"/>
    <w:rsid w:val="008532E1"/>
    <w:rsid w:val="00891290"/>
    <w:rsid w:val="008A12BC"/>
    <w:rsid w:val="008E7445"/>
    <w:rsid w:val="008F697C"/>
    <w:rsid w:val="00932A26"/>
    <w:rsid w:val="00951306"/>
    <w:rsid w:val="00952EE3"/>
    <w:rsid w:val="00992249"/>
    <w:rsid w:val="009A6A60"/>
    <w:rsid w:val="009B1A95"/>
    <w:rsid w:val="009D7CCF"/>
    <w:rsid w:val="009E0D94"/>
    <w:rsid w:val="009E4BE3"/>
    <w:rsid w:val="009F1A01"/>
    <w:rsid w:val="00A00DA2"/>
    <w:rsid w:val="00A07207"/>
    <w:rsid w:val="00A1534B"/>
    <w:rsid w:val="00A1680F"/>
    <w:rsid w:val="00A35ABE"/>
    <w:rsid w:val="00A97DA1"/>
    <w:rsid w:val="00AC6636"/>
    <w:rsid w:val="00B41399"/>
    <w:rsid w:val="00B44549"/>
    <w:rsid w:val="00B5014C"/>
    <w:rsid w:val="00B50E1C"/>
    <w:rsid w:val="00B57119"/>
    <w:rsid w:val="00B60E2C"/>
    <w:rsid w:val="00BA696D"/>
    <w:rsid w:val="00BA6E74"/>
    <w:rsid w:val="00BB0AE6"/>
    <w:rsid w:val="00BD7ACF"/>
    <w:rsid w:val="00C1715B"/>
    <w:rsid w:val="00C24092"/>
    <w:rsid w:val="00C30B52"/>
    <w:rsid w:val="00C31C18"/>
    <w:rsid w:val="00C526D6"/>
    <w:rsid w:val="00C75BB0"/>
    <w:rsid w:val="00CC6241"/>
    <w:rsid w:val="00CF6A0C"/>
    <w:rsid w:val="00CF6A63"/>
    <w:rsid w:val="00D12FF3"/>
    <w:rsid w:val="00D700F8"/>
    <w:rsid w:val="00DB3C1A"/>
    <w:rsid w:val="00DD38EF"/>
    <w:rsid w:val="00E25D10"/>
    <w:rsid w:val="00E34207"/>
    <w:rsid w:val="00E74ABF"/>
    <w:rsid w:val="00EA3EA1"/>
    <w:rsid w:val="00ED73BE"/>
    <w:rsid w:val="00EE4624"/>
    <w:rsid w:val="00EF262D"/>
    <w:rsid w:val="00F13640"/>
    <w:rsid w:val="00F23F42"/>
    <w:rsid w:val="00F37923"/>
    <w:rsid w:val="00F415B9"/>
    <w:rsid w:val="00F43EF2"/>
    <w:rsid w:val="00F469DF"/>
    <w:rsid w:val="00F52E13"/>
    <w:rsid w:val="00F60CB9"/>
    <w:rsid w:val="00F83F55"/>
    <w:rsid w:val="00FA7312"/>
    <w:rsid w:val="00FD1B8E"/>
    <w:rsid w:val="00FD1F1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DE1D"/>
  <w15:docId w15:val="{4876DEF1-1BA0-4A60-8AA5-F2BA2C4A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ên Điều"/>
    <w:basedOn w:val="Normal"/>
    <w:next w:val="Normal"/>
    <w:link w:val="Heading1Char"/>
    <w:uiPriority w:val="9"/>
    <w:qFormat/>
    <w:rsid w:val="00C31C18"/>
    <w:pPr>
      <w:spacing w:before="120" w:after="120" w:line="240" w:lineRule="auto"/>
      <w:ind w:firstLine="720"/>
      <w:jc w:val="both"/>
      <w:outlineLvl w:val="0"/>
    </w:pPr>
    <w:rPr>
      <w:rFonts w:ascii="Times New Roman" w:eastAsia="Times New Roman" w:hAnsi="Times New Roman" w:cs="Times New Roman"/>
      <w:b/>
      <w:sz w:val="28"/>
      <w:szCs w:val="4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2E2"/>
    <w:pPr>
      <w:ind w:left="720"/>
      <w:contextualSpacing/>
    </w:pPr>
  </w:style>
  <w:style w:type="character" w:styleId="Hyperlink">
    <w:name w:val="Hyperlink"/>
    <w:basedOn w:val="DefaultParagraphFont"/>
    <w:uiPriority w:val="99"/>
    <w:unhideWhenUsed/>
    <w:rsid w:val="002A7E03"/>
    <w:rPr>
      <w:color w:val="0563C1" w:themeColor="hyperlink"/>
      <w:u w:val="single"/>
    </w:rPr>
  </w:style>
  <w:style w:type="character" w:customStyle="1" w:styleId="fontstyle01">
    <w:name w:val="fontstyle01"/>
    <w:basedOn w:val="DefaultParagraphFont"/>
    <w:rsid w:val="00E74ABF"/>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E74ABF"/>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8E74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445"/>
  </w:style>
  <w:style w:type="paragraph" w:styleId="Footer">
    <w:name w:val="footer"/>
    <w:basedOn w:val="Normal"/>
    <w:link w:val="FooterChar"/>
    <w:uiPriority w:val="99"/>
    <w:unhideWhenUsed/>
    <w:rsid w:val="008E74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445"/>
  </w:style>
  <w:style w:type="table" w:styleId="TableGrid">
    <w:name w:val="Table Grid"/>
    <w:basedOn w:val="TableNormal"/>
    <w:uiPriority w:val="59"/>
    <w:rsid w:val="00FD1F1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4D4808"/>
    <w:pPr>
      <w:spacing w:after="0" w:line="240" w:lineRule="auto"/>
      <w:ind w:right="-1"/>
    </w:pPr>
    <w:rPr>
      <w:rFonts w:ascii=".VnTime" w:eastAsia="Times New Roman" w:hAnsi=".VnTime" w:cs="Times New Roman"/>
      <w:sz w:val="28"/>
      <w:szCs w:val="24"/>
      <w:lang w:val="en-US"/>
    </w:rPr>
  </w:style>
  <w:style w:type="character" w:customStyle="1" w:styleId="BodyText2Char">
    <w:name w:val="Body Text 2 Char"/>
    <w:basedOn w:val="DefaultParagraphFont"/>
    <w:link w:val="BodyText2"/>
    <w:rsid w:val="004D4808"/>
    <w:rPr>
      <w:rFonts w:ascii=".VnTime" w:eastAsia="Times New Roman" w:hAnsi=".VnTime" w:cs="Times New Roman"/>
      <w:sz w:val="28"/>
      <w:szCs w:val="24"/>
      <w:lang w:val="en-US"/>
    </w:rPr>
  </w:style>
  <w:style w:type="character" w:customStyle="1" w:styleId="Heading1Char">
    <w:name w:val="Heading 1 Char"/>
    <w:basedOn w:val="DefaultParagraphFont"/>
    <w:link w:val="Heading1"/>
    <w:uiPriority w:val="9"/>
    <w:rsid w:val="00C31C18"/>
    <w:rPr>
      <w:rFonts w:ascii="Times New Roman" w:eastAsia="Times New Roman" w:hAnsi="Times New Roman" w:cs="Times New Roman"/>
      <w:b/>
      <w:sz w:val="28"/>
      <w:szCs w:val="48"/>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59969">
      <w:bodyDiv w:val="1"/>
      <w:marLeft w:val="0"/>
      <w:marRight w:val="0"/>
      <w:marTop w:val="0"/>
      <w:marBottom w:val="0"/>
      <w:divBdr>
        <w:top w:val="none" w:sz="0" w:space="0" w:color="auto"/>
        <w:left w:val="none" w:sz="0" w:space="0" w:color="auto"/>
        <w:bottom w:val="none" w:sz="0" w:space="0" w:color="auto"/>
        <w:right w:val="none" w:sz="0" w:space="0" w:color="auto"/>
      </w:divBdr>
      <w:divsChild>
        <w:div w:id="2133857900">
          <w:marLeft w:val="0"/>
          <w:marRight w:val="0"/>
          <w:marTop w:val="0"/>
          <w:marBottom w:val="0"/>
          <w:divBdr>
            <w:top w:val="none" w:sz="0" w:space="0" w:color="auto"/>
            <w:left w:val="none" w:sz="0" w:space="0" w:color="auto"/>
            <w:bottom w:val="none" w:sz="0" w:space="0" w:color="auto"/>
            <w:right w:val="none" w:sz="0" w:space="0" w:color="auto"/>
          </w:divBdr>
        </w:div>
        <w:div w:id="1289773515">
          <w:marLeft w:val="0"/>
          <w:marRight w:val="0"/>
          <w:marTop w:val="0"/>
          <w:marBottom w:val="0"/>
          <w:divBdr>
            <w:top w:val="none" w:sz="0" w:space="0" w:color="auto"/>
            <w:left w:val="none" w:sz="0" w:space="0" w:color="auto"/>
            <w:bottom w:val="none" w:sz="0" w:space="0" w:color="auto"/>
            <w:right w:val="none" w:sz="0" w:space="0" w:color="auto"/>
          </w:divBdr>
        </w:div>
        <w:div w:id="1251352715">
          <w:marLeft w:val="0"/>
          <w:marRight w:val="0"/>
          <w:marTop w:val="0"/>
          <w:marBottom w:val="0"/>
          <w:divBdr>
            <w:top w:val="none" w:sz="0" w:space="0" w:color="auto"/>
            <w:left w:val="none" w:sz="0" w:space="0" w:color="auto"/>
            <w:bottom w:val="none" w:sz="0" w:space="0" w:color="auto"/>
            <w:right w:val="none" w:sz="0" w:space="0" w:color="auto"/>
          </w:divBdr>
        </w:div>
        <w:div w:id="2079014349">
          <w:marLeft w:val="0"/>
          <w:marRight w:val="0"/>
          <w:marTop w:val="0"/>
          <w:marBottom w:val="0"/>
          <w:divBdr>
            <w:top w:val="none" w:sz="0" w:space="0" w:color="auto"/>
            <w:left w:val="none" w:sz="0" w:space="0" w:color="auto"/>
            <w:bottom w:val="none" w:sz="0" w:space="0" w:color="auto"/>
            <w:right w:val="none" w:sz="0" w:space="0" w:color="auto"/>
          </w:divBdr>
        </w:div>
      </w:divsChild>
    </w:div>
    <w:div w:id="1448305811">
      <w:bodyDiv w:val="1"/>
      <w:marLeft w:val="0"/>
      <w:marRight w:val="0"/>
      <w:marTop w:val="0"/>
      <w:marBottom w:val="0"/>
      <w:divBdr>
        <w:top w:val="none" w:sz="0" w:space="0" w:color="auto"/>
        <w:left w:val="none" w:sz="0" w:space="0" w:color="auto"/>
        <w:bottom w:val="none" w:sz="0" w:space="0" w:color="auto"/>
        <w:right w:val="none" w:sz="0" w:space="0" w:color="auto"/>
      </w:divBdr>
      <w:divsChild>
        <w:div w:id="1840192823">
          <w:marLeft w:val="0"/>
          <w:marRight w:val="0"/>
          <w:marTop w:val="0"/>
          <w:marBottom w:val="0"/>
          <w:divBdr>
            <w:top w:val="none" w:sz="0" w:space="0" w:color="auto"/>
            <w:left w:val="none" w:sz="0" w:space="0" w:color="auto"/>
            <w:bottom w:val="none" w:sz="0" w:space="0" w:color="auto"/>
            <w:right w:val="none" w:sz="0" w:space="0" w:color="auto"/>
          </w:divBdr>
          <w:divsChild>
            <w:div w:id="550000357">
              <w:marLeft w:val="0"/>
              <w:marRight w:val="0"/>
              <w:marTop w:val="0"/>
              <w:marBottom w:val="0"/>
              <w:divBdr>
                <w:top w:val="none" w:sz="0" w:space="0" w:color="auto"/>
                <w:left w:val="none" w:sz="0" w:space="0" w:color="auto"/>
                <w:bottom w:val="none" w:sz="0" w:space="0" w:color="auto"/>
                <w:right w:val="none" w:sz="0" w:space="0" w:color="auto"/>
              </w:divBdr>
            </w:div>
            <w:div w:id="564461907">
              <w:marLeft w:val="0"/>
              <w:marRight w:val="0"/>
              <w:marTop w:val="0"/>
              <w:marBottom w:val="0"/>
              <w:divBdr>
                <w:top w:val="none" w:sz="0" w:space="0" w:color="auto"/>
                <w:left w:val="none" w:sz="0" w:space="0" w:color="auto"/>
                <w:bottom w:val="none" w:sz="0" w:space="0" w:color="auto"/>
                <w:right w:val="none" w:sz="0" w:space="0" w:color="auto"/>
              </w:divBdr>
            </w:div>
            <w:div w:id="1120149715">
              <w:marLeft w:val="0"/>
              <w:marRight w:val="0"/>
              <w:marTop w:val="0"/>
              <w:marBottom w:val="0"/>
              <w:divBdr>
                <w:top w:val="none" w:sz="0" w:space="0" w:color="auto"/>
                <w:left w:val="none" w:sz="0" w:space="0" w:color="auto"/>
                <w:bottom w:val="none" w:sz="0" w:space="0" w:color="auto"/>
                <w:right w:val="none" w:sz="0" w:space="0" w:color="auto"/>
              </w:divBdr>
            </w:div>
            <w:div w:id="145458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Huu Dung</cp:lastModifiedBy>
  <cp:revision>3</cp:revision>
  <cp:lastPrinted>2022-11-29T04:20:00Z</cp:lastPrinted>
  <dcterms:created xsi:type="dcterms:W3CDTF">2025-03-13T21:39:00Z</dcterms:created>
  <dcterms:modified xsi:type="dcterms:W3CDTF">2025-03-13T22:45:00Z</dcterms:modified>
</cp:coreProperties>
</file>