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4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5670"/>
      </w:tblGrid>
      <w:tr w:rsidR="00DD3583" w:rsidRPr="00B74E65" w:rsidTr="00CC146A">
        <w:tc>
          <w:tcPr>
            <w:tcW w:w="3672" w:type="dxa"/>
          </w:tcPr>
          <w:p w:rsidR="00B7754A" w:rsidRPr="00B74E65" w:rsidRDefault="002D32AE" w:rsidP="00113942">
            <w:pPr>
              <w:jc w:val="center"/>
              <w:rPr>
                <w:rFonts w:asciiTheme="majorHAnsi" w:hAnsiTheme="majorHAnsi" w:cstheme="majorHAnsi"/>
                <w:color w:val="FF0000"/>
                <w:sz w:val="26"/>
                <w:szCs w:val="26"/>
              </w:rPr>
            </w:pPr>
            <w:r w:rsidRPr="00B74E65">
              <w:rPr>
                <w:rFonts w:ascii="Times New Roman" w:hAnsi="Times New Roman"/>
                <w:b/>
                <w:noProof/>
                <w:sz w:val="26"/>
                <w:szCs w:val="26"/>
              </w:rPr>
              <w:drawing>
                <wp:inline distT="0" distB="0" distL="0" distR="0">
                  <wp:extent cx="1685925" cy="419100"/>
                  <wp:effectExtent l="19050" t="0" r="9525" b="0"/>
                  <wp:docPr id="1" name="Picture 1" descr="Logo Sao Thai D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o Thai Duong"/>
                          <pic:cNvPicPr>
                            <a:picLocks noChangeAspect="1" noChangeArrowheads="1"/>
                          </pic:cNvPicPr>
                        </pic:nvPicPr>
                        <pic:blipFill>
                          <a:blip r:embed="rId8" cstate="print"/>
                          <a:srcRect/>
                          <a:stretch>
                            <a:fillRect/>
                          </a:stretch>
                        </pic:blipFill>
                        <pic:spPr bwMode="auto">
                          <a:xfrm>
                            <a:off x="0" y="0"/>
                            <a:ext cx="1685925" cy="419100"/>
                          </a:xfrm>
                          <a:prstGeom prst="rect">
                            <a:avLst/>
                          </a:prstGeom>
                          <a:noFill/>
                          <a:ln w="9525">
                            <a:noFill/>
                            <a:miter lim="800000"/>
                            <a:headEnd/>
                            <a:tailEnd/>
                          </a:ln>
                        </pic:spPr>
                      </pic:pic>
                    </a:graphicData>
                  </a:graphic>
                </wp:inline>
              </w:drawing>
            </w:r>
          </w:p>
          <w:p w:rsidR="00DD3583" w:rsidRPr="00B74E65" w:rsidRDefault="00DD3583" w:rsidP="008A47A6">
            <w:pPr>
              <w:spacing w:before="400" w:after="120"/>
              <w:jc w:val="center"/>
              <w:rPr>
                <w:rFonts w:asciiTheme="majorHAnsi" w:hAnsiTheme="majorHAnsi" w:cstheme="majorHAnsi"/>
                <w:color w:val="FF0000"/>
                <w:sz w:val="26"/>
                <w:szCs w:val="26"/>
              </w:rPr>
            </w:pPr>
            <w:r w:rsidRPr="00B74E65">
              <w:rPr>
                <w:rFonts w:asciiTheme="majorHAnsi" w:hAnsiTheme="majorHAnsi" w:cstheme="majorHAnsi"/>
                <w:color w:val="FF0000"/>
                <w:sz w:val="26"/>
                <w:szCs w:val="26"/>
              </w:rPr>
              <w:t>Số</w:t>
            </w:r>
            <w:r w:rsidR="00CC146A">
              <w:rPr>
                <w:rFonts w:asciiTheme="majorHAnsi" w:hAnsiTheme="majorHAnsi" w:cstheme="majorHAnsi"/>
                <w:color w:val="FF0000"/>
                <w:sz w:val="26"/>
                <w:szCs w:val="26"/>
              </w:rPr>
              <w:t xml:space="preserve"> …../STD-2025</w:t>
            </w:r>
          </w:p>
          <w:p w:rsidR="00DD3583" w:rsidRPr="00B74E65" w:rsidRDefault="00DD3583" w:rsidP="00CC146A">
            <w:pPr>
              <w:spacing w:after="120"/>
              <w:jc w:val="center"/>
              <w:rPr>
                <w:rFonts w:asciiTheme="majorHAnsi" w:hAnsiTheme="majorHAnsi" w:cstheme="majorHAnsi"/>
                <w:sz w:val="26"/>
                <w:szCs w:val="26"/>
              </w:rPr>
            </w:pPr>
            <w:r w:rsidRPr="00B74E65">
              <w:rPr>
                <w:rFonts w:asciiTheme="majorHAnsi" w:hAnsiTheme="majorHAnsi" w:cstheme="majorHAnsi"/>
                <w:i/>
                <w:color w:val="FF0000"/>
                <w:sz w:val="26"/>
                <w:szCs w:val="26"/>
              </w:rPr>
              <w:t xml:space="preserve">V/v </w:t>
            </w:r>
            <w:r w:rsidR="00B74E65" w:rsidRPr="00B74E65">
              <w:rPr>
                <w:rFonts w:asciiTheme="majorHAnsi" w:hAnsiTheme="majorHAnsi" w:cstheme="majorHAnsi"/>
                <w:i/>
                <w:color w:val="FF0000"/>
                <w:sz w:val="26"/>
                <w:szCs w:val="26"/>
              </w:rPr>
              <w:t>góp ý</w:t>
            </w:r>
            <w:r w:rsidR="00CC146A">
              <w:rPr>
                <w:rFonts w:asciiTheme="majorHAnsi" w:hAnsiTheme="majorHAnsi" w:cstheme="majorHAnsi"/>
                <w:i/>
                <w:color w:val="FF0000"/>
                <w:sz w:val="26"/>
                <w:szCs w:val="26"/>
              </w:rPr>
              <w:t xml:space="preserve"> dự thảo Nghị định hướng dẫn luật dược sử</w:t>
            </w:r>
            <w:r w:rsidR="00D27776">
              <w:rPr>
                <w:rFonts w:asciiTheme="majorHAnsi" w:hAnsiTheme="majorHAnsi" w:cstheme="majorHAnsi"/>
                <w:i/>
                <w:color w:val="FF0000"/>
                <w:sz w:val="26"/>
                <w:szCs w:val="26"/>
              </w:rPr>
              <w:t>a</w:t>
            </w:r>
            <w:r w:rsidR="00CC146A">
              <w:rPr>
                <w:rFonts w:asciiTheme="majorHAnsi" w:hAnsiTheme="majorHAnsi" w:cstheme="majorHAnsi"/>
                <w:i/>
                <w:color w:val="FF0000"/>
                <w:sz w:val="26"/>
                <w:szCs w:val="26"/>
              </w:rPr>
              <w:t xml:space="preserve"> đổi, bổ sung một số điều của Luật Dược</w:t>
            </w:r>
          </w:p>
        </w:tc>
        <w:tc>
          <w:tcPr>
            <w:tcW w:w="5670" w:type="dxa"/>
          </w:tcPr>
          <w:p w:rsidR="00DD3583" w:rsidRPr="00B74E65" w:rsidRDefault="00DD3583" w:rsidP="00113942">
            <w:pPr>
              <w:rPr>
                <w:rFonts w:asciiTheme="majorHAnsi" w:hAnsiTheme="majorHAnsi" w:cstheme="majorHAnsi"/>
                <w:b/>
                <w:sz w:val="26"/>
                <w:szCs w:val="26"/>
              </w:rPr>
            </w:pPr>
            <w:r w:rsidRPr="00B74E65">
              <w:rPr>
                <w:rFonts w:asciiTheme="majorHAnsi" w:hAnsiTheme="majorHAnsi" w:cstheme="majorHAnsi"/>
                <w:b/>
                <w:sz w:val="26"/>
                <w:szCs w:val="26"/>
              </w:rPr>
              <w:t>CỘNG HÒA XÃ HỘI CHỦ NGHĨA VIỆT NAM</w:t>
            </w:r>
          </w:p>
          <w:p w:rsidR="00DD3583" w:rsidRPr="00B74E65" w:rsidRDefault="00DD3583" w:rsidP="00113942">
            <w:pPr>
              <w:jc w:val="center"/>
              <w:rPr>
                <w:rFonts w:asciiTheme="majorHAnsi" w:hAnsiTheme="majorHAnsi" w:cstheme="majorHAnsi"/>
                <w:b/>
                <w:sz w:val="26"/>
                <w:szCs w:val="26"/>
              </w:rPr>
            </w:pPr>
            <w:r w:rsidRPr="00B74E65">
              <w:rPr>
                <w:rFonts w:asciiTheme="majorHAnsi" w:hAnsiTheme="majorHAnsi" w:cstheme="majorHAnsi"/>
                <w:b/>
                <w:sz w:val="26"/>
                <w:szCs w:val="26"/>
              </w:rPr>
              <w:t>Độc lập – Tự do – Hạnh phúc</w:t>
            </w:r>
          </w:p>
          <w:p w:rsidR="00DD3583" w:rsidRPr="00B74E65" w:rsidRDefault="007618AD" w:rsidP="00113942">
            <w:pPr>
              <w:jc w:val="center"/>
              <w:rPr>
                <w:rFonts w:asciiTheme="majorHAnsi" w:hAnsiTheme="majorHAnsi" w:cstheme="majorHAnsi"/>
                <w:i/>
                <w:sz w:val="26"/>
                <w:szCs w:val="26"/>
              </w:rPr>
            </w:pPr>
            <w:r w:rsidRPr="00B74E65">
              <w:rPr>
                <w:rFonts w:asciiTheme="majorHAnsi" w:hAnsiTheme="majorHAnsi" w:cstheme="majorHAnsi"/>
                <w:i/>
                <w:sz w:val="26"/>
                <w:szCs w:val="26"/>
              </w:rPr>
              <w:t>______________________</w:t>
            </w:r>
          </w:p>
          <w:p w:rsidR="00DD3583" w:rsidRPr="00B74E65" w:rsidRDefault="00DD3583" w:rsidP="00CC146A">
            <w:pPr>
              <w:spacing w:before="120"/>
              <w:jc w:val="center"/>
              <w:rPr>
                <w:rFonts w:asciiTheme="majorHAnsi" w:hAnsiTheme="majorHAnsi" w:cstheme="majorHAnsi"/>
                <w:i/>
                <w:sz w:val="26"/>
                <w:szCs w:val="26"/>
              </w:rPr>
            </w:pPr>
            <w:r w:rsidRPr="00B74E65">
              <w:rPr>
                <w:rFonts w:asciiTheme="majorHAnsi" w:hAnsiTheme="majorHAnsi" w:cstheme="majorHAnsi"/>
                <w:i/>
                <w:sz w:val="26"/>
                <w:szCs w:val="26"/>
              </w:rPr>
              <w:t xml:space="preserve">Hà Nội, ngày </w:t>
            </w:r>
            <w:r w:rsidR="00CC146A">
              <w:rPr>
                <w:rFonts w:asciiTheme="majorHAnsi" w:hAnsiTheme="majorHAnsi" w:cstheme="majorHAnsi"/>
                <w:i/>
                <w:sz w:val="26"/>
                <w:szCs w:val="26"/>
              </w:rPr>
              <w:t>17 tháng 02 năm 2025</w:t>
            </w:r>
          </w:p>
        </w:tc>
      </w:tr>
    </w:tbl>
    <w:p w:rsidR="006F77CC" w:rsidRDefault="006F77CC" w:rsidP="006F77CC">
      <w:pPr>
        <w:tabs>
          <w:tab w:val="left" w:pos="1418"/>
        </w:tabs>
        <w:spacing w:after="0" w:line="360" w:lineRule="auto"/>
        <w:jc w:val="both"/>
        <w:rPr>
          <w:rFonts w:asciiTheme="majorHAnsi" w:hAnsiTheme="majorHAnsi" w:cstheme="majorHAnsi"/>
          <w:i/>
          <w:sz w:val="28"/>
          <w:szCs w:val="28"/>
          <w:lang w:val="en-US"/>
        </w:rPr>
      </w:pPr>
    </w:p>
    <w:p w:rsidR="00170EA2" w:rsidRPr="00ED7D0A" w:rsidRDefault="006F77CC" w:rsidP="006F77CC">
      <w:pPr>
        <w:tabs>
          <w:tab w:val="left" w:pos="1418"/>
        </w:tabs>
        <w:spacing w:after="0" w:line="360" w:lineRule="auto"/>
        <w:jc w:val="both"/>
        <w:rPr>
          <w:rFonts w:asciiTheme="majorHAnsi" w:hAnsiTheme="majorHAnsi" w:cstheme="majorHAnsi"/>
          <w:sz w:val="26"/>
          <w:szCs w:val="26"/>
          <w:lang w:val="en-US"/>
        </w:rPr>
      </w:pPr>
      <w:r w:rsidRPr="00B74E65">
        <w:rPr>
          <w:rFonts w:asciiTheme="majorHAnsi" w:hAnsiTheme="majorHAnsi" w:cstheme="majorHAnsi"/>
          <w:i/>
          <w:sz w:val="26"/>
          <w:szCs w:val="26"/>
          <w:lang w:val="en-US"/>
        </w:rPr>
        <w:tab/>
      </w:r>
      <w:r w:rsidRPr="00B74E65">
        <w:rPr>
          <w:rFonts w:asciiTheme="majorHAnsi" w:hAnsiTheme="majorHAnsi" w:cstheme="majorHAnsi"/>
          <w:i/>
          <w:sz w:val="26"/>
          <w:szCs w:val="26"/>
          <w:lang w:val="en-US"/>
        </w:rPr>
        <w:tab/>
      </w:r>
      <w:r w:rsidR="00170EA2" w:rsidRPr="00B74E65">
        <w:rPr>
          <w:rFonts w:asciiTheme="majorHAnsi" w:hAnsiTheme="majorHAnsi" w:cstheme="majorHAnsi"/>
          <w:i/>
          <w:sz w:val="26"/>
          <w:szCs w:val="26"/>
        </w:rPr>
        <w:t>Kính gửi:</w:t>
      </w:r>
      <w:r w:rsidR="00F46748" w:rsidRPr="00B74E65">
        <w:rPr>
          <w:rFonts w:asciiTheme="majorHAnsi" w:hAnsiTheme="majorHAnsi" w:cstheme="majorHAnsi"/>
          <w:sz w:val="26"/>
          <w:szCs w:val="26"/>
        </w:rPr>
        <w:tab/>
      </w:r>
      <w:r w:rsidR="00D04FEB">
        <w:rPr>
          <w:rFonts w:asciiTheme="majorHAnsi" w:hAnsiTheme="majorHAnsi" w:cstheme="majorHAnsi"/>
          <w:sz w:val="26"/>
          <w:szCs w:val="26"/>
          <w:lang w:val="en-US"/>
        </w:rPr>
        <w:t>Liên Đoàn Thương Mại và Công Nghiệp Việt Nam (VCCI)</w:t>
      </w:r>
    </w:p>
    <w:p w:rsidR="003A7B79" w:rsidRPr="00B74E65" w:rsidRDefault="003A7B79" w:rsidP="006F77CC">
      <w:pPr>
        <w:spacing w:after="0"/>
        <w:ind w:firstLine="567"/>
        <w:jc w:val="both"/>
        <w:rPr>
          <w:rFonts w:asciiTheme="majorHAnsi" w:hAnsiTheme="majorHAnsi" w:cstheme="majorHAnsi"/>
          <w:sz w:val="26"/>
          <w:szCs w:val="26"/>
        </w:rPr>
      </w:pPr>
    </w:p>
    <w:p w:rsidR="00170EA2" w:rsidRPr="003C5B92" w:rsidRDefault="005E466D" w:rsidP="006F77CC">
      <w:pPr>
        <w:spacing w:after="0"/>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Công ty cổ phần Sao Thái Dương xin trân trọng gửi lời chào tới </w:t>
      </w:r>
      <w:r w:rsidR="00D27776">
        <w:rPr>
          <w:rFonts w:asciiTheme="majorHAnsi" w:hAnsiTheme="majorHAnsi" w:cstheme="majorHAnsi"/>
          <w:sz w:val="26"/>
          <w:szCs w:val="26"/>
          <w:lang w:val="en-US"/>
        </w:rPr>
        <w:t>Liên Đoàn Thương Mại và Công Nghiệp Việt Nam (VCCI)</w:t>
      </w:r>
      <w:r>
        <w:rPr>
          <w:rFonts w:asciiTheme="majorHAnsi" w:hAnsiTheme="majorHAnsi" w:cstheme="majorHAnsi"/>
          <w:sz w:val="26"/>
          <w:szCs w:val="26"/>
          <w:lang w:val="en-US"/>
        </w:rPr>
        <w:t xml:space="preserve">. </w:t>
      </w:r>
      <w:r w:rsidR="00170EA2" w:rsidRPr="00B74E65">
        <w:rPr>
          <w:rFonts w:asciiTheme="majorHAnsi" w:hAnsiTheme="majorHAnsi" w:cstheme="majorHAnsi"/>
          <w:sz w:val="26"/>
          <w:szCs w:val="26"/>
        </w:rPr>
        <w:t>Công ty cổ phần Sao Thái Dương</w:t>
      </w:r>
      <w:r w:rsidR="00877D77" w:rsidRPr="00B74E65">
        <w:rPr>
          <w:rFonts w:asciiTheme="majorHAnsi" w:hAnsiTheme="majorHAnsi" w:cstheme="majorHAnsi"/>
          <w:sz w:val="26"/>
          <w:szCs w:val="26"/>
          <w:lang w:val="en-US"/>
        </w:rPr>
        <w:t xml:space="preserve"> </w:t>
      </w:r>
      <w:r w:rsidR="00D27776">
        <w:rPr>
          <w:rFonts w:asciiTheme="majorHAnsi" w:hAnsiTheme="majorHAnsi" w:cstheme="majorHAnsi"/>
          <w:sz w:val="26"/>
          <w:szCs w:val="26"/>
          <w:lang w:val="en-US"/>
        </w:rPr>
        <w:t>xin chân thành cảm ơn sự hỗ trợ của Liên Đoàn Thương Mại và Công Nghiệp Việt Nam trong thời gian qua. Là một doanh nghiệp khoa học công nghệ trong lĩnh vực sản xuất, kinh doanh Dược tại Việt Nam, bằng công văn này, chúng tôi xin có ý kiến được góp ý vào dự thảo nghị định hướng dẫn luật dược sửa đổi, bổ sung một số điều của Luật Dượ</w:t>
      </w:r>
      <w:r w:rsidR="00E93F8B">
        <w:rPr>
          <w:rFonts w:asciiTheme="majorHAnsi" w:hAnsiTheme="majorHAnsi" w:cstheme="majorHAnsi"/>
          <w:sz w:val="26"/>
          <w:szCs w:val="26"/>
          <w:lang w:val="en-US"/>
        </w:rPr>
        <w:t>c về vấn đề nghiên cứu, sản xuất, đăng ký lưu hành, quảng cáo của thuốc công nghệ tế bào và công nghệ gen.</w:t>
      </w:r>
    </w:p>
    <w:p w:rsidR="00110A2C" w:rsidRDefault="003C5B92" w:rsidP="00CB0009">
      <w:pPr>
        <w:spacing w:before="240" w:after="240"/>
        <w:ind w:firstLine="562"/>
        <w:jc w:val="both"/>
        <w:rPr>
          <w:rFonts w:asciiTheme="majorHAnsi" w:hAnsiTheme="majorHAnsi" w:cstheme="majorHAnsi"/>
          <w:sz w:val="26"/>
          <w:szCs w:val="26"/>
          <w:lang w:val="en-US"/>
        </w:rPr>
      </w:pPr>
      <w:r>
        <w:rPr>
          <w:rFonts w:asciiTheme="majorHAnsi" w:hAnsiTheme="majorHAnsi" w:cstheme="majorHAnsi"/>
          <w:sz w:val="26"/>
          <w:szCs w:val="26"/>
          <w:lang w:val="en-US"/>
        </w:rPr>
        <w:t>Hiện nay</w:t>
      </w:r>
      <w:r w:rsidR="00FF3B1D">
        <w:rPr>
          <w:rFonts w:asciiTheme="majorHAnsi" w:hAnsiTheme="majorHAnsi" w:cstheme="majorHAnsi"/>
          <w:sz w:val="26"/>
          <w:szCs w:val="26"/>
          <w:lang w:val="en-US"/>
        </w:rPr>
        <w:t xml:space="preserve"> lĩnh vực nghiên cứu phát triển</w:t>
      </w:r>
      <w:r w:rsidR="009835BA">
        <w:rPr>
          <w:rFonts w:asciiTheme="majorHAnsi" w:hAnsiTheme="majorHAnsi" w:cstheme="majorHAnsi"/>
          <w:sz w:val="26"/>
          <w:szCs w:val="26"/>
          <w:lang w:val="en-US"/>
        </w:rPr>
        <w:t xml:space="preserve"> thuốc từ công nghệ</w:t>
      </w:r>
      <w:r w:rsidR="00FF3B1D">
        <w:rPr>
          <w:rFonts w:asciiTheme="majorHAnsi" w:hAnsiTheme="majorHAnsi" w:cstheme="majorHAnsi"/>
          <w:sz w:val="26"/>
          <w:szCs w:val="26"/>
          <w:lang w:val="en-US"/>
        </w:rPr>
        <w:t xml:space="preserve"> tế bào và gen đang phát triển trên thế giới với tốc độ</w:t>
      </w:r>
      <w:r w:rsidR="00110A2C">
        <w:rPr>
          <w:rFonts w:asciiTheme="majorHAnsi" w:hAnsiTheme="majorHAnsi" w:cstheme="majorHAnsi"/>
          <w:sz w:val="26"/>
          <w:szCs w:val="26"/>
          <w:lang w:val="en-US"/>
        </w:rPr>
        <w:t xml:space="preserve"> nhanh chóng với rất nhiều sản phẩm đang được nghiên cứu và có những sản phẩm đã được cấp phép lưu hành. Các cơ quan quản lý Dược các nước Mỹ, Châu Âu hay gần trong khu vực ASEAN là </w:t>
      </w:r>
      <w:r w:rsidR="00831DBC">
        <w:rPr>
          <w:rFonts w:asciiTheme="majorHAnsi" w:hAnsiTheme="majorHAnsi" w:cstheme="majorHAnsi"/>
          <w:sz w:val="26"/>
          <w:szCs w:val="26"/>
          <w:lang w:val="en-US"/>
        </w:rPr>
        <w:t xml:space="preserve">Singapore, </w:t>
      </w:r>
      <w:r w:rsidR="00110A2C">
        <w:rPr>
          <w:rFonts w:asciiTheme="majorHAnsi" w:hAnsiTheme="majorHAnsi" w:cstheme="majorHAnsi"/>
          <w:sz w:val="26"/>
          <w:szCs w:val="26"/>
          <w:lang w:val="en-US"/>
        </w:rPr>
        <w:t>Malaysia đã đưa ra những quy định</w:t>
      </w:r>
      <w:r w:rsidR="0005400A">
        <w:rPr>
          <w:rFonts w:asciiTheme="majorHAnsi" w:hAnsiTheme="majorHAnsi" w:cstheme="majorHAnsi"/>
          <w:sz w:val="26"/>
          <w:szCs w:val="26"/>
          <w:lang w:val="en-US"/>
        </w:rPr>
        <w:t>, hướng dẫn</w:t>
      </w:r>
      <w:r w:rsidR="009D4AED">
        <w:rPr>
          <w:rFonts w:asciiTheme="majorHAnsi" w:hAnsiTheme="majorHAnsi" w:cstheme="majorHAnsi"/>
          <w:sz w:val="26"/>
          <w:szCs w:val="26"/>
          <w:lang w:val="en-US"/>
        </w:rPr>
        <w:t xml:space="preserve"> riêng</w:t>
      </w:r>
      <w:r w:rsidR="00733296">
        <w:rPr>
          <w:rFonts w:asciiTheme="majorHAnsi" w:hAnsiTheme="majorHAnsi" w:cstheme="majorHAnsi"/>
          <w:sz w:val="26"/>
          <w:szCs w:val="26"/>
          <w:lang w:val="en-US"/>
        </w:rPr>
        <w:t xml:space="preserve"> đặc thù</w:t>
      </w:r>
      <w:r w:rsidR="00110A2C">
        <w:rPr>
          <w:rFonts w:asciiTheme="majorHAnsi" w:hAnsiTheme="majorHAnsi" w:cstheme="majorHAnsi"/>
          <w:sz w:val="26"/>
          <w:szCs w:val="26"/>
          <w:lang w:val="en-US"/>
        </w:rPr>
        <w:t xml:space="preserve"> cho việc nghiên cứu, thử nghiệm, cấp phép lưu hành các thuốc </w:t>
      </w:r>
      <w:r w:rsidR="00733296">
        <w:rPr>
          <w:rFonts w:asciiTheme="majorHAnsi" w:hAnsiTheme="majorHAnsi" w:cstheme="majorHAnsi"/>
          <w:sz w:val="26"/>
          <w:szCs w:val="26"/>
          <w:lang w:val="en-US"/>
        </w:rPr>
        <w:t>công nghệ tế bào và công nghệ gen</w:t>
      </w:r>
      <w:r w:rsidR="00110A2C">
        <w:rPr>
          <w:rFonts w:asciiTheme="majorHAnsi" w:hAnsiTheme="majorHAnsi" w:cstheme="majorHAnsi"/>
          <w:sz w:val="26"/>
          <w:szCs w:val="26"/>
          <w:lang w:val="en-US"/>
        </w:rPr>
        <w:t>.</w:t>
      </w:r>
    </w:p>
    <w:p w:rsidR="001C4B7B" w:rsidRDefault="008A6E4C" w:rsidP="00CB0009">
      <w:pPr>
        <w:spacing w:before="240" w:after="240"/>
        <w:ind w:firstLine="562"/>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Tại Việt Nam, </w:t>
      </w:r>
      <w:r w:rsidR="00E72615">
        <w:rPr>
          <w:rFonts w:asciiTheme="majorHAnsi" w:hAnsiTheme="majorHAnsi" w:cstheme="majorHAnsi"/>
          <w:sz w:val="26"/>
          <w:szCs w:val="26"/>
          <w:lang w:val="en-US"/>
        </w:rPr>
        <w:t xml:space="preserve">ngày </w:t>
      </w:r>
      <w:r w:rsidR="00824731">
        <w:rPr>
          <w:rFonts w:asciiTheme="majorHAnsi" w:hAnsiTheme="majorHAnsi" w:cstheme="majorHAnsi"/>
          <w:sz w:val="26"/>
          <w:szCs w:val="26"/>
          <w:lang w:val="en-US"/>
        </w:rPr>
        <w:t>30/01/2023</w:t>
      </w:r>
      <w:r w:rsidR="00E72615">
        <w:rPr>
          <w:rFonts w:asciiTheme="majorHAnsi" w:hAnsiTheme="majorHAnsi" w:cstheme="majorHAnsi"/>
          <w:sz w:val="26"/>
          <w:szCs w:val="26"/>
          <w:lang w:val="en-US"/>
        </w:rPr>
        <w:t xml:space="preserve">, Ban chấp hành Trung Ương đã ra nghị quyết số 36 – NQ/TW của Bộ Chính Trị về phát triển và ứng dụng công nghệ sinh học phục vụ phát triển bền vững đất nước trong tình hình mới và </w:t>
      </w:r>
      <w:r w:rsidR="00824731">
        <w:rPr>
          <w:rFonts w:asciiTheme="majorHAnsi" w:hAnsiTheme="majorHAnsi" w:cstheme="majorHAnsi"/>
          <w:sz w:val="26"/>
          <w:szCs w:val="26"/>
          <w:lang w:val="en-US"/>
        </w:rPr>
        <w:t>gần đây nhất ngày 22/12/2024,</w:t>
      </w:r>
      <w:r w:rsidR="00824731" w:rsidRPr="00824731">
        <w:t xml:space="preserve"> </w:t>
      </w:r>
      <w:r w:rsidR="00824731" w:rsidRPr="00824731">
        <w:rPr>
          <w:rFonts w:asciiTheme="majorHAnsi" w:hAnsiTheme="majorHAnsi" w:cstheme="majorHAnsi"/>
          <w:sz w:val="26"/>
          <w:szCs w:val="26"/>
          <w:lang w:val="en-US"/>
        </w:rPr>
        <w:t>Tổng Bí thư Tô Lâm đã ký ban hành Nghị quyết số 57-NQ/TW của Bộ Chính trị về đột phá phát triển khoa học, công nghệ, đổi mới sáng tạo và chuyển đổi số quốc gia</w:t>
      </w:r>
      <w:r w:rsidR="00824731">
        <w:rPr>
          <w:rFonts w:asciiTheme="majorHAnsi" w:hAnsiTheme="majorHAnsi" w:cstheme="majorHAnsi"/>
          <w:sz w:val="26"/>
          <w:szCs w:val="26"/>
          <w:lang w:val="en-US"/>
        </w:rPr>
        <w:t xml:space="preserve">. Điều này cho thấy </w:t>
      </w:r>
      <w:r w:rsidR="00DA582E">
        <w:rPr>
          <w:rFonts w:asciiTheme="majorHAnsi" w:hAnsiTheme="majorHAnsi" w:cstheme="majorHAnsi"/>
          <w:sz w:val="26"/>
          <w:szCs w:val="26"/>
          <w:lang w:val="en-US"/>
        </w:rPr>
        <w:t xml:space="preserve">sự quan tâm và định hướng đúng đắn của chính phủ trong việc phát triển công nghệ sinh học trong kỷ nguyên vươn mình trong đó có ứng dụng chăm sóc sức khỏe người dân. </w:t>
      </w:r>
      <w:r w:rsidR="00B64BF1">
        <w:rPr>
          <w:rFonts w:asciiTheme="majorHAnsi" w:hAnsiTheme="majorHAnsi" w:cstheme="majorHAnsi"/>
          <w:sz w:val="26"/>
          <w:szCs w:val="26"/>
          <w:lang w:val="en-US"/>
        </w:rPr>
        <w:t>Trên thực tế, nhu cầu chăm sóc sức khỏe của người dân Việt Nam đối với các sản phẩm y tế từ liệu pháp tế bào, gen, tế bào gốc, exosome rất lớn và hiện giờ rất nhiều người phải ra nước ngoài để thực hiện các kỹ thuật và dùng các sản phẩm này. Nhiều nhà đầu tư</w:t>
      </w:r>
      <w:r w:rsidR="00675E96">
        <w:rPr>
          <w:rFonts w:asciiTheme="majorHAnsi" w:hAnsiTheme="majorHAnsi" w:cstheme="majorHAnsi"/>
          <w:sz w:val="26"/>
          <w:szCs w:val="26"/>
          <w:lang w:val="en-US"/>
        </w:rPr>
        <w:t xml:space="preserve"> trong và ngoài nước</w:t>
      </w:r>
      <w:r w:rsidR="00B64BF1">
        <w:rPr>
          <w:rFonts w:asciiTheme="majorHAnsi" w:hAnsiTheme="majorHAnsi" w:cstheme="majorHAnsi"/>
          <w:sz w:val="26"/>
          <w:szCs w:val="26"/>
          <w:lang w:val="en-US"/>
        </w:rPr>
        <w:t>, nhà nghiên cứu, sản xuất cũng có nhu cầu nghiên cứu phát triển những sản phẩm này</w:t>
      </w:r>
      <w:r w:rsidR="00675E96">
        <w:rPr>
          <w:rFonts w:asciiTheme="majorHAnsi" w:hAnsiTheme="majorHAnsi" w:cstheme="majorHAnsi"/>
          <w:sz w:val="26"/>
          <w:szCs w:val="26"/>
          <w:lang w:val="en-US"/>
        </w:rPr>
        <w:t xml:space="preserve"> tại Việt Nam</w:t>
      </w:r>
      <w:r w:rsidR="00B64BF1">
        <w:rPr>
          <w:rFonts w:asciiTheme="majorHAnsi" w:hAnsiTheme="majorHAnsi" w:cstheme="majorHAnsi"/>
          <w:sz w:val="26"/>
          <w:szCs w:val="26"/>
          <w:lang w:val="en-US"/>
        </w:rPr>
        <w:t xml:space="preserve"> tuy nhiên lại </w:t>
      </w:r>
      <w:r w:rsidR="00675E96">
        <w:rPr>
          <w:rFonts w:asciiTheme="majorHAnsi" w:hAnsiTheme="majorHAnsi" w:cstheme="majorHAnsi"/>
          <w:sz w:val="26"/>
          <w:szCs w:val="26"/>
          <w:lang w:val="en-US"/>
        </w:rPr>
        <w:t>chưa có</w:t>
      </w:r>
      <w:r w:rsidR="00B64BF1">
        <w:rPr>
          <w:rFonts w:asciiTheme="majorHAnsi" w:hAnsiTheme="majorHAnsi" w:cstheme="majorHAnsi"/>
          <w:sz w:val="26"/>
          <w:szCs w:val="26"/>
          <w:lang w:val="en-US"/>
        </w:rPr>
        <w:t xml:space="preserve"> quy định, hướng dẫn cụ thể trong các văn bản quản lý Dược.</w:t>
      </w:r>
    </w:p>
    <w:p w:rsidR="00985E9D" w:rsidRDefault="00985E9D" w:rsidP="00110A2C">
      <w:pPr>
        <w:spacing w:before="480"/>
        <w:ind w:firstLine="567"/>
        <w:jc w:val="both"/>
        <w:rPr>
          <w:rFonts w:asciiTheme="majorHAnsi" w:hAnsiTheme="majorHAnsi" w:cstheme="majorHAnsi"/>
          <w:sz w:val="26"/>
          <w:szCs w:val="26"/>
          <w:lang w:val="en-US"/>
        </w:rPr>
      </w:pPr>
    </w:p>
    <w:p w:rsidR="00985E9D" w:rsidRDefault="00985E9D" w:rsidP="00CB0009">
      <w:pPr>
        <w:spacing w:before="240" w:after="240"/>
        <w:ind w:firstLine="562"/>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Chính vì vậy, </w:t>
      </w:r>
      <w:r w:rsidR="007D7A35">
        <w:rPr>
          <w:rFonts w:asciiTheme="majorHAnsi" w:hAnsiTheme="majorHAnsi" w:cstheme="majorHAnsi"/>
          <w:sz w:val="26"/>
          <w:szCs w:val="26"/>
          <w:lang w:val="en-US"/>
        </w:rPr>
        <w:t xml:space="preserve">cần thiết phải có </w:t>
      </w:r>
      <w:r w:rsidR="00A73C22">
        <w:rPr>
          <w:rFonts w:asciiTheme="majorHAnsi" w:hAnsiTheme="majorHAnsi" w:cstheme="majorHAnsi"/>
          <w:sz w:val="26"/>
          <w:szCs w:val="26"/>
          <w:lang w:val="en-US"/>
        </w:rPr>
        <w:t xml:space="preserve">quy định </w:t>
      </w:r>
      <w:r w:rsidR="00675E96">
        <w:rPr>
          <w:rFonts w:asciiTheme="majorHAnsi" w:hAnsiTheme="majorHAnsi" w:cstheme="majorHAnsi"/>
          <w:sz w:val="26"/>
          <w:szCs w:val="26"/>
          <w:lang w:val="en-US"/>
        </w:rPr>
        <w:t>tạo hành lang pháp lý để việc nghiên cứu phát triển, sản xuất, xuất nhập khẩu, kinh doanh, quảng cáo các thuốc từ công nghệ tế bào, công nghệ gen có thể triển khai và ứng dụng trong lĩnh vực y tế. Tại dự thảo Nghị định hướng dẫn luật dược sửa đổi, bổ sung mốt số điều của Luật Dược này chúng tôi xin có ý kiến bổ sung các ý về vấn đề này như sau:</w:t>
      </w:r>
    </w:p>
    <w:p w:rsidR="003329B8" w:rsidRDefault="001C4B7B" w:rsidP="00CB0009">
      <w:pPr>
        <w:spacing w:before="240" w:after="240"/>
        <w:ind w:firstLine="562"/>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1. </w:t>
      </w:r>
      <w:r w:rsidR="00675E96">
        <w:rPr>
          <w:rFonts w:asciiTheme="majorHAnsi" w:hAnsiTheme="majorHAnsi" w:cstheme="majorHAnsi"/>
          <w:sz w:val="26"/>
          <w:szCs w:val="26"/>
          <w:lang w:val="en-US"/>
        </w:rPr>
        <w:t>Bổ sung mục 8 vào chương I, điều 2 của Nghị Định:</w:t>
      </w:r>
    </w:p>
    <w:p w:rsidR="00675E96" w:rsidRDefault="00675E96" w:rsidP="00CB0009">
      <w:pPr>
        <w:spacing w:before="240" w:after="240"/>
        <w:ind w:firstLine="562"/>
        <w:jc w:val="both"/>
        <w:rPr>
          <w:rFonts w:asciiTheme="majorHAnsi" w:hAnsiTheme="majorHAnsi" w:cstheme="majorHAnsi"/>
          <w:i/>
          <w:sz w:val="26"/>
          <w:szCs w:val="26"/>
          <w:lang w:val="en-US"/>
        </w:rPr>
      </w:pPr>
      <w:r w:rsidRPr="00675E96">
        <w:rPr>
          <w:rFonts w:asciiTheme="majorHAnsi" w:hAnsiTheme="majorHAnsi" w:cstheme="majorHAnsi"/>
          <w:i/>
          <w:sz w:val="26"/>
          <w:szCs w:val="26"/>
          <w:lang w:val="en-US"/>
        </w:rPr>
        <w:t>“8</w:t>
      </w:r>
      <w:r>
        <w:rPr>
          <w:rFonts w:asciiTheme="majorHAnsi" w:hAnsiTheme="majorHAnsi" w:cstheme="majorHAnsi"/>
          <w:i/>
          <w:sz w:val="26"/>
          <w:szCs w:val="26"/>
          <w:lang w:val="en-US"/>
        </w:rPr>
        <w:t>. Thuốc</w:t>
      </w:r>
      <w:r w:rsidR="00505F3E">
        <w:rPr>
          <w:rFonts w:asciiTheme="majorHAnsi" w:hAnsiTheme="majorHAnsi" w:cstheme="majorHAnsi"/>
          <w:i/>
          <w:sz w:val="26"/>
          <w:szCs w:val="26"/>
          <w:lang w:val="en-US"/>
        </w:rPr>
        <w:t xml:space="preserve"> từ</w:t>
      </w:r>
      <w:r>
        <w:rPr>
          <w:rFonts w:asciiTheme="majorHAnsi" w:hAnsiTheme="majorHAnsi" w:cstheme="majorHAnsi"/>
          <w:i/>
          <w:sz w:val="26"/>
          <w:szCs w:val="26"/>
          <w:lang w:val="en-US"/>
        </w:rPr>
        <w:t xml:space="preserve"> công nghệ tế bào và gen là sinh phẩm được sản xuất từ công nghệ tế bào và công nghệ gen bao gồm tế bào</w:t>
      </w:r>
      <w:r w:rsidR="00261676">
        <w:rPr>
          <w:rFonts w:asciiTheme="majorHAnsi" w:hAnsiTheme="majorHAnsi" w:cstheme="majorHAnsi"/>
          <w:i/>
          <w:sz w:val="26"/>
          <w:szCs w:val="26"/>
          <w:lang w:val="en-US"/>
        </w:rPr>
        <w:t xml:space="preserve"> miễn dịch,</w:t>
      </w:r>
      <w:r>
        <w:rPr>
          <w:rFonts w:asciiTheme="majorHAnsi" w:hAnsiTheme="majorHAnsi" w:cstheme="majorHAnsi"/>
          <w:i/>
          <w:sz w:val="26"/>
          <w:szCs w:val="26"/>
          <w:lang w:val="en-US"/>
        </w:rPr>
        <w:t xml:space="preserve"> gốc tự thân hoặc đồng loại</w:t>
      </w:r>
      <w:r w:rsidR="00261676">
        <w:rPr>
          <w:rFonts w:asciiTheme="majorHAnsi" w:hAnsiTheme="majorHAnsi" w:cstheme="majorHAnsi"/>
          <w:i/>
          <w:sz w:val="26"/>
          <w:szCs w:val="26"/>
          <w:lang w:val="en-US"/>
        </w:rPr>
        <w:t xml:space="preserve"> từ máu và phôi</w:t>
      </w:r>
      <w:r w:rsidR="004D796C">
        <w:rPr>
          <w:rFonts w:asciiTheme="majorHAnsi" w:hAnsiTheme="majorHAnsi" w:cstheme="majorHAnsi"/>
          <w:i/>
          <w:sz w:val="26"/>
          <w:szCs w:val="26"/>
          <w:lang w:val="en-US"/>
        </w:rPr>
        <w:t>, exosome</w:t>
      </w:r>
      <w:r w:rsidR="00261676">
        <w:rPr>
          <w:rFonts w:asciiTheme="majorHAnsi" w:hAnsiTheme="majorHAnsi" w:cstheme="majorHAnsi"/>
          <w:i/>
          <w:sz w:val="26"/>
          <w:szCs w:val="26"/>
          <w:lang w:val="en-US"/>
        </w:rPr>
        <w:t>”</w:t>
      </w:r>
      <w:r w:rsidR="004D796C">
        <w:rPr>
          <w:rFonts w:asciiTheme="majorHAnsi" w:hAnsiTheme="majorHAnsi" w:cstheme="majorHAnsi"/>
          <w:i/>
          <w:sz w:val="26"/>
          <w:szCs w:val="26"/>
          <w:lang w:val="en-US"/>
        </w:rPr>
        <w:t>.</w:t>
      </w:r>
    </w:p>
    <w:p w:rsidR="00261676" w:rsidRDefault="00261676" w:rsidP="00CB0009">
      <w:pPr>
        <w:spacing w:before="240" w:after="240"/>
        <w:ind w:firstLine="562"/>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2. Bổ sung tên gọi Chương V của Nghị định và </w:t>
      </w:r>
      <w:r w:rsidR="005210C5">
        <w:rPr>
          <w:rFonts w:asciiTheme="majorHAnsi" w:hAnsiTheme="majorHAnsi" w:cstheme="majorHAnsi"/>
          <w:sz w:val="26"/>
          <w:szCs w:val="26"/>
          <w:lang w:val="en-US"/>
        </w:rPr>
        <w:t xml:space="preserve">bổ sung điều </w:t>
      </w:r>
      <w:r>
        <w:rPr>
          <w:rFonts w:asciiTheme="majorHAnsi" w:hAnsiTheme="majorHAnsi" w:cstheme="majorHAnsi"/>
          <w:sz w:val="26"/>
          <w:szCs w:val="26"/>
          <w:lang w:val="en-US"/>
        </w:rPr>
        <w:t xml:space="preserve"> trong chương này quy định về thuốc</w:t>
      </w:r>
      <w:r w:rsidR="00505F3E">
        <w:rPr>
          <w:rFonts w:asciiTheme="majorHAnsi" w:hAnsiTheme="majorHAnsi" w:cstheme="majorHAnsi"/>
          <w:sz w:val="26"/>
          <w:szCs w:val="26"/>
          <w:lang w:val="en-US"/>
        </w:rPr>
        <w:t xml:space="preserve"> từ</w:t>
      </w:r>
      <w:r>
        <w:rPr>
          <w:rFonts w:asciiTheme="majorHAnsi" w:hAnsiTheme="majorHAnsi" w:cstheme="majorHAnsi"/>
          <w:sz w:val="26"/>
          <w:szCs w:val="26"/>
          <w:lang w:val="en-US"/>
        </w:rPr>
        <w:t xml:space="preserve"> công nghệ tế bào và gen:</w:t>
      </w:r>
    </w:p>
    <w:p w:rsidR="00261676" w:rsidRDefault="00261676" w:rsidP="00CB0009">
      <w:pPr>
        <w:spacing w:before="240" w:after="240"/>
        <w:ind w:firstLine="562"/>
        <w:jc w:val="both"/>
        <w:rPr>
          <w:rFonts w:asciiTheme="majorHAnsi" w:hAnsiTheme="majorHAnsi" w:cstheme="majorHAnsi"/>
          <w:i/>
          <w:sz w:val="26"/>
          <w:szCs w:val="26"/>
          <w:lang w:val="en-US"/>
        </w:rPr>
      </w:pPr>
      <w:r>
        <w:rPr>
          <w:rFonts w:asciiTheme="majorHAnsi" w:hAnsiTheme="majorHAnsi" w:cstheme="majorHAnsi"/>
          <w:i/>
          <w:sz w:val="26"/>
          <w:szCs w:val="26"/>
          <w:lang w:val="en-US"/>
        </w:rPr>
        <w:t xml:space="preserve">“CHƯƠNG V: </w:t>
      </w:r>
      <w:r w:rsidRPr="00261676">
        <w:rPr>
          <w:rFonts w:asciiTheme="majorHAnsi" w:hAnsiTheme="majorHAnsi" w:cstheme="majorHAnsi"/>
          <w:i/>
          <w:sz w:val="26"/>
          <w:szCs w:val="26"/>
          <w:lang w:val="en-US"/>
        </w:rPr>
        <w:t>ĐĂNG KÝ LƯU HÀNH DƯỢC LIỆU, TÁ DƯỢC, VỎ NANG,</w:t>
      </w:r>
      <w:r>
        <w:rPr>
          <w:rFonts w:asciiTheme="majorHAnsi" w:hAnsiTheme="majorHAnsi" w:cstheme="majorHAnsi"/>
          <w:i/>
          <w:sz w:val="26"/>
          <w:szCs w:val="26"/>
          <w:lang w:val="en-US"/>
        </w:rPr>
        <w:t xml:space="preserve"> </w:t>
      </w:r>
      <w:r w:rsidRPr="00261676">
        <w:rPr>
          <w:rFonts w:asciiTheme="majorHAnsi" w:hAnsiTheme="majorHAnsi" w:cstheme="majorHAnsi"/>
          <w:i/>
          <w:color w:val="FF0000"/>
          <w:sz w:val="26"/>
          <w:szCs w:val="26"/>
          <w:lang w:val="en-US"/>
        </w:rPr>
        <w:t xml:space="preserve">THUỐC </w:t>
      </w:r>
      <w:r w:rsidR="000626D8">
        <w:rPr>
          <w:rFonts w:asciiTheme="majorHAnsi" w:hAnsiTheme="majorHAnsi" w:cstheme="majorHAnsi"/>
          <w:i/>
          <w:color w:val="FF0000"/>
          <w:sz w:val="26"/>
          <w:szCs w:val="26"/>
          <w:lang w:val="en-US"/>
        </w:rPr>
        <w:t xml:space="preserve">TỪ </w:t>
      </w:r>
      <w:r w:rsidRPr="00261676">
        <w:rPr>
          <w:rFonts w:asciiTheme="majorHAnsi" w:hAnsiTheme="majorHAnsi" w:cstheme="majorHAnsi"/>
          <w:i/>
          <w:color w:val="FF0000"/>
          <w:sz w:val="26"/>
          <w:szCs w:val="26"/>
          <w:lang w:val="en-US"/>
        </w:rPr>
        <w:t>CÔNG NGHỆ TẾ BÀO VÀ GEN</w:t>
      </w:r>
      <w:r>
        <w:rPr>
          <w:rFonts w:asciiTheme="majorHAnsi" w:hAnsiTheme="majorHAnsi" w:cstheme="majorHAnsi"/>
          <w:i/>
          <w:sz w:val="26"/>
          <w:szCs w:val="26"/>
          <w:lang w:val="en-US"/>
        </w:rPr>
        <w:t>,</w:t>
      </w:r>
      <w:r w:rsidRPr="00261676">
        <w:rPr>
          <w:rFonts w:asciiTheme="majorHAnsi" w:hAnsiTheme="majorHAnsi" w:cstheme="majorHAnsi"/>
          <w:i/>
          <w:sz w:val="26"/>
          <w:szCs w:val="26"/>
          <w:lang w:val="en-US"/>
        </w:rPr>
        <w:t xml:space="preserve"> QUY ĐỊNH SỐ LƯỢNG GIẤY ĐĂNG KÝ LƯU HÀNH VÀ ĐÁNH GIÁ CƠ SỞ SẢN XUẤT THUỐC TẠI NƯỚC NGOÀI</w:t>
      </w:r>
      <w:r>
        <w:rPr>
          <w:rFonts w:asciiTheme="majorHAnsi" w:hAnsiTheme="majorHAnsi" w:cstheme="majorHAnsi"/>
          <w:i/>
          <w:sz w:val="26"/>
          <w:szCs w:val="26"/>
          <w:lang w:val="en-US"/>
        </w:rPr>
        <w:t>”</w:t>
      </w:r>
    </w:p>
    <w:p w:rsidR="005210C5" w:rsidRDefault="00C95B6E" w:rsidP="00CB0009">
      <w:pPr>
        <w:spacing w:before="240" w:after="240"/>
        <w:ind w:firstLine="562"/>
        <w:jc w:val="both"/>
        <w:rPr>
          <w:rFonts w:asciiTheme="majorHAnsi" w:hAnsiTheme="majorHAnsi" w:cstheme="majorHAnsi"/>
          <w:i/>
          <w:sz w:val="26"/>
          <w:szCs w:val="26"/>
          <w:lang w:val="en-US"/>
        </w:rPr>
      </w:pPr>
      <w:r>
        <w:rPr>
          <w:rFonts w:asciiTheme="majorHAnsi" w:hAnsiTheme="majorHAnsi" w:cstheme="majorHAnsi"/>
          <w:i/>
          <w:sz w:val="26"/>
          <w:szCs w:val="26"/>
          <w:lang w:val="en-US"/>
        </w:rPr>
        <w:t>“Điề</w:t>
      </w:r>
      <w:r w:rsidR="005210C5">
        <w:rPr>
          <w:rFonts w:asciiTheme="majorHAnsi" w:hAnsiTheme="majorHAnsi" w:cstheme="majorHAnsi"/>
          <w:i/>
          <w:sz w:val="26"/>
          <w:szCs w:val="26"/>
          <w:lang w:val="en-US"/>
        </w:rPr>
        <w:t>u 88</w:t>
      </w:r>
      <w:r>
        <w:rPr>
          <w:rFonts w:asciiTheme="majorHAnsi" w:hAnsiTheme="majorHAnsi" w:cstheme="majorHAnsi"/>
          <w:i/>
          <w:sz w:val="26"/>
          <w:szCs w:val="26"/>
          <w:lang w:val="en-US"/>
        </w:rPr>
        <w:t>:</w:t>
      </w:r>
      <w:r w:rsidR="005210C5">
        <w:rPr>
          <w:rFonts w:asciiTheme="majorHAnsi" w:hAnsiTheme="majorHAnsi" w:cstheme="majorHAnsi"/>
          <w:i/>
          <w:sz w:val="26"/>
          <w:szCs w:val="26"/>
          <w:lang w:val="en-US"/>
        </w:rPr>
        <w:t xml:space="preserve"> Quy định về thuốc</w:t>
      </w:r>
      <w:r w:rsidR="000626D8">
        <w:rPr>
          <w:rFonts w:asciiTheme="majorHAnsi" w:hAnsiTheme="majorHAnsi" w:cstheme="majorHAnsi"/>
          <w:i/>
          <w:sz w:val="26"/>
          <w:szCs w:val="26"/>
          <w:lang w:val="en-US"/>
        </w:rPr>
        <w:t xml:space="preserve"> từ</w:t>
      </w:r>
      <w:r w:rsidR="005210C5">
        <w:rPr>
          <w:rFonts w:asciiTheme="majorHAnsi" w:hAnsiTheme="majorHAnsi" w:cstheme="majorHAnsi"/>
          <w:i/>
          <w:sz w:val="26"/>
          <w:szCs w:val="26"/>
          <w:lang w:val="en-US"/>
        </w:rPr>
        <w:t xml:space="preserve"> công nghệ tế bào và gen</w:t>
      </w:r>
    </w:p>
    <w:p w:rsidR="00C95B6E" w:rsidRPr="00261676" w:rsidRDefault="005210C5" w:rsidP="00CB0009">
      <w:pPr>
        <w:spacing w:before="240" w:after="240"/>
        <w:ind w:firstLine="562"/>
        <w:jc w:val="both"/>
        <w:rPr>
          <w:rFonts w:asciiTheme="majorHAnsi" w:hAnsiTheme="majorHAnsi" w:cstheme="majorHAnsi"/>
          <w:i/>
          <w:sz w:val="26"/>
          <w:szCs w:val="26"/>
          <w:lang w:val="en-US"/>
        </w:rPr>
      </w:pPr>
      <w:r>
        <w:rPr>
          <w:rFonts w:asciiTheme="majorHAnsi" w:hAnsiTheme="majorHAnsi" w:cstheme="majorHAnsi"/>
          <w:i/>
          <w:sz w:val="26"/>
          <w:szCs w:val="26"/>
          <w:lang w:val="en-US"/>
        </w:rPr>
        <w:t>Các quy định đặc biệt về nghiên cứu, sản xuất, đăng ký lưu hành, kinh doanh và quảng cáo thuốc</w:t>
      </w:r>
      <w:r w:rsidR="000626D8">
        <w:rPr>
          <w:rFonts w:asciiTheme="majorHAnsi" w:hAnsiTheme="majorHAnsi" w:cstheme="majorHAnsi"/>
          <w:i/>
          <w:sz w:val="26"/>
          <w:szCs w:val="26"/>
          <w:lang w:val="en-US"/>
        </w:rPr>
        <w:t xml:space="preserve"> từ</w:t>
      </w:r>
      <w:r>
        <w:rPr>
          <w:rFonts w:asciiTheme="majorHAnsi" w:hAnsiTheme="majorHAnsi" w:cstheme="majorHAnsi"/>
          <w:i/>
          <w:sz w:val="26"/>
          <w:szCs w:val="26"/>
          <w:lang w:val="en-US"/>
        </w:rPr>
        <w:t xml:space="preserve"> công nghệ tế bào và gen được thực hiện theo hướng dẫn do Bộ Y Tế ban hành”</w:t>
      </w:r>
      <w:r w:rsidR="00C95B6E">
        <w:rPr>
          <w:rFonts w:asciiTheme="majorHAnsi" w:hAnsiTheme="majorHAnsi" w:cstheme="majorHAnsi"/>
          <w:i/>
          <w:sz w:val="26"/>
          <w:szCs w:val="26"/>
          <w:lang w:val="en-US"/>
        </w:rPr>
        <w:t xml:space="preserve"> </w:t>
      </w:r>
    </w:p>
    <w:p w:rsidR="000A297E" w:rsidRPr="00DF6876" w:rsidRDefault="008B0292" w:rsidP="00CB0009">
      <w:pPr>
        <w:spacing w:before="240" w:after="240"/>
        <w:ind w:firstLine="562"/>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Trên đây là những ý kiến góp ý của công ty chúng tôi về dự thảo </w:t>
      </w:r>
      <w:r w:rsidR="00FF2B98">
        <w:rPr>
          <w:rFonts w:asciiTheme="majorHAnsi" w:hAnsiTheme="majorHAnsi" w:cstheme="majorHAnsi"/>
          <w:sz w:val="26"/>
          <w:szCs w:val="26"/>
          <w:lang w:val="en-US"/>
        </w:rPr>
        <w:t>Nghị định hướng dẫn luật dược sửa đổi bổ sung một số điều của Luật Dược, kính mong VCCI</w:t>
      </w:r>
      <w:r>
        <w:rPr>
          <w:rFonts w:asciiTheme="majorHAnsi" w:hAnsiTheme="majorHAnsi" w:cstheme="majorHAnsi"/>
          <w:sz w:val="26"/>
          <w:szCs w:val="26"/>
          <w:lang w:val="en-US"/>
        </w:rPr>
        <w:t xml:space="preserve"> xem xét những đề xuất của chúng tôi.</w:t>
      </w:r>
    </w:p>
    <w:p w:rsidR="00413272" w:rsidRPr="00B74E65" w:rsidRDefault="00D766BD" w:rsidP="00CB0009">
      <w:pPr>
        <w:ind w:firstLine="562"/>
        <w:jc w:val="both"/>
        <w:rPr>
          <w:rFonts w:asciiTheme="majorHAnsi" w:hAnsiTheme="majorHAnsi" w:cstheme="majorHAnsi"/>
          <w:sz w:val="26"/>
          <w:szCs w:val="26"/>
        </w:rPr>
      </w:pPr>
      <w:r>
        <w:rPr>
          <w:rFonts w:asciiTheme="majorHAnsi" w:hAnsiTheme="majorHAnsi" w:cstheme="majorHAnsi"/>
          <w:sz w:val="26"/>
          <w:szCs w:val="26"/>
          <w:lang w:val="en-US"/>
        </w:rPr>
        <w:t>C</w:t>
      </w:r>
      <w:r w:rsidR="00170EA2" w:rsidRPr="00B74E65">
        <w:rPr>
          <w:rFonts w:asciiTheme="majorHAnsi" w:hAnsiTheme="majorHAnsi" w:cstheme="majorHAnsi"/>
          <w:sz w:val="26"/>
          <w:szCs w:val="26"/>
        </w:rPr>
        <w:t>húng tôi xin trân trọng cảm ơn!</w:t>
      </w:r>
    </w:p>
    <w:p w:rsidR="009F7F08" w:rsidRDefault="009F7F08" w:rsidP="00D1123B">
      <w:pPr>
        <w:jc w:val="both"/>
        <w:rPr>
          <w:rFonts w:asciiTheme="majorHAnsi" w:hAnsiTheme="majorHAnsi" w:cstheme="majorHAnsi"/>
          <w:b/>
          <w:sz w:val="26"/>
          <w:szCs w:val="26"/>
        </w:rPr>
        <w:sectPr w:rsidR="009F7F08" w:rsidSect="00933772">
          <w:pgSz w:w="11906" w:h="16838" w:code="9"/>
          <w:pgMar w:top="1134" w:right="851" w:bottom="1134" w:left="1701" w:header="709" w:footer="709" w:gutter="0"/>
          <w:cols w:space="708"/>
          <w:docGrid w:linePitch="360"/>
        </w:sectPr>
      </w:pPr>
    </w:p>
    <w:tbl>
      <w:tblPr>
        <w:tblStyle w:val="TableGrid"/>
        <w:tblpPr w:leftFromText="180" w:rightFromText="180" w:vertAnchor="text" w:horzAnchor="margin" w:tblpY="2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13272" w:rsidRPr="00B74E65" w:rsidTr="009F7F08">
        <w:trPr>
          <w:trHeight w:val="60"/>
        </w:trPr>
        <w:tc>
          <w:tcPr>
            <w:tcW w:w="4621" w:type="dxa"/>
          </w:tcPr>
          <w:p w:rsidR="00D1123B" w:rsidRPr="00B74E65" w:rsidRDefault="00D1123B" w:rsidP="00D1123B">
            <w:pPr>
              <w:jc w:val="both"/>
              <w:rPr>
                <w:rFonts w:asciiTheme="majorHAnsi" w:hAnsiTheme="majorHAnsi" w:cstheme="majorHAnsi"/>
                <w:b/>
                <w:sz w:val="26"/>
                <w:szCs w:val="26"/>
              </w:rPr>
            </w:pPr>
            <w:r w:rsidRPr="00B74E65">
              <w:rPr>
                <w:rFonts w:asciiTheme="majorHAnsi" w:hAnsiTheme="majorHAnsi" w:cstheme="majorHAnsi"/>
                <w:b/>
                <w:sz w:val="26"/>
                <w:szCs w:val="26"/>
              </w:rPr>
              <w:t>Nơi nhận:</w:t>
            </w:r>
          </w:p>
          <w:p w:rsidR="00CC767C" w:rsidRPr="00B74E65" w:rsidRDefault="00CC767C" w:rsidP="00D1123B">
            <w:pPr>
              <w:jc w:val="both"/>
              <w:rPr>
                <w:rFonts w:asciiTheme="majorHAnsi" w:hAnsiTheme="majorHAnsi" w:cstheme="majorHAnsi"/>
                <w:b/>
                <w:sz w:val="26"/>
                <w:szCs w:val="26"/>
              </w:rPr>
            </w:pPr>
          </w:p>
          <w:p w:rsidR="00D1123B" w:rsidRPr="00B74E65" w:rsidRDefault="00D1123B" w:rsidP="00D1123B">
            <w:pPr>
              <w:pStyle w:val="ListParagraph"/>
              <w:numPr>
                <w:ilvl w:val="0"/>
                <w:numId w:val="2"/>
              </w:numPr>
              <w:jc w:val="both"/>
              <w:rPr>
                <w:rFonts w:asciiTheme="majorHAnsi" w:hAnsiTheme="majorHAnsi" w:cstheme="majorHAnsi"/>
                <w:i/>
                <w:sz w:val="26"/>
                <w:szCs w:val="26"/>
              </w:rPr>
            </w:pPr>
            <w:r w:rsidRPr="00B74E65">
              <w:rPr>
                <w:rFonts w:asciiTheme="majorHAnsi" w:hAnsiTheme="majorHAnsi" w:cstheme="majorHAnsi"/>
                <w:i/>
                <w:sz w:val="26"/>
                <w:szCs w:val="26"/>
              </w:rPr>
              <w:t>Như kính gửi</w:t>
            </w:r>
          </w:p>
          <w:p w:rsidR="00D1123B" w:rsidRPr="00B74E65" w:rsidRDefault="00D1123B" w:rsidP="00D1123B">
            <w:pPr>
              <w:pStyle w:val="ListParagraph"/>
              <w:numPr>
                <w:ilvl w:val="0"/>
                <w:numId w:val="2"/>
              </w:numPr>
              <w:spacing w:line="360" w:lineRule="auto"/>
              <w:rPr>
                <w:sz w:val="26"/>
                <w:szCs w:val="26"/>
              </w:rPr>
            </w:pPr>
            <w:r w:rsidRPr="00B74E65">
              <w:rPr>
                <w:rFonts w:asciiTheme="majorHAnsi" w:hAnsiTheme="majorHAnsi" w:cstheme="majorHAnsi"/>
                <w:i/>
                <w:sz w:val="26"/>
                <w:szCs w:val="26"/>
              </w:rPr>
              <w:t>Lưu HC</w:t>
            </w:r>
          </w:p>
          <w:p w:rsidR="00413272" w:rsidRPr="00B74E65" w:rsidRDefault="00413272" w:rsidP="00413272">
            <w:pPr>
              <w:jc w:val="both"/>
              <w:rPr>
                <w:rFonts w:asciiTheme="majorHAnsi" w:hAnsiTheme="majorHAnsi" w:cstheme="majorHAnsi"/>
                <w:b/>
                <w:sz w:val="26"/>
                <w:szCs w:val="26"/>
                <w:lang w:val="vi-VN"/>
              </w:rPr>
            </w:pPr>
          </w:p>
        </w:tc>
        <w:tc>
          <w:tcPr>
            <w:tcW w:w="4621" w:type="dxa"/>
          </w:tcPr>
          <w:p w:rsidR="00687C8B" w:rsidRPr="00B74E65" w:rsidRDefault="00D54780" w:rsidP="00E429D5">
            <w:pPr>
              <w:jc w:val="both"/>
              <w:rPr>
                <w:rFonts w:asciiTheme="majorHAnsi" w:hAnsiTheme="majorHAnsi" w:cstheme="majorHAnsi"/>
                <w:b/>
                <w:sz w:val="26"/>
                <w:szCs w:val="26"/>
                <w:lang w:val="vi-VN"/>
              </w:rPr>
            </w:pPr>
            <w:r w:rsidRPr="00B74E65">
              <w:rPr>
                <w:rFonts w:asciiTheme="majorHAnsi" w:hAnsiTheme="majorHAnsi" w:cstheme="majorHAnsi"/>
                <w:b/>
                <w:sz w:val="26"/>
                <w:szCs w:val="26"/>
                <w:lang w:val="vi-VN"/>
              </w:rPr>
              <w:t xml:space="preserve"> </w:t>
            </w:r>
            <w:r w:rsidR="00E429D5" w:rsidRPr="00B74E65">
              <w:rPr>
                <w:rFonts w:asciiTheme="majorHAnsi" w:hAnsiTheme="majorHAnsi" w:cstheme="majorHAnsi"/>
                <w:b/>
                <w:sz w:val="26"/>
                <w:szCs w:val="26"/>
              </w:rPr>
              <w:t xml:space="preserve">TỔNG </w:t>
            </w:r>
            <w:r w:rsidR="00413272" w:rsidRPr="00B74E65">
              <w:rPr>
                <w:rFonts w:asciiTheme="majorHAnsi" w:hAnsiTheme="majorHAnsi" w:cstheme="majorHAnsi"/>
                <w:b/>
                <w:sz w:val="26"/>
                <w:szCs w:val="26"/>
                <w:lang w:val="vi-VN"/>
              </w:rPr>
              <w:t>GIÁM ĐỐC CÔNG TY</w:t>
            </w:r>
          </w:p>
        </w:tc>
      </w:tr>
    </w:tbl>
    <w:p w:rsidR="00812966" w:rsidRDefault="00812966" w:rsidP="009F7F08">
      <w:pPr>
        <w:spacing w:after="0"/>
        <w:jc w:val="both"/>
        <w:rPr>
          <w:rFonts w:asciiTheme="majorHAnsi" w:hAnsiTheme="majorHAnsi" w:cstheme="majorHAnsi"/>
          <w:b/>
          <w:sz w:val="26"/>
          <w:szCs w:val="26"/>
        </w:rPr>
      </w:pPr>
    </w:p>
    <w:p w:rsidR="00CB0009" w:rsidRDefault="00CB0009" w:rsidP="009F7F08">
      <w:pPr>
        <w:spacing w:after="0"/>
        <w:jc w:val="both"/>
        <w:rPr>
          <w:rFonts w:asciiTheme="majorHAnsi" w:hAnsiTheme="majorHAnsi" w:cstheme="majorHAnsi"/>
          <w:b/>
          <w:sz w:val="26"/>
          <w:szCs w:val="26"/>
          <w:lang w:val="en-US"/>
        </w:rPr>
      </w:pPr>
      <w:r>
        <w:rPr>
          <w:rFonts w:asciiTheme="majorHAnsi" w:hAnsiTheme="majorHAnsi" w:cstheme="majorHAnsi"/>
          <w:b/>
          <w:sz w:val="26"/>
          <w:szCs w:val="26"/>
          <w:lang w:val="en-US"/>
        </w:rPr>
        <w:t>Tài liệu tham khảo</w:t>
      </w:r>
    </w:p>
    <w:p w:rsidR="00CB0009" w:rsidRDefault="00CB0009" w:rsidP="009F7F08">
      <w:pPr>
        <w:spacing w:after="0"/>
        <w:jc w:val="both"/>
        <w:rPr>
          <w:rFonts w:asciiTheme="majorHAnsi" w:hAnsiTheme="majorHAnsi" w:cstheme="majorHAnsi"/>
          <w:b/>
          <w:sz w:val="26"/>
          <w:szCs w:val="26"/>
          <w:lang w:val="en-US"/>
        </w:rPr>
      </w:pPr>
    </w:p>
    <w:p w:rsidR="00CB0009" w:rsidRDefault="00CB0009" w:rsidP="009F7F08">
      <w:pPr>
        <w:spacing w:after="0"/>
        <w:jc w:val="both"/>
        <w:rPr>
          <w:lang w:val="en-US"/>
        </w:rPr>
      </w:pPr>
      <w:r>
        <w:rPr>
          <w:rFonts w:asciiTheme="majorHAnsi" w:hAnsiTheme="majorHAnsi" w:cstheme="majorHAnsi"/>
          <w:b/>
          <w:sz w:val="26"/>
          <w:szCs w:val="26"/>
          <w:lang w:val="en-US"/>
        </w:rPr>
        <w:t xml:space="preserve">1. </w:t>
      </w:r>
      <w:r>
        <w:rPr>
          <w:rFonts w:asciiTheme="majorHAnsi" w:hAnsiTheme="majorHAnsi" w:cstheme="majorHAnsi"/>
          <w:sz w:val="26"/>
          <w:szCs w:val="26"/>
          <w:lang w:val="en-US"/>
        </w:rPr>
        <w:t xml:space="preserve"> Hướng dẫn của cơ quan quản lý dược Hoa Kỳ về thuốc</w:t>
      </w:r>
      <w:r w:rsidR="00FE2EF9">
        <w:rPr>
          <w:rFonts w:asciiTheme="majorHAnsi" w:hAnsiTheme="majorHAnsi" w:cstheme="majorHAnsi"/>
          <w:sz w:val="26"/>
          <w:szCs w:val="26"/>
          <w:lang w:val="en-US"/>
        </w:rPr>
        <w:t xml:space="preserve"> từ công nghệ</w:t>
      </w:r>
      <w:r>
        <w:rPr>
          <w:rFonts w:asciiTheme="majorHAnsi" w:hAnsiTheme="majorHAnsi" w:cstheme="majorHAnsi"/>
          <w:sz w:val="26"/>
          <w:szCs w:val="26"/>
          <w:lang w:val="en-US"/>
        </w:rPr>
        <w:t xml:space="preserve"> tế bào và gen (</w:t>
      </w:r>
      <w:hyperlink r:id="rId9" w:history="1">
        <w:r>
          <w:rPr>
            <w:rStyle w:val="Hyperlink"/>
          </w:rPr>
          <w:t>Cellular &amp; Gene Therapy Products | FDA</w:t>
        </w:r>
      </w:hyperlink>
      <w:r>
        <w:rPr>
          <w:lang w:val="en-US"/>
        </w:rPr>
        <w:t>)</w:t>
      </w:r>
    </w:p>
    <w:p w:rsidR="00CB0009" w:rsidRDefault="00CB0009" w:rsidP="009F7F08">
      <w:pPr>
        <w:spacing w:after="0"/>
        <w:jc w:val="both"/>
        <w:rPr>
          <w:lang w:val="en-US"/>
        </w:rPr>
      </w:pPr>
    </w:p>
    <w:p w:rsidR="00CB0009" w:rsidRPr="00BE152C" w:rsidRDefault="00CB0009" w:rsidP="009F7F08">
      <w:pPr>
        <w:spacing w:after="0"/>
        <w:jc w:val="both"/>
        <w:rPr>
          <w:rFonts w:asciiTheme="majorHAnsi" w:hAnsiTheme="majorHAnsi" w:cstheme="majorHAnsi"/>
          <w:sz w:val="26"/>
          <w:szCs w:val="26"/>
          <w:lang w:val="en-US"/>
        </w:rPr>
        <w:sectPr w:rsidR="00CB0009" w:rsidRPr="00BE152C" w:rsidSect="009F7F08">
          <w:type w:val="continuous"/>
          <w:pgSz w:w="11906" w:h="16838" w:code="9"/>
          <w:pgMar w:top="1134" w:right="851" w:bottom="1134" w:left="1701" w:header="709" w:footer="709" w:gutter="0"/>
          <w:cols w:space="708"/>
          <w:docGrid w:linePitch="360"/>
        </w:sectPr>
      </w:pPr>
      <w:r>
        <w:rPr>
          <w:lang w:val="en-US"/>
        </w:rPr>
        <w:t xml:space="preserve">2. </w:t>
      </w:r>
      <w:r w:rsidR="00CE1098">
        <w:rPr>
          <w:lang w:val="en-US"/>
        </w:rPr>
        <w:t xml:space="preserve"> </w:t>
      </w:r>
      <w:r w:rsidR="00146CD2">
        <w:rPr>
          <w:lang w:val="en-US"/>
        </w:rPr>
        <w:t xml:space="preserve">Hướng dẫn về nghiên cứu </w:t>
      </w:r>
      <w:r w:rsidR="00BE152C">
        <w:rPr>
          <w:lang w:val="en-US"/>
        </w:rPr>
        <w:t>và liệu pháp tế bào và tế bào gốc, Bộ y tế Malaysia, tái bản lầ</w:t>
      </w:r>
      <w:r w:rsidR="00505F3E">
        <w:rPr>
          <w:lang w:val="en-US"/>
        </w:rPr>
        <w:t>n 3, 2024</w:t>
      </w:r>
      <w:r w:rsidR="00BE152C">
        <w:rPr>
          <w:lang w:val="en-US"/>
        </w:rPr>
        <w:t xml:space="preserve"> (</w:t>
      </w:r>
      <w:r w:rsidR="00146CD2">
        <w:rPr>
          <w:lang w:val="en-US"/>
        </w:rPr>
        <w:t>Guidelines on stem cell and cell-based research and therpay</w:t>
      </w:r>
      <w:r w:rsidR="00BE152C">
        <w:rPr>
          <w:lang w:val="en-US"/>
        </w:rPr>
        <w:t xml:space="preserve">, </w:t>
      </w:r>
      <w:hyperlink r:id="rId10" w:history="1">
        <w:r w:rsidR="00BE152C">
          <w:rPr>
            <w:rStyle w:val="Hyperlink"/>
          </w:rPr>
          <w:t>5._Guidelines_on_Stem_Cell_3rd_Edition_PDF_.pdf</w:t>
        </w:r>
      </w:hyperlink>
      <w:r w:rsidR="00BE152C">
        <w:rPr>
          <w:lang w:val="en-US"/>
        </w:rPr>
        <w:t>)</w:t>
      </w:r>
      <w:bookmarkStart w:id="0" w:name="_GoBack"/>
      <w:bookmarkEnd w:id="0"/>
    </w:p>
    <w:p w:rsidR="00812966" w:rsidRPr="00812966" w:rsidRDefault="00812966" w:rsidP="007D7A35">
      <w:pPr>
        <w:spacing w:after="0"/>
        <w:jc w:val="center"/>
        <w:rPr>
          <w:rFonts w:asciiTheme="majorHAnsi" w:hAnsiTheme="majorHAnsi" w:cstheme="majorHAnsi"/>
          <w:sz w:val="26"/>
          <w:szCs w:val="26"/>
          <w:lang w:val="en-US"/>
        </w:rPr>
      </w:pPr>
    </w:p>
    <w:sectPr w:rsidR="00812966" w:rsidRPr="00812966" w:rsidSect="00812966">
      <w:pgSz w:w="16838" w:h="11906" w:orient="landscape" w:code="9"/>
      <w:pgMar w:top="1699" w:right="1138" w:bottom="85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0E7" w:rsidRDefault="00EA30E7" w:rsidP="00812966">
      <w:pPr>
        <w:spacing w:after="0" w:line="240" w:lineRule="auto"/>
      </w:pPr>
      <w:r>
        <w:separator/>
      </w:r>
    </w:p>
  </w:endnote>
  <w:endnote w:type="continuationSeparator" w:id="0">
    <w:p w:rsidR="00EA30E7" w:rsidRDefault="00EA30E7" w:rsidP="0081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0E7" w:rsidRDefault="00EA30E7" w:rsidP="00812966">
      <w:pPr>
        <w:spacing w:after="0" w:line="240" w:lineRule="auto"/>
      </w:pPr>
      <w:r>
        <w:separator/>
      </w:r>
    </w:p>
  </w:footnote>
  <w:footnote w:type="continuationSeparator" w:id="0">
    <w:p w:rsidR="00EA30E7" w:rsidRDefault="00EA30E7" w:rsidP="00812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197D"/>
    <w:multiLevelType w:val="hybridMultilevel"/>
    <w:tmpl w:val="1A604CDA"/>
    <w:lvl w:ilvl="0" w:tplc="52108072">
      <w:start w:val="1"/>
      <w:numFmt w:val="decimal"/>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 w15:restartNumberingAfterBreak="0">
    <w:nsid w:val="1E69698A"/>
    <w:multiLevelType w:val="hybridMultilevel"/>
    <w:tmpl w:val="6E8EDAD0"/>
    <w:lvl w:ilvl="0" w:tplc="FCC8115C">
      <w:start w:val="7"/>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6E14F04"/>
    <w:multiLevelType w:val="hybridMultilevel"/>
    <w:tmpl w:val="F8906C32"/>
    <w:lvl w:ilvl="0" w:tplc="912CAC70">
      <w:numFmt w:val="bullet"/>
      <w:lvlText w:val="-"/>
      <w:lvlJc w:val="left"/>
      <w:pPr>
        <w:ind w:left="1785" w:hanging="360"/>
      </w:pPr>
      <w:rPr>
        <w:rFonts w:ascii="Arial" w:eastAsia="Times New Roman" w:hAnsi="Arial" w:cs="Arial" w:hint="default"/>
      </w:rPr>
    </w:lvl>
    <w:lvl w:ilvl="1" w:tplc="042A0003" w:tentative="1">
      <w:start w:val="1"/>
      <w:numFmt w:val="bullet"/>
      <w:lvlText w:val="o"/>
      <w:lvlJc w:val="left"/>
      <w:pPr>
        <w:ind w:left="2505" w:hanging="360"/>
      </w:pPr>
      <w:rPr>
        <w:rFonts w:ascii="Courier New" w:hAnsi="Courier New" w:cs="Courier New" w:hint="default"/>
      </w:rPr>
    </w:lvl>
    <w:lvl w:ilvl="2" w:tplc="042A0005" w:tentative="1">
      <w:start w:val="1"/>
      <w:numFmt w:val="bullet"/>
      <w:lvlText w:val=""/>
      <w:lvlJc w:val="left"/>
      <w:pPr>
        <w:ind w:left="3225" w:hanging="360"/>
      </w:pPr>
      <w:rPr>
        <w:rFonts w:ascii="Wingdings" w:hAnsi="Wingdings" w:hint="default"/>
      </w:rPr>
    </w:lvl>
    <w:lvl w:ilvl="3" w:tplc="042A0001" w:tentative="1">
      <w:start w:val="1"/>
      <w:numFmt w:val="bullet"/>
      <w:lvlText w:val=""/>
      <w:lvlJc w:val="left"/>
      <w:pPr>
        <w:ind w:left="3945" w:hanging="360"/>
      </w:pPr>
      <w:rPr>
        <w:rFonts w:ascii="Symbol" w:hAnsi="Symbol" w:hint="default"/>
      </w:rPr>
    </w:lvl>
    <w:lvl w:ilvl="4" w:tplc="042A0003" w:tentative="1">
      <w:start w:val="1"/>
      <w:numFmt w:val="bullet"/>
      <w:lvlText w:val="o"/>
      <w:lvlJc w:val="left"/>
      <w:pPr>
        <w:ind w:left="4665" w:hanging="360"/>
      </w:pPr>
      <w:rPr>
        <w:rFonts w:ascii="Courier New" w:hAnsi="Courier New" w:cs="Courier New" w:hint="default"/>
      </w:rPr>
    </w:lvl>
    <w:lvl w:ilvl="5" w:tplc="042A0005" w:tentative="1">
      <w:start w:val="1"/>
      <w:numFmt w:val="bullet"/>
      <w:lvlText w:val=""/>
      <w:lvlJc w:val="left"/>
      <w:pPr>
        <w:ind w:left="5385" w:hanging="360"/>
      </w:pPr>
      <w:rPr>
        <w:rFonts w:ascii="Wingdings" w:hAnsi="Wingdings" w:hint="default"/>
      </w:rPr>
    </w:lvl>
    <w:lvl w:ilvl="6" w:tplc="042A0001" w:tentative="1">
      <w:start w:val="1"/>
      <w:numFmt w:val="bullet"/>
      <w:lvlText w:val=""/>
      <w:lvlJc w:val="left"/>
      <w:pPr>
        <w:ind w:left="6105" w:hanging="360"/>
      </w:pPr>
      <w:rPr>
        <w:rFonts w:ascii="Symbol" w:hAnsi="Symbol" w:hint="default"/>
      </w:rPr>
    </w:lvl>
    <w:lvl w:ilvl="7" w:tplc="042A0003" w:tentative="1">
      <w:start w:val="1"/>
      <w:numFmt w:val="bullet"/>
      <w:lvlText w:val="o"/>
      <w:lvlJc w:val="left"/>
      <w:pPr>
        <w:ind w:left="6825" w:hanging="360"/>
      </w:pPr>
      <w:rPr>
        <w:rFonts w:ascii="Courier New" w:hAnsi="Courier New" w:cs="Courier New" w:hint="default"/>
      </w:rPr>
    </w:lvl>
    <w:lvl w:ilvl="8" w:tplc="042A0005" w:tentative="1">
      <w:start w:val="1"/>
      <w:numFmt w:val="bullet"/>
      <w:lvlText w:val=""/>
      <w:lvlJc w:val="left"/>
      <w:pPr>
        <w:ind w:left="7545" w:hanging="360"/>
      </w:pPr>
      <w:rPr>
        <w:rFonts w:ascii="Wingdings" w:hAnsi="Wingdings" w:hint="default"/>
      </w:rPr>
    </w:lvl>
  </w:abstractNum>
  <w:abstractNum w:abstractNumId="3" w15:restartNumberingAfterBreak="0">
    <w:nsid w:val="29C40FBE"/>
    <w:multiLevelType w:val="hybridMultilevel"/>
    <w:tmpl w:val="39A00EA2"/>
    <w:lvl w:ilvl="0" w:tplc="E9FE68D6">
      <w:start w:val="7"/>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5F5D4110"/>
    <w:multiLevelType w:val="hybridMultilevel"/>
    <w:tmpl w:val="A1584F2A"/>
    <w:lvl w:ilvl="0" w:tplc="4BD82C1C">
      <w:start w:val="10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583"/>
    <w:rsid w:val="00004BC9"/>
    <w:rsid w:val="00006F54"/>
    <w:rsid w:val="00031B00"/>
    <w:rsid w:val="00051E9F"/>
    <w:rsid w:val="000528AD"/>
    <w:rsid w:val="0005400A"/>
    <w:rsid w:val="000626D8"/>
    <w:rsid w:val="00071A84"/>
    <w:rsid w:val="00076074"/>
    <w:rsid w:val="00085779"/>
    <w:rsid w:val="00092735"/>
    <w:rsid w:val="000A297E"/>
    <w:rsid w:val="000E12FD"/>
    <w:rsid w:val="000E29F2"/>
    <w:rsid w:val="0010592F"/>
    <w:rsid w:val="00110A2C"/>
    <w:rsid w:val="001130F9"/>
    <w:rsid w:val="00146CD2"/>
    <w:rsid w:val="00157679"/>
    <w:rsid w:val="00170EA2"/>
    <w:rsid w:val="00174515"/>
    <w:rsid w:val="00183170"/>
    <w:rsid w:val="001838E4"/>
    <w:rsid w:val="001B2965"/>
    <w:rsid w:val="001C001F"/>
    <w:rsid w:val="001C4B7B"/>
    <w:rsid w:val="001D193B"/>
    <w:rsid w:val="00202A23"/>
    <w:rsid w:val="00223A5C"/>
    <w:rsid w:val="0022712C"/>
    <w:rsid w:val="00242171"/>
    <w:rsid w:val="002422CD"/>
    <w:rsid w:val="00245B79"/>
    <w:rsid w:val="00250860"/>
    <w:rsid w:val="00261676"/>
    <w:rsid w:val="0026539E"/>
    <w:rsid w:val="00265FFA"/>
    <w:rsid w:val="00293DCA"/>
    <w:rsid w:val="002A593C"/>
    <w:rsid w:val="002A65FE"/>
    <w:rsid w:val="002B55FD"/>
    <w:rsid w:val="002D2C3A"/>
    <w:rsid w:val="002D32AE"/>
    <w:rsid w:val="002D3C81"/>
    <w:rsid w:val="002E5322"/>
    <w:rsid w:val="003329B8"/>
    <w:rsid w:val="003606DE"/>
    <w:rsid w:val="00370034"/>
    <w:rsid w:val="003A2F7E"/>
    <w:rsid w:val="003A7B79"/>
    <w:rsid w:val="003B0F5D"/>
    <w:rsid w:val="003C5B92"/>
    <w:rsid w:val="003D7C68"/>
    <w:rsid w:val="004061FA"/>
    <w:rsid w:val="00410DE0"/>
    <w:rsid w:val="00411593"/>
    <w:rsid w:val="00413272"/>
    <w:rsid w:val="004176C1"/>
    <w:rsid w:val="004209EC"/>
    <w:rsid w:val="00440145"/>
    <w:rsid w:val="0044570A"/>
    <w:rsid w:val="004462C5"/>
    <w:rsid w:val="00447594"/>
    <w:rsid w:val="00462886"/>
    <w:rsid w:val="00487BF6"/>
    <w:rsid w:val="004A0490"/>
    <w:rsid w:val="004A4579"/>
    <w:rsid w:val="004B182B"/>
    <w:rsid w:val="004C590C"/>
    <w:rsid w:val="004D0C8E"/>
    <w:rsid w:val="004D796C"/>
    <w:rsid w:val="005019D8"/>
    <w:rsid w:val="005030B9"/>
    <w:rsid w:val="00505F3E"/>
    <w:rsid w:val="005142C9"/>
    <w:rsid w:val="00520B84"/>
    <w:rsid w:val="005210C5"/>
    <w:rsid w:val="00523448"/>
    <w:rsid w:val="00551EAB"/>
    <w:rsid w:val="00554539"/>
    <w:rsid w:val="00555C99"/>
    <w:rsid w:val="00556E4E"/>
    <w:rsid w:val="005625CF"/>
    <w:rsid w:val="005726EA"/>
    <w:rsid w:val="00594D2C"/>
    <w:rsid w:val="005B6B68"/>
    <w:rsid w:val="005B7D29"/>
    <w:rsid w:val="005C6165"/>
    <w:rsid w:val="005E466D"/>
    <w:rsid w:val="005F27D8"/>
    <w:rsid w:val="00613AAE"/>
    <w:rsid w:val="00614735"/>
    <w:rsid w:val="006423E0"/>
    <w:rsid w:val="00663D67"/>
    <w:rsid w:val="00667B04"/>
    <w:rsid w:val="00675E96"/>
    <w:rsid w:val="00681A1C"/>
    <w:rsid w:val="00687C8B"/>
    <w:rsid w:val="006923A5"/>
    <w:rsid w:val="00694256"/>
    <w:rsid w:val="00694FB4"/>
    <w:rsid w:val="006955B2"/>
    <w:rsid w:val="006B5BD7"/>
    <w:rsid w:val="006C5B95"/>
    <w:rsid w:val="006E6801"/>
    <w:rsid w:val="006F2EFB"/>
    <w:rsid w:val="006F77CC"/>
    <w:rsid w:val="00700012"/>
    <w:rsid w:val="00725B38"/>
    <w:rsid w:val="00733296"/>
    <w:rsid w:val="007618AD"/>
    <w:rsid w:val="00762E93"/>
    <w:rsid w:val="007976CC"/>
    <w:rsid w:val="007B2A72"/>
    <w:rsid w:val="007C20BA"/>
    <w:rsid w:val="007D7A35"/>
    <w:rsid w:val="00803D5A"/>
    <w:rsid w:val="00812966"/>
    <w:rsid w:val="00824731"/>
    <w:rsid w:val="00831DBC"/>
    <w:rsid w:val="00832467"/>
    <w:rsid w:val="00844F98"/>
    <w:rsid w:val="00861402"/>
    <w:rsid w:val="00877D77"/>
    <w:rsid w:val="008A09B0"/>
    <w:rsid w:val="008A47A6"/>
    <w:rsid w:val="008A6E4C"/>
    <w:rsid w:val="008A7D17"/>
    <w:rsid w:val="008B0292"/>
    <w:rsid w:val="008D77A1"/>
    <w:rsid w:val="008F6C17"/>
    <w:rsid w:val="009025E7"/>
    <w:rsid w:val="00910090"/>
    <w:rsid w:val="00915B0F"/>
    <w:rsid w:val="00921BA8"/>
    <w:rsid w:val="00930230"/>
    <w:rsid w:val="00933772"/>
    <w:rsid w:val="00947EB3"/>
    <w:rsid w:val="0096432A"/>
    <w:rsid w:val="00971567"/>
    <w:rsid w:val="00981E3A"/>
    <w:rsid w:val="009835BA"/>
    <w:rsid w:val="00985E9D"/>
    <w:rsid w:val="009D304E"/>
    <w:rsid w:val="009D4AED"/>
    <w:rsid w:val="009E6BD2"/>
    <w:rsid w:val="009E7B03"/>
    <w:rsid w:val="009F7F08"/>
    <w:rsid w:val="00A46CC9"/>
    <w:rsid w:val="00A47D3A"/>
    <w:rsid w:val="00A60011"/>
    <w:rsid w:val="00A73C22"/>
    <w:rsid w:val="00A74592"/>
    <w:rsid w:val="00A93143"/>
    <w:rsid w:val="00A94D32"/>
    <w:rsid w:val="00A95C55"/>
    <w:rsid w:val="00AC465D"/>
    <w:rsid w:val="00AE5A6F"/>
    <w:rsid w:val="00B1543C"/>
    <w:rsid w:val="00B255F3"/>
    <w:rsid w:val="00B30F88"/>
    <w:rsid w:val="00B41DE2"/>
    <w:rsid w:val="00B50873"/>
    <w:rsid w:val="00B57150"/>
    <w:rsid w:val="00B64719"/>
    <w:rsid w:val="00B64BF1"/>
    <w:rsid w:val="00B74E65"/>
    <w:rsid w:val="00B7754A"/>
    <w:rsid w:val="00B901F1"/>
    <w:rsid w:val="00B9162B"/>
    <w:rsid w:val="00B92EF6"/>
    <w:rsid w:val="00B93102"/>
    <w:rsid w:val="00BB0DDA"/>
    <w:rsid w:val="00BD3064"/>
    <w:rsid w:val="00BE152C"/>
    <w:rsid w:val="00BE1ECD"/>
    <w:rsid w:val="00BF3634"/>
    <w:rsid w:val="00BF48A9"/>
    <w:rsid w:val="00C254A8"/>
    <w:rsid w:val="00C341BC"/>
    <w:rsid w:val="00C5127C"/>
    <w:rsid w:val="00C74AA0"/>
    <w:rsid w:val="00C95680"/>
    <w:rsid w:val="00C95B6E"/>
    <w:rsid w:val="00CB0009"/>
    <w:rsid w:val="00CB04AD"/>
    <w:rsid w:val="00CB1152"/>
    <w:rsid w:val="00CB5BB5"/>
    <w:rsid w:val="00CC146A"/>
    <w:rsid w:val="00CC3CB1"/>
    <w:rsid w:val="00CC767C"/>
    <w:rsid w:val="00CD4B29"/>
    <w:rsid w:val="00CE1098"/>
    <w:rsid w:val="00D04FEB"/>
    <w:rsid w:val="00D0681A"/>
    <w:rsid w:val="00D1123B"/>
    <w:rsid w:val="00D14746"/>
    <w:rsid w:val="00D27776"/>
    <w:rsid w:val="00D3121F"/>
    <w:rsid w:val="00D36717"/>
    <w:rsid w:val="00D54780"/>
    <w:rsid w:val="00D766BD"/>
    <w:rsid w:val="00D810F6"/>
    <w:rsid w:val="00D8486C"/>
    <w:rsid w:val="00D908F6"/>
    <w:rsid w:val="00DA47DA"/>
    <w:rsid w:val="00DA582E"/>
    <w:rsid w:val="00DD3583"/>
    <w:rsid w:val="00DD485A"/>
    <w:rsid w:val="00DF0338"/>
    <w:rsid w:val="00DF6876"/>
    <w:rsid w:val="00DF7CEF"/>
    <w:rsid w:val="00E01220"/>
    <w:rsid w:val="00E21508"/>
    <w:rsid w:val="00E27441"/>
    <w:rsid w:val="00E35B3F"/>
    <w:rsid w:val="00E429D5"/>
    <w:rsid w:val="00E64F94"/>
    <w:rsid w:val="00E6756C"/>
    <w:rsid w:val="00E72615"/>
    <w:rsid w:val="00E91967"/>
    <w:rsid w:val="00E93F8B"/>
    <w:rsid w:val="00EA223A"/>
    <w:rsid w:val="00EA30E7"/>
    <w:rsid w:val="00EB3B77"/>
    <w:rsid w:val="00EC0D5F"/>
    <w:rsid w:val="00ED2A9C"/>
    <w:rsid w:val="00ED6B3C"/>
    <w:rsid w:val="00ED7D0A"/>
    <w:rsid w:val="00EE0E3F"/>
    <w:rsid w:val="00EE27BE"/>
    <w:rsid w:val="00F02CE6"/>
    <w:rsid w:val="00F03F73"/>
    <w:rsid w:val="00F46121"/>
    <w:rsid w:val="00F46748"/>
    <w:rsid w:val="00F6413A"/>
    <w:rsid w:val="00F64D79"/>
    <w:rsid w:val="00F66E91"/>
    <w:rsid w:val="00F86DDF"/>
    <w:rsid w:val="00FB00B4"/>
    <w:rsid w:val="00FB5985"/>
    <w:rsid w:val="00FC4DC5"/>
    <w:rsid w:val="00FD4A6F"/>
    <w:rsid w:val="00FE2EF9"/>
    <w:rsid w:val="00FE372F"/>
    <w:rsid w:val="00FF2B98"/>
    <w:rsid w:val="00FF3B1D"/>
    <w:rsid w:val="00FF3F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FD261"/>
  <w15:docId w15:val="{29CDFD99-802E-4561-96D1-420959CF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58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EA2"/>
    <w:pPr>
      <w:spacing w:after="0" w:line="240" w:lineRule="auto"/>
      <w:ind w:left="720"/>
      <w:contextualSpacing/>
    </w:pPr>
    <w:rPr>
      <w:rFonts w:ascii=".VnTime" w:eastAsia="Times New Roman" w:hAnsi=".VnTime" w:cs="Times New Roman"/>
      <w:sz w:val="28"/>
      <w:szCs w:val="20"/>
      <w:lang w:val="en-US"/>
    </w:rPr>
  </w:style>
  <w:style w:type="paragraph" w:styleId="BalloonText">
    <w:name w:val="Balloon Text"/>
    <w:basedOn w:val="Normal"/>
    <w:link w:val="BalloonTextChar"/>
    <w:uiPriority w:val="99"/>
    <w:semiHidden/>
    <w:unhideWhenUsed/>
    <w:rsid w:val="002D3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2AE"/>
    <w:rPr>
      <w:rFonts w:ascii="Tahoma" w:hAnsi="Tahoma" w:cs="Tahoma"/>
      <w:sz w:val="16"/>
      <w:szCs w:val="16"/>
    </w:rPr>
  </w:style>
  <w:style w:type="paragraph" w:styleId="Header">
    <w:name w:val="header"/>
    <w:basedOn w:val="Normal"/>
    <w:link w:val="HeaderChar"/>
    <w:uiPriority w:val="99"/>
    <w:unhideWhenUsed/>
    <w:rsid w:val="0081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966"/>
  </w:style>
  <w:style w:type="paragraph" w:styleId="Footer">
    <w:name w:val="footer"/>
    <w:basedOn w:val="Normal"/>
    <w:link w:val="FooterChar"/>
    <w:uiPriority w:val="99"/>
    <w:unhideWhenUsed/>
    <w:rsid w:val="0081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966"/>
  </w:style>
  <w:style w:type="character" w:styleId="Hyperlink">
    <w:name w:val="Hyperlink"/>
    <w:basedOn w:val="DefaultParagraphFont"/>
    <w:uiPriority w:val="99"/>
    <w:semiHidden/>
    <w:unhideWhenUsed/>
    <w:rsid w:val="00CB00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h.gov.my/moh/resources/Penerbitan/Perkhidmatan%20OnG%20&amp;%20Ped/STEM%20CELL/5._Guidelines_on_Stem_Cell_3rd_Edition_PDF_.pdf" TargetMode="External"/><Relationship Id="rId4" Type="http://schemas.openxmlformats.org/officeDocument/2006/relationships/settings" Target="settings.xml"/><Relationship Id="rId9" Type="http://schemas.openxmlformats.org/officeDocument/2006/relationships/hyperlink" Target="https://www.fda.gov/vaccines-blood-biologics/cellular-gene-therapy-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2850-940D-491D-A35D-1F9EF071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898</Words>
  <Characters>3256</Characters>
  <Application>Microsoft Office Word</Application>
  <DocSecurity>0</DocSecurity>
  <Lines>78</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HongVan</cp:lastModifiedBy>
  <cp:revision>29</cp:revision>
  <cp:lastPrinted>2022-10-14T08:11:00Z</cp:lastPrinted>
  <dcterms:created xsi:type="dcterms:W3CDTF">2025-02-17T06:31:00Z</dcterms:created>
  <dcterms:modified xsi:type="dcterms:W3CDTF">2025-02-17T08:06:00Z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900a8fd1bfda37edc551563a25d1b0749c4e7afa1a1dbc1f3492c157e366dbcd</vt:lpwstr>
  </property>
</Properties>
</file>