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FC5B" w14:textId="77777777" w:rsidR="00B900CC" w:rsidRDefault="00B900CC" w:rsidP="00B900CC">
      <w:pPr>
        <w:widowControl/>
        <w:jc w:val="center"/>
        <w:rPr>
          <w:rFonts w:ascii="Times New Roman" w:eastAsia="Batang" w:hAnsi="Times New Roman" w:cs="Times New Roman"/>
          <w:b/>
          <w:color w:val="auto"/>
          <w:sz w:val="28"/>
          <w:szCs w:val="28"/>
          <w:lang w:val="en-US" w:eastAsia="ko-KR"/>
        </w:rPr>
      </w:pPr>
      <w:bookmarkStart w:id="0" w:name="loai_47"/>
      <w:r>
        <w:rPr>
          <w:rFonts w:ascii="Times New Roman" w:eastAsia="Batang" w:hAnsi="Times New Roman" w:cs="Times New Roman"/>
          <w:b/>
          <w:color w:val="auto"/>
          <w:sz w:val="28"/>
          <w:szCs w:val="28"/>
          <w:lang w:val="en-US" w:eastAsia="ko-KR"/>
        </w:rPr>
        <w:t>M</w:t>
      </w:r>
      <w:r w:rsidRPr="002C7018">
        <w:rPr>
          <w:rFonts w:ascii="Times New Roman" w:eastAsia="Batang" w:hAnsi="Times New Roman" w:cs="Times New Roman"/>
          <w:b/>
          <w:color w:val="auto"/>
          <w:sz w:val="28"/>
          <w:szCs w:val="28"/>
          <w:lang w:val="en-US" w:eastAsia="ko-KR"/>
        </w:rPr>
        <w:t>ẫu số 01/ĐGTĐ-B</w:t>
      </w:r>
      <w:r>
        <w:rPr>
          <w:rFonts w:ascii="Times New Roman" w:eastAsia="Batang" w:hAnsi="Times New Roman" w:cs="Times New Roman"/>
          <w:b/>
          <w:color w:val="auto"/>
          <w:sz w:val="28"/>
          <w:szCs w:val="28"/>
          <w:lang w:val="en-US" w:eastAsia="ko-KR"/>
        </w:rPr>
        <w:t>C</w:t>
      </w:r>
      <w:r w:rsidRPr="002C7018">
        <w:rPr>
          <w:rFonts w:ascii="Times New Roman" w:eastAsia="Batang" w:hAnsi="Times New Roman" w:cs="Times New Roman"/>
          <w:b/>
          <w:color w:val="auto"/>
          <w:sz w:val="28"/>
          <w:szCs w:val="28"/>
          <w:lang w:val="en-US" w:eastAsia="ko-KR"/>
        </w:rPr>
        <w:t xml:space="preserve">. </w:t>
      </w:r>
      <w:r>
        <w:rPr>
          <w:rFonts w:ascii="Times New Roman" w:eastAsia="Batang" w:hAnsi="Times New Roman" w:cs="Times New Roman"/>
          <w:b/>
          <w:color w:val="auto"/>
          <w:sz w:val="28"/>
          <w:szCs w:val="28"/>
          <w:lang w:val="en-US" w:eastAsia="ko-KR"/>
        </w:rPr>
        <w:t>Bản đ</w:t>
      </w:r>
      <w:r w:rsidRPr="002C7018">
        <w:rPr>
          <w:rFonts w:ascii="Times New Roman" w:eastAsia="Batang" w:hAnsi="Times New Roman" w:cs="Times New Roman"/>
          <w:b/>
          <w:color w:val="auto"/>
          <w:sz w:val="28"/>
          <w:szCs w:val="28"/>
          <w:lang w:val="en-US" w:eastAsia="ko-KR"/>
        </w:rPr>
        <w:t xml:space="preserve">ánh giá thủ tục hành chính </w:t>
      </w:r>
    </w:p>
    <w:p w14:paraId="04BD1A82" w14:textId="77777777" w:rsidR="00B900CC" w:rsidRPr="002C7018" w:rsidRDefault="00B900CC" w:rsidP="00B900CC">
      <w:pPr>
        <w:widowControl/>
        <w:jc w:val="center"/>
        <w:rPr>
          <w:rFonts w:ascii="Times New Roman" w:eastAsia="Batang" w:hAnsi="Times New Roman" w:cs="Times New Roman"/>
          <w:b/>
          <w:color w:val="auto"/>
          <w:sz w:val="28"/>
          <w:szCs w:val="28"/>
          <w:lang w:val="en-US" w:eastAsia="ko-KR"/>
        </w:rPr>
      </w:pPr>
      <w:r>
        <w:rPr>
          <w:rFonts w:ascii="Times New Roman" w:eastAsia="Batang" w:hAnsi="Times New Roman" w:cs="Times New Roman"/>
          <w:b/>
          <w:color w:val="auto"/>
          <w:sz w:val="28"/>
          <w:szCs w:val="28"/>
          <w:lang w:val="en-US" w:eastAsia="ko-KR"/>
        </w:rPr>
        <w:t xml:space="preserve">của </w:t>
      </w:r>
      <w:r w:rsidRPr="002C7018">
        <w:rPr>
          <w:rFonts w:ascii="Times New Roman" w:eastAsia="Batang" w:hAnsi="Times New Roman" w:cs="Times New Roman"/>
          <w:b/>
          <w:color w:val="auto"/>
          <w:sz w:val="28"/>
          <w:szCs w:val="28"/>
          <w:lang w:val="en-US" w:eastAsia="ko-KR"/>
        </w:rPr>
        <w:t>dự án, dự thảo văn bản</w:t>
      </w:r>
    </w:p>
    <w:bookmarkEnd w:id="0"/>
    <w:p w14:paraId="65AEB2FC" w14:textId="77777777" w:rsidR="00B900CC" w:rsidRPr="003D7C64" w:rsidRDefault="00B900CC" w:rsidP="00B900CC">
      <w:pPr>
        <w:rPr>
          <w:rFonts w:ascii="Times New Roman" w:eastAsia="Times New Roman" w:hAnsi="Times New Roman"/>
          <w:iCs/>
          <w:sz w:val="28"/>
          <w:szCs w:val="28"/>
          <w:lang w:val="en-US"/>
        </w:rPr>
      </w:pPr>
    </w:p>
    <w:tbl>
      <w:tblPr>
        <w:tblW w:w="0" w:type="auto"/>
        <w:tblLook w:val="04A0" w:firstRow="1" w:lastRow="0" w:firstColumn="1" w:lastColumn="0" w:noHBand="0" w:noVBand="1"/>
      </w:tblPr>
      <w:tblGrid>
        <w:gridCol w:w="3722"/>
        <w:gridCol w:w="5349"/>
      </w:tblGrid>
      <w:tr w:rsidR="00B900CC" w:rsidRPr="001C38B8" w14:paraId="085E138F" w14:textId="77777777" w:rsidTr="009F124C">
        <w:tc>
          <w:tcPr>
            <w:tcW w:w="5778" w:type="dxa"/>
          </w:tcPr>
          <w:p w14:paraId="7A154B81" w14:textId="77777777" w:rsidR="00B900CC" w:rsidRPr="005036C4" w:rsidRDefault="00B900CC" w:rsidP="009F124C">
            <w:pPr>
              <w:spacing w:before="120"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BỘ CÔNG THƯƠNG</w:t>
            </w:r>
          </w:p>
          <w:p w14:paraId="1DFE8B87" w14:textId="544C4941" w:rsidR="00B900CC" w:rsidRPr="000E437D" w:rsidRDefault="00B900CC" w:rsidP="009F124C">
            <w:pPr>
              <w:spacing w:before="120" w:line="264" w:lineRule="auto"/>
              <w:jc w:val="center"/>
              <w:rPr>
                <w:rFonts w:ascii="Times New Roman" w:hAnsi="Times New Roman" w:cs="Times New Roman"/>
                <w:b/>
                <w:sz w:val="28"/>
                <w:szCs w:val="28"/>
              </w:rPr>
            </w:pPr>
            <w:r w:rsidRPr="000E437D">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6A37BD74" wp14:editId="11E68A17">
                      <wp:simplePos x="0" y="0"/>
                      <wp:positionH relativeFrom="column">
                        <wp:posOffset>531495</wp:posOffset>
                      </wp:positionH>
                      <wp:positionV relativeFrom="paragraph">
                        <wp:posOffset>13970</wp:posOffset>
                      </wp:positionV>
                      <wp:extent cx="1148080" cy="0"/>
                      <wp:effectExtent l="11430" t="10160" r="1206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9025D" id="_x0000_t32" coordsize="21600,21600" o:spt="32" o:oned="t" path="m,l21600,21600e" filled="f">
                      <v:path arrowok="t" fillok="f" o:connecttype="none"/>
                      <o:lock v:ext="edit" shapetype="t"/>
                    </v:shapetype>
                    <v:shape id="Straight Arrow Connector 1" o:spid="_x0000_s1026" type="#_x0000_t32" style="position:absolute;margin-left:41.85pt;margin-top:1.1pt;width:9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"/>
                  </w:pict>
                </mc:Fallback>
              </mc:AlternateContent>
            </w:r>
          </w:p>
        </w:tc>
        <w:tc>
          <w:tcPr>
            <w:tcW w:w="8931" w:type="dxa"/>
          </w:tcPr>
          <w:p w14:paraId="493B70AA" w14:textId="77777777" w:rsidR="00B900CC" w:rsidRPr="002C7018" w:rsidRDefault="00B900CC" w:rsidP="009F124C">
            <w:pPr>
              <w:spacing w:before="120" w:line="264" w:lineRule="auto"/>
              <w:jc w:val="right"/>
              <w:rPr>
                <w:rFonts w:ascii="Times New Roman" w:hAnsi="Times New Roman" w:cs="Times New Roman"/>
                <w:b/>
                <w:i/>
                <w:sz w:val="28"/>
                <w:szCs w:val="28"/>
                <w:lang w:val="en-US"/>
              </w:rPr>
            </w:pPr>
            <w:r>
              <w:rPr>
                <w:rFonts w:ascii="Times New Roman" w:hAnsi="Times New Roman" w:cs="Times New Roman"/>
                <w:b/>
                <w:i/>
                <w:sz w:val="28"/>
                <w:szCs w:val="28"/>
                <w:lang w:val="en-US"/>
              </w:rPr>
              <w:t>Mẫu số 01/ĐGTĐ-BC</w:t>
            </w:r>
          </w:p>
        </w:tc>
      </w:tr>
    </w:tbl>
    <w:p w14:paraId="1C211AB6" w14:textId="77777777" w:rsidR="00B900CC" w:rsidRDefault="00B900CC" w:rsidP="00B900CC">
      <w:pPr>
        <w:tabs>
          <w:tab w:val="right" w:leader="dot" w:pos="8640"/>
        </w:tabs>
        <w:jc w:val="center"/>
        <w:rPr>
          <w:rFonts w:ascii="Times New Roman" w:hAnsi="Times New Roman" w:cs="Times New Roman"/>
          <w:b/>
          <w:sz w:val="28"/>
          <w:szCs w:val="28"/>
          <w:lang w:val="en-US"/>
        </w:rPr>
      </w:pPr>
      <w:r w:rsidRPr="003D7C64">
        <w:rPr>
          <w:rFonts w:ascii="Times New Roman" w:hAnsi="Times New Roman" w:cs="Times New Roman"/>
          <w:b/>
          <w:sz w:val="28"/>
          <w:szCs w:val="28"/>
        </w:rPr>
        <w:br/>
        <w:t xml:space="preserve">BẢN ĐÁNH GIÁ THỦ TỤC HÀNH CHÍNH </w:t>
      </w:r>
    </w:p>
    <w:p w14:paraId="3D0A6FB7" w14:textId="77777777" w:rsidR="00B900CC" w:rsidRPr="00EF4FE6" w:rsidRDefault="00B900CC" w:rsidP="00B900CC">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CỦA DỰ THẢO NGHỊ ĐỊNH VỀ QUẢN LÝ HOẠT ĐỘNG KINH DOANH THEO PHƯƠNG THỨC ĐA CẤP </w:t>
      </w:r>
    </w:p>
    <w:p w14:paraId="546C90C7" w14:textId="77777777" w:rsidR="00B900CC" w:rsidRPr="003D7C64" w:rsidRDefault="00B900CC" w:rsidP="00B900CC">
      <w:pPr>
        <w:tabs>
          <w:tab w:val="right" w:leader="dot" w:pos="8640"/>
        </w:tabs>
        <w:spacing w:before="120"/>
        <w:jc w:val="center"/>
        <w:rPr>
          <w:rFonts w:ascii="Times New Roman" w:hAnsi="Times New Roman" w:cs="Times New Roman"/>
          <w:b/>
          <w:sz w:val="28"/>
          <w:szCs w:val="28"/>
        </w:rPr>
      </w:pPr>
    </w:p>
    <w:p w14:paraId="63FAFF34" w14:textId="68C24DCC" w:rsidR="00B900CC" w:rsidRPr="00B900CC" w:rsidRDefault="00B900CC" w:rsidP="00B900CC">
      <w:pPr>
        <w:pStyle w:val="ListParagraph"/>
        <w:numPr>
          <w:ilvl w:val="0"/>
          <w:numId w:val="2"/>
        </w:numPr>
        <w:spacing w:before="120" w:after="120" w:line="264" w:lineRule="auto"/>
        <w:ind w:left="0"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Xác định vấn đề tổng quan</w:t>
      </w:r>
    </w:p>
    <w:p w14:paraId="2F1D50B9" w14:textId="77777777" w:rsidR="00B900CC" w:rsidRPr="000B7C96" w:rsidRDefault="00B900CC" w:rsidP="00B900CC">
      <w:pPr>
        <w:pStyle w:val="n-dieund"/>
        <w:spacing w:before="120" w:line="264" w:lineRule="auto"/>
        <w:ind w:firstLine="0"/>
        <w:rPr>
          <w:lang w:val="nl-NL"/>
        </w:rPr>
      </w:pPr>
      <w:r>
        <w:tab/>
      </w:r>
      <w:r w:rsidRPr="000B7C96">
        <w:rPr>
          <w:color w:val="auto"/>
          <w:lang w:val="nl-NL"/>
        </w:rPr>
        <w:t xml:space="preserve">Ngày 12 tháng 3 năm 2018, Chính phủ ban hành Nghị định số </w:t>
      </w:r>
      <w:r w:rsidRPr="000B7C96">
        <w:rPr>
          <w:lang w:val="nb-NO"/>
        </w:rPr>
        <w:t xml:space="preserve">40/2018/NĐ-CP về quản lý hoạt động kinh doanh theo phương thức đa cấp thay thế cho </w:t>
      </w:r>
      <w:r w:rsidRPr="000B7C96">
        <w:rPr>
          <w:color w:val="auto"/>
          <w:lang w:val="nl-NL"/>
        </w:rPr>
        <w:t xml:space="preserve">Nghị định 42/2014/NĐ-CP ngày 14 tháng 5 năm 2014 </w:t>
      </w:r>
      <w:r w:rsidRPr="000B7C96">
        <w:rPr>
          <w:lang w:val="nb-NO"/>
        </w:rPr>
        <w:t>(sau đây gọi là Nghị định 40)</w:t>
      </w:r>
      <w:r w:rsidRPr="000B7C96">
        <w:rPr>
          <w:color w:val="auto"/>
          <w:lang w:val="nl-NL"/>
        </w:rPr>
        <w:t xml:space="preserve">. </w:t>
      </w:r>
      <w:r w:rsidRPr="000B7C96">
        <w:rPr>
          <w:lang w:val="nl-NL"/>
        </w:rPr>
        <w:t xml:space="preserve">Nghị định 40 ra đời với các quy định siết chặt hơn về điều kiện kinh doanh, hoạt động bán hàng đa cấp đối với người tham gia, các doanh nghiệp và công tác quản lý nhà nước trong hoạt động bán hàng đa cấp. </w:t>
      </w:r>
    </w:p>
    <w:p w14:paraId="12AE9317" w14:textId="77777777" w:rsidR="00B900CC" w:rsidRDefault="00B900CC" w:rsidP="00B900CC">
      <w:pPr>
        <w:pStyle w:val="n-dieund"/>
        <w:spacing w:before="120" w:line="264" w:lineRule="auto"/>
        <w:ind w:firstLine="720"/>
      </w:pPr>
      <w:r w:rsidRPr="000B7C96">
        <w:rPr>
          <w:lang w:val="nl-NL"/>
        </w:rPr>
        <w:t xml:space="preserve">Nghị định 40 được ban hành với các quy định </w:t>
      </w:r>
      <w:r w:rsidRPr="000B7C96">
        <w:t>điều chỉnh tương đối đầy đủ, toàn diện về hoạt động kinh doanh theo phương thức đa cấp, tạo hành lang pháp lý rõ ràng cho các doanh nghiệp hoạt động minh bạch, sàng lọc những doanh nghiệp bán hàng đa cấp hoạt động bất chính, qua đó góp phần tạo ra môi trường cạnh tranh lành mạnh, giảm khả năng gây hậu quả về kinh tế - xã hội. Về cơ bản, Nghị định 40 có vai trò quan trọng trong sự phát triển của n</w:t>
      </w:r>
      <w:r>
        <w:t>ề</w:t>
      </w:r>
      <w:r w:rsidRPr="000B7C96">
        <w:t xml:space="preserve">n kinh tế nói chung, với xã hội và với ngành bán hàng đa cấp nói riêng, góp phần tạo môi trường minh bạch cho những doanh nghiệp bán hàng đa cấp hoạt động chân chính, đưa sản phẩm đến gần hơn với người tiêu dùng. </w:t>
      </w:r>
    </w:p>
    <w:p w14:paraId="4E4D9094" w14:textId="77777777" w:rsidR="00B900CC" w:rsidRDefault="00B900CC" w:rsidP="00B900CC">
      <w:pPr>
        <w:pStyle w:val="n-dieund"/>
        <w:spacing w:before="120" w:line="264" w:lineRule="auto"/>
        <w:ind w:firstLine="720"/>
      </w:pPr>
      <w:r>
        <w:t xml:space="preserve">Năm 2023, Chính phủ tiếp tục ban hành Nghị định số 18/2023/NĐ-CP ngày 28 tháng 4 năm 2023 sửa đổi, bổ sung một số điều của Nghị định 40 (sau đây gọi là Nghị định 18). Nghị định 18 đã bổ sung các quy định nhằm thúc đẩy </w:t>
      </w:r>
      <w:r w:rsidRPr="00583D69">
        <w:t>hoạt động bán hàng đa cấp phát triển đúng bản chất của hoạt động phân phối bán lẻ hàng hóa, đưa hàng hóa đến tay người tiêu dùng thay vì chỉ tiêu dùng trong nội bộ hệ thống người tham gia</w:t>
      </w:r>
      <w:r>
        <w:t xml:space="preserve">; </w:t>
      </w:r>
      <w:r w:rsidRPr="00583D69">
        <w:t>nâng cao điều kiện đối với đầu mối liên hệ của doanh nghiệp tại địa phương</w:t>
      </w:r>
      <w:r>
        <w:t xml:space="preserve"> </w:t>
      </w:r>
      <w:r w:rsidRPr="00583D69">
        <w:t>nhằm khắc phục tình trạng doanh nghiệp cử đầu mối mang tính chất đối phó, không có hiểu biết pháp luật hay hiểu biết về hoạt động của doanh nghiệp tại địa phương</w:t>
      </w:r>
      <w:r>
        <w:t xml:space="preserve">; </w:t>
      </w:r>
      <w:r w:rsidRPr="00583D69">
        <w:t>đã bổ sung điều kiện đăng ký hoạt động bán hàng đa cấp đối với tổ chức đăng ký hoạt động bán hàng đa cấp là doanh nghiệp có nhà đầu tư nước ngoài hoặc tổ chức kinh tế có vốn đầu tư nước ngoài là chủ sở hữu hoặc thành viên hoặc cổ đông</w:t>
      </w:r>
      <w:r>
        <w:t xml:space="preserve">; yêu cầu </w:t>
      </w:r>
      <w:r w:rsidRPr="00583D69">
        <w:t xml:space="preserve">doanh nghiệp có cổ đông hay chủ sở hữu là nhà đầu tư nước ngoài cũng sẽ phải tuân thủ quy định về giấy phép kinh doanh </w:t>
      </w:r>
      <w:r w:rsidRPr="00583D69">
        <w:lastRenderedPageBreak/>
        <w:t>tại Nghị định số 09/2018/NĐ-CP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t xml:space="preserve">; </w:t>
      </w:r>
      <w:r w:rsidRPr="00583D69">
        <w:t>thay đổi quy định về thông báo hội nghị, hội thảo, đào tạo trong hoạt động bán hàng đa cấp</w:t>
      </w:r>
      <w:r>
        <w:t>theo hướng các sự kiện</w:t>
      </w:r>
      <w:r w:rsidRPr="00583D69">
        <w:t xml:space="preserve"> tổ chức dưới hình thức trực tuyến cũng phải thông báo đến Sở Công Thương trước khi thực hiện</w:t>
      </w:r>
      <w:r>
        <w:t xml:space="preserve">; </w:t>
      </w:r>
      <w:r w:rsidRPr="00583D69">
        <w:t>sửa đổi quy định về hồ sơ, trình tự, thủ tục thực hiện một số thủ tục hành chính theo hướng tạo điều kiện thuận lợi cho doanh nghiệp trong thực hiện thủ tục hành chính, giảm các thủ tục không cần thiết, giảm chi phí cho doanh nghiệp.</w:t>
      </w:r>
    </w:p>
    <w:p w14:paraId="10B05296" w14:textId="77777777" w:rsidR="00B900CC" w:rsidRPr="00583D69" w:rsidRDefault="00B900CC" w:rsidP="00B900CC">
      <w:pPr>
        <w:pStyle w:val="n-dieund"/>
        <w:spacing w:before="120" w:line="264" w:lineRule="auto"/>
        <w:ind w:firstLine="720"/>
      </w:pPr>
      <w:r>
        <w:rPr>
          <w:iCs/>
        </w:rPr>
        <w:t>Những năm vừa qua, Đảng và Nhà nước ta đã và đang tích cực triển khai chủ trương cắt giảm, đơn giản hóa thủ tục hành chính nhằm tạo điều kiện tối đa cho doanh nghiệp, người dân trong thực hiện các thủ tục hành chính. Ngày 26 tháng 3 năm 2025, Thủ tướng Chính phủ đã ký ban hành Nghị quyết số 66/NQ-CP về chương trình cắt giảm, đơn giản hóa thủ tục hành chính liên quan đến hoạt động sản xuất, kinh doanh năm 2025 và 2025. Thực hiện chủ trương này, Bộ Công Thương đã rà soát và đánh giá một số quy định về thủ tục hành chính tại Dự thảo Nghị định được sửa đổi, bổ sung theo hướng đơn giản hóa hoặc làm rõ để có thể áp dụng thuận lợi trong thực tế, giảm thời gian giải quyết thủ tục hành chính tạo điều kiện thuận lợi cho doanh nghiệp nhưng vẫn phải đảm bảo tính chặt chẽ, rõ ràng, minh bạch.</w:t>
      </w:r>
    </w:p>
    <w:p w14:paraId="575D0FA5" w14:textId="7B584BF5" w:rsidR="00B900CC" w:rsidRPr="00B900CC" w:rsidRDefault="00B900CC" w:rsidP="00B900CC">
      <w:pPr>
        <w:spacing w:before="120" w:after="12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II. Đánh giá tác động của thủ tục hành chính</w:t>
      </w:r>
    </w:p>
    <w:p w14:paraId="282E0DE7" w14:textId="03E7EB94" w:rsidR="00B900CC" w:rsidRPr="00B900CC" w:rsidRDefault="00B900CC" w:rsidP="00B900CC">
      <w:pPr>
        <w:pStyle w:val="ListParagraph"/>
        <w:numPr>
          <w:ilvl w:val="0"/>
          <w:numId w:val="3"/>
        </w:numPr>
        <w:spacing w:before="120" w:after="120" w:line="264" w:lineRule="auto"/>
        <w:ind w:left="0" w:firstLine="720"/>
        <w:jc w:val="both"/>
        <w:rPr>
          <w:rFonts w:ascii="Times New Roman" w:hAnsi="Times New Roman" w:cs="Times New Roman"/>
          <w:b/>
          <w:i/>
          <w:sz w:val="28"/>
          <w:szCs w:val="28"/>
        </w:rPr>
      </w:pPr>
      <w:r>
        <w:rPr>
          <w:rFonts w:ascii="Times New Roman" w:hAnsi="Times New Roman" w:cs="Times New Roman"/>
          <w:b/>
          <w:i/>
          <w:sz w:val="28"/>
          <w:szCs w:val="28"/>
          <w:lang w:val="en-US"/>
        </w:rPr>
        <w:t>Đối với những thủ tục hành chính được ban hành mới</w:t>
      </w:r>
      <w:r w:rsidRPr="00B900CC">
        <w:rPr>
          <w:rFonts w:ascii="Times New Roman" w:hAnsi="Times New Roman" w:cs="Times New Roman"/>
          <w:b/>
          <w:i/>
          <w:sz w:val="28"/>
          <w:szCs w:val="28"/>
        </w:rPr>
        <w:t xml:space="preserve"> </w:t>
      </w:r>
    </w:p>
    <w:p w14:paraId="09D80C0C" w14:textId="088C43B5" w:rsidR="00B900CC" w:rsidRPr="00D833CF" w:rsidRDefault="00B900CC" w:rsidP="00B900CC">
      <w:pPr>
        <w:spacing w:before="120" w:after="120" w:line="264" w:lineRule="auto"/>
        <w:ind w:firstLine="720"/>
        <w:jc w:val="both"/>
        <w:rPr>
          <w:rFonts w:ascii="Times New Roman" w:hAnsi="Times New Roman" w:cs="Times New Roman"/>
          <w:b/>
          <w:i/>
          <w:sz w:val="28"/>
          <w:szCs w:val="28"/>
        </w:rPr>
      </w:pPr>
      <w:r w:rsidRPr="007B64C5">
        <w:rPr>
          <w:rFonts w:ascii="Times New Roman" w:hAnsi="Times New Roman" w:cs="Times New Roman"/>
          <w:sz w:val="28"/>
          <w:szCs w:val="28"/>
        </w:rPr>
        <w:t xml:space="preserve"> </w:t>
      </w:r>
      <w:r>
        <w:rPr>
          <w:rFonts w:ascii="Times New Roman" w:hAnsi="Times New Roman" w:cs="Times New Roman"/>
          <w:sz w:val="28"/>
          <w:szCs w:val="28"/>
          <w:lang w:val="en-US"/>
        </w:rPr>
        <w:t>Cơ quan chủ trì soạn thảo đã tổng kết, đánh giá thực tiễn thi hành Nghị định 40/2018/NĐ-CP, rà soát thực tiễn thực thi các thủ tục hành chính trong lĩnh vực kinh doanh theo phương thức đa cấp, không ban hành thủ tục hành chính mới trong dự</w:t>
      </w:r>
      <w:r w:rsidRPr="007B64C5">
        <w:rPr>
          <w:rFonts w:ascii="Times New Roman" w:hAnsi="Times New Roman" w:cs="Times New Roman"/>
          <w:sz w:val="28"/>
          <w:szCs w:val="28"/>
        </w:rPr>
        <w:t xml:space="preserve"> </w:t>
      </w:r>
      <w:r>
        <w:rPr>
          <w:rFonts w:ascii="Times New Roman" w:hAnsi="Times New Roman" w:cs="Times New Roman"/>
          <w:sz w:val="28"/>
          <w:szCs w:val="28"/>
          <w:lang w:val="en-US"/>
        </w:rPr>
        <w:t xml:space="preserve">Dự thảo Nghị định. </w:t>
      </w:r>
    </w:p>
    <w:p w14:paraId="1D7929E3" w14:textId="77777777" w:rsidR="00B900CC" w:rsidRDefault="00B900CC" w:rsidP="00B900CC">
      <w:pPr>
        <w:pStyle w:val="ListParagraph"/>
        <w:numPr>
          <w:ilvl w:val="0"/>
          <w:numId w:val="3"/>
        </w:numPr>
        <w:spacing w:before="120" w:after="120" w:line="264" w:lineRule="auto"/>
        <w:ind w:left="0" w:firstLine="720"/>
        <w:jc w:val="both"/>
        <w:rPr>
          <w:rFonts w:ascii="Times New Roman" w:hAnsi="Times New Roman" w:cs="Times New Roman"/>
          <w:b/>
          <w:i/>
          <w:sz w:val="28"/>
          <w:szCs w:val="28"/>
        </w:rPr>
      </w:pPr>
      <w:r w:rsidRPr="00B900CC">
        <w:rPr>
          <w:rFonts w:ascii="Times New Roman" w:hAnsi="Times New Roman" w:cs="Times New Roman"/>
          <w:b/>
          <w:i/>
          <w:sz w:val="28"/>
          <w:szCs w:val="28"/>
        </w:rPr>
        <w:t xml:space="preserve">Đối với những thủ tục hành chính được quy định chi tiết </w:t>
      </w:r>
      <w:r w:rsidRPr="00B900CC">
        <w:rPr>
          <w:rFonts w:ascii="Times New Roman" w:hAnsi="Times New Roman" w:cs="Times New Roman"/>
          <w:b/>
          <w:i/>
          <w:sz w:val="28"/>
          <w:szCs w:val="28"/>
          <w:lang w:val="en-US"/>
        </w:rPr>
        <w:t xml:space="preserve">hoặc được </w:t>
      </w:r>
      <w:r w:rsidRPr="00B900CC">
        <w:rPr>
          <w:rFonts w:ascii="Times New Roman" w:hAnsi="Times New Roman" w:cs="Times New Roman"/>
          <w:b/>
          <w:i/>
          <w:sz w:val="28"/>
          <w:szCs w:val="28"/>
        </w:rPr>
        <w:t>sửa đổi, bổ sung</w:t>
      </w:r>
    </w:p>
    <w:p w14:paraId="448960C5" w14:textId="3B9D52AA" w:rsidR="00B900CC" w:rsidRPr="00B900CC" w:rsidRDefault="00B900CC" w:rsidP="00B900CC">
      <w:pPr>
        <w:spacing w:before="120" w:after="120" w:line="264" w:lineRule="auto"/>
        <w:ind w:firstLine="360"/>
        <w:jc w:val="both"/>
        <w:rPr>
          <w:rFonts w:ascii="Times New Roman" w:hAnsi="Times New Roman" w:cs="Times New Roman"/>
          <w:b/>
          <w:i/>
          <w:sz w:val="28"/>
          <w:szCs w:val="28"/>
        </w:rPr>
      </w:pPr>
      <w:r w:rsidRPr="00B900CC">
        <w:rPr>
          <w:rFonts w:ascii="Times New Roman" w:hAnsi="Times New Roman" w:cs="Times New Roman"/>
          <w:sz w:val="28"/>
          <w:szCs w:val="28"/>
          <w:lang w:val="en-US"/>
        </w:rPr>
        <w:t xml:space="preserve">    Cơ quan chủ trì soản thảo tổng hợp </w:t>
      </w:r>
      <w:r w:rsidRPr="00B900CC">
        <w:rPr>
          <w:rFonts w:ascii="Times New Roman" w:hAnsi="Times New Roman" w:cs="Times New Roman"/>
          <w:sz w:val="28"/>
          <w:szCs w:val="28"/>
        </w:rPr>
        <w:t xml:space="preserve">kết quả đánh giá tác động </w:t>
      </w:r>
      <w:r w:rsidRPr="00B900CC">
        <w:rPr>
          <w:rFonts w:ascii="Times New Roman" w:hAnsi="Times New Roman" w:cs="Times New Roman"/>
          <w:sz w:val="28"/>
          <w:szCs w:val="28"/>
          <w:lang w:val="en-US"/>
        </w:rPr>
        <w:t xml:space="preserve">của thủ tục hành chính được sửa đổi, bổ sung tại </w:t>
      </w:r>
      <w:r w:rsidRPr="00B900CC">
        <w:rPr>
          <w:rFonts w:ascii="Times New Roman" w:hAnsi="Times New Roman" w:cs="Times New Roman"/>
          <w:sz w:val="28"/>
          <w:szCs w:val="28"/>
        </w:rPr>
        <w:t>Biểu mẫu số</w:t>
      </w:r>
      <w:r w:rsidRPr="00B900CC">
        <w:rPr>
          <w:rFonts w:ascii="Times New Roman" w:hAnsi="Times New Roman" w:cs="Times New Roman"/>
          <w:sz w:val="28"/>
          <w:szCs w:val="28"/>
          <w:lang w:val="en-US"/>
        </w:rPr>
        <w:t xml:space="preserve"> 03/</w:t>
      </w:r>
      <w:r w:rsidRPr="00B900CC">
        <w:rPr>
          <w:rFonts w:ascii="Times New Roman" w:hAnsi="Times New Roman" w:cs="Times New Roman"/>
          <w:sz w:val="28"/>
          <w:szCs w:val="28"/>
        </w:rPr>
        <w:t>ĐGTĐ-</w:t>
      </w:r>
      <w:r w:rsidRPr="00B900CC">
        <w:rPr>
          <w:rFonts w:ascii="Times New Roman" w:hAnsi="Times New Roman" w:cs="Times New Roman"/>
          <w:sz w:val="28"/>
          <w:szCs w:val="28"/>
          <w:lang w:val="en-US"/>
        </w:rPr>
        <w:t xml:space="preserve">QĐCT/SĐBS Phụ lục II kèm theo Thông tư số 03/2022/TT-BTP ngày 10/2/2022 hướng dẫn việc đánh giá tác động của thủ tục hành chính trong lập đề nghi xây dựng văn bản quy phạm pháp luật vè soạn thảo dự án, dự thảo văn bản quy phạm pháp luật, cơ quan soạn thảo cũng tính toán, so sánh </w:t>
      </w:r>
      <w:r w:rsidRPr="00B900CC">
        <w:rPr>
          <w:rFonts w:ascii="Times New Roman" w:hAnsi="Times New Roman" w:cs="Times New Roman"/>
          <w:sz w:val="28"/>
          <w:szCs w:val="28"/>
        </w:rPr>
        <w:t xml:space="preserve">chi phí tuân thủ thủ tục hành chính được </w:t>
      </w:r>
      <w:r w:rsidRPr="00B900CC">
        <w:rPr>
          <w:rFonts w:ascii="Times New Roman" w:hAnsi="Times New Roman" w:cs="Times New Roman"/>
          <w:sz w:val="28"/>
          <w:szCs w:val="28"/>
          <w:lang w:val="en-US"/>
        </w:rPr>
        <w:t>sửa đổi, bổ sung tại Biểu mẫu số 04/ĐGTĐ-SCM Phụ lục II kèm theo Thông tư số 03/2022/TT-BTP ngày 10/2/2022. Trong bản đánh giá đã thuyết minh về chi phí tuân thủ thủ tục hành chính cũng như chi phí tuân thủ thủ tục hành chính sau khi sửa đổi, bổ sung, cụ thể như sau:</w:t>
      </w:r>
    </w:p>
    <w:p w14:paraId="65523C08" w14:textId="77777777" w:rsidR="00B900CC" w:rsidRDefault="00B900CC" w:rsidP="00B900CC">
      <w:pPr>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TTHC1: Thủ tục cấp giấy chứng nhận đăng ký hoạt động bán hàng đa cấp: Việc sửa đổi, bổ sung quy định không phát sinh thêm các trình tự, thủ tục và chi phí tuân thủ trong quá trình thực hiện.</w:t>
      </w:r>
    </w:p>
    <w:p w14:paraId="1ED5F046" w14:textId="77777777" w:rsidR="00B900CC" w:rsidRDefault="00B900CC" w:rsidP="00B900CC">
      <w:pPr>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-TTHC 2: Thủ tục sửa đổi, bổ sung giấy chứng nhận đăng ký hoạt động bán hàng đa cấp: Việc sửa đổi, bổ sung quy định không phát sinh thêm các trình tự, thủ tục và chi phí tuân thủ trong quá trình thực hiện. </w:t>
      </w:r>
      <w:r>
        <w:rPr>
          <w:rFonts w:ascii="Times New Roman" w:hAnsi="Times New Roman" w:cs="Times New Roman"/>
          <w:sz w:val="28"/>
          <w:szCs w:val="28"/>
          <w:lang w:val="en-US"/>
        </w:rPr>
        <w:tab/>
      </w:r>
    </w:p>
    <w:p w14:paraId="106F8074" w14:textId="77777777" w:rsidR="00B900CC" w:rsidRDefault="00B900CC" w:rsidP="00B900CC">
      <w:pPr>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-TTHC 3: Thủ tục gia hạn giấy chứng nhận đăng ký hoạt động bán hàng đa cấp: Việc sửa đổi, bổ sung quy định không phát sinh thêm các trình tự, thủ tục và chi phí tuân thủ trong quá trình thực hiện. </w:t>
      </w:r>
      <w:r>
        <w:rPr>
          <w:rFonts w:ascii="Times New Roman" w:hAnsi="Times New Roman" w:cs="Times New Roman"/>
          <w:sz w:val="28"/>
          <w:szCs w:val="28"/>
          <w:lang w:val="en-US"/>
        </w:rPr>
        <w:tab/>
      </w:r>
    </w:p>
    <w:p w14:paraId="209F9F82" w14:textId="77777777" w:rsidR="00B900CC" w:rsidRDefault="00B900CC" w:rsidP="00B900CC">
      <w:pPr>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TTHC 4: Thủ tục cấp lại giấy chứng nhận đăng ký hoạt động bán hàng đa cấp: Việc sửa đổi, bổ sung quy định không phát sinh thêm các trình tự, thủ tục  và đã cắt giảm chi phí tuân thủ trong quá trình thực hiện.</w:t>
      </w:r>
    </w:p>
    <w:p w14:paraId="26B70F00" w14:textId="77777777" w:rsidR="00B900CC" w:rsidRDefault="00B900CC" w:rsidP="00B900CC">
      <w:pPr>
        <w:spacing w:before="120" w:after="12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TTHC 5: Thủ tục chấm dứt hoạt động kinh doanh theo phương thức đa cấp: Việc sửa đổi, bổ sung quy định không phát sinh thêm các trình tự, thủ tục  và đã cắt giảm chi phí tuân thủ trong quá trình thực hiện.</w:t>
      </w:r>
    </w:p>
    <w:p w14:paraId="57C7457F" w14:textId="77777777" w:rsidR="00B900CC" w:rsidRDefault="00B900CC" w:rsidP="00B900C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TTHC 6: Thủ tục công nhận chương trình đào tạo kiến thức pháp luật về bán hàng đa cấp: Việc sửa đổi, bổ sung quy định không phát sinh thêm các trình tự, thủ tục và đã cắt giảm chi phí tuân thủ trong quá trình thực hiện.</w:t>
      </w:r>
    </w:p>
    <w:p w14:paraId="12C1F274" w14:textId="77777777" w:rsidR="00B900CC" w:rsidRPr="006B52ED" w:rsidRDefault="00B900CC" w:rsidP="00B900C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-TTHC 7: Thủ tục rút tiền ký quỹ: Việc sửa đổi, bổ sung quy định không phát sinh thêm các trình tự, thủ tục và đã cắt giảm chi phí tuân thủ trong quá trình thực hiện.</w:t>
      </w:r>
    </w:p>
    <w:p w14:paraId="357F1366" w14:textId="77777777" w:rsidR="00B900CC" w:rsidRDefault="00B900CC" w:rsidP="00B900C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TTHC 8: Thủ tục đăng ký hoạt động bán hàng đa cấp tại địa phương Việc sửa đổi, bổ sung quy định không phát sinh thêm các trình tự, thủ tục  và đã cắt giảm chi phí tuân thủ trong quá trình thực hiện.</w:t>
      </w:r>
    </w:p>
    <w:p w14:paraId="6717FFED" w14:textId="77777777" w:rsidR="00B900CC" w:rsidRPr="006B52ED" w:rsidRDefault="00B900CC" w:rsidP="00B900C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TTHC 9: Thủ tục đăng ký sửa đổi, bổ sung nội dung hoạt động bán hàng đa cấp tại địa phương Việc sửa đổi, bổ sung quy định không phát sinh thêm các trình tự, thủ tục và đã cắt giảm chi phí tuân thủ trong quá trình thực hiện.</w:t>
      </w:r>
    </w:p>
    <w:p w14:paraId="1EC21911" w14:textId="3514EBE7" w:rsidR="00B900CC" w:rsidRPr="006B52ED" w:rsidRDefault="00B900CC" w:rsidP="00B900C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TTHC 10: Thủ tục chấm dứt hoạt động bán hàng đa cấp tại địa phương:  Việc sửa đổi, bổ sung quy định không phát sinh thêm các trình tự, thủ tục và đã cắt giảm chi phí tuân thủ trong quá trình thực hiện.</w:t>
      </w:r>
    </w:p>
    <w:p w14:paraId="17485F38" w14:textId="77777777" w:rsidR="00B900CC" w:rsidRPr="006B52ED" w:rsidRDefault="00B900CC" w:rsidP="00B900CC">
      <w:pPr>
        <w:spacing w:before="120" w:after="12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TTHC11: Thủ tục thông báo tổ chức hội nghị hội thảo, đào tạo về bán hàng đa cấp:  Việc sửa đổi, bổ sung quy định không phát sinh thêm các trình tự, thủ tục và đã cắt giảm chi phí tuân thủ trong quá trình thực hiện.</w:t>
      </w:r>
    </w:p>
    <w:p w14:paraId="4E79AA1B" w14:textId="62A0CBD8" w:rsidR="00B900CC" w:rsidRPr="007E1DAB" w:rsidRDefault="00B900CC" w:rsidP="00B900CC">
      <w:pPr>
        <w:pStyle w:val="ListParagraph"/>
        <w:numPr>
          <w:ilvl w:val="0"/>
          <w:numId w:val="3"/>
        </w:numPr>
        <w:spacing w:before="120" w:after="120" w:line="264" w:lineRule="auto"/>
        <w:ind w:left="0" w:firstLine="720"/>
        <w:jc w:val="both"/>
        <w:rPr>
          <w:rFonts w:ascii="Times New Roman" w:hAnsi="Times New Roman" w:cs="Times New Roman"/>
          <w:b/>
          <w:i/>
          <w:sz w:val="28"/>
          <w:szCs w:val="28"/>
          <w:lang w:val="en-US"/>
        </w:rPr>
      </w:pPr>
      <w:r w:rsidRPr="003D7C64">
        <w:rPr>
          <w:rFonts w:ascii="Times New Roman" w:hAnsi="Times New Roman" w:cs="Times New Roman"/>
          <w:b/>
          <w:i/>
          <w:sz w:val="28"/>
          <w:szCs w:val="28"/>
        </w:rPr>
        <w:t xml:space="preserve"> Đối với những thủ tục hành chính được bãi bỏ </w:t>
      </w:r>
    </w:p>
    <w:p w14:paraId="2C7FA194" w14:textId="23CB7CA6" w:rsidR="00B900CC" w:rsidRDefault="00B900CC" w:rsidP="00B900CC">
      <w:pPr>
        <w:spacing w:before="120" w:after="120" w:line="264" w:lineRule="auto"/>
        <w:ind w:firstLine="720"/>
        <w:jc w:val="both"/>
        <w:rPr>
          <w:rFonts w:ascii="Times New Roman" w:hAnsi="Times New Roman" w:cs="Times New Roman"/>
          <w:sz w:val="28"/>
          <w:szCs w:val="28"/>
          <w:lang w:val="en-US"/>
        </w:rPr>
      </w:pPr>
      <w:r w:rsidRPr="007B64C5">
        <w:rPr>
          <w:rFonts w:ascii="Times New Roman" w:hAnsi="Times New Roman" w:cs="Times New Roman"/>
          <w:sz w:val="28"/>
          <w:szCs w:val="28"/>
        </w:rPr>
        <w:t xml:space="preserve">   </w:t>
      </w:r>
      <w:r>
        <w:rPr>
          <w:rFonts w:ascii="Times New Roman" w:hAnsi="Times New Roman" w:cs="Times New Roman"/>
          <w:sz w:val="28"/>
          <w:szCs w:val="28"/>
          <w:lang w:val="en-US"/>
        </w:rPr>
        <w:t xml:space="preserve">Cơ quan soạn thảo đã bãi bỏ 2 thủ tục hành chính gồm thủ tục thông báo thay đổi thông tin danh mục hàng hóa kinh doanh theo phương thức đa cấp và thủ tục kiểm tra cấp xác nhận kiến thức pháp luật về bán hàng đa cấp được tổng hợp </w:t>
      </w:r>
      <w:r>
        <w:rPr>
          <w:rFonts w:ascii="Times New Roman" w:hAnsi="Times New Roman" w:cs="Times New Roman"/>
          <w:sz w:val="28"/>
          <w:szCs w:val="28"/>
          <w:lang w:val="en-US"/>
        </w:rPr>
        <w:lastRenderedPageBreak/>
        <w:t xml:space="preserve">Biểu mẫu số 04/ĐGTĐ-SCM Phụ lục II kèm theo Thông tư, trong đó đã tính toán </w:t>
      </w:r>
      <w:r w:rsidRPr="003D7C64">
        <w:rPr>
          <w:rFonts w:ascii="Times New Roman" w:hAnsi="Times New Roman" w:cs="Times New Roman"/>
          <w:sz w:val="28"/>
          <w:szCs w:val="28"/>
        </w:rPr>
        <w:t xml:space="preserve">chi phí </w:t>
      </w:r>
      <w:r>
        <w:rPr>
          <w:rFonts w:ascii="Times New Roman" w:hAnsi="Times New Roman" w:cs="Times New Roman"/>
          <w:sz w:val="28"/>
          <w:szCs w:val="28"/>
          <w:lang w:val="en-US"/>
        </w:rPr>
        <w:t xml:space="preserve">tuân thủ thủ tục hành chính </w:t>
      </w:r>
      <w:r w:rsidRPr="003D7C64">
        <w:rPr>
          <w:rFonts w:ascii="Times New Roman" w:hAnsi="Times New Roman" w:cs="Times New Roman"/>
          <w:sz w:val="28"/>
          <w:szCs w:val="28"/>
        </w:rPr>
        <w:t>được cắt giảm khi bãi bỏ thủ tục hành</w:t>
      </w:r>
      <w:r>
        <w:rPr>
          <w:rFonts w:ascii="Times New Roman" w:hAnsi="Times New Roman" w:cs="Times New Roman"/>
          <w:sz w:val="28"/>
          <w:szCs w:val="28"/>
        </w:rPr>
        <w:t xml:space="preserve"> chính</w:t>
      </w:r>
      <w:r>
        <w:rPr>
          <w:rFonts w:ascii="Times New Roman" w:hAnsi="Times New Roman" w:cs="Times New Roman"/>
          <w:sz w:val="28"/>
          <w:szCs w:val="28"/>
          <w:lang w:val="en-US"/>
        </w:rPr>
        <w:t>.</w:t>
      </w:r>
    </w:p>
    <w:p w14:paraId="37668774" w14:textId="6B791AB6" w:rsidR="00B900CC" w:rsidRDefault="00B900CC" w:rsidP="00B900CC">
      <w:pPr>
        <w:spacing w:before="120" w:after="12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3D7C64">
        <w:rPr>
          <w:rFonts w:ascii="Times New Roman" w:hAnsi="Times New Roman" w:cs="Times New Roman"/>
          <w:b/>
          <w:sz w:val="28"/>
          <w:szCs w:val="28"/>
        </w:rPr>
        <w:t xml:space="preserve">III. </w:t>
      </w:r>
      <w:r w:rsidRPr="003D29CE">
        <w:rPr>
          <w:rFonts w:ascii="Times New Roman" w:hAnsi="Times New Roman" w:cs="Times New Roman"/>
          <w:b/>
          <w:sz w:val="28"/>
          <w:szCs w:val="28"/>
          <w:lang w:val="en-US"/>
        </w:rPr>
        <w:t>Lấy</w:t>
      </w:r>
      <w:r w:rsidRPr="00CE3A6B">
        <w:rPr>
          <w:rFonts w:ascii="Times New Roman" w:hAnsi="Times New Roman" w:cs="Times New Roman"/>
          <w:b/>
          <w:sz w:val="28"/>
          <w:szCs w:val="28"/>
        </w:rPr>
        <w:t xml:space="preserve"> ý kiến</w:t>
      </w:r>
    </w:p>
    <w:p w14:paraId="73673B10" w14:textId="76B3896A" w:rsidR="00B900CC" w:rsidRPr="001864EB" w:rsidRDefault="00B900CC" w:rsidP="00B900CC">
      <w:pPr>
        <w:spacing w:before="120" w:after="120" w:line="264"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Pr="001864EB">
        <w:rPr>
          <w:rFonts w:ascii="Times New Roman" w:hAnsi="Times New Roman" w:cs="Times New Roman"/>
          <w:sz w:val="28"/>
          <w:szCs w:val="28"/>
          <w:lang w:val="en-US"/>
        </w:rPr>
        <w:t>Cơ quan soạn thảo đã thực hiện lấy ý kiến của Văn phòng Bộ là đơn vị đầu mối kiểm soát thủ tục hành chính theo quy định của pháp luật về kiểm soát thủ tục hành chính và Vụ Pháp chế - Bộ Công Thương về dự thảo Bản đánh giá tác động thủ tục hành chính của dự thảo</w:t>
      </w:r>
      <w:r w:rsidR="003D29CE" w:rsidRPr="001864EB">
        <w:rPr>
          <w:rFonts w:ascii="Times New Roman" w:hAnsi="Times New Roman" w:cs="Times New Roman"/>
          <w:sz w:val="28"/>
          <w:szCs w:val="28"/>
          <w:lang w:val="en-US"/>
        </w:rPr>
        <w:t>.</w:t>
      </w:r>
    </w:p>
    <w:p w14:paraId="5A51D16B" w14:textId="77777777" w:rsidR="00B900CC" w:rsidRPr="00007DBF" w:rsidRDefault="00B900CC" w:rsidP="00B900CC">
      <w:pPr>
        <w:tabs>
          <w:tab w:val="right" w:leader="dot" w:pos="8640"/>
        </w:tabs>
        <w:spacing w:before="120" w:after="120" w:line="264" w:lineRule="auto"/>
        <w:ind w:firstLine="720"/>
        <w:jc w:val="both"/>
        <w:rPr>
          <w:rFonts w:ascii="Times New Roman" w:hAnsi="Times New Roman" w:cs="Times New Roman"/>
          <w:sz w:val="28"/>
          <w:szCs w:val="28"/>
          <w:lang w:val="en-US"/>
        </w:rPr>
      </w:pPr>
      <w:r w:rsidRPr="001864EB">
        <w:rPr>
          <w:rFonts w:ascii="Times New Roman" w:hAnsi="Times New Roman" w:cs="Times New Roman"/>
          <w:sz w:val="28"/>
          <w:szCs w:val="28"/>
          <w:lang w:val="en-US"/>
        </w:rPr>
        <w:t>Việc lấy ý kiến được Cơ quan chủ trì soạn thảo thực hiện bằng hình thức phát hành văn bản xin ý kiến tại các cuộc họp Tổ soạn thảo Nghị định và đã thực hiện tiếp thu, giải trình các ý kiến góp ý, phản hồi của của tổ chức, đơn vị cùng cấp.</w:t>
      </w:r>
      <w:r>
        <w:rPr>
          <w:rFonts w:ascii="Times New Roman" w:hAnsi="Times New Roman" w:cs="Times New Roman"/>
          <w:sz w:val="28"/>
          <w:szCs w:val="28"/>
          <w:lang w:val="en-US"/>
        </w:rPr>
        <w:t xml:space="preserve"> </w:t>
      </w:r>
    </w:p>
    <w:p w14:paraId="3F9CDAF6" w14:textId="77777777" w:rsidR="00000000" w:rsidRDefault="00000000" w:rsidP="00B900CC">
      <w:pPr>
        <w:spacing w:before="120" w:after="120" w:line="264" w:lineRule="auto"/>
        <w:ind w:firstLine="720"/>
        <w:jc w:val="both"/>
      </w:pPr>
    </w:p>
    <w:sectPr w:rsidR="00154AB9" w:rsidSect="00B900C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D3A"/>
    <w:multiLevelType w:val="hybridMultilevel"/>
    <w:tmpl w:val="6992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073FB"/>
    <w:multiLevelType w:val="hybridMultilevel"/>
    <w:tmpl w:val="A558ACD8"/>
    <w:lvl w:ilvl="0" w:tplc="FB0801EA">
      <w:start w:val="1"/>
      <w:numFmt w:val="decimal"/>
      <w:suff w:val="space"/>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52CB6A75"/>
    <w:multiLevelType w:val="hybridMultilevel"/>
    <w:tmpl w:val="47F4CF66"/>
    <w:lvl w:ilvl="0" w:tplc="2FC87A2C">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724079">
    <w:abstractNumId w:val="0"/>
  </w:num>
  <w:num w:numId="2" w16cid:durableId="687680150">
    <w:abstractNumId w:val="2"/>
  </w:num>
  <w:num w:numId="3" w16cid:durableId="1524248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CC"/>
    <w:rsid w:val="000E6C3F"/>
    <w:rsid w:val="00167096"/>
    <w:rsid w:val="001864EB"/>
    <w:rsid w:val="00285C1E"/>
    <w:rsid w:val="002E24A3"/>
    <w:rsid w:val="003C38A8"/>
    <w:rsid w:val="003D29CE"/>
    <w:rsid w:val="004900DE"/>
    <w:rsid w:val="004B0554"/>
    <w:rsid w:val="00552F67"/>
    <w:rsid w:val="005C38E5"/>
    <w:rsid w:val="00744C48"/>
    <w:rsid w:val="00B900CC"/>
    <w:rsid w:val="00F5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3E83"/>
  <w15:chartTrackingRefBased/>
  <w15:docId w15:val="{164CC02C-51EF-40E3-8708-CC826050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CC"/>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B900CC"/>
    <w:pPr>
      <w:keepNext/>
      <w:widowControl/>
      <w:spacing w:before="120" w:after="240" w:line="264" w:lineRule="auto"/>
      <w:jc w:val="center"/>
      <w:outlineLvl w:val="0"/>
    </w:pPr>
    <w:rPr>
      <w:rFonts w:ascii="Times New Roman" w:eastAsia="Batang" w:hAnsi="Times New Roman" w:cs="Times New Roman"/>
      <w:b/>
      <w:color w:val="auto"/>
      <w:sz w:val="28"/>
      <w:szCs w:val="28"/>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0CC"/>
    <w:rPr>
      <w:rFonts w:ascii="Times New Roman" w:eastAsia="Batang" w:hAnsi="Times New Roman" w:cs="Times New Roman"/>
      <w:b/>
      <w:sz w:val="28"/>
      <w:szCs w:val="28"/>
      <w:lang w:eastAsia="ko-KR"/>
    </w:rPr>
  </w:style>
  <w:style w:type="paragraph" w:styleId="Header">
    <w:name w:val="header"/>
    <w:basedOn w:val="Normal"/>
    <w:link w:val="HeaderChar"/>
    <w:uiPriority w:val="99"/>
    <w:rsid w:val="00B900CC"/>
    <w:pPr>
      <w:tabs>
        <w:tab w:val="center" w:pos="4680"/>
        <w:tab w:val="right" w:pos="9360"/>
      </w:tabs>
    </w:pPr>
    <w:rPr>
      <w:rFonts w:cs="Times New Roman"/>
    </w:rPr>
  </w:style>
  <w:style w:type="character" w:customStyle="1" w:styleId="HeaderChar">
    <w:name w:val="Header Char"/>
    <w:basedOn w:val="DefaultParagraphFont"/>
    <w:link w:val="Header"/>
    <w:uiPriority w:val="99"/>
    <w:rsid w:val="00B900CC"/>
    <w:rPr>
      <w:rFonts w:ascii="Courier New" w:eastAsia="Courier New" w:hAnsi="Courier New" w:cs="Times New Roman"/>
      <w:color w:val="000000"/>
      <w:sz w:val="24"/>
      <w:szCs w:val="24"/>
      <w:lang w:val="vi-VN" w:eastAsia="vi-VN"/>
    </w:rPr>
  </w:style>
  <w:style w:type="paragraph" w:styleId="Footer">
    <w:name w:val="footer"/>
    <w:basedOn w:val="Normal"/>
    <w:link w:val="FooterChar"/>
    <w:uiPriority w:val="99"/>
    <w:rsid w:val="00B900CC"/>
    <w:pPr>
      <w:tabs>
        <w:tab w:val="center" w:pos="4680"/>
        <w:tab w:val="right" w:pos="9360"/>
      </w:tabs>
    </w:pPr>
    <w:rPr>
      <w:rFonts w:cs="Times New Roman"/>
    </w:rPr>
  </w:style>
  <w:style w:type="character" w:customStyle="1" w:styleId="FooterChar">
    <w:name w:val="Footer Char"/>
    <w:basedOn w:val="DefaultParagraphFont"/>
    <w:link w:val="Footer"/>
    <w:uiPriority w:val="99"/>
    <w:rsid w:val="00B900CC"/>
    <w:rPr>
      <w:rFonts w:ascii="Courier New" w:eastAsia="Courier New" w:hAnsi="Courier New" w:cs="Times New Roman"/>
      <w:color w:val="000000"/>
      <w:sz w:val="24"/>
      <w:szCs w:val="24"/>
      <w:lang w:val="vi-VN" w:eastAsia="vi-VN"/>
    </w:rPr>
  </w:style>
  <w:style w:type="paragraph" w:customStyle="1" w:styleId="n-dieund">
    <w:name w:val="n-dieund"/>
    <w:basedOn w:val="Normal"/>
    <w:rsid w:val="00B900CC"/>
    <w:pPr>
      <w:spacing w:after="120"/>
      <w:ind w:firstLine="709"/>
      <w:jc w:val="both"/>
    </w:pPr>
    <w:rPr>
      <w:rFonts w:ascii="Times New Roman" w:eastAsia="Times New Roman" w:hAnsi="Times New Roman" w:cs="Times New Roman"/>
      <w:sz w:val="28"/>
      <w:szCs w:val="28"/>
      <w:lang w:val="en-US" w:eastAsia="en-US"/>
    </w:rPr>
  </w:style>
  <w:style w:type="paragraph" w:styleId="BalloonText">
    <w:name w:val="Balloon Text"/>
    <w:basedOn w:val="Normal"/>
    <w:link w:val="BalloonTextChar"/>
    <w:rsid w:val="00B900CC"/>
    <w:rPr>
      <w:rFonts w:ascii="Segoe UI" w:hAnsi="Segoe UI" w:cs="Segoe UI"/>
      <w:sz w:val="18"/>
      <w:szCs w:val="18"/>
    </w:rPr>
  </w:style>
  <w:style w:type="character" w:customStyle="1" w:styleId="BalloonTextChar">
    <w:name w:val="Balloon Text Char"/>
    <w:basedOn w:val="DefaultParagraphFont"/>
    <w:link w:val="BalloonText"/>
    <w:rsid w:val="00B900CC"/>
    <w:rPr>
      <w:rFonts w:ascii="Segoe UI" w:eastAsia="Courier New" w:hAnsi="Segoe UI" w:cs="Segoe UI"/>
      <w:color w:val="000000"/>
      <w:sz w:val="18"/>
      <w:szCs w:val="18"/>
      <w:lang w:val="vi-VN" w:eastAsia="vi-VN"/>
    </w:rPr>
  </w:style>
  <w:style w:type="paragraph" w:styleId="BodyText">
    <w:name w:val="Body Text"/>
    <w:basedOn w:val="Normal"/>
    <w:link w:val="BodyTextChar"/>
    <w:rsid w:val="00B900CC"/>
    <w:pPr>
      <w:widowControl/>
      <w:spacing w:before="120" w:line="264" w:lineRule="auto"/>
      <w:jc w:val="both"/>
    </w:pPr>
    <w:rPr>
      <w:rFonts w:ascii="Times New Roman" w:eastAsia="Batang" w:hAnsi="Times New Roman" w:cs="Times New Roman"/>
      <w:b/>
      <w:color w:val="auto"/>
      <w:sz w:val="28"/>
      <w:szCs w:val="28"/>
      <w:lang w:val="en-US" w:eastAsia="ko-KR"/>
    </w:rPr>
  </w:style>
  <w:style w:type="character" w:customStyle="1" w:styleId="BodyTextChar">
    <w:name w:val="Body Text Char"/>
    <w:basedOn w:val="DefaultParagraphFont"/>
    <w:link w:val="BodyText"/>
    <w:rsid w:val="00B900CC"/>
    <w:rPr>
      <w:rFonts w:ascii="Times New Roman" w:eastAsia="Batang" w:hAnsi="Times New Roman" w:cs="Times New Roman"/>
      <w:b/>
      <w:sz w:val="28"/>
      <w:szCs w:val="28"/>
      <w:lang w:eastAsia="ko-KR"/>
    </w:rPr>
  </w:style>
  <w:style w:type="character" w:styleId="PageNumber">
    <w:name w:val="page number"/>
    <w:rsid w:val="00B900CC"/>
  </w:style>
  <w:style w:type="paragraph" w:customStyle="1" w:styleId="Default">
    <w:name w:val="Default"/>
    <w:rsid w:val="00B900CC"/>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character" w:styleId="FootnoteReference">
    <w:name w:val="footnote reference"/>
    <w:rsid w:val="00B900CC"/>
    <w:rPr>
      <w:vertAlign w:val="superscript"/>
    </w:rPr>
  </w:style>
  <w:style w:type="paragraph" w:styleId="BodyText2">
    <w:name w:val="Body Text 2"/>
    <w:basedOn w:val="Normal"/>
    <w:link w:val="BodyText2Char"/>
    <w:rsid w:val="00B900CC"/>
    <w:pPr>
      <w:widowControl/>
      <w:jc w:val="both"/>
    </w:pPr>
    <w:rPr>
      <w:rFonts w:ascii="Times New Roman" w:eastAsia="Times New Roman" w:hAnsi="Times New Roman" w:cs="Times New Roman"/>
      <w:b/>
      <w:i/>
      <w:color w:val="auto"/>
      <w:sz w:val="28"/>
      <w:szCs w:val="22"/>
      <w:lang w:val="x-none" w:eastAsia="x-none"/>
    </w:rPr>
  </w:style>
  <w:style w:type="character" w:customStyle="1" w:styleId="BodyText2Char">
    <w:name w:val="Body Text 2 Char"/>
    <w:basedOn w:val="DefaultParagraphFont"/>
    <w:link w:val="BodyText2"/>
    <w:rsid w:val="00B900CC"/>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B900CC"/>
    <w:pPr>
      <w:widowControl/>
      <w:spacing w:beforeLines="50" w:before="120" w:afterLines="50" w:after="120" w:line="264" w:lineRule="auto"/>
      <w:jc w:val="both"/>
    </w:pPr>
    <w:rPr>
      <w:rFonts w:ascii="Times New Roman" w:eastAsia="Batang" w:hAnsi="Times New Roman" w:cs="Times New Roman"/>
      <w:color w:val="auto"/>
      <w:szCs w:val="28"/>
      <w:lang w:val="en-US" w:eastAsia="ko-KR"/>
    </w:rPr>
  </w:style>
  <w:style w:type="character" w:customStyle="1" w:styleId="BodyText3Char">
    <w:name w:val="Body Text 3 Char"/>
    <w:basedOn w:val="DefaultParagraphFont"/>
    <w:link w:val="BodyText3"/>
    <w:rsid w:val="00B900CC"/>
    <w:rPr>
      <w:rFonts w:ascii="Times New Roman" w:eastAsia="Batang" w:hAnsi="Times New Roman" w:cs="Times New Roman"/>
      <w:sz w:val="24"/>
      <w:szCs w:val="28"/>
      <w:lang w:eastAsia="ko-KR"/>
    </w:rPr>
  </w:style>
  <w:style w:type="paragraph" w:styleId="FootnoteText">
    <w:name w:val="footnote text"/>
    <w:basedOn w:val="Normal"/>
    <w:link w:val="FootnoteTextChar"/>
    <w:rsid w:val="00B900CC"/>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B900CC"/>
    <w:rPr>
      <w:rFonts w:ascii="Times New Roman" w:eastAsia="Times New Roman" w:hAnsi="Times New Roman" w:cs="Times New Roman"/>
      <w:sz w:val="20"/>
      <w:szCs w:val="20"/>
    </w:rPr>
  </w:style>
  <w:style w:type="character" w:styleId="CommentReference">
    <w:name w:val="annotation reference"/>
    <w:rsid w:val="00B900CC"/>
    <w:rPr>
      <w:sz w:val="16"/>
      <w:szCs w:val="16"/>
    </w:rPr>
  </w:style>
  <w:style w:type="paragraph" w:styleId="CommentText">
    <w:name w:val="annotation text"/>
    <w:basedOn w:val="Normal"/>
    <w:link w:val="CommentTextChar"/>
    <w:rsid w:val="00B900CC"/>
    <w:pPr>
      <w:widowControl/>
    </w:pPr>
    <w:rPr>
      <w:rFonts w:ascii="Times New Roman" w:eastAsia="Batang" w:hAnsi="Times New Roman" w:cs="Times New Roman"/>
      <w:color w:val="auto"/>
      <w:sz w:val="20"/>
      <w:szCs w:val="20"/>
      <w:lang w:val="en-US" w:eastAsia="ko-KR"/>
    </w:rPr>
  </w:style>
  <w:style w:type="character" w:customStyle="1" w:styleId="CommentTextChar">
    <w:name w:val="Comment Text Char"/>
    <w:basedOn w:val="DefaultParagraphFont"/>
    <w:link w:val="CommentText"/>
    <w:rsid w:val="00B900CC"/>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rsid w:val="00B900CC"/>
    <w:rPr>
      <w:b/>
      <w:bCs/>
    </w:rPr>
  </w:style>
  <w:style w:type="character" w:customStyle="1" w:styleId="CommentSubjectChar">
    <w:name w:val="Comment Subject Char"/>
    <w:basedOn w:val="CommentTextChar"/>
    <w:link w:val="CommentSubject"/>
    <w:rsid w:val="00B900CC"/>
    <w:rPr>
      <w:rFonts w:ascii="Times New Roman" w:eastAsia="Batang" w:hAnsi="Times New Roman" w:cs="Times New Roman"/>
      <w:b/>
      <w:bCs/>
      <w:sz w:val="20"/>
      <w:szCs w:val="20"/>
      <w:lang w:eastAsia="ko-KR"/>
    </w:rPr>
  </w:style>
  <w:style w:type="character" w:customStyle="1" w:styleId="normal-h1">
    <w:name w:val="normal-h1"/>
    <w:rsid w:val="00B900CC"/>
    <w:rPr>
      <w:rFonts w:ascii="Times New Roman" w:hAnsi="Times New Roman" w:cs="Times New Roman" w:hint="default"/>
      <w:sz w:val="28"/>
      <w:szCs w:val="28"/>
    </w:rPr>
  </w:style>
  <w:style w:type="table" w:styleId="TableGrid">
    <w:name w:val="Table Grid"/>
    <w:basedOn w:val="TableNormal"/>
    <w:uiPriority w:val="59"/>
    <w:rsid w:val="00B900CC"/>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900CC"/>
    <w:rPr>
      <w:color w:val="0000FF"/>
      <w:u w:val="single"/>
    </w:rPr>
  </w:style>
  <w:style w:type="paragraph" w:styleId="ListParagraph">
    <w:name w:val="List Paragraph"/>
    <w:basedOn w:val="Normal"/>
    <w:uiPriority w:val="34"/>
    <w:qFormat/>
    <w:rsid w:val="00B9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MY Phương. Nguyễn</dc:creator>
  <cp:keywords/>
  <dc:description/>
  <cp:lastModifiedBy>Viet Doan</cp:lastModifiedBy>
  <cp:revision>4</cp:revision>
  <dcterms:created xsi:type="dcterms:W3CDTF">2025-05-29T04:09:00Z</dcterms:created>
  <dcterms:modified xsi:type="dcterms:W3CDTF">2025-06-05T09:30:00Z</dcterms:modified>
</cp:coreProperties>
</file>