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52" w:type="pct"/>
        <w:jc w:val="center"/>
        <w:tblLook w:val="01E0" w:firstRow="1" w:lastRow="1" w:firstColumn="1" w:lastColumn="1" w:noHBand="0" w:noVBand="0"/>
      </w:tblPr>
      <w:tblGrid>
        <w:gridCol w:w="3786"/>
        <w:gridCol w:w="5897"/>
      </w:tblGrid>
      <w:tr w:rsidR="00E319E5" w:rsidRPr="00D07818" w14:paraId="5BA7B965" w14:textId="77777777" w:rsidTr="00E319E5">
        <w:trPr>
          <w:jc w:val="center"/>
        </w:trPr>
        <w:tc>
          <w:tcPr>
            <w:tcW w:w="1955" w:type="pct"/>
          </w:tcPr>
          <w:p w14:paraId="3A3F527F" w14:textId="671AC255" w:rsidR="00E319E5" w:rsidRPr="00B463A2" w:rsidRDefault="00E319E5" w:rsidP="006125E6">
            <w:pPr>
              <w:widowControl w:val="0"/>
              <w:tabs>
                <w:tab w:val="right" w:leader="dot" w:pos="7920"/>
              </w:tabs>
              <w:spacing w:before="0" w:after="0"/>
              <w:ind w:firstLine="0"/>
              <w:jc w:val="center"/>
              <w:rPr>
                <w:b/>
                <w:sz w:val="26"/>
                <w:szCs w:val="26"/>
                <w:vertAlign w:val="superscript"/>
              </w:rPr>
            </w:pPr>
            <w:r>
              <w:rPr>
                <w:b/>
                <w:noProof/>
                <w:sz w:val="26"/>
                <w:szCs w:val="26"/>
              </w:rPr>
              <mc:AlternateContent>
                <mc:Choice Requires="wps">
                  <w:drawing>
                    <wp:anchor distT="0" distB="0" distL="114300" distR="114300" simplePos="0" relativeHeight="251660288" behindDoc="0" locked="0" layoutInCell="1" allowOverlap="1" wp14:anchorId="316CD00A" wp14:editId="368664C7">
                      <wp:simplePos x="0" y="0"/>
                      <wp:positionH relativeFrom="column">
                        <wp:posOffset>662940</wp:posOffset>
                      </wp:positionH>
                      <wp:positionV relativeFrom="paragraph">
                        <wp:posOffset>307975</wp:posOffset>
                      </wp:positionV>
                      <wp:extent cx="990600" cy="0"/>
                      <wp:effectExtent l="0" t="0" r="0" b="0"/>
                      <wp:wrapNone/>
                      <wp:docPr id="4208619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9732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4.25pt" to="130.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"/>
                  </w:pict>
                </mc:Fallback>
              </mc:AlternateContent>
            </w:r>
            <w:r>
              <w:rPr>
                <w:b/>
                <w:sz w:val="26"/>
                <w:szCs w:val="26"/>
              </w:rPr>
              <w:t>BỘ KẾ HOẠCH VÀ ĐẦU TƯ</w:t>
            </w:r>
            <w:r w:rsidRPr="00B463A2">
              <w:rPr>
                <w:b/>
                <w:sz w:val="26"/>
                <w:szCs w:val="26"/>
              </w:rPr>
              <w:br/>
            </w:r>
          </w:p>
        </w:tc>
        <w:tc>
          <w:tcPr>
            <w:tcW w:w="3045" w:type="pct"/>
          </w:tcPr>
          <w:p w14:paraId="2A4CB425" w14:textId="1D69191A" w:rsidR="00E319E5" w:rsidRPr="00B463A2" w:rsidRDefault="00E319E5" w:rsidP="006125E6">
            <w:pPr>
              <w:widowControl w:val="0"/>
              <w:tabs>
                <w:tab w:val="right" w:leader="dot" w:pos="7920"/>
              </w:tabs>
              <w:spacing w:before="0" w:after="0"/>
              <w:ind w:firstLine="0"/>
              <w:jc w:val="center"/>
              <w:rPr>
                <w:sz w:val="26"/>
                <w:szCs w:val="26"/>
                <w:vertAlign w:val="superscript"/>
              </w:rPr>
            </w:pPr>
            <w:r>
              <w:rPr>
                <w:b/>
                <w:noProof/>
                <w:sz w:val="26"/>
                <w:szCs w:val="26"/>
              </w:rPr>
              <mc:AlternateContent>
                <mc:Choice Requires="wps">
                  <w:drawing>
                    <wp:anchor distT="0" distB="0" distL="114300" distR="114300" simplePos="0" relativeHeight="251659264" behindDoc="0" locked="0" layoutInCell="1" allowOverlap="1" wp14:anchorId="3675DE15" wp14:editId="76A55B90">
                      <wp:simplePos x="0" y="0"/>
                      <wp:positionH relativeFrom="column">
                        <wp:posOffset>774065</wp:posOffset>
                      </wp:positionH>
                      <wp:positionV relativeFrom="paragraph">
                        <wp:posOffset>509905</wp:posOffset>
                      </wp:positionV>
                      <wp:extent cx="1962150" cy="0"/>
                      <wp:effectExtent l="0" t="0" r="0" b="0"/>
                      <wp:wrapNone/>
                      <wp:docPr id="12671007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4117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40.15pt" to="215.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"/>
                  </w:pict>
                </mc:Fallback>
              </mc:AlternateContent>
            </w:r>
            <w:r w:rsidRPr="00B463A2">
              <w:rPr>
                <w:b/>
                <w:sz w:val="26"/>
                <w:szCs w:val="26"/>
              </w:rPr>
              <w:t>CỘNG HÒA XÃ HỘI CHỦ NGHĨA VIỆT NAM</w:t>
            </w:r>
            <w:r w:rsidRPr="00B463A2">
              <w:rPr>
                <w:b/>
                <w:sz w:val="26"/>
                <w:szCs w:val="26"/>
              </w:rPr>
              <w:br/>
            </w:r>
            <w:r w:rsidRPr="00E319E5">
              <w:rPr>
                <w:b/>
              </w:rPr>
              <w:t>Độc lập - Tự do - Hạnh phúc</w:t>
            </w:r>
            <w:r w:rsidRPr="00B463A2">
              <w:rPr>
                <w:b/>
                <w:sz w:val="26"/>
                <w:szCs w:val="26"/>
              </w:rPr>
              <w:t xml:space="preserve"> </w:t>
            </w:r>
            <w:r w:rsidRPr="00B463A2">
              <w:rPr>
                <w:b/>
                <w:sz w:val="26"/>
                <w:szCs w:val="26"/>
              </w:rPr>
              <w:br/>
            </w:r>
          </w:p>
        </w:tc>
      </w:tr>
      <w:tr w:rsidR="00E319E5" w:rsidRPr="00D07818" w14:paraId="40D9FF05" w14:textId="77777777" w:rsidTr="00E319E5">
        <w:trPr>
          <w:trHeight w:val="80"/>
          <w:jc w:val="center"/>
        </w:trPr>
        <w:tc>
          <w:tcPr>
            <w:tcW w:w="1955" w:type="pct"/>
          </w:tcPr>
          <w:p w14:paraId="4C803C3F" w14:textId="7A76FE78" w:rsidR="00E319E5" w:rsidRPr="00E319E5" w:rsidRDefault="00E319E5" w:rsidP="006125E6">
            <w:pPr>
              <w:widowControl w:val="0"/>
              <w:tabs>
                <w:tab w:val="right" w:leader="dot" w:pos="7920"/>
              </w:tabs>
              <w:spacing w:before="40" w:after="40"/>
              <w:ind w:firstLine="0"/>
              <w:jc w:val="center"/>
              <w:rPr>
                <w:sz w:val="26"/>
                <w:szCs w:val="26"/>
              </w:rPr>
            </w:pPr>
            <w:r w:rsidRPr="00E319E5">
              <w:rPr>
                <w:sz w:val="26"/>
                <w:szCs w:val="26"/>
              </w:rPr>
              <w:t>Số:     /BC-BKHĐT</w:t>
            </w:r>
          </w:p>
        </w:tc>
        <w:tc>
          <w:tcPr>
            <w:tcW w:w="3045" w:type="pct"/>
          </w:tcPr>
          <w:p w14:paraId="6E940D95" w14:textId="1149A9A2" w:rsidR="00E319E5" w:rsidRPr="00172541" w:rsidRDefault="00E319E5" w:rsidP="006125E6">
            <w:pPr>
              <w:widowControl w:val="0"/>
              <w:tabs>
                <w:tab w:val="right" w:leader="dot" w:pos="7920"/>
              </w:tabs>
              <w:spacing w:before="40" w:after="40"/>
              <w:ind w:firstLine="0"/>
              <w:jc w:val="center"/>
              <w:rPr>
                <w:i/>
                <w:sz w:val="26"/>
                <w:szCs w:val="26"/>
              </w:rPr>
            </w:pPr>
            <w:r w:rsidRPr="00172541">
              <w:rPr>
                <w:i/>
              </w:rPr>
              <w:t xml:space="preserve">Hà Nội, ngày    tháng </w:t>
            </w:r>
            <w:r w:rsidR="005C11DC">
              <w:rPr>
                <w:i/>
              </w:rPr>
              <w:t xml:space="preserve">   </w:t>
            </w:r>
            <w:r w:rsidRPr="00172541">
              <w:rPr>
                <w:i/>
              </w:rPr>
              <w:t xml:space="preserve"> năm 202</w:t>
            </w:r>
            <w:r w:rsidR="005C11DC">
              <w:rPr>
                <w:i/>
              </w:rPr>
              <w:t>5</w:t>
            </w:r>
          </w:p>
        </w:tc>
      </w:tr>
    </w:tbl>
    <w:p w14:paraId="06194041" w14:textId="1E6707E7" w:rsidR="00E319E5" w:rsidRPr="00243300" w:rsidRDefault="00856ED4" w:rsidP="00243300">
      <w:pPr>
        <w:widowControl w:val="0"/>
        <w:tabs>
          <w:tab w:val="right" w:leader="dot" w:pos="7920"/>
        </w:tabs>
        <w:spacing w:line="240" w:lineRule="auto"/>
        <w:jc w:val="center"/>
        <w:rPr>
          <w:b/>
          <w:sz w:val="20"/>
          <w:szCs w:val="20"/>
        </w:rPr>
      </w:pPr>
      <w:r w:rsidRPr="00856ED4">
        <w:rPr>
          <w:rFonts w:eastAsia="Calibri"/>
          <w:noProof/>
          <w:color w:val="000000"/>
        </w:rPr>
        <mc:AlternateContent>
          <mc:Choice Requires="wps">
            <w:drawing>
              <wp:anchor distT="0" distB="0" distL="114300" distR="114300" simplePos="0" relativeHeight="251674624" behindDoc="0" locked="0" layoutInCell="1" allowOverlap="1" wp14:anchorId="7AE4A021" wp14:editId="4C9B427F">
                <wp:simplePos x="0" y="0"/>
                <wp:positionH relativeFrom="column">
                  <wp:posOffset>-57150</wp:posOffset>
                </wp:positionH>
                <wp:positionV relativeFrom="paragraph">
                  <wp:posOffset>148590</wp:posOffset>
                </wp:positionV>
                <wp:extent cx="1590675" cy="390525"/>
                <wp:effectExtent l="0" t="0" r="28575" b="28575"/>
                <wp:wrapNone/>
                <wp:docPr id="1972738675" name="Rectangle 1"/>
                <wp:cNvGraphicFramePr/>
                <a:graphic xmlns:a="http://schemas.openxmlformats.org/drawingml/2006/main">
                  <a:graphicData uri="http://schemas.microsoft.com/office/word/2010/wordprocessingShape">
                    <wps:wsp>
                      <wps:cNvSpPr/>
                      <wps:spPr>
                        <a:xfrm>
                          <a:off x="0" y="0"/>
                          <a:ext cx="1590675"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B86AAD" w14:textId="77777777" w:rsidR="00856ED4" w:rsidRDefault="00856ED4" w:rsidP="00856ED4">
                            <w:pPr>
                              <w:spacing w:before="60" w:line="240" w:lineRule="auto"/>
                              <w:ind w:firstLine="0"/>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4A021" id="Rectangle 1" o:spid="_x0000_s1026" style="position:absolute;left:0;text-align:left;margin-left:-4.5pt;margin-top:11.7pt;width:125.25pt;height:30.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" fillcolor="window" strokecolor="windowText" strokeweight="1pt">
                <v:textbox>
                  <w:txbxContent>
                    <w:p w14:paraId="62B86AAD" w14:textId="77777777" w:rsidR="00856ED4" w:rsidRDefault="00856ED4" w:rsidP="00856ED4">
                      <w:pPr>
                        <w:spacing w:before="60" w:line="240" w:lineRule="auto"/>
                        <w:ind w:firstLine="0"/>
                        <w:jc w:val="center"/>
                      </w:pPr>
                      <w:r>
                        <w:t>DỰ THẢO</w:t>
                      </w:r>
                    </w:p>
                  </w:txbxContent>
                </v:textbox>
              </v:rect>
            </w:pict>
          </mc:Fallback>
        </mc:AlternateContent>
      </w:r>
    </w:p>
    <w:p w14:paraId="11C2C480" w14:textId="1981AA18" w:rsidR="00E319E5" w:rsidRPr="00D07818" w:rsidRDefault="00E319E5" w:rsidP="00641DFE">
      <w:pPr>
        <w:widowControl w:val="0"/>
        <w:tabs>
          <w:tab w:val="right" w:leader="dot" w:pos="7920"/>
        </w:tabs>
        <w:spacing w:line="376" w:lineRule="exact"/>
        <w:ind w:firstLine="0"/>
        <w:jc w:val="center"/>
        <w:rPr>
          <w:b/>
        </w:rPr>
      </w:pPr>
      <w:r w:rsidRPr="00D07818">
        <w:rPr>
          <w:b/>
        </w:rPr>
        <w:t xml:space="preserve">BÁO CÁO </w:t>
      </w:r>
    </w:p>
    <w:p w14:paraId="28D5B49E" w14:textId="73404EF1" w:rsidR="00E319E5" w:rsidRPr="00D07818" w:rsidRDefault="000E7F60" w:rsidP="000E7F60">
      <w:pPr>
        <w:widowControl w:val="0"/>
        <w:tabs>
          <w:tab w:val="right" w:leader="dot" w:pos="7920"/>
        </w:tabs>
        <w:spacing w:after="0" w:line="264" w:lineRule="auto"/>
        <w:ind w:firstLine="0"/>
        <w:jc w:val="center"/>
        <w:rPr>
          <w:b/>
        </w:rPr>
      </w:pPr>
      <w:r>
        <w:rPr>
          <w:b/>
        </w:rPr>
        <w:t xml:space="preserve">Rà soát các văn bản quy phạm pháp luật liên quan đến dự thảo Nghị định của Chính phủ về </w:t>
      </w:r>
      <w:r w:rsidR="004D786C">
        <w:rPr>
          <w:b/>
        </w:rPr>
        <w:t>thử nghiệm phát triển kinh tế tuần hoàn</w:t>
      </w:r>
    </w:p>
    <w:p w14:paraId="297ECD91" w14:textId="5612034E" w:rsidR="00E319E5" w:rsidRPr="00D07818" w:rsidRDefault="00E319E5" w:rsidP="00243300">
      <w:pPr>
        <w:widowControl w:val="0"/>
        <w:tabs>
          <w:tab w:val="right" w:leader="dot" w:pos="7920"/>
        </w:tabs>
        <w:spacing w:line="240" w:lineRule="auto"/>
        <w:jc w:val="center"/>
        <w:rPr>
          <w:b/>
          <w:sz w:val="8"/>
          <w:vertAlign w:val="superscript"/>
        </w:rPr>
      </w:pPr>
      <w:r>
        <w:rPr>
          <w:b/>
          <w:noProof/>
          <w:sz w:val="8"/>
          <w:vertAlign w:val="superscript"/>
        </w:rPr>
        <mc:AlternateContent>
          <mc:Choice Requires="wps">
            <w:drawing>
              <wp:anchor distT="0" distB="0" distL="114300" distR="114300" simplePos="0" relativeHeight="251661312" behindDoc="0" locked="0" layoutInCell="1" allowOverlap="1" wp14:anchorId="62D5AC49" wp14:editId="5AC1C0E5">
                <wp:simplePos x="0" y="0"/>
                <wp:positionH relativeFrom="column">
                  <wp:posOffset>2423160</wp:posOffset>
                </wp:positionH>
                <wp:positionV relativeFrom="paragraph">
                  <wp:posOffset>42545</wp:posOffset>
                </wp:positionV>
                <wp:extent cx="1162050" cy="0"/>
                <wp:effectExtent l="7620" t="10160" r="11430" b="8890"/>
                <wp:wrapNone/>
                <wp:docPr id="974364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2980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3.35pt" to="282.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YV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"/>
            </w:pict>
          </mc:Fallback>
        </mc:AlternateContent>
      </w:r>
    </w:p>
    <w:p w14:paraId="2758C62F" w14:textId="77777777" w:rsidR="000B4820" w:rsidRDefault="000B4820" w:rsidP="000B4820">
      <w:pPr>
        <w:jc w:val="both"/>
      </w:pPr>
    </w:p>
    <w:p w14:paraId="27383D56" w14:textId="57746523" w:rsidR="00F05E0C" w:rsidRDefault="00152E26" w:rsidP="000B4820">
      <w:pPr>
        <w:spacing w:line="257" w:lineRule="auto"/>
        <w:jc w:val="both"/>
        <w:rPr>
          <w:spacing w:val="-6"/>
        </w:rPr>
      </w:pPr>
      <w:r>
        <w:t xml:space="preserve">Thực hiện nhiệm vụ tại Quyết định số 687/QĐ-TTg ngày 07/6/2022 của Thủ tướng Chính phủ phê duyệt Đề án Phát triển kinh tế tuần hoàn ở Việt Nam, </w:t>
      </w:r>
      <w:r w:rsidR="00453105">
        <w:t xml:space="preserve">Luật Bảo vệ môi trường năm 2020, </w:t>
      </w:r>
      <w:r w:rsidR="00684E58">
        <w:t>Nghị quyết số 66/NQ-CP ngày 09</w:t>
      </w:r>
      <w:r w:rsidR="00B753AF">
        <w:t>/</w:t>
      </w:r>
      <w:r w:rsidR="00684E58">
        <w:t>5</w:t>
      </w:r>
      <w:r w:rsidR="00B753AF">
        <w:t>/</w:t>
      </w:r>
      <w:r w:rsidR="00684E58">
        <w:t>2024 của Chính phủ ban hành Chương trình hành động của Chính phủ thực hiện Nghị quyết số 41-NQ/TW ngày 10 tháng 10 năm 2023 của Bộ Chính trị về xây dựng và phát huy vai trò của đội ngũ doanh nhân Việt Nam trong thời kỳ mới, và Nghị quyết số 111/NQ-CP ngày 22</w:t>
      </w:r>
      <w:r w:rsidR="00B753AF">
        <w:t>/</w:t>
      </w:r>
      <w:r w:rsidR="00684E58">
        <w:t>7</w:t>
      </w:r>
      <w:r w:rsidR="00B753AF">
        <w:t>/</w:t>
      </w:r>
      <w:r w:rsidR="00684E58">
        <w:t xml:space="preserve">2024 của Chính phủ ban hành Chương trình hành động của Chính phủ thực hiện Nghị quyết số 29-NQ/TW ngày 17 tháng 11 năm 2022 của Ban Chấp hành Trung ương Đảng khóa XIII về tiếp tục đẩy mạnh công nghiệp hóa, hiện đại hóa đất nước đến năm 2030, tầm nhìn đến năm 2045, </w:t>
      </w:r>
      <w:r w:rsidR="00B753AF">
        <w:rPr>
          <w:noProof/>
          <w:kern w:val="2"/>
          <w:lang w:val="da-DK"/>
        </w:rPr>
        <w:t>và chỉ đạo của</w:t>
      </w:r>
      <w:r w:rsidR="00B753AF" w:rsidRPr="0035290C">
        <w:rPr>
          <w:noProof/>
          <w:kern w:val="2"/>
          <w:lang w:val="da-DK"/>
        </w:rPr>
        <w:t xml:space="preserve"> </w:t>
      </w:r>
      <w:r w:rsidR="00F05E0C">
        <w:t>Phó Thủ tướng Thường trực Chính phủ Nguyễn Hòa Bình tại văn bản số 8986/VPCP-KTTH ngày 06 tháng 12 năm 2024 đồng ý đề nghị xây dựng Nghị định</w:t>
      </w:r>
      <w:r w:rsidR="00B753AF">
        <w:rPr>
          <w:noProof/>
          <w:spacing w:val="2"/>
          <w:kern w:val="2"/>
          <w:lang w:val="da-DK"/>
        </w:rPr>
        <w:t xml:space="preserve">, </w:t>
      </w:r>
      <w:r>
        <w:t xml:space="preserve">Bộ Kế hoạch và Đầu tư </w:t>
      </w:r>
      <w:r w:rsidR="00F05E0C">
        <w:t xml:space="preserve">chủ trì </w:t>
      </w:r>
      <w:r>
        <w:t xml:space="preserve">xây dựng </w:t>
      </w:r>
      <w:r w:rsidR="00F05E0C">
        <w:t>hồ sơ</w:t>
      </w:r>
      <w:r>
        <w:t xml:space="preserve"> Nghị định về cơ chế thử </w:t>
      </w:r>
      <w:r w:rsidRPr="00021DA4">
        <w:rPr>
          <w:spacing w:val="-6"/>
        </w:rPr>
        <w:t xml:space="preserve">nghiệm phát triển kinh tế tuần hoàn. </w:t>
      </w:r>
    </w:p>
    <w:p w14:paraId="305F5BB4" w14:textId="77777777" w:rsidR="00F05E0C" w:rsidRDefault="00F05E0C" w:rsidP="000B4820">
      <w:pPr>
        <w:spacing w:line="257" w:lineRule="auto"/>
        <w:jc w:val="both"/>
      </w:pPr>
      <w:r w:rsidRPr="00F05E0C">
        <w:rPr>
          <w:spacing w:val="-6"/>
        </w:rPr>
        <w:t>Thực hiện quy định của Luật ban hành văn bản quy phạm pháp luật năm 2015, Luật sửa đổi, bổ sung một số điều của Luật ban hành văn bản quy phạm pháp luật năm 2020,</w:t>
      </w:r>
      <w:r w:rsidR="00152E26" w:rsidRPr="00152E26">
        <w:t xml:space="preserve"> </w:t>
      </w:r>
      <w:r w:rsidR="00152E26">
        <w:t xml:space="preserve">Bộ Kế hoạch và Đầu tư </w:t>
      </w:r>
      <w:r>
        <w:t xml:space="preserve">tiến hành rà soát các quy định của pháp luật hiện hành có liên quan đến dự thảo </w:t>
      </w:r>
      <w:r w:rsidR="00B753AF">
        <w:t xml:space="preserve">Nghị định </w:t>
      </w:r>
      <w:r>
        <w:t xml:space="preserve">của Chính phủ về cơ chế thử nghiệm phát triển kinh tế tuần hoàn để bảo đảm sự thống nhất, đồng bộ của hệ thống pháp luật hiện hành. Trên cơ sở rà soát, </w:t>
      </w:r>
      <w:r w:rsidR="00B753AF">
        <w:t>Bộ Kế hoạch và Đầu tư b</w:t>
      </w:r>
      <w:r w:rsidR="00152E26">
        <w:t xml:space="preserve">áo cáo </w:t>
      </w:r>
      <w:r>
        <w:t>như sau:</w:t>
      </w:r>
    </w:p>
    <w:p w14:paraId="666841B4" w14:textId="77777777" w:rsidR="00F05E0C" w:rsidRPr="00F05E0C" w:rsidRDefault="00F05E0C" w:rsidP="000B4820">
      <w:pPr>
        <w:spacing w:line="257" w:lineRule="auto"/>
        <w:jc w:val="both"/>
        <w:rPr>
          <w:b/>
          <w:bCs/>
        </w:rPr>
      </w:pPr>
      <w:r w:rsidRPr="00F05E0C">
        <w:rPr>
          <w:b/>
          <w:bCs/>
        </w:rPr>
        <w:t>I. TỔ CHỨC THỰC HIỆN RÀ SOÁT</w:t>
      </w:r>
    </w:p>
    <w:p w14:paraId="442CB146" w14:textId="6401D9EB" w:rsidR="00F05E0C" w:rsidRPr="00F05E0C" w:rsidRDefault="00F05E0C" w:rsidP="000B4820">
      <w:pPr>
        <w:spacing w:line="257" w:lineRule="auto"/>
        <w:jc w:val="both"/>
        <w:rPr>
          <w:b/>
          <w:bCs/>
        </w:rPr>
      </w:pPr>
      <w:r w:rsidRPr="00F05E0C">
        <w:rPr>
          <w:b/>
          <w:bCs/>
        </w:rPr>
        <w:t>1. Phạm vi, nội dung rà soát</w:t>
      </w:r>
    </w:p>
    <w:p w14:paraId="6B656CFF" w14:textId="61080E86" w:rsidR="00F05E0C" w:rsidRDefault="00F05E0C" w:rsidP="000B4820">
      <w:pPr>
        <w:spacing w:line="257" w:lineRule="auto"/>
        <w:jc w:val="both"/>
      </w:pPr>
      <w:r>
        <w:t>- Về phạm vi rà soát: Gồm dự thảo Nghị định của Chính phủ về cơ chế thử nghiệm phát triển kinh tế tuần hoàn và các văn bản quy phạm pháp luật (Hiến pháp, Luật, các Nghị định của Chính phủ) có liên quan.</w:t>
      </w:r>
    </w:p>
    <w:p w14:paraId="6FC33514" w14:textId="14AF2F94" w:rsidR="00F05E0C" w:rsidRDefault="00F05E0C" w:rsidP="000B4820">
      <w:pPr>
        <w:spacing w:line="257" w:lineRule="auto"/>
        <w:jc w:val="both"/>
      </w:pPr>
      <w:r>
        <w:t>- Về nội dung rà soát: Đối chiếu toàn bộ các quy định tại Nghị định của Chính phủ về cơ chế thử nghiệm phát triển kinh tế tuần hoàn với hệ thống các văn bản quy phạm pháp luật hiện hành có liên quan.</w:t>
      </w:r>
    </w:p>
    <w:p w14:paraId="37DB755B" w14:textId="5B0AA15E" w:rsidR="001A5401" w:rsidRPr="001A5401" w:rsidRDefault="001A5401" w:rsidP="000B4820">
      <w:pPr>
        <w:jc w:val="both"/>
        <w:rPr>
          <w:b/>
          <w:bCs/>
        </w:rPr>
      </w:pPr>
      <w:r w:rsidRPr="001A5401">
        <w:rPr>
          <w:b/>
          <w:bCs/>
        </w:rPr>
        <w:lastRenderedPageBreak/>
        <w:t>2. Mục đích việc rà soát dự thảo Nghị định của Chính phủ về cơ chế thử nghiệm phát triển kinh tế tuần hoàn và các văn bản quy phạm pháp luật có liên quan</w:t>
      </w:r>
    </w:p>
    <w:p w14:paraId="3561DEB9" w14:textId="4B4033D5" w:rsidR="001A5401" w:rsidRDefault="00161826" w:rsidP="000B4820">
      <w:pPr>
        <w:jc w:val="both"/>
      </w:pPr>
      <w:r>
        <w:t>Việc thực hiện rà soát các văn bản quy phạm pháp luật nhằm xác định các nội dung quy định có thể gây cản trở, vướng mắc và/hoặc làm tăng thời gian, chi phí cho các cơ quan, đơn vị khi triển khai các dự án kinh tế tuần hoàn, trên cơ sở đó đề xuất một số quy định theo hướng tạo điều kiện cho thử nghiệm các dự án kinh tế tuần hoàn trong một số lĩnh vực.</w:t>
      </w:r>
    </w:p>
    <w:p w14:paraId="2846CAC6" w14:textId="48097BDD" w:rsidR="00161826" w:rsidRDefault="00161826" w:rsidP="000B4820">
      <w:pPr>
        <w:jc w:val="both"/>
      </w:pPr>
      <w:r>
        <w:t>3. Các văn bản quy phạm pháp luật được rà soát</w:t>
      </w:r>
    </w:p>
    <w:p w14:paraId="20769814" w14:textId="15C5C516" w:rsidR="00161826" w:rsidRDefault="00161826" w:rsidP="000B4820">
      <w:pPr>
        <w:jc w:val="both"/>
      </w:pPr>
      <w:r>
        <w:t>Qua rà soát đã xác định được các văn bản quy phạm pháp luật hiện hành có liên quan, bao gồm:</w:t>
      </w:r>
    </w:p>
    <w:p w14:paraId="658C9CBF" w14:textId="7BBC721D" w:rsidR="00161826" w:rsidRDefault="00161826" w:rsidP="000B4820">
      <w:pPr>
        <w:jc w:val="both"/>
      </w:pPr>
      <w:r>
        <w:t>a) Các luật:</w:t>
      </w:r>
    </w:p>
    <w:p w14:paraId="5DDCAD4B" w14:textId="1EAC9AA2" w:rsidR="00826A51" w:rsidRDefault="00826A51" w:rsidP="000B4820">
      <w:pPr>
        <w:jc w:val="both"/>
      </w:pPr>
      <w:r>
        <w:t>- Luật Bảo vệ môi trường 2020;</w:t>
      </w:r>
    </w:p>
    <w:p w14:paraId="599FB33B" w14:textId="2D4903C0" w:rsidR="00161826" w:rsidRDefault="00826A51" w:rsidP="000B4820">
      <w:pPr>
        <w:jc w:val="both"/>
      </w:pPr>
      <w:r>
        <w:t>- Luật Thuế thu nhập doanh nghiệp 20</w:t>
      </w:r>
      <w:r w:rsidR="00B35460">
        <w:t>0</w:t>
      </w:r>
      <w:r>
        <w:t>8 (sửa đổi năm 2013);</w:t>
      </w:r>
    </w:p>
    <w:p w14:paraId="20F04F8D" w14:textId="303A293E" w:rsidR="00826A51" w:rsidRDefault="00826A51" w:rsidP="000B4820">
      <w:pPr>
        <w:jc w:val="both"/>
      </w:pPr>
      <w:r>
        <w:t>- Luật Đầu tư 2020;</w:t>
      </w:r>
    </w:p>
    <w:p w14:paraId="6A55B4CC" w14:textId="66184507" w:rsidR="00826A51" w:rsidRDefault="00826A51" w:rsidP="000B4820">
      <w:pPr>
        <w:jc w:val="both"/>
      </w:pPr>
      <w:r>
        <w:t>- Luật Đất đai;</w:t>
      </w:r>
    </w:p>
    <w:p w14:paraId="108D8DDD" w14:textId="5A4D080B" w:rsidR="00EE402A" w:rsidRDefault="00EE402A" w:rsidP="000B4820">
      <w:pPr>
        <w:jc w:val="both"/>
      </w:pPr>
      <w:r>
        <w:t>- Luật Các tổ chức tín dụng 2024;</w:t>
      </w:r>
    </w:p>
    <w:p w14:paraId="01CBD94E" w14:textId="131984ED" w:rsidR="00826A51" w:rsidRDefault="00826A51" w:rsidP="000B4820">
      <w:pPr>
        <w:jc w:val="both"/>
      </w:pPr>
      <w:r>
        <w:t>- Luật Chứng khoán;</w:t>
      </w:r>
    </w:p>
    <w:p w14:paraId="7D487D6F" w14:textId="3622A4B7" w:rsidR="00297D86" w:rsidRDefault="00297D86" w:rsidP="000B4820">
      <w:pPr>
        <w:jc w:val="both"/>
      </w:pPr>
      <w:r>
        <w:t>- Luật Các tổ chức tín dụng;</w:t>
      </w:r>
    </w:p>
    <w:p w14:paraId="42F5C1F7" w14:textId="678649A7" w:rsidR="00826A51" w:rsidRDefault="000C0330" w:rsidP="000B4820">
      <w:pPr>
        <w:jc w:val="both"/>
      </w:pPr>
      <w:r>
        <w:t>- Luật Chuyển giao công nghệ năm 20</w:t>
      </w:r>
      <w:r w:rsidR="00297D86">
        <w:t>17</w:t>
      </w:r>
      <w:r>
        <w:t>;</w:t>
      </w:r>
    </w:p>
    <w:p w14:paraId="5F82BA35" w14:textId="0FF9F487" w:rsidR="00297D86" w:rsidRDefault="00297D86" w:rsidP="000B4820">
      <w:pPr>
        <w:jc w:val="both"/>
      </w:pPr>
      <w:r>
        <w:t>- Luật Hỗ trợ doanh nghiệp nhỏ và vừa;</w:t>
      </w:r>
    </w:p>
    <w:p w14:paraId="7BB87400" w14:textId="6C610F96" w:rsidR="00297D86" w:rsidRDefault="00297D86" w:rsidP="000B4820">
      <w:pPr>
        <w:jc w:val="both"/>
      </w:pPr>
      <w:r>
        <w:t>- Luật Hải quan;</w:t>
      </w:r>
    </w:p>
    <w:p w14:paraId="37DFBD62" w14:textId="225545D0" w:rsidR="000C0330" w:rsidRDefault="000C0330" w:rsidP="000B4820">
      <w:pPr>
        <w:tabs>
          <w:tab w:val="left" w:pos="5542"/>
        </w:tabs>
        <w:jc w:val="both"/>
      </w:pPr>
      <w:r>
        <w:t>- Luật Phòng, chống tham nhũng</w:t>
      </w:r>
      <w:r w:rsidR="00612B2B">
        <w:t>;</w:t>
      </w:r>
    </w:p>
    <w:p w14:paraId="611EFFC0" w14:textId="14DA9A21" w:rsidR="00612B2B" w:rsidRDefault="00612B2B" w:rsidP="000B4820">
      <w:pPr>
        <w:tabs>
          <w:tab w:val="left" w:pos="5542"/>
        </w:tabs>
        <w:jc w:val="both"/>
      </w:pPr>
      <w:r>
        <w:t>- Luật Tổ chức Chính phủ;</w:t>
      </w:r>
    </w:p>
    <w:p w14:paraId="3B06A320" w14:textId="740BB829" w:rsidR="00612B2B" w:rsidRDefault="00612B2B" w:rsidP="000B4820">
      <w:pPr>
        <w:tabs>
          <w:tab w:val="left" w:pos="5542"/>
        </w:tabs>
        <w:jc w:val="both"/>
      </w:pPr>
      <w:r>
        <w:t>- Luật Tổ chức chính quyền địa phương.</w:t>
      </w:r>
    </w:p>
    <w:p w14:paraId="7CD1C6B6" w14:textId="5DCDE75F" w:rsidR="00161826" w:rsidRDefault="00161826" w:rsidP="000B4820">
      <w:pPr>
        <w:jc w:val="both"/>
      </w:pPr>
      <w:r>
        <w:t>b) Các Nghị định</w:t>
      </w:r>
    </w:p>
    <w:p w14:paraId="6E1F2379" w14:textId="7F19FC7A" w:rsidR="000C0330" w:rsidRDefault="000C0330" w:rsidP="000B4820">
      <w:pPr>
        <w:jc w:val="both"/>
      </w:pPr>
      <w:r>
        <w:t>- Nghị định số 08/2022/NĐ-CP ngày 10/01/2022</w:t>
      </w:r>
      <w:r w:rsidR="007C47C7">
        <w:t xml:space="preserve"> quy định chi tiết một số điều của Luật Bảo vệ môi trường;</w:t>
      </w:r>
    </w:p>
    <w:p w14:paraId="7CC0E77C" w14:textId="75357B13" w:rsidR="00161826" w:rsidRDefault="000C0330" w:rsidP="000B4820">
      <w:pPr>
        <w:jc w:val="both"/>
      </w:pPr>
      <w:r>
        <w:t xml:space="preserve">- Nghị định số 35/2022/NĐ-CP ngày 28/5/2022 </w:t>
      </w:r>
      <w:r w:rsidRPr="00ED2CF4">
        <w:t>quy định về quản lý khu công nghiệp và khu kinh tế</w:t>
      </w:r>
      <w:r>
        <w:t>;</w:t>
      </w:r>
    </w:p>
    <w:p w14:paraId="5B8CC83F" w14:textId="77777777" w:rsidR="00297D86" w:rsidRDefault="007C47C7" w:rsidP="000B4820">
      <w:pPr>
        <w:jc w:val="both"/>
      </w:pPr>
      <w:r>
        <w:t xml:space="preserve">- </w:t>
      </w:r>
      <w:r w:rsidRPr="00C97F6A">
        <w:t>Nghị định số 102/2024/NĐ-CP ngày 30/7/2024 của Chính phủ quy định chi tiết thi hành một số điều của Luật Đất đai</w:t>
      </w:r>
      <w:r>
        <w:t>;</w:t>
      </w:r>
    </w:p>
    <w:p w14:paraId="109DE121" w14:textId="77777777" w:rsidR="00FB3ED1" w:rsidRDefault="00FB3ED1" w:rsidP="000B4820">
      <w:pPr>
        <w:jc w:val="both"/>
      </w:pPr>
      <w:r>
        <w:t xml:space="preserve">- Nghị định số 153/2020 ngày 31/12/2020 </w:t>
      </w:r>
      <w:r w:rsidRPr="00DD4EF0">
        <w:t>quy định về chào bán, giao dịch trái phiếu doanh nghiệp riêng lẻ tại thị trường trong nước và chào bán trái phiếu doanh nghiệp ra thị trường quốc tế</w:t>
      </w:r>
      <w:r>
        <w:t xml:space="preserve">; </w:t>
      </w:r>
    </w:p>
    <w:p w14:paraId="26CAD562" w14:textId="77777777" w:rsidR="00FB3ED1" w:rsidRDefault="00FB3ED1" w:rsidP="000B4820">
      <w:pPr>
        <w:jc w:val="both"/>
      </w:pPr>
      <w:r>
        <w:lastRenderedPageBreak/>
        <w:t xml:space="preserve">- Nghị định số 155/2020/NĐ-CP ngày 31/12/2020 quy định chi tiết thi hành một số điều của Luật Chứng khoán; </w:t>
      </w:r>
    </w:p>
    <w:p w14:paraId="71E5DA2A" w14:textId="77777777" w:rsidR="00FB3ED1" w:rsidRDefault="00FB3ED1" w:rsidP="000B4820">
      <w:pPr>
        <w:jc w:val="both"/>
      </w:pPr>
      <w:r>
        <w:t xml:space="preserve">- Nghị định số 65/2022/NĐ-CP ngày 16/9/2022 sửa đổi, bổ sung một số điều của Nghị định số 153/2020 ngày 31/12/2020 </w:t>
      </w:r>
      <w:r w:rsidRPr="00DD4EF0">
        <w:t>quy định về chào bán, giao dịch trái phiếu doanh nghiệp riêng lẻ tại thị trường trong nước và chào bán trái phiếu doanh nghiệp ra thị trường quốc tế</w:t>
      </w:r>
      <w:r>
        <w:t xml:space="preserve">; </w:t>
      </w:r>
    </w:p>
    <w:p w14:paraId="14ECCFFA" w14:textId="42A16E32" w:rsidR="00FB3ED1" w:rsidRDefault="00FB3ED1" w:rsidP="000B4820">
      <w:pPr>
        <w:jc w:val="both"/>
      </w:pPr>
      <w:r>
        <w:t xml:space="preserve">- Nghị định số 08/2023 ngày 05/3/2023 về sửa đổi, bổ sung và ngưng hiệu lực thi hành </w:t>
      </w:r>
      <w:r w:rsidRPr="009600F8">
        <w:t>một số điều tại các Nghị định quy định về chào bán, giao dịch trái phiếu doanh nghiệp riêng lẻ tại thị trường trong nước và chào bán trái phiếu doanh nghiệp ra thị trường quốc tế</w:t>
      </w:r>
      <w:r>
        <w:t>;</w:t>
      </w:r>
    </w:p>
    <w:p w14:paraId="1988E7B6" w14:textId="120E18D3" w:rsidR="00743ED4" w:rsidRDefault="00743ED4" w:rsidP="000B4820">
      <w:pPr>
        <w:jc w:val="both"/>
      </w:pPr>
      <w:r>
        <w:t xml:space="preserve">- </w:t>
      </w:r>
      <w:r w:rsidRPr="00743ED4">
        <w:t xml:space="preserve">Nghị định </w:t>
      </w:r>
      <w:r>
        <w:t xml:space="preserve">số 80/2021/NĐ-CP ngày 26/8/2021 của Chính phủ </w:t>
      </w:r>
      <w:r w:rsidRPr="00743ED4">
        <w:t>quy định chi tiết và hướng dẫn thi hành một số điều của Luật Hỗ trợ doanh nghiệp nhỏ và vừa.</w:t>
      </w:r>
    </w:p>
    <w:p w14:paraId="32BCDD1E" w14:textId="665ACC46" w:rsidR="007C47C7" w:rsidRDefault="00297D86" w:rsidP="000B4820">
      <w:pPr>
        <w:jc w:val="both"/>
      </w:pPr>
      <w:r>
        <w:t xml:space="preserve">- </w:t>
      </w:r>
      <w:r w:rsidRPr="00297D86">
        <w:t>Nghị định số 08/2015/NĐ-CP ngày 21 tháng 01 năm 2015 của Chính phủ quy định chi tiết và biện pháp thi hành Luật Hải quan về thủ tục hải quan, kiểm tra, giám sát, kiểm soát hải quan</w:t>
      </w:r>
      <w:r>
        <w:t>;</w:t>
      </w:r>
      <w:r w:rsidR="007C47C7">
        <w:t xml:space="preserve"> </w:t>
      </w:r>
    </w:p>
    <w:p w14:paraId="6D74A2FA" w14:textId="44C9D2B9" w:rsidR="00297D86" w:rsidRDefault="000C0330" w:rsidP="000B4820">
      <w:pPr>
        <w:jc w:val="both"/>
      </w:pPr>
      <w:r>
        <w:t>- Nghị định số 73/2023/NĐ-CP ngày 29/9/2023 của Chính phủ quy định về khuyến khích, bảo vệ cán bộ năng động, sáng tạo, dám nghĩ, dám làm, dám chịu trách nhiệm vì lợi ích chung</w:t>
      </w:r>
      <w:r w:rsidR="00297D86">
        <w:t>.</w:t>
      </w:r>
    </w:p>
    <w:p w14:paraId="6ACA383E" w14:textId="4824BDCD" w:rsidR="007C47C7" w:rsidRDefault="007C47C7" w:rsidP="000B4820">
      <w:pPr>
        <w:jc w:val="both"/>
      </w:pPr>
      <w:r>
        <w:t>c) Các văn bản khác</w:t>
      </w:r>
    </w:p>
    <w:p w14:paraId="381CE7B1" w14:textId="1FEE99B2" w:rsidR="007C47C7" w:rsidRDefault="007C47C7" w:rsidP="000B4820">
      <w:pPr>
        <w:jc w:val="both"/>
      </w:pPr>
      <w:r>
        <w:t>Thông tư số 72/2015/TT-BTC ngày 12/5/2015 quy định áp dụng chế độ ưu tiên trong việc thực hiện thủ tục hải quan, kiểm tra, giám sát hải quan đối với hàng hóa xuất khẩu, nhập khẩu (sửa đổi tại Thông tư số 72/2019/TT-BTC ngày 28/01/2019).</w:t>
      </w:r>
    </w:p>
    <w:p w14:paraId="50AC979A" w14:textId="31C81E14" w:rsidR="00C57800" w:rsidRPr="00C57800" w:rsidRDefault="00C57800" w:rsidP="000B4820">
      <w:pPr>
        <w:jc w:val="both"/>
        <w:rPr>
          <w:b/>
          <w:bCs/>
        </w:rPr>
      </w:pPr>
      <w:r w:rsidRPr="00C57800">
        <w:rPr>
          <w:b/>
          <w:bCs/>
        </w:rPr>
        <w:t>II. KẾT QUẢ RÀ SOÁT</w:t>
      </w:r>
    </w:p>
    <w:p w14:paraId="014B351B" w14:textId="63D7ECFC" w:rsidR="00C57800" w:rsidRPr="00867E58" w:rsidRDefault="00C57800" w:rsidP="000B4820">
      <w:pPr>
        <w:jc w:val="both"/>
        <w:rPr>
          <w:b/>
          <w:bCs/>
        </w:rPr>
      </w:pPr>
      <w:r w:rsidRPr="00867E58">
        <w:rPr>
          <w:b/>
          <w:bCs/>
        </w:rPr>
        <w:t>1. Về phạm vi điều chỉnh và đối tượng áp dụng</w:t>
      </w:r>
    </w:p>
    <w:p w14:paraId="5EDFF846" w14:textId="7111D374" w:rsidR="0077202D" w:rsidRDefault="0077202D" w:rsidP="000B4820">
      <w:pPr>
        <w:jc w:val="both"/>
      </w:pPr>
      <w:r>
        <w:t xml:space="preserve">Luật Bảo vệ môi trường 2020 quy định </w:t>
      </w:r>
      <w:r w:rsidR="00547C35" w:rsidRPr="00547C35">
        <w:t>về hoạt động bảo vệ môi trường; quyền, nghĩa vụ và trách nhiệm của cơ quan, tổ chức, cộng đồng dân cư, hộ gia đình và cá nhân trong hoạt động bảo vệ môi trường.</w:t>
      </w:r>
      <w:r w:rsidR="00EB4C73">
        <w:t xml:space="preserve"> </w:t>
      </w:r>
      <w:r w:rsidR="00A5592F">
        <w:t xml:space="preserve">Khoản 1, </w:t>
      </w:r>
      <w:r w:rsidR="00EB4C73">
        <w:t>Điều 142 của Luật về Kinh tế tuần hoàn có quy định “</w:t>
      </w:r>
      <w:r w:rsidR="00EB4C73" w:rsidRPr="00A5592F">
        <w:rPr>
          <w:i/>
          <w:iCs/>
        </w:rPr>
        <w:t>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r w:rsidR="00EB4C73">
        <w:t>”.</w:t>
      </w:r>
      <w:r w:rsidR="00A5592F">
        <w:t xml:space="preserve"> Khoản 4, Điều 142 của Luật giao</w:t>
      </w:r>
      <w:r w:rsidR="00A5592F" w:rsidRPr="00A5592F">
        <w:t xml:space="preserve"> Chính phủ quy định tiêu chí, lộ trình, cơ chế khuyến khích thực hiện kinh tế tuần hoàn phù hợp với điều kiện kinh tế - xã hội của đất nước.</w:t>
      </w:r>
    </w:p>
    <w:p w14:paraId="786DAE83" w14:textId="1AF584CB" w:rsidR="0077202D" w:rsidRDefault="000337FA" w:rsidP="000B4820">
      <w:pPr>
        <w:jc w:val="both"/>
      </w:pPr>
      <w:r>
        <w:t xml:space="preserve">Do đó, phạm vi điều chỉnh của dự thảo Nghị định về cơ chế thử nghiệm phát triển kinh tế tuần hoàn là phù hợp với phạm vi quy định của Luật Bảo vệ môi trường năm 2020. </w:t>
      </w:r>
    </w:p>
    <w:p w14:paraId="453DF7B4" w14:textId="1C001525" w:rsidR="000337FA" w:rsidRDefault="000337FA" w:rsidP="000B4820">
      <w:pPr>
        <w:jc w:val="both"/>
      </w:pPr>
      <w:r>
        <w:lastRenderedPageBreak/>
        <w:t xml:space="preserve">Luật Bảo vệ môi trường 2020 áp dụng </w:t>
      </w:r>
      <w:r w:rsidRPr="00A5592F">
        <w:t>đối với cơ quan, tổ chức, cộng đồng dân cư, hộ gia đình và cá nhân trên lãnh thổ nước Cộng hòa xã hội chủ nghĩa Việt Nam, bao gồm đất liền, hải đảo, vùng biển, lòng đất và vùng trời.</w:t>
      </w:r>
      <w:r>
        <w:t xml:space="preserve"> Đối tượng áp dụng của dự thảo Nghị định về cơ chế thử nghiệm phát triển kinh tế tuần hoàn là các doanh nghiệp, hợp tác xã, tổ chức sản xuất, hợp tác liên kết, hợp tác kinh doanh trong các dự án ứng dụng mô hình kinh tế tuần hoàn; các cơ quan, tổ chức, cá nhân khác liên quan tới quản lý, thành lập, phát triển mới, chuyển đổi các dự án ứng dụng mô hình kinh tế tuần hoàn. Như vậy, đối tượng áp dụng của dự thảo Nghị định bảo đảm thống nhất với phạm vi điều chỉnh </w:t>
      </w:r>
      <w:r w:rsidR="004943F0">
        <w:t xml:space="preserve">được </w:t>
      </w:r>
      <w:r>
        <w:t>Luật Bảo vệ môi trường 2020</w:t>
      </w:r>
      <w:r w:rsidR="004943F0">
        <w:t xml:space="preserve"> giao</w:t>
      </w:r>
      <w:r>
        <w:t>.</w:t>
      </w:r>
    </w:p>
    <w:p w14:paraId="0E411F54" w14:textId="07E1B030" w:rsidR="00C57800" w:rsidRPr="00867E58" w:rsidRDefault="00C57800" w:rsidP="000B4820">
      <w:pPr>
        <w:jc w:val="both"/>
        <w:rPr>
          <w:b/>
          <w:bCs/>
        </w:rPr>
      </w:pPr>
      <w:r w:rsidRPr="00867E58">
        <w:rPr>
          <w:b/>
          <w:bCs/>
        </w:rPr>
        <w:t>2. Các nội dung rà soát chi tiết</w:t>
      </w:r>
    </w:p>
    <w:p w14:paraId="510A7ABD" w14:textId="4FBE2602" w:rsidR="00C57800" w:rsidRDefault="00310C9B" w:rsidP="000B4820">
      <w:pPr>
        <w:jc w:val="both"/>
      </w:pPr>
      <w:r>
        <w:t>2.1.</w:t>
      </w:r>
      <w:r w:rsidR="002106F6">
        <w:t xml:space="preserve"> Về giải thích từ ngữ</w:t>
      </w:r>
    </w:p>
    <w:p w14:paraId="36FE5E8D" w14:textId="0A9BAC24" w:rsidR="002106F6" w:rsidRDefault="002106F6" w:rsidP="000B4820">
      <w:pPr>
        <w:jc w:val="both"/>
      </w:pPr>
      <w:r w:rsidRPr="002106F6">
        <w:t xml:space="preserve">Các từ ngữ được giải thích tại dự thảo Nghị định </w:t>
      </w:r>
      <w:r>
        <w:t xml:space="preserve">về cơ chế thử nghiệm phát triển kinh tế tuần hoàn gồm “kinh tế tuần hoàn”, dự án “kinh tế tuần hoàn”, “cơ chế thử nghiệm phát triển kinh tế tuần hoàn”, “tổ chức tham gia cơ chế thử nghiệm”, “tổ chức, cá nhân liên quan đến cơ chế thử nghiệm” </w:t>
      </w:r>
      <w:r w:rsidRPr="002106F6">
        <w:t>gồm những từ ngữ chưa được giải thích</w:t>
      </w:r>
      <w:r>
        <w:t xml:space="preserve"> đủ chi tiết, cụ thể</w:t>
      </w:r>
      <w:r w:rsidRPr="002106F6">
        <w:t xml:space="preserve"> trong các văn bản quy phạm pháp luật khác. Các từ ngữ được giải thích không mâu thuẫn, chồng ché</w:t>
      </w:r>
      <w:r>
        <w:t>o</w:t>
      </w:r>
      <w:r w:rsidRPr="002106F6">
        <w:t xml:space="preserve">, không làm điều chỉnh, thay đổi </w:t>
      </w:r>
      <w:r>
        <w:t>bản chất nội dung</w:t>
      </w:r>
      <w:r w:rsidRPr="002106F6">
        <w:t xml:space="preserve"> các từ ngữ trong các văn bản khác có liên quan:</w:t>
      </w:r>
      <w:r>
        <w:t xml:space="preserve"> Luật Bảo vệ môi trường 2020, Nghị định số 08/2022/NĐ-CP ngày 10/01/2022 quy định chi tiết một số điều của Luật Bảo vệ môi trường.</w:t>
      </w:r>
    </w:p>
    <w:p w14:paraId="1B25A4E7" w14:textId="78C9868B" w:rsidR="002106F6" w:rsidRDefault="00310C9B" w:rsidP="000B4820">
      <w:pPr>
        <w:jc w:val="both"/>
      </w:pPr>
      <w:r>
        <w:t>2.2.</w:t>
      </w:r>
      <w:r w:rsidR="002106F6">
        <w:t xml:space="preserve"> Các nội dung chi tiết rà soát</w:t>
      </w:r>
    </w:p>
    <w:p w14:paraId="5822AC3F" w14:textId="1D00B3CD" w:rsidR="00DA6419" w:rsidRDefault="00310C9B" w:rsidP="000B4820">
      <w:pPr>
        <w:jc w:val="both"/>
      </w:pPr>
      <w:r>
        <w:t>a.</w:t>
      </w:r>
      <w:r w:rsidR="002106F6">
        <w:t xml:space="preserve"> Rà soát với Luật Bảo vệ môi trường 2020</w:t>
      </w:r>
      <w:r w:rsidR="002858FB">
        <w:t xml:space="preserve"> và Nghị định số 08/2022/NĐ-CP ngày 10/01/2022 </w:t>
      </w:r>
    </w:p>
    <w:p w14:paraId="07F198C2" w14:textId="4A0FB86B" w:rsidR="002106F6" w:rsidRDefault="002106F6" w:rsidP="000B4820">
      <w:pPr>
        <w:jc w:val="both"/>
      </w:pPr>
      <w:r>
        <w:t>Khoản 1, Điều 142 của Luật về Kinh tế tuần hoàn có quy định “</w:t>
      </w:r>
      <w:r w:rsidRPr="00A5592F">
        <w:rPr>
          <w:i/>
          <w:iCs/>
        </w:rPr>
        <w:t>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r>
        <w:t>”. Khoản 4, Điều 142 của Luật giao</w:t>
      </w:r>
      <w:r w:rsidRPr="00A5592F">
        <w:t xml:space="preserve"> Chính phủ quy định tiêu chí, lộ trình, cơ chế khuyến khích thực hiện kinh tế tuần hoàn phù hợp với điều kiện kinh tế - xã hội của đất nước.</w:t>
      </w:r>
      <w:r>
        <w:t xml:space="preserve"> Như vậy, việc Chính phủ xây dựng và ban hành Nghị định về cơ chế thử nghiệm phát triển kinh tế tuần hoàn </w:t>
      </w:r>
      <w:r w:rsidR="00817A9F">
        <w:t>bảo đảm</w:t>
      </w:r>
      <w:r>
        <w:t xml:space="preserve"> đúng thẩm quyền, đúng quy định pháp luật.</w:t>
      </w:r>
    </w:p>
    <w:p w14:paraId="431657AA" w14:textId="10BC0A7E" w:rsidR="00DD4EF0" w:rsidRDefault="00DD4EF0" w:rsidP="000B4820">
      <w:pPr>
        <w:jc w:val="both"/>
      </w:pPr>
      <w:r>
        <w:t>Các quy định về phân loại xanh trong dự thảo Nghị định về cơ chế thử nghiệm phát triển kinh tế tuần hoàn được đề xuất áp dụng với các dự án kinh tế tuần hoàn tham gia cơ chế thử nghiệm phát triển kinh tế tuần hoàn (các dự án không tham gia cơ chế thử nghiệm phát triển kinh tế tuần hoàn được áp dụng theo quy định hiện hành), qua đó bảo đảm không mâu thuẫn, chồng chéo với các quy định hiện hành của Luật Bảo vệ môi trường 2020 và Nghị định số 08/2022/NĐ-CP ngày 10/01/2022.</w:t>
      </w:r>
    </w:p>
    <w:p w14:paraId="3CD44636" w14:textId="01587E44" w:rsidR="00DA6419" w:rsidRDefault="00310C9B" w:rsidP="000B4820">
      <w:pPr>
        <w:jc w:val="both"/>
      </w:pPr>
      <w:r>
        <w:lastRenderedPageBreak/>
        <w:t>b.</w:t>
      </w:r>
      <w:r w:rsidR="00FD0EF7">
        <w:t xml:space="preserve"> Rà soát với Luật Thuế thu nhập doanh nghiệp 20</w:t>
      </w:r>
      <w:r w:rsidR="00B35460">
        <w:t>0</w:t>
      </w:r>
      <w:r w:rsidR="00FD0EF7">
        <w:t>8 (sửa đổi năm 2013)</w:t>
      </w:r>
      <w:r w:rsidR="007B3042">
        <w:t xml:space="preserve"> và các văn bản hướng dẫn</w:t>
      </w:r>
      <w:r w:rsidR="00FD0EF7">
        <w:t xml:space="preserve"> </w:t>
      </w:r>
    </w:p>
    <w:p w14:paraId="6F79C372" w14:textId="77777777" w:rsidR="007B3042" w:rsidRDefault="007B3042" w:rsidP="000B4820">
      <w:pPr>
        <w:jc w:val="both"/>
      </w:pPr>
      <w:r w:rsidRPr="00494E0F">
        <w:t>Hệ thống văn bản pháp luật liên quan đến chính sách thuế thu nhập doanh nghiệp (TNDN) về cơ bản khá đầy đủ, tạo điều kiện thuận lợi cho người nộp thuế và đáp ứng được các mục tiêu đề ra. Chính sách thuế TNDN hiện hành đã góp phần tạo thuận lợi về môi trường đầu tư, góp phần thúc đẩy sản xuất - kinh doanh, đảm bảo sự công bằng, bình đẳng trong cạnh tranh giữa các thành phần kinh tế; điều tiết được hầu hết các khoản thu nhập từ hoạt động sản xuất - kinh doanh, qua đó góp phần tạo nguồn thu cho ngân sách nhà nước (NSNN); giúp doanh nghiệp có thêm nguồn lực tài chính, tăng tích lũy để đẩy mạnh đầu tư phát triển. Bên cạnh đó, những quy định về thuế TNDN phù hợp với thông lệ quốc tế và các cam kết của Việt Nam với các tổ chức quốc tế.</w:t>
      </w:r>
    </w:p>
    <w:p w14:paraId="2D4BD59D" w14:textId="77777777" w:rsidR="007B3042" w:rsidRDefault="007B3042" w:rsidP="000B4820">
      <w:pPr>
        <w:jc w:val="both"/>
      </w:pPr>
      <w:r>
        <w:t xml:space="preserve">Trong giai đoạn dịch COVID-19 và Chương trình phục hồi và phát triển kinh tế-xã hội, việc thực hiện chính sách giảm thuế, phí, lệ phí (nhiều nội dung khác nhau) cũng đã góp phần tích cực vào việc tháo gỡ khó khăn cho hoạt động sản xuất-kinh doanh, thúc đẩy phục hồi và phát triển kinh tế. Theo Tờ trình số 7314/TTr-BKHĐT ngày 06/9/2023 của Bộ Kế hoạch và Đầu tư về tình hình kinh tế-xã hội tháng 8 và 8 tháng năm 2023; triển khai Chương trình phục hồi và phát triển kinh tế-xã hội, phân bổ, giải ngân vốn đầu tư công, các chương trình mục tiêu quốc gia; cải thiện môi trường đầu tư, kinh doanh, nâng cao năng lực cạnh tranh quốc gia; kế hoạch phát triển kinh tế-xã hội, đầu tư công năm 2024, đánh giá giữa kỳ kế hoạch năm 2021-2025, kết quả thực hiện giảm thuế, phí và lệ phí trong Chương trình phục hồi và phát triển kinh tế-xã hội đạt tới 60.201 tỷ đồng. </w:t>
      </w:r>
    </w:p>
    <w:p w14:paraId="514EC2C6" w14:textId="77777777" w:rsidR="007B3042" w:rsidRDefault="007B3042" w:rsidP="000B4820">
      <w:pPr>
        <w:jc w:val="both"/>
      </w:pPr>
      <w:r>
        <w:t>Đặt trong bối cảnh ấy, cách tiếp cận về việc bổ sung các ưu đãi thuế mới cần cân nhắc một số nội dung quan trọng. Thứ nhất là dư địa tài khóa để thực hiện thúc đẩy tăng trưởng kinh tế và ứng phó với các biến động kinh tế lớn trong tương lai. Thứ hai là bảo đảm tính trung lập của chính sách thuế. Thứ ba là cân nhắc khai thác tối đa các ưu đãi hiện có. Từ những cân nhắc này, việc tận dụng các ưu đãi thuế hiện hành cho các ngành công nghệ cao, địa bàn đầu tư khó khăn,… sẽ là một cách tiếp cận phù hợp cho chính sách thử nghiệm phát triển kinh tế tuần hoàn, phù hợp với thẩm quyền, điều hành của Chính phủ. Cách tiếp cận này cũng có sự thích ứng trong tương lai khi có điều chỉnh ở văn bản Luật về khu công nghiệp và khu kinh tế (Bộ Kế hoạch và Đầu tư đang xây dựng Hồ sơ đề nghị xây dựng Luật Khu công nghiệp và Khu kinh tế, trong đó có 01 đề xuất chính sách về ưu đãi đầu tư đối với khu công nghiệp, khu kinh tế).</w:t>
      </w:r>
    </w:p>
    <w:p w14:paraId="08403F9E" w14:textId="02D5AC7D" w:rsidR="00FD0EF7" w:rsidRDefault="00DA6419" w:rsidP="000B4820">
      <w:pPr>
        <w:jc w:val="both"/>
      </w:pPr>
      <w:r>
        <w:t>D</w:t>
      </w:r>
      <w:r w:rsidR="00B35460">
        <w:t xml:space="preserve">ự thảo Nghị định về cơ chế thử nghiệm phát triển kinh tế tuần hoàn không đề xuất bổ sung, sửa đổi các mức miễn, giảm thuế, thời gian miễn, giảm thuế, mà chỉ đề xuất cho phép </w:t>
      </w:r>
      <w:bookmarkStart w:id="0" w:name="_Hlk136592993"/>
      <w:r w:rsidR="00B35460">
        <w:t xml:space="preserve">dự án kinh tế tuần hoàn tham gia Cơ chế thử nghiệm có các cấu phần công nghiệp - năng lượng và dịch vụ với tổng tỷ trọng ít nhất 50% trong tổng doanh thu được phép thực hiện trong khu công nghiệp, khu kinh tế và được hưởng ưu đãi đầu tư theo quy định của pháp luật về khu công nghiệp, khu kinh </w:t>
      </w:r>
      <w:r w:rsidR="00B35460">
        <w:lastRenderedPageBreak/>
        <w:t>tế.</w:t>
      </w:r>
      <w:bookmarkEnd w:id="0"/>
      <w:r w:rsidR="00B35460">
        <w:t xml:space="preserve"> Theo đó, dự thảo Nghị định không trùng lặp, chồng chéo với Luật Thuế thu nhập doanh nghiệp 2008 (sửa đổi năm 2013).</w:t>
      </w:r>
    </w:p>
    <w:p w14:paraId="23D53BDC" w14:textId="580E581A" w:rsidR="00FD0EF7" w:rsidRDefault="00310C9B" w:rsidP="000B4820">
      <w:pPr>
        <w:jc w:val="both"/>
      </w:pPr>
      <w:r>
        <w:t>c.</w:t>
      </w:r>
      <w:r w:rsidR="00FD0EF7">
        <w:t xml:space="preserve"> Rà soát với Luật Đầu tư 2020</w:t>
      </w:r>
      <w:r w:rsidR="002C0AA7">
        <w:t xml:space="preserve"> và </w:t>
      </w:r>
      <w:r w:rsidR="002858FB">
        <w:t>Nghị định số 35/2022/NĐ-CP ngày 28/5/2022</w:t>
      </w:r>
    </w:p>
    <w:p w14:paraId="0B5852F2" w14:textId="039F3211" w:rsidR="00DA6419" w:rsidRDefault="004069B5" w:rsidP="000B4820">
      <w:pPr>
        <w:jc w:val="both"/>
      </w:pPr>
      <w:r>
        <w:t>Dự thảo Nghị định về cơ chế thử nghiệm phát triển kinh tế tuần hoàn không đề xuất bổ sung, sửa đổi các mức miễn, giảm thuế, thời gian miễn, giảm thuế, mà chỉ đề xuất cho phép dự án kinh tế tuần hoàn tham gia Cơ chế thử nghiệm có các cấu phần công nghiệp - năng lượng và dịch vụ với tổng tỷ trọng ít nhất 50% trong tổng doanh thu được phép thực hiện trong khu công nghiệp, khu kinh tế và được hưởng ưu đãi đầu tư theo quy định của pháp luật về khu công nghiệp, khu kinh tế. Theo đó, dự thảo Nghị định không trùng lặp, chồng chéo, mâu thuẫn với Luật Đầu tư năm 2020 và các văn bản hướng dẫn.</w:t>
      </w:r>
    </w:p>
    <w:p w14:paraId="466627E2" w14:textId="07888372" w:rsidR="00FD0EF7" w:rsidRDefault="00310C9B" w:rsidP="000B4820">
      <w:pPr>
        <w:jc w:val="both"/>
      </w:pPr>
      <w:r>
        <w:t>d.</w:t>
      </w:r>
      <w:r w:rsidR="00FD0EF7">
        <w:t xml:space="preserve"> Rà soát với Luật Đất đai</w:t>
      </w:r>
      <w:r w:rsidR="00736913">
        <w:t xml:space="preserve"> và Nghị định số 102/2024/NĐ-CP</w:t>
      </w:r>
      <w:r w:rsidR="002858FB">
        <w:t xml:space="preserve"> </w:t>
      </w:r>
      <w:r w:rsidR="002858FB" w:rsidRPr="00C97F6A">
        <w:t>ngày 30/7/2024</w:t>
      </w:r>
    </w:p>
    <w:p w14:paraId="1B5BD9FE" w14:textId="54616EE3" w:rsidR="00705333" w:rsidRDefault="00736913" w:rsidP="000B4820">
      <w:pPr>
        <w:jc w:val="both"/>
      </w:pPr>
      <w:r>
        <w:t xml:space="preserve">Trên cơ sở tổng kết thi hành Luật Đất đai, Quốc hội đã ban hành Luật Đất đai (sửa đổi) vào ngày 18/01/2024, và Luật </w:t>
      </w:r>
      <w:r w:rsidRPr="00A520CB">
        <w:t>sửa đổi, bổ sung một số điều của Luật Đất đai số 31/2024/QH15, Luật Nhà ở số 27/2023/QH15, Luật Kinh doanh bất động sản số 29/2023/QH15 và Luật Các tổ chức tín dụng số 32/2024/QH15</w:t>
      </w:r>
      <w:r>
        <w:t xml:space="preserve"> vào ngày 29/6/2024. Theo đó, Luật Đất đai (sửa đổi) có hiệu lực từ ngày 01/8/2024.</w:t>
      </w:r>
    </w:p>
    <w:p w14:paraId="06AEEE4A" w14:textId="75ACC188" w:rsidR="00736913" w:rsidRDefault="00736913" w:rsidP="000B4820">
      <w:pPr>
        <w:jc w:val="both"/>
      </w:pPr>
      <w:r>
        <w:t xml:space="preserve">Luật Đất đai năm 2024 không có quy định về việc sử dụng đất mục đích hỗn hợp, tích hợp đa năng. Điều 218 của Luật Đất đai đã quy định về việc sử dụng đất kết hợp đa mục đích, trong đó có nội dung về các loại đất được sử dụng kết hợp đa mục đích, điều kiện đối với việc sử dụng đất kết hợp đa mục đích, và có giao Chính phủ quy định chi tiết Điều này. </w:t>
      </w:r>
      <w:r w:rsidRPr="00C97F6A">
        <w:t xml:space="preserve">Điều 99 Nghị định số 102/2024/NĐ-CP ngày 30/7/2024 của Chính phủ quy định chi tiết thi hành một số điều của Luật Đất đai quy định sử dụng đất kết hợp đa mục đích là </w:t>
      </w:r>
      <w:r w:rsidRPr="00C97F6A">
        <w:rPr>
          <w:i/>
        </w:rPr>
        <w:t>“việc sử dụng một phần diện tích đất của mục đích sử dụng đất chính vào mục đích khác quy định tại Điều 218…”</w:t>
      </w:r>
      <w:r w:rsidRPr="00C97F6A">
        <w:t>.</w:t>
      </w:r>
      <w:r>
        <w:t xml:space="preserve"> Tuy nhiên, khoản 2 </w:t>
      </w:r>
      <w:r w:rsidRPr="00C97F6A">
        <w:t xml:space="preserve">Điều 99 Nghị định số 102/2024/NĐ-CP </w:t>
      </w:r>
      <w:r>
        <w:t>đưa ra một</w:t>
      </w:r>
      <w:r w:rsidRPr="00C97F6A">
        <w:t xml:space="preserve"> điều kiện là “</w:t>
      </w:r>
      <w:r w:rsidRPr="00C97F6A">
        <w:rPr>
          <w:i/>
          <w:iCs/>
        </w:rPr>
        <w:t>b) Diện tích đất sử dụng vào mục đích kết hợp không quá 50% diện tích đất sử dụng vào mục đích chính, trừ diện tích đất ở sử dụng kết hợp đa mục đích</w:t>
      </w:r>
      <w:r w:rsidRPr="00C97F6A">
        <w:t>;”</w:t>
      </w:r>
      <w:r>
        <w:t xml:space="preserve">. Điều kiện này có thể ảnh hưởng đến khả năng thiết kế các mô hình kinh tế tuần hoàn trong đó có các cấu phần hoạt động tương đương nhau theo chuỗi khép kín (bao gồm cả mục đích sử dụng chính và mục đích kết hợp). Theo đó, một hướng thử nghiệm chính sách có thể cân nhắc là nới lỏng điều kiện </w:t>
      </w:r>
      <w:r w:rsidRPr="00C97F6A">
        <w:rPr>
          <w:b/>
          <w:bCs/>
          <w:i/>
          <w:iCs/>
        </w:rPr>
        <w:t>sử dụng đất kết hợp đa mục đích</w:t>
      </w:r>
      <w:r>
        <w:rPr>
          <w:b/>
          <w:bCs/>
          <w:i/>
          <w:iCs/>
        </w:rPr>
        <w:t>.</w:t>
      </w:r>
      <w:r>
        <w:t xml:space="preserve"> Theo đó, dự thảo Nghị định về cơ chế thử nghiệm phát triển kinh tế tuần hoàn không mâu thuẫn, chồng chéo với các quy định của Luật Đất đai 2024 và Nghị định số 102/2024/NĐ-CP.</w:t>
      </w:r>
    </w:p>
    <w:p w14:paraId="638B1C6F" w14:textId="697A79D8" w:rsidR="00DF3134" w:rsidRDefault="00DF3134" w:rsidP="000B4820">
      <w:pPr>
        <w:jc w:val="both"/>
      </w:pPr>
      <w:r>
        <w:t>đ. Rà soát với Luật Các tổ chức tín dụng 2024</w:t>
      </w:r>
    </w:p>
    <w:p w14:paraId="00BDC4EE" w14:textId="16E8C534" w:rsidR="00DF3134" w:rsidRDefault="00DF3134" w:rsidP="000B4820">
      <w:pPr>
        <w:jc w:val="both"/>
      </w:pPr>
      <w:r>
        <w:t xml:space="preserve">Luật Các tổ chức tín dụng 2024 quy định về hoạt động cấp tín dụng. Qua rà soát các nội dung tại Luật Các tổ chức tín dụng 2024 cho thấy dự thảo Nghị </w:t>
      </w:r>
      <w:r>
        <w:lastRenderedPageBreak/>
        <w:t>định về cơ chế thử nghiệm phát triển kinh tế tuần hoàn không mâu thuẫn, chồng chéo với các quy định hiện hành.</w:t>
      </w:r>
    </w:p>
    <w:p w14:paraId="5814F572" w14:textId="36DAC446" w:rsidR="00FD0EF7" w:rsidRDefault="00DF3134" w:rsidP="000B4820">
      <w:pPr>
        <w:jc w:val="both"/>
      </w:pPr>
      <w:r>
        <w:t>e</w:t>
      </w:r>
      <w:r w:rsidR="00310C9B">
        <w:t>.</w:t>
      </w:r>
      <w:r w:rsidR="00FD0EF7" w:rsidRPr="00FD0EF7">
        <w:t xml:space="preserve"> </w:t>
      </w:r>
      <w:r w:rsidR="00FD0EF7">
        <w:t>Rà soát với Luật Chứng khoán</w:t>
      </w:r>
      <w:r w:rsidR="00DD4EF0">
        <w:t xml:space="preserve"> 2019</w:t>
      </w:r>
      <w:r w:rsidR="008C4DD3">
        <w:t xml:space="preserve"> và các văn bản hướng dẫn</w:t>
      </w:r>
    </w:p>
    <w:p w14:paraId="0D2B23DF" w14:textId="3CDBD056" w:rsidR="008C4DD3" w:rsidRDefault="00DD4EF0" w:rsidP="000B4820">
      <w:pPr>
        <w:jc w:val="both"/>
      </w:pPr>
      <w:r>
        <w:t xml:space="preserve">Các quy định tại Luật Chứng khoán 2019 và các văn bản hướng dẫn (Nghị định số 153/2020 ngày 31/12/2020 </w:t>
      </w:r>
      <w:r w:rsidRPr="00DD4EF0">
        <w:t>quy định về chào bán, giao dịch trái phiếu doanh nghiệp riêng lẻ tại thị trường trong nước và chào bán trái phiếu doanh nghiệp ra thị trường quốc tế</w:t>
      </w:r>
      <w:r>
        <w:t xml:space="preserve">; Nghị định số 155/2020/NĐ-CP ngày 31/12/2020 quy định chi tiết thi hành một số điều của Luật Chứng khoán; Nghị định số 65/2022/NĐ-CP ngày 16/9/2022 sửa đổi, bổ sung một số điều của Nghị định số 153/2020 ngày 31/12/2020 </w:t>
      </w:r>
      <w:r w:rsidRPr="00DD4EF0">
        <w:t>quy định về chào bán, giao dịch trái phiếu doanh nghiệp riêng lẻ tại thị trường trong nước và chào bán trái phiếu doanh nghiệp ra thị trường quốc tế</w:t>
      </w:r>
      <w:r w:rsidR="009600F8">
        <w:t xml:space="preserve">; Nghị định số 08/2023 ngày 05/3/2023 về sửa đổi, bổ sung và ngưng hiệu lực thi hành </w:t>
      </w:r>
      <w:r w:rsidR="009600F8" w:rsidRPr="009600F8">
        <w:t>một số điều tại các Nghị định quy định về chào bán, giao dịch trái phiếu doanh nghiệp riêng lẻ tại thị trường trong nước và chào bán trái phiếu doanh nghiệp ra thị trường quốc tế</w:t>
      </w:r>
      <w:r w:rsidR="009600F8">
        <w:t>)</w:t>
      </w:r>
      <w:r w:rsidR="00136EEB">
        <w:t xml:space="preserve"> đã quy định chi tiết đầy đủ các nội dung liên quan đến phát hành trái phiếu. Qua rà soát cho thấy các quy định về trái phiếu xanh tại dự thảo Nghị định về cơ chế thử nghiệm phát triển kinh tế tuần hoàn không mâu thuẫn, chồng chéo với các quy định tại Luật Chứng khoán 2019 và các văn bản hướng dẫn.</w:t>
      </w:r>
    </w:p>
    <w:p w14:paraId="37190948" w14:textId="38E853C4" w:rsidR="00FD0EF7" w:rsidRDefault="00DF3134" w:rsidP="000B4820">
      <w:pPr>
        <w:jc w:val="both"/>
      </w:pPr>
      <w:r>
        <w:t>g</w:t>
      </w:r>
      <w:r w:rsidR="00310C9B">
        <w:t>.</w:t>
      </w:r>
      <w:r w:rsidR="00FD0EF7">
        <w:t xml:space="preserve"> Rà soát với Luật Chuyển giao công nghệ 20</w:t>
      </w:r>
      <w:r w:rsidR="00136EEB">
        <w:t>17</w:t>
      </w:r>
      <w:r w:rsidR="006F2945">
        <w:t xml:space="preserve"> và các văn bản hướng dẫn</w:t>
      </w:r>
    </w:p>
    <w:p w14:paraId="25778D90" w14:textId="1423CBE8" w:rsidR="00136EEB" w:rsidRDefault="00136EEB" w:rsidP="000B4820">
      <w:pPr>
        <w:jc w:val="both"/>
      </w:pPr>
      <w:r>
        <w:t xml:space="preserve">Luật Chuyển giao công nghệ 2017 quy định về chính sách của Nhà nước đối với hoạt động chuyển giao công nghệ. </w:t>
      </w:r>
      <w:r w:rsidR="006F2945">
        <w:t>Qua rà soát các nội dung tại Luật Chuyển giao công nghệ 2017 và các văn bản hướng dẫn cho thấy dự thảo Nghị định về cơ chế thử nghiệm phát triển kinh tế tuần hoàn không mâu thuẫn, chồng chéo với các quy định hiện hành.</w:t>
      </w:r>
    </w:p>
    <w:p w14:paraId="3C725569" w14:textId="5E6BC48E" w:rsidR="00617DD9" w:rsidRDefault="00DF3134" w:rsidP="000B4820">
      <w:pPr>
        <w:jc w:val="both"/>
      </w:pPr>
      <w:r>
        <w:t>h</w:t>
      </w:r>
      <w:r w:rsidR="00617DD9">
        <w:t>. Rà soát với Luật Hỗ trợ doanh nghiệp nhỏ và vừa và Nghị định số 80/2021/NĐ-CP</w:t>
      </w:r>
    </w:p>
    <w:p w14:paraId="4530447C" w14:textId="074CA696" w:rsidR="00617DD9" w:rsidRDefault="00743ED4" w:rsidP="000B4820">
      <w:pPr>
        <w:jc w:val="both"/>
      </w:pPr>
      <w:r>
        <w:t xml:space="preserve">Luật Hỗ trợ doanh nghiệp nhỏ và vừa </w:t>
      </w:r>
      <w:r w:rsidRPr="00743ED4">
        <w:t>quy định về nguyên tắc, nội dung, nguồn lực hỗ trợ doanh nghiệp nhỏ và vừa; trách nhiệm của cơ quan, tổ chức và cá nhân liên quan đến hỗ trợ doanh nghiệp nhỏ và vừa.</w:t>
      </w:r>
      <w:r>
        <w:t xml:space="preserve"> </w:t>
      </w:r>
      <w:r w:rsidRPr="00743ED4">
        <w:t>Nghị định này quy định chi tiết và hướng dẫn thi hành một số điều của Luật Hỗ trợ doanh nghiệp nhỏ và vừa về tiêu chí xác định doanh nghiệp nhỏ và vừa, hỗ trợ công nghệ, hỗ trợ thông tin, hỗ trợ tư vấn, hỗ trợ phát triển nguồn nhân lực, hỗ trợ doanh nghiệp nhỏ và vừa chuyển đổi từ hộ kinh doanh, doanh nghiệp nhỏ và vừa khởi nghiệp sáng tạo, doanh nghiệp nhỏ và vừa tham gia cụm liên kết ngành, chuỗi giá trị; trách nhiệm của các cơ quan, tổ chức trong việc thực hiện hỗ trợ doanh nghiệp nhỏ và vừa.</w:t>
      </w:r>
      <w:r>
        <w:t xml:space="preserve"> Dự thảo Nghị định về cơ chế thử nghiệm phát triển kinh tế tuần hoàn có thể áp dụng đối với doanh nghiệp có quy mô lớn; ngay cả với các doanh nghiệp nhỏ và vừa, nếu không tham gia cơ chế thử nghiệm thì có thể áp dụng theo các cơ chế, chính sách hiện hành. Qua rà soát cho thấy dự thảo Nghị định về cơ chế thử </w:t>
      </w:r>
      <w:r>
        <w:lastRenderedPageBreak/>
        <w:t>nghiệm phát triển kinh tế tuần hoàn không mâu thuẫn, chồng chéo với các quy định hiện hành của Luật Hỗ trợ doanh nghiệp nhỏ và vừa và Nghị định số 80/2021/NĐ-CP.</w:t>
      </w:r>
    </w:p>
    <w:p w14:paraId="27B0C80B" w14:textId="75808ADA" w:rsidR="00EE44F3" w:rsidRDefault="00DF3134" w:rsidP="000B4820">
      <w:pPr>
        <w:jc w:val="both"/>
      </w:pPr>
      <w:r>
        <w:t>i</w:t>
      </w:r>
      <w:r w:rsidR="00A21E76">
        <w:t xml:space="preserve">. Rà soát với Luật Hải quan, Nghị định số </w:t>
      </w:r>
      <w:r w:rsidR="00A21E76" w:rsidRPr="00297D86">
        <w:t>08/2015/NĐ-CP</w:t>
      </w:r>
      <w:r w:rsidR="00A21E76">
        <w:t xml:space="preserve"> và Thông tư số 72/2015/TT-BTC (sửa đổi năm 2019)</w:t>
      </w:r>
    </w:p>
    <w:p w14:paraId="52B64F45" w14:textId="1D06904A" w:rsidR="00A21E76" w:rsidRDefault="00EE44F3" w:rsidP="000B4820">
      <w:pPr>
        <w:jc w:val="both"/>
      </w:pPr>
      <w:r>
        <w:t xml:space="preserve">Luật Hải quan, Nghị định số </w:t>
      </w:r>
      <w:r w:rsidRPr="00297D86">
        <w:t>08/2015/NĐ-CP</w:t>
      </w:r>
      <w:r>
        <w:t xml:space="preserve"> và Thông tư số 72/2015/TT-BTC (sửa đổi năm 2019) đã quy định chi tiết về đơn giản hóa trong việc thực hiện thủ tục hải quan, kiểm tra, giám sát hải quan đối với hàng hóa xuất khẩu, nhập khẩu. Qua rà soát cho thấy dự thảo Nghị định về cơ chế thử nghiệm phát triển kinh tế tuần hoàn không mâu thuẫn, chồng chéo với các quy định hiện hành.</w:t>
      </w:r>
      <w:r w:rsidR="00A21E76">
        <w:t xml:space="preserve">  </w:t>
      </w:r>
    </w:p>
    <w:p w14:paraId="5685D417" w14:textId="60ACCABF" w:rsidR="00FD0EF7" w:rsidRDefault="00DF3134" w:rsidP="000B4820">
      <w:pPr>
        <w:tabs>
          <w:tab w:val="left" w:pos="5542"/>
        </w:tabs>
        <w:jc w:val="both"/>
      </w:pPr>
      <w:r>
        <w:t>k</w:t>
      </w:r>
      <w:r w:rsidR="00EE44F3">
        <w:t>.</w:t>
      </w:r>
      <w:r w:rsidR="00FD0EF7">
        <w:t xml:space="preserve"> Rà soát với Luật Phòng, chống tham nhũng</w:t>
      </w:r>
    </w:p>
    <w:p w14:paraId="31564652" w14:textId="4CA4BCAF" w:rsidR="00A21E76" w:rsidRDefault="00EE44F3" w:rsidP="000B4820">
      <w:pPr>
        <w:tabs>
          <w:tab w:val="left" w:pos="5542"/>
        </w:tabs>
        <w:jc w:val="both"/>
      </w:pPr>
      <w:r w:rsidRPr="008D3628">
        <w:rPr>
          <w:lang w:val="nl-NL"/>
        </w:rPr>
        <w:t xml:space="preserve">điểm c khoản 2 Điều 20 Luật Phòng, chống tham nhũng năm 2018 quy định: </w:t>
      </w:r>
      <w:r w:rsidRPr="008D3628">
        <w:rPr>
          <w:i/>
          <w:lang w:val="nl-NL"/>
        </w:rPr>
        <w:t>“Người có chức vụ, quyền hạn trong cơ quan, tổ chức, đơn vị không được làm những việc sau đây:... Tư vấn cho doanh nghiệp, tổ chức, cá nhân khác ở trong nước và nước ngoài về... công việc thuộc thẩm quyền giải quyết hoặc tham gia giải quyết”</w:t>
      </w:r>
      <w:r w:rsidRPr="008D3628">
        <w:rPr>
          <w:lang w:val="nl-NL"/>
        </w:rPr>
        <w:t xml:space="preserve">. </w:t>
      </w:r>
      <w:r>
        <w:rPr>
          <w:lang w:val="nl-NL"/>
        </w:rPr>
        <w:t>Việc hỗ trợ doanh nghiệp tìm hiểu, kết nối với chuyên gia tư vấn công nghệ sẽ phù hợp và đúng quy định hơn so với việc tư vấn cho doanh nghiệp về công nghệ.</w:t>
      </w:r>
      <w:r>
        <w:t xml:space="preserve"> Theo đó, dự thảo Nghị định về cơ chế thử nghiệm phát triển kinh tế tuần hoàn không mâu thuẫn, chồng chéo với các quy định hiện hành của Luật Phòng, chống tham nhũng năm 2018.</w:t>
      </w:r>
    </w:p>
    <w:p w14:paraId="1FA43351" w14:textId="53A646AD" w:rsidR="00EE44F3" w:rsidRDefault="00DF3134" w:rsidP="000B4820">
      <w:pPr>
        <w:tabs>
          <w:tab w:val="left" w:pos="5542"/>
        </w:tabs>
        <w:jc w:val="both"/>
      </w:pPr>
      <w:r>
        <w:t>l</w:t>
      </w:r>
      <w:r w:rsidR="00EE44F3">
        <w:t>. Rà soát với Nghị định số 73/2023/NĐ-CP ngày 29/9/2023 của Chính phủ quy định về khuyến khích, bảo vệ cán bộ năng động, sáng tạo, dám nghĩ, dám làm, dám chịu trách nhiệm vì lợi ích chung</w:t>
      </w:r>
    </w:p>
    <w:p w14:paraId="5569957F" w14:textId="5EA31958" w:rsidR="00EE44F3" w:rsidRDefault="00EE44F3" w:rsidP="000B4820">
      <w:pPr>
        <w:tabs>
          <w:tab w:val="left" w:pos="5542"/>
        </w:tabs>
        <w:jc w:val="both"/>
      </w:pPr>
      <w:r>
        <w:t>Bộ Kế hoạch và Đầu tư cho rằng quá trình tổ chức thực hiện quy định về cơ chế thử nghiệm phát triển kinh tế tuần hoàn cũng cần khuyến khích các cán bộ năng động, sáng tạo, dám nghĩ, dám làm, dám chịu trách nhiệm vì lợi ích chung theo quy trình, thủ tục quy định tại Nghị định số 73/2023/NĐ-CP ngày 29/9/2023 của Chính phủ quy định về khuyến khích, bảo vệ cán bộ năng động, sáng tạo, dám nghĩ, dám làm, dám chịu trách nhiệm vì lợi ích chung. Theo đó, dự thảo Nghị định bảo đảm không mâu thuẫn, chồng chéo với các quy định của Nghị định số 73/2023/NĐ-CP.</w:t>
      </w:r>
    </w:p>
    <w:p w14:paraId="1F27770D" w14:textId="2B56BDFC" w:rsidR="0005725E" w:rsidRPr="0005725E" w:rsidRDefault="0005725E" w:rsidP="000B4820">
      <w:pPr>
        <w:tabs>
          <w:tab w:val="left" w:pos="5542"/>
        </w:tabs>
        <w:jc w:val="both"/>
        <w:rPr>
          <w:spacing w:val="-4"/>
        </w:rPr>
      </w:pPr>
      <w:r w:rsidRPr="0005725E">
        <w:rPr>
          <w:spacing w:val="-4"/>
        </w:rPr>
        <w:t>m. Rà soát Luật Tổ chức Chính phủ và Luật Tổ chức chính quyền địa phương</w:t>
      </w:r>
    </w:p>
    <w:p w14:paraId="01C50C87" w14:textId="4375CD2B" w:rsidR="0005725E" w:rsidRDefault="0005725E" w:rsidP="000B4820">
      <w:pPr>
        <w:tabs>
          <w:tab w:val="left" w:pos="5542"/>
        </w:tabs>
        <w:jc w:val="both"/>
      </w:pPr>
      <w:r w:rsidRPr="0005725E">
        <w:t xml:space="preserve">Luật Tổ chức Chính phủ và Luật Tổ chức chính quyền địa phương quy định về quyền hạn, trách nhiệm của các Bộ, ngành, địa phương trong quản lý, thực thi pháp luật chuyên ngành. Do đó, dự thảo Nghị định sửa đổi, bổ sung rà soát, bổ sung rõ các trách nhiệm của các bộ, ngành, địa phương trong tổ chức thực hiện </w:t>
      </w:r>
      <w:r>
        <w:t>các nội dung, quy định liên quan.</w:t>
      </w:r>
    </w:p>
    <w:p w14:paraId="289FCB6E" w14:textId="08024FDB" w:rsidR="00C65B00" w:rsidRDefault="00C65B00" w:rsidP="000B4820">
      <w:pPr>
        <w:jc w:val="both"/>
      </w:pPr>
      <w:r w:rsidRPr="00C65B00">
        <w:lastRenderedPageBreak/>
        <w:t xml:space="preserve">Trên đây là báo cáo rà soát các văn bản quy phạm pháp luật có liên quan đến dự thảo Nghị định </w:t>
      </w:r>
      <w:r>
        <w:t>về cơ chế thử nghiệm phát triển kinh tế tuần hoàn</w:t>
      </w:r>
      <w:r w:rsidRPr="00C65B00">
        <w:t xml:space="preserve">, Bộ </w:t>
      </w:r>
      <w:r>
        <w:t>Kế hoạch và Đầu tư</w:t>
      </w:r>
      <w:r w:rsidRPr="00C65B00">
        <w:t xml:space="preserve"> trân trọng báo cáo./.</w:t>
      </w:r>
    </w:p>
    <w:tbl>
      <w:tblPr>
        <w:tblW w:w="9360" w:type="dxa"/>
        <w:jc w:val="center"/>
        <w:tblLook w:val="01E0" w:firstRow="1" w:lastRow="1" w:firstColumn="1" w:lastColumn="1" w:noHBand="0" w:noVBand="0"/>
      </w:tblPr>
      <w:tblGrid>
        <w:gridCol w:w="5103"/>
        <w:gridCol w:w="4257"/>
      </w:tblGrid>
      <w:tr w:rsidR="00C65B00" w:rsidRPr="00C65B00" w14:paraId="36AC7F2E" w14:textId="77777777" w:rsidTr="00B5036D">
        <w:trPr>
          <w:trHeight w:val="2290"/>
          <w:jc w:val="center"/>
        </w:trPr>
        <w:tc>
          <w:tcPr>
            <w:tcW w:w="5103" w:type="dxa"/>
          </w:tcPr>
          <w:p w14:paraId="05A93B7E" w14:textId="77777777" w:rsidR="00C65B00" w:rsidRPr="00C65B00" w:rsidRDefault="00C65B00" w:rsidP="00C65B00">
            <w:pPr>
              <w:spacing w:before="0" w:after="0" w:line="240" w:lineRule="auto"/>
              <w:ind w:left="179" w:firstLine="0"/>
              <w:jc w:val="both"/>
              <w:rPr>
                <w:rFonts w:eastAsia="Calibri"/>
                <w:b/>
                <w:bCs/>
                <w:i/>
                <w:iCs/>
                <w:sz w:val="24"/>
                <w:szCs w:val="24"/>
                <w:lang w:val="vi-VN"/>
              </w:rPr>
            </w:pPr>
            <w:r w:rsidRPr="00C65B00">
              <w:rPr>
                <w:rFonts w:eastAsia="Calibri"/>
                <w:b/>
                <w:bCs/>
                <w:i/>
                <w:iCs/>
                <w:sz w:val="24"/>
                <w:szCs w:val="24"/>
                <w:lang w:val="vi-VN"/>
              </w:rPr>
              <w:t>Nơi nhận:</w:t>
            </w:r>
          </w:p>
          <w:p w14:paraId="485BF50A" w14:textId="2D10BE9F" w:rsidR="00C65B00" w:rsidRPr="00C65B00" w:rsidRDefault="00C65B00" w:rsidP="00C65B00">
            <w:pPr>
              <w:spacing w:before="0" w:after="0" w:line="240" w:lineRule="auto"/>
              <w:ind w:left="179" w:firstLine="0"/>
              <w:rPr>
                <w:rFonts w:eastAsia="Calibri"/>
                <w:sz w:val="22"/>
                <w:szCs w:val="20"/>
              </w:rPr>
            </w:pPr>
            <w:r w:rsidRPr="00C65B00">
              <w:rPr>
                <w:rFonts w:eastAsia="Calibri"/>
                <w:sz w:val="22"/>
                <w:szCs w:val="20"/>
                <w:lang w:val="vi-VN"/>
              </w:rPr>
              <w:t xml:space="preserve">- </w:t>
            </w:r>
            <w:r>
              <w:rPr>
                <w:rFonts w:eastAsia="Calibri"/>
                <w:sz w:val="22"/>
                <w:szCs w:val="20"/>
              </w:rPr>
              <w:t>Bộ Tư pháp</w:t>
            </w:r>
            <w:r w:rsidRPr="00C65B00">
              <w:rPr>
                <w:rFonts w:eastAsia="Calibri"/>
                <w:sz w:val="22"/>
                <w:szCs w:val="20"/>
                <w:lang w:val="vi-VN"/>
              </w:rPr>
              <w:t>;</w:t>
            </w:r>
          </w:p>
          <w:p w14:paraId="0687B7B1" w14:textId="77777777" w:rsidR="00C65B00" w:rsidRPr="00C65B00" w:rsidRDefault="00C65B00" w:rsidP="00C65B00">
            <w:pPr>
              <w:spacing w:before="0" w:after="0" w:line="240" w:lineRule="auto"/>
              <w:ind w:left="179" w:firstLine="0"/>
              <w:rPr>
                <w:rFonts w:eastAsia="Calibri"/>
                <w:sz w:val="22"/>
                <w:szCs w:val="20"/>
              </w:rPr>
            </w:pPr>
            <w:r w:rsidRPr="00C65B00">
              <w:rPr>
                <w:rFonts w:eastAsia="Calibri"/>
                <w:sz w:val="22"/>
                <w:szCs w:val="20"/>
              </w:rPr>
              <w:t>- Lưu: VT, QLKTTW.</w:t>
            </w:r>
          </w:p>
          <w:p w14:paraId="1F9EBF0B" w14:textId="77777777" w:rsidR="00C65B00" w:rsidRPr="00C65B00" w:rsidRDefault="00C65B00" w:rsidP="00C65B00">
            <w:pPr>
              <w:spacing w:before="0" w:after="0" w:line="240" w:lineRule="auto"/>
              <w:ind w:left="179" w:firstLine="0"/>
              <w:rPr>
                <w:rFonts w:eastAsia="Calibri"/>
                <w:i/>
                <w:iCs/>
                <w:sz w:val="23"/>
                <w:szCs w:val="23"/>
              </w:rPr>
            </w:pPr>
          </w:p>
        </w:tc>
        <w:tc>
          <w:tcPr>
            <w:tcW w:w="4257" w:type="dxa"/>
          </w:tcPr>
          <w:p w14:paraId="2813D640" w14:textId="2E823E71" w:rsidR="00C65B00" w:rsidRPr="00C65B00" w:rsidRDefault="00C65B00" w:rsidP="00C65B00">
            <w:pPr>
              <w:spacing w:before="0" w:after="0" w:line="240" w:lineRule="auto"/>
              <w:ind w:firstLine="0"/>
              <w:jc w:val="center"/>
              <w:rPr>
                <w:rFonts w:eastAsia="Calibri"/>
                <w:b/>
                <w:bCs/>
              </w:rPr>
            </w:pPr>
            <w:r w:rsidRPr="00C65B00">
              <w:rPr>
                <w:rFonts w:eastAsia="Calibri"/>
                <w:b/>
                <w:bCs/>
              </w:rPr>
              <w:t>BỘ TRƯỞNG</w:t>
            </w:r>
          </w:p>
          <w:p w14:paraId="095E2745" w14:textId="77777777" w:rsidR="00C65B00" w:rsidRPr="00C65B00" w:rsidRDefault="00C65B00" w:rsidP="00C65B00">
            <w:pPr>
              <w:spacing w:before="0" w:after="0" w:line="240" w:lineRule="auto"/>
              <w:ind w:firstLine="0"/>
              <w:jc w:val="center"/>
              <w:rPr>
                <w:rFonts w:eastAsia="Calibri"/>
                <w:b/>
                <w:bCs/>
              </w:rPr>
            </w:pPr>
          </w:p>
          <w:p w14:paraId="7C1537B6" w14:textId="77777777" w:rsidR="00C65B00" w:rsidRPr="00C65B00" w:rsidRDefault="00C65B00" w:rsidP="00C65B00">
            <w:pPr>
              <w:spacing w:before="0" w:after="0" w:line="240" w:lineRule="auto"/>
              <w:ind w:firstLine="0"/>
              <w:jc w:val="center"/>
              <w:rPr>
                <w:rFonts w:eastAsia="Calibri"/>
                <w:b/>
                <w:bCs/>
              </w:rPr>
            </w:pPr>
          </w:p>
          <w:p w14:paraId="5507436B" w14:textId="77777777" w:rsidR="00C65B00" w:rsidRPr="00C65B00" w:rsidRDefault="00C65B00" w:rsidP="00C65B00">
            <w:pPr>
              <w:spacing w:before="0" w:after="0" w:line="240" w:lineRule="auto"/>
              <w:ind w:firstLine="0"/>
              <w:jc w:val="center"/>
              <w:rPr>
                <w:rFonts w:eastAsia="Calibri"/>
                <w:b/>
                <w:bCs/>
                <w:sz w:val="38"/>
                <w:szCs w:val="38"/>
                <w:lang w:eastAsia="ja-JP"/>
              </w:rPr>
            </w:pPr>
          </w:p>
          <w:p w14:paraId="12B234EB" w14:textId="77777777" w:rsidR="00C65B00" w:rsidRPr="00C65B00" w:rsidRDefault="00C65B00" w:rsidP="00C65B00">
            <w:pPr>
              <w:spacing w:before="0" w:after="0" w:line="240" w:lineRule="auto"/>
              <w:ind w:firstLine="0"/>
              <w:jc w:val="center"/>
              <w:rPr>
                <w:rFonts w:eastAsia="Calibri"/>
                <w:b/>
                <w:bCs/>
                <w:sz w:val="38"/>
                <w:szCs w:val="38"/>
              </w:rPr>
            </w:pPr>
          </w:p>
          <w:p w14:paraId="59A4D511" w14:textId="77777777" w:rsidR="00C65B00" w:rsidRPr="00C65B00" w:rsidRDefault="00C65B00" w:rsidP="00C65B00">
            <w:pPr>
              <w:spacing w:before="0" w:after="0" w:line="240" w:lineRule="auto"/>
              <w:ind w:firstLine="0"/>
              <w:jc w:val="center"/>
              <w:rPr>
                <w:rFonts w:eastAsia="Calibri"/>
                <w:b/>
                <w:bCs/>
              </w:rPr>
            </w:pPr>
          </w:p>
          <w:p w14:paraId="238EC1C6" w14:textId="7A3ED230" w:rsidR="00C65B00" w:rsidRPr="00C65B00" w:rsidRDefault="00133DED" w:rsidP="00C65B00">
            <w:pPr>
              <w:spacing w:before="0" w:after="0" w:line="240" w:lineRule="auto"/>
              <w:ind w:firstLine="0"/>
              <w:jc w:val="center"/>
              <w:rPr>
                <w:rFonts w:eastAsia="Calibri"/>
                <w:b/>
              </w:rPr>
            </w:pPr>
            <w:r>
              <w:rPr>
                <w:rFonts w:eastAsia="Calibri"/>
                <w:b/>
              </w:rPr>
              <w:t>Nguyễn Chí Dũng</w:t>
            </w:r>
          </w:p>
        </w:tc>
      </w:tr>
    </w:tbl>
    <w:p w14:paraId="719FB739" w14:textId="22D0BF24" w:rsidR="005C57B2" w:rsidRPr="00E4468D" w:rsidRDefault="005C57B2" w:rsidP="00E4468D">
      <w:pPr>
        <w:widowControl w:val="0"/>
        <w:spacing w:before="0" w:after="0" w:line="240" w:lineRule="auto"/>
        <w:jc w:val="both"/>
        <w:rPr>
          <w:sz w:val="2"/>
          <w:szCs w:val="2"/>
        </w:rPr>
      </w:pPr>
    </w:p>
    <w:sectPr w:rsidR="005C57B2" w:rsidRPr="00E4468D" w:rsidSect="00DA0802">
      <w:headerReference w:type="default" r:id="rId7"/>
      <w:pgSz w:w="11909" w:h="16834" w:code="9"/>
      <w:pgMar w:top="1151" w:right="1134" w:bottom="1151" w:left="172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91AC4" w14:textId="77777777" w:rsidR="00130E46" w:rsidRDefault="00130E46" w:rsidP="00DA0802">
      <w:pPr>
        <w:spacing w:before="0" w:after="0" w:line="240" w:lineRule="auto"/>
      </w:pPr>
      <w:r>
        <w:separator/>
      </w:r>
    </w:p>
  </w:endnote>
  <w:endnote w:type="continuationSeparator" w:id="0">
    <w:p w14:paraId="2DBF4092" w14:textId="77777777" w:rsidR="00130E46" w:rsidRDefault="00130E46" w:rsidP="00DA08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113E" w14:textId="77777777" w:rsidR="00130E46" w:rsidRDefault="00130E46" w:rsidP="00DA0802">
      <w:pPr>
        <w:spacing w:before="0" w:after="0" w:line="240" w:lineRule="auto"/>
      </w:pPr>
      <w:r>
        <w:separator/>
      </w:r>
    </w:p>
  </w:footnote>
  <w:footnote w:type="continuationSeparator" w:id="0">
    <w:p w14:paraId="1844DDB7" w14:textId="77777777" w:rsidR="00130E46" w:rsidRDefault="00130E46" w:rsidP="00DA08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969953"/>
      <w:docPartObj>
        <w:docPartGallery w:val="Page Numbers (Top of Page)"/>
        <w:docPartUnique/>
      </w:docPartObj>
    </w:sdtPr>
    <w:sdtEndPr>
      <w:rPr>
        <w:noProof/>
      </w:rPr>
    </w:sdtEndPr>
    <w:sdtContent>
      <w:p w14:paraId="755D50BD" w14:textId="67D50943" w:rsidR="00DA0802" w:rsidRDefault="00DA0802" w:rsidP="00DA0802">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E5"/>
    <w:rsid w:val="00007775"/>
    <w:rsid w:val="00021DA4"/>
    <w:rsid w:val="0002346F"/>
    <w:rsid w:val="000337FA"/>
    <w:rsid w:val="00034A37"/>
    <w:rsid w:val="000418F0"/>
    <w:rsid w:val="00055BA2"/>
    <w:rsid w:val="0005725E"/>
    <w:rsid w:val="000804A0"/>
    <w:rsid w:val="000936E8"/>
    <w:rsid w:val="00093EAF"/>
    <w:rsid w:val="000B0622"/>
    <w:rsid w:val="000B295E"/>
    <w:rsid w:val="000B4820"/>
    <w:rsid w:val="000C0330"/>
    <w:rsid w:val="000D4AFF"/>
    <w:rsid w:val="000E7F60"/>
    <w:rsid w:val="000F738F"/>
    <w:rsid w:val="00103575"/>
    <w:rsid w:val="00110C5D"/>
    <w:rsid w:val="00114BE8"/>
    <w:rsid w:val="001177D3"/>
    <w:rsid w:val="0012591C"/>
    <w:rsid w:val="00126835"/>
    <w:rsid w:val="00130E46"/>
    <w:rsid w:val="00133DED"/>
    <w:rsid w:val="00134C3D"/>
    <w:rsid w:val="00136EEB"/>
    <w:rsid w:val="00152E26"/>
    <w:rsid w:val="00161826"/>
    <w:rsid w:val="0016323A"/>
    <w:rsid w:val="001663CB"/>
    <w:rsid w:val="00172541"/>
    <w:rsid w:val="00192C15"/>
    <w:rsid w:val="001A5401"/>
    <w:rsid w:val="001C6BCF"/>
    <w:rsid w:val="001D727B"/>
    <w:rsid w:val="001F1529"/>
    <w:rsid w:val="001F6FF6"/>
    <w:rsid w:val="002029B7"/>
    <w:rsid w:val="0020309F"/>
    <w:rsid w:val="00210371"/>
    <w:rsid w:val="002106F6"/>
    <w:rsid w:val="002135EF"/>
    <w:rsid w:val="00213A2C"/>
    <w:rsid w:val="002344E6"/>
    <w:rsid w:val="00240D61"/>
    <w:rsid w:val="00243300"/>
    <w:rsid w:val="00270B86"/>
    <w:rsid w:val="00272D3C"/>
    <w:rsid w:val="002858FB"/>
    <w:rsid w:val="00297D86"/>
    <w:rsid w:val="002A5BE3"/>
    <w:rsid w:val="002A6672"/>
    <w:rsid w:val="002A6F6B"/>
    <w:rsid w:val="002A7631"/>
    <w:rsid w:val="002B067C"/>
    <w:rsid w:val="002C0AA7"/>
    <w:rsid w:val="002D4153"/>
    <w:rsid w:val="003001ED"/>
    <w:rsid w:val="00302062"/>
    <w:rsid w:val="00306B94"/>
    <w:rsid w:val="0030706A"/>
    <w:rsid w:val="00310C9B"/>
    <w:rsid w:val="003473B6"/>
    <w:rsid w:val="00370F53"/>
    <w:rsid w:val="00371CA2"/>
    <w:rsid w:val="00387A95"/>
    <w:rsid w:val="00387E6D"/>
    <w:rsid w:val="003965B1"/>
    <w:rsid w:val="0039681C"/>
    <w:rsid w:val="003A4E46"/>
    <w:rsid w:val="003A7506"/>
    <w:rsid w:val="003B0E36"/>
    <w:rsid w:val="003B139F"/>
    <w:rsid w:val="003B588C"/>
    <w:rsid w:val="003D536D"/>
    <w:rsid w:val="003E3C94"/>
    <w:rsid w:val="003F210E"/>
    <w:rsid w:val="003F27BB"/>
    <w:rsid w:val="003F35E4"/>
    <w:rsid w:val="003F554B"/>
    <w:rsid w:val="004069B5"/>
    <w:rsid w:val="0044132E"/>
    <w:rsid w:val="00453105"/>
    <w:rsid w:val="0046485C"/>
    <w:rsid w:val="0047158E"/>
    <w:rsid w:val="004747CE"/>
    <w:rsid w:val="00475988"/>
    <w:rsid w:val="00481EAD"/>
    <w:rsid w:val="00485AD3"/>
    <w:rsid w:val="00491CF3"/>
    <w:rsid w:val="004943F0"/>
    <w:rsid w:val="00494E0F"/>
    <w:rsid w:val="004A60EB"/>
    <w:rsid w:val="004B6B61"/>
    <w:rsid w:val="004C14E4"/>
    <w:rsid w:val="004C4B7D"/>
    <w:rsid w:val="004D1462"/>
    <w:rsid w:val="004D4D8B"/>
    <w:rsid w:val="004D5FD8"/>
    <w:rsid w:val="004D786C"/>
    <w:rsid w:val="004E08AC"/>
    <w:rsid w:val="004E2750"/>
    <w:rsid w:val="004F7B05"/>
    <w:rsid w:val="00503A8E"/>
    <w:rsid w:val="00506EFC"/>
    <w:rsid w:val="00507B5A"/>
    <w:rsid w:val="00517BC2"/>
    <w:rsid w:val="00523AA3"/>
    <w:rsid w:val="00524531"/>
    <w:rsid w:val="00527B58"/>
    <w:rsid w:val="00547C35"/>
    <w:rsid w:val="005515F5"/>
    <w:rsid w:val="00552047"/>
    <w:rsid w:val="005874EF"/>
    <w:rsid w:val="00591DD2"/>
    <w:rsid w:val="005A526B"/>
    <w:rsid w:val="005C0E18"/>
    <w:rsid w:val="005C1140"/>
    <w:rsid w:val="005C11DC"/>
    <w:rsid w:val="005C35FA"/>
    <w:rsid w:val="005C57B2"/>
    <w:rsid w:val="005C658F"/>
    <w:rsid w:val="006125E6"/>
    <w:rsid w:val="00612B2B"/>
    <w:rsid w:val="00612B8B"/>
    <w:rsid w:val="00617DD9"/>
    <w:rsid w:val="00620C99"/>
    <w:rsid w:val="006414A2"/>
    <w:rsid w:val="00641DFE"/>
    <w:rsid w:val="0064698E"/>
    <w:rsid w:val="00654BFF"/>
    <w:rsid w:val="00657365"/>
    <w:rsid w:val="00660838"/>
    <w:rsid w:val="0066225B"/>
    <w:rsid w:val="00677F8A"/>
    <w:rsid w:val="00682ACD"/>
    <w:rsid w:val="00684E58"/>
    <w:rsid w:val="00692402"/>
    <w:rsid w:val="006972F0"/>
    <w:rsid w:val="006B07F1"/>
    <w:rsid w:val="006B0A8B"/>
    <w:rsid w:val="006E25BC"/>
    <w:rsid w:val="006F2945"/>
    <w:rsid w:val="006F553E"/>
    <w:rsid w:val="00705333"/>
    <w:rsid w:val="007246C4"/>
    <w:rsid w:val="00725F93"/>
    <w:rsid w:val="0073230B"/>
    <w:rsid w:val="00736913"/>
    <w:rsid w:val="0073786B"/>
    <w:rsid w:val="00743ED4"/>
    <w:rsid w:val="007576D6"/>
    <w:rsid w:val="007624B3"/>
    <w:rsid w:val="00767B2F"/>
    <w:rsid w:val="00770CCE"/>
    <w:rsid w:val="0077202D"/>
    <w:rsid w:val="00783B13"/>
    <w:rsid w:val="007907AD"/>
    <w:rsid w:val="007947AF"/>
    <w:rsid w:val="007B3042"/>
    <w:rsid w:val="007C47C7"/>
    <w:rsid w:val="007F7F29"/>
    <w:rsid w:val="00817A9F"/>
    <w:rsid w:val="00826A51"/>
    <w:rsid w:val="00846E21"/>
    <w:rsid w:val="008558C3"/>
    <w:rsid w:val="00856ED4"/>
    <w:rsid w:val="0086070E"/>
    <w:rsid w:val="008679C5"/>
    <w:rsid w:val="00867E58"/>
    <w:rsid w:val="0087062E"/>
    <w:rsid w:val="00873736"/>
    <w:rsid w:val="008809A2"/>
    <w:rsid w:val="00880AFA"/>
    <w:rsid w:val="008825BC"/>
    <w:rsid w:val="0088441B"/>
    <w:rsid w:val="00887EFD"/>
    <w:rsid w:val="00891064"/>
    <w:rsid w:val="0089564C"/>
    <w:rsid w:val="008A06F7"/>
    <w:rsid w:val="008A1A9E"/>
    <w:rsid w:val="008A51E3"/>
    <w:rsid w:val="008C41F4"/>
    <w:rsid w:val="008C4DD3"/>
    <w:rsid w:val="008C5211"/>
    <w:rsid w:val="008C6B1E"/>
    <w:rsid w:val="008C7C7D"/>
    <w:rsid w:val="008D6A4B"/>
    <w:rsid w:val="008F27BD"/>
    <w:rsid w:val="008F5334"/>
    <w:rsid w:val="00905338"/>
    <w:rsid w:val="009060D2"/>
    <w:rsid w:val="00914D53"/>
    <w:rsid w:val="009157F1"/>
    <w:rsid w:val="00916098"/>
    <w:rsid w:val="00921DE8"/>
    <w:rsid w:val="0093569C"/>
    <w:rsid w:val="0094219E"/>
    <w:rsid w:val="00954472"/>
    <w:rsid w:val="009600F8"/>
    <w:rsid w:val="00972E7F"/>
    <w:rsid w:val="00973E1D"/>
    <w:rsid w:val="00980E64"/>
    <w:rsid w:val="009831DC"/>
    <w:rsid w:val="00985681"/>
    <w:rsid w:val="0098715B"/>
    <w:rsid w:val="009973FF"/>
    <w:rsid w:val="009A04F2"/>
    <w:rsid w:val="009A6121"/>
    <w:rsid w:val="009B08D6"/>
    <w:rsid w:val="009B41E1"/>
    <w:rsid w:val="009D7696"/>
    <w:rsid w:val="00A21E76"/>
    <w:rsid w:val="00A40C5A"/>
    <w:rsid w:val="00A43772"/>
    <w:rsid w:val="00A520CB"/>
    <w:rsid w:val="00A5592F"/>
    <w:rsid w:val="00A57E4A"/>
    <w:rsid w:val="00A6498F"/>
    <w:rsid w:val="00A65A85"/>
    <w:rsid w:val="00A75B0C"/>
    <w:rsid w:val="00A863C6"/>
    <w:rsid w:val="00AB5CEF"/>
    <w:rsid w:val="00AE20E8"/>
    <w:rsid w:val="00AF7174"/>
    <w:rsid w:val="00B12EBF"/>
    <w:rsid w:val="00B14C1F"/>
    <w:rsid w:val="00B276BE"/>
    <w:rsid w:val="00B35460"/>
    <w:rsid w:val="00B452AA"/>
    <w:rsid w:val="00B753AF"/>
    <w:rsid w:val="00B82045"/>
    <w:rsid w:val="00B8690D"/>
    <w:rsid w:val="00B9167A"/>
    <w:rsid w:val="00B93CC2"/>
    <w:rsid w:val="00B97849"/>
    <w:rsid w:val="00BB50E8"/>
    <w:rsid w:val="00BB6355"/>
    <w:rsid w:val="00BD6AC5"/>
    <w:rsid w:val="00BF2F4C"/>
    <w:rsid w:val="00C04691"/>
    <w:rsid w:val="00C110A4"/>
    <w:rsid w:val="00C577A6"/>
    <w:rsid w:val="00C57800"/>
    <w:rsid w:val="00C626E1"/>
    <w:rsid w:val="00C6343A"/>
    <w:rsid w:val="00C65B00"/>
    <w:rsid w:val="00C847A1"/>
    <w:rsid w:val="00C86816"/>
    <w:rsid w:val="00CA0115"/>
    <w:rsid w:val="00CA36FA"/>
    <w:rsid w:val="00CA4F43"/>
    <w:rsid w:val="00CC6C89"/>
    <w:rsid w:val="00CD2C86"/>
    <w:rsid w:val="00CE4952"/>
    <w:rsid w:val="00CE495E"/>
    <w:rsid w:val="00CE710E"/>
    <w:rsid w:val="00D015A2"/>
    <w:rsid w:val="00D04419"/>
    <w:rsid w:val="00D04F37"/>
    <w:rsid w:val="00D05FF5"/>
    <w:rsid w:val="00D06133"/>
    <w:rsid w:val="00D1585D"/>
    <w:rsid w:val="00D26AAB"/>
    <w:rsid w:val="00D27AED"/>
    <w:rsid w:val="00D81853"/>
    <w:rsid w:val="00D863D2"/>
    <w:rsid w:val="00D90F9B"/>
    <w:rsid w:val="00DA0802"/>
    <w:rsid w:val="00DA0DD2"/>
    <w:rsid w:val="00DA6419"/>
    <w:rsid w:val="00DD1AC2"/>
    <w:rsid w:val="00DD4EF0"/>
    <w:rsid w:val="00DF2055"/>
    <w:rsid w:val="00DF3134"/>
    <w:rsid w:val="00E036C1"/>
    <w:rsid w:val="00E245B7"/>
    <w:rsid w:val="00E26E74"/>
    <w:rsid w:val="00E319E5"/>
    <w:rsid w:val="00E41116"/>
    <w:rsid w:val="00E4468D"/>
    <w:rsid w:val="00E4796D"/>
    <w:rsid w:val="00E51DD6"/>
    <w:rsid w:val="00E67EC1"/>
    <w:rsid w:val="00E77A86"/>
    <w:rsid w:val="00E82925"/>
    <w:rsid w:val="00E92CA6"/>
    <w:rsid w:val="00E974D5"/>
    <w:rsid w:val="00EA2E00"/>
    <w:rsid w:val="00EA3C5D"/>
    <w:rsid w:val="00EA70AF"/>
    <w:rsid w:val="00EB4C73"/>
    <w:rsid w:val="00ED041B"/>
    <w:rsid w:val="00ED125C"/>
    <w:rsid w:val="00ED2CF4"/>
    <w:rsid w:val="00EE2250"/>
    <w:rsid w:val="00EE402A"/>
    <w:rsid w:val="00EE44F3"/>
    <w:rsid w:val="00F05E0C"/>
    <w:rsid w:val="00F24E65"/>
    <w:rsid w:val="00F30376"/>
    <w:rsid w:val="00F34EEA"/>
    <w:rsid w:val="00F47EE3"/>
    <w:rsid w:val="00F560FA"/>
    <w:rsid w:val="00F56339"/>
    <w:rsid w:val="00F6265E"/>
    <w:rsid w:val="00F6444C"/>
    <w:rsid w:val="00F64CA2"/>
    <w:rsid w:val="00F906E9"/>
    <w:rsid w:val="00FA3D95"/>
    <w:rsid w:val="00FA4A29"/>
    <w:rsid w:val="00FB3ED1"/>
    <w:rsid w:val="00FB5338"/>
    <w:rsid w:val="00FC30B7"/>
    <w:rsid w:val="00FC4228"/>
    <w:rsid w:val="00FC6E9D"/>
    <w:rsid w:val="00FD0EF7"/>
    <w:rsid w:val="00FD51B7"/>
    <w:rsid w:val="00FE49C7"/>
    <w:rsid w:val="00FE5526"/>
    <w:rsid w:val="00FE5D9B"/>
    <w:rsid w:val="00FF4455"/>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3D86"/>
  <w15:chartTrackingRefBased/>
  <w15:docId w15:val="{B0177204-D11D-4C26-97C1-5A26E7F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FE"/>
    <w:pPr>
      <w:ind w:firstLine="720"/>
      <w:jc w:val="left"/>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1B"/>
    <w:pPr>
      <w:keepNext/>
      <w:spacing w:line="288" w:lineRule="auto"/>
      <w:ind w:left="720"/>
      <w:contextualSpacing/>
    </w:pPr>
    <w:rPr>
      <w:rFonts w:ascii="Cambria" w:hAnsi="Cambria"/>
      <w:sz w:val="24"/>
    </w:rPr>
  </w:style>
  <w:style w:type="paragraph" w:customStyle="1" w:styleId="Char4">
    <w:name w:val="Char4"/>
    <w:basedOn w:val="Normal"/>
    <w:semiHidden/>
    <w:rsid w:val="00E319E5"/>
    <w:pPr>
      <w:spacing w:after="160" w:line="240" w:lineRule="exact"/>
    </w:pPr>
    <w:rPr>
      <w:rFonts w:ascii="Arial" w:hAnsi="Arial" w:cs="Arial"/>
      <w:sz w:val="22"/>
      <w:szCs w:val="22"/>
    </w:rPr>
  </w:style>
  <w:style w:type="paragraph" w:styleId="Header">
    <w:name w:val="header"/>
    <w:basedOn w:val="Normal"/>
    <w:link w:val="HeaderChar"/>
    <w:uiPriority w:val="99"/>
    <w:unhideWhenUsed/>
    <w:rsid w:val="00DA08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A0802"/>
    <w:rPr>
      <w:rFonts w:eastAsia="Times New Roman" w:cs="Times New Roman"/>
      <w:kern w:val="0"/>
      <w:szCs w:val="28"/>
      <w14:ligatures w14:val="none"/>
    </w:rPr>
  </w:style>
  <w:style w:type="paragraph" w:styleId="Footer">
    <w:name w:val="footer"/>
    <w:basedOn w:val="Normal"/>
    <w:link w:val="FooterChar"/>
    <w:uiPriority w:val="99"/>
    <w:unhideWhenUsed/>
    <w:rsid w:val="00DA08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A0802"/>
    <w:rPr>
      <w:rFonts w:eastAsia="Times New Roman" w:cs="Times New Roman"/>
      <w:kern w:val="0"/>
      <w:szCs w:val="28"/>
      <w14:ligatures w14:val="none"/>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64698E"/>
    <w:pPr>
      <w:spacing w:before="100" w:beforeAutospacing="1" w:after="100" w:afterAutospacing="1" w:line="240" w:lineRule="auto"/>
      <w:ind w:firstLine="0"/>
    </w:pPr>
    <w:rPr>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64698E"/>
    <w:rPr>
      <w:rFonts w:eastAsia="Times New Roman" w:cs="Times New Roman"/>
      <w:kern w:val="0"/>
      <w:sz w:val="24"/>
      <w:szCs w:val="24"/>
      <w:lang w:val="x-none" w:eastAsia="x-none"/>
      <w14:ligatures w14:val="none"/>
    </w:rPr>
  </w:style>
  <w:style w:type="character" w:customStyle="1" w:styleId="FootnoteTextChar">
    <w:name w:val="Footnote Text Char"/>
    <w:aliases w:val="Footnote Text Char Char Char Char Char Char,Footnote Text Char Char Char Char Char Char Ch Char,Char Char,fn Char,single space Char,FOOTNOTES Char,Footnote Text Char1 Char Char,Footnote Text Char Char1 Char Char,ft Char,FOOTNOT Char"/>
    <w:link w:val="FootnoteText"/>
    <w:uiPriority w:val="99"/>
    <w:qFormat/>
    <w:locked/>
    <w:rsid w:val="007576D6"/>
    <w:rPr>
      <w:rFonts w:cs="Calibri"/>
      <w:sz w:val="24"/>
      <w:lang w:val="en-SG" w:eastAsia="x-none"/>
    </w:rPr>
  </w:style>
  <w:style w:type="paragraph" w:styleId="FootnoteText">
    <w:name w:val="footnote text"/>
    <w:aliases w:val="Footnote Text Char Char Char Char Char,Footnote Text Char Char Char Char Char Char Ch,Char,fn,single space,FOOTNOTES,Footnote Text Char1 Char,Footnote Text Char Char1 Char,Footnote Text Char1 Char1,Footnote Text Char Char Char,ft,FOOTNOT,f"/>
    <w:basedOn w:val="Normal"/>
    <w:link w:val="FootnoteTextChar"/>
    <w:uiPriority w:val="99"/>
    <w:qFormat/>
    <w:rsid w:val="007576D6"/>
    <w:pPr>
      <w:spacing w:before="0" w:after="0" w:line="240" w:lineRule="auto"/>
      <w:ind w:firstLine="0"/>
      <w:jc w:val="both"/>
    </w:pPr>
    <w:rPr>
      <w:rFonts w:eastAsiaTheme="minorHAnsi" w:cs="Calibri"/>
      <w:kern w:val="2"/>
      <w:sz w:val="24"/>
      <w:szCs w:val="22"/>
      <w:lang w:val="en-SG" w:eastAsia="x-none"/>
      <w14:ligatures w14:val="standardContextual"/>
    </w:rPr>
  </w:style>
  <w:style w:type="character" w:customStyle="1" w:styleId="FootnoteTextChar1">
    <w:name w:val="Footnote Text Char1"/>
    <w:basedOn w:val="DefaultParagraphFont"/>
    <w:uiPriority w:val="99"/>
    <w:semiHidden/>
    <w:rsid w:val="00E036C1"/>
    <w:rPr>
      <w:rFonts w:eastAsia="Times New Roman" w:cs="Times New Roman"/>
      <w:kern w:val="0"/>
      <w:sz w:val="20"/>
      <w:szCs w:val="20"/>
      <w14:ligatures w14:val="none"/>
    </w:rPr>
  </w:style>
  <w:style w:type="character" w:styleId="FootnoteReference">
    <w:name w:val="footnote reference"/>
    <w:aliases w:val="Footnote,Footnote text,ftref,BVI fnr,BearingPoint,16 Point,Superscript 6 Point,fr,Fußnotenzeichen DISS,(NECG) Footnote Reference,Footnote Reference Number,Footnote Ref in FtNote,SUPERS,Ref,de nota al pie,Footnote + Arial,10 pt,Black,R"/>
    <w:link w:val="10"/>
    <w:uiPriority w:val="99"/>
    <w:qFormat/>
    <w:rsid w:val="00E036C1"/>
    <w:rPr>
      <w:vertAlign w:val="superscript"/>
    </w:rPr>
  </w:style>
  <w:style w:type="paragraph" w:customStyle="1" w:styleId="10">
    <w:name w:val="10"/>
    <w:aliases w:val="Footnote text + 13 pt,Re,BVI f"/>
    <w:basedOn w:val="Normal"/>
    <w:link w:val="FootnoteReference"/>
    <w:uiPriority w:val="99"/>
    <w:qFormat/>
    <w:rsid w:val="00E036C1"/>
    <w:pPr>
      <w:spacing w:before="100" w:after="0" w:line="240" w:lineRule="exact"/>
      <w:ind w:firstLine="0"/>
    </w:pPr>
    <w:rPr>
      <w:rFonts w:eastAsiaTheme="minorHAnsi" w:cstheme="minorBidi"/>
      <w:kern w:val="2"/>
      <w:szCs w:val="22"/>
      <w:vertAlign w:val="superscript"/>
      <w14:ligatures w14:val="standardContextual"/>
    </w:rPr>
  </w:style>
  <w:style w:type="character" w:styleId="Hyperlink">
    <w:name w:val="Hyperlink"/>
    <w:uiPriority w:val="99"/>
    <w:unhideWhenUsed/>
    <w:rsid w:val="007576D6"/>
    <w:rPr>
      <w:color w:val="0000FF"/>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7576D6"/>
    <w:pPr>
      <w:spacing w:before="100" w:after="0" w:line="240" w:lineRule="exact"/>
      <w:ind w:firstLine="0"/>
      <w:jc w:val="both"/>
    </w:pPr>
    <w:rPr>
      <w:rFonts w:eastAsiaTheme="minorHAnsi" w:cstheme="minorBidi"/>
      <w:szCs w:val="22"/>
      <w:vertAlign w:val="superscript"/>
    </w:rPr>
  </w:style>
  <w:style w:type="paragraph" w:styleId="Caption">
    <w:name w:val="caption"/>
    <w:basedOn w:val="Normal"/>
    <w:next w:val="Normal"/>
    <w:uiPriority w:val="35"/>
    <w:unhideWhenUsed/>
    <w:qFormat/>
    <w:rsid w:val="001F6FF6"/>
    <w:pPr>
      <w:keepNext/>
      <w:ind w:firstLine="0"/>
      <w:jc w:val="center"/>
    </w:pPr>
    <w:rPr>
      <w:rFonts w:eastAsiaTheme="minorHAnsi" w:cstheme="minorBidi"/>
      <w:b/>
      <w:iCs/>
      <w:color w:val="000000" w:themeColor="text1"/>
      <w:szCs w:val="18"/>
    </w:rPr>
  </w:style>
  <w:style w:type="paragraph" w:styleId="Revision">
    <w:name w:val="Revision"/>
    <w:hidden/>
    <w:uiPriority w:val="99"/>
    <w:semiHidden/>
    <w:rsid w:val="001F1529"/>
    <w:pPr>
      <w:spacing w:before="0" w:after="0" w:line="240" w:lineRule="auto"/>
      <w:jc w:val="left"/>
    </w:pPr>
    <w:rPr>
      <w:rFonts w:eastAsia="Times New Roman" w:cs="Times New Roman"/>
      <w:kern w:val="0"/>
      <w:szCs w:val="28"/>
      <w14:ligatures w14:val="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B452AA"/>
    <w:pPr>
      <w:spacing w:before="0" w:after="160" w:line="240" w:lineRule="exact"/>
      <w:ind w:firstLine="0"/>
    </w:pPr>
    <w:rPr>
      <w:rFonts w:eastAsiaTheme="minorHAnsi"/>
      <w:sz w:val="24"/>
      <w:szCs w:val="24"/>
      <w:vertAlign w:val="superscript"/>
    </w:rPr>
  </w:style>
  <w:style w:type="table" w:styleId="TableGrid">
    <w:name w:val="Table Grid"/>
    <w:basedOn w:val="TableNormal"/>
    <w:uiPriority w:val="39"/>
    <w:rsid w:val="003A4E46"/>
    <w:pPr>
      <w:spacing w:before="0"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868">
      <w:bodyDiv w:val="1"/>
      <w:marLeft w:val="0"/>
      <w:marRight w:val="0"/>
      <w:marTop w:val="0"/>
      <w:marBottom w:val="0"/>
      <w:divBdr>
        <w:top w:val="none" w:sz="0" w:space="0" w:color="auto"/>
        <w:left w:val="none" w:sz="0" w:space="0" w:color="auto"/>
        <w:bottom w:val="none" w:sz="0" w:space="0" w:color="auto"/>
        <w:right w:val="none" w:sz="0" w:space="0" w:color="auto"/>
      </w:divBdr>
    </w:div>
    <w:div w:id="69935888">
      <w:bodyDiv w:val="1"/>
      <w:marLeft w:val="0"/>
      <w:marRight w:val="0"/>
      <w:marTop w:val="0"/>
      <w:marBottom w:val="0"/>
      <w:divBdr>
        <w:top w:val="none" w:sz="0" w:space="0" w:color="auto"/>
        <w:left w:val="none" w:sz="0" w:space="0" w:color="auto"/>
        <w:bottom w:val="none" w:sz="0" w:space="0" w:color="auto"/>
        <w:right w:val="none" w:sz="0" w:space="0" w:color="auto"/>
      </w:divBdr>
    </w:div>
    <w:div w:id="99305757">
      <w:bodyDiv w:val="1"/>
      <w:marLeft w:val="0"/>
      <w:marRight w:val="0"/>
      <w:marTop w:val="0"/>
      <w:marBottom w:val="0"/>
      <w:divBdr>
        <w:top w:val="none" w:sz="0" w:space="0" w:color="auto"/>
        <w:left w:val="none" w:sz="0" w:space="0" w:color="auto"/>
        <w:bottom w:val="none" w:sz="0" w:space="0" w:color="auto"/>
        <w:right w:val="none" w:sz="0" w:space="0" w:color="auto"/>
      </w:divBdr>
    </w:div>
    <w:div w:id="402877436">
      <w:bodyDiv w:val="1"/>
      <w:marLeft w:val="0"/>
      <w:marRight w:val="0"/>
      <w:marTop w:val="0"/>
      <w:marBottom w:val="0"/>
      <w:divBdr>
        <w:top w:val="none" w:sz="0" w:space="0" w:color="auto"/>
        <w:left w:val="none" w:sz="0" w:space="0" w:color="auto"/>
        <w:bottom w:val="none" w:sz="0" w:space="0" w:color="auto"/>
        <w:right w:val="none" w:sz="0" w:space="0" w:color="auto"/>
      </w:divBdr>
    </w:div>
    <w:div w:id="419912240">
      <w:bodyDiv w:val="1"/>
      <w:marLeft w:val="0"/>
      <w:marRight w:val="0"/>
      <w:marTop w:val="0"/>
      <w:marBottom w:val="0"/>
      <w:divBdr>
        <w:top w:val="none" w:sz="0" w:space="0" w:color="auto"/>
        <w:left w:val="none" w:sz="0" w:space="0" w:color="auto"/>
        <w:bottom w:val="none" w:sz="0" w:space="0" w:color="auto"/>
        <w:right w:val="none" w:sz="0" w:space="0" w:color="auto"/>
      </w:divBdr>
    </w:div>
    <w:div w:id="585576255">
      <w:bodyDiv w:val="1"/>
      <w:marLeft w:val="0"/>
      <w:marRight w:val="0"/>
      <w:marTop w:val="0"/>
      <w:marBottom w:val="0"/>
      <w:divBdr>
        <w:top w:val="none" w:sz="0" w:space="0" w:color="auto"/>
        <w:left w:val="none" w:sz="0" w:space="0" w:color="auto"/>
        <w:bottom w:val="none" w:sz="0" w:space="0" w:color="auto"/>
        <w:right w:val="none" w:sz="0" w:space="0" w:color="auto"/>
      </w:divBdr>
    </w:div>
    <w:div w:id="699166847">
      <w:bodyDiv w:val="1"/>
      <w:marLeft w:val="0"/>
      <w:marRight w:val="0"/>
      <w:marTop w:val="0"/>
      <w:marBottom w:val="0"/>
      <w:divBdr>
        <w:top w:val="none" w:sz="0" w:space="0" w:color="auto"/>
        <w:left w:val="none" w:sz="0" w:space="0" w:color="auto"/>
        <w:bottom w:val="none" w:sz="0" w:space="0" w:color="auto"/>
        <w:right w:val="none" w:sz="0" w:space="0" w:color="auto"/>
      </w:divBdr>
    </w:div>
    <w:div w:id="810246936">
      <w:bodyDiv w:val="1"/>
      <w:marLeft w:val="0"/>
      <w:marRight w:val="0"/>
      <w:marTop w:val="0"/>
      <w:marBottom w:val="0"/>
      <w:divBdr>
        <w:top w:val="none" w:sz="0" w:space="0" w:color="auto"/>
        <w:left w:val="none" w:sz="0" w:space="0" w:color="auto"/>
        <w:bottom w:val="none" w:sz="0" w:space="0" w:color="auto"/>
        <w:right w:val="none" w:sz="0" w:space="0" w:color="auto"/>
      </w:divBdr>
    </w:div>
    <w:div w:id="909385329">
      <w:bodyDiv w:val="1"/>
      <w:marLeft w:val="0"/>
      <w:marRight w:val="0"/>
      <w:marTop w:val="0"/>
      <w:marBottom w:val="0"/>
      <w:divBdr>
        <w:top w:val="none" w:sz="0" w:space="0" w:color="auto"/>
        <w:left w:val="none" w:sz="0" w:space="0" w:color="auto"/>
        <w:bottom w:val="none" w:sz="0" w:space="0" w:color="auto"/>
        <w:right w:val="none" w:sz="0" w:space="0" w:color="auto"/>
      </w:divBdr>
    </w:div>
    <w:div w:id="1347555900">
      <w:bodyDiv w:val="1"/>
      <w:marLeft w:val="0"/>
      <w:marRight w:val="0"/>
      <w:marTop w:val="0"/>
      <w:marBottom w:val="0"/>
      <w:divBdr>
        <w:top w:val="none" w:sz="0" w:space="0" w:color="auto"/>
        <w:left w:val="none" w:sz="0" w:space="0" w:color="auto"/>
        <w:bottom w:val="none" w:sz="0" w:space="0" w:color="auto"/>
        <w:right w:val="none" w:sz="0" w:space="0" w:color="auto"/>
      </w:divBdr>
    </w:div>
    <w:div w:id="1576747722">
      <w:bodyDiv w:val="1"/>
      <w:marLeft w:val="0"/>
      <w:marRight w:val="0"/>
      <w:marTop w:val="0"/>
      <w:marBottom w:val="0"/>
      <w:divBdr>
        <w:top w:val="none" w:sz="0" w:space="0" w:color="auto"/>
        <w:left w:val="none" w:sz="0" w:space="0" w:color="auto"/>
        <w:bottom w:val="none" w:sz="0" w:space="0" w:color="auto"/>
        <w:right w:val="none" w:sz="0" w:space="0" w:color="auto"/>
      </w:divBdr>
    </w:div>
    <w:div w:id="1596940099">
      <w:bodyDiv w:val="1"/>
      <w:marLeft w:val="0"/>
      <w:marRight w:val="0"/>
      <w:marTop w:val="0"/>
      <w:marBottom w:val="0"/>
      <w:divBdr>
        <w:top w:val="none" w:sz="0" w:space="0" w:color="auto"/>
        <w:left w:val="none" w:sz="0" w:space="0" w:color="auto"/>
        <w:bottom w:val="none" w:sz="0" w:space="0" w:color="auto"/>
        <w:right w:val="none" w:sz="0" w:space="0" w:color="auto"/>
      </w:divBdr>
    </w:div>
    <w:div w:id="1891115379">
      <w:bodyDiv w:val="1"/>
      <w:marLeft w:val="0"/>
      <w:marRight w:val="0"/>
      <w:marTop w:val="0"/>
      <w:marBottom w:val="0"/>
      <w:divBdr>
        <w:top w:val="none" w:sz="0" w:space="0" w:color="auto"/>
        <w:left w:val="none" w:sz="0" w:space="0" w:color="auto"/>
        <w:bottom w:val="none" w:sz="0" w:space="0" w:color="auto"/>
        <w:right w:val="none" w:sz="0" w:space="0" w:color="auto"/>
      </w:divBdr>
    </w:div>
    <w:div w:id="1930389612">
      <w:bodyDiv w:val="1"/>
      <w:marLeft w:val="0"/>
      <w:marRight w:val="0"/>
      <w:marTop w:val="0"/>
      <w:marBottom w:val="0"/>
      <w:divBdr>
        <w:top w:val="none" w:sz="0" w:space="0" w:color="auto"/>
        <w:left w:val="none" w:sz="0" w:space="0" w:color="auto"/>
        <w:bottom w:val="none" w:sz="0" w:space="0" w:color="auto"/>
        <w:right w:val="none" w:sz="0" w:space="0" w:color="auto"/>
      </w:divBdr>
    </w:div>
    <w:div w:id="2124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E390-0962-499E-A59B-3222E41E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Duong</dc:creator>
  <cp:keywords/>
  <dc:description/>
  <cp:lastModifiedBy>Anh Duong Nguyen</cp:lastModifiedBy>
  <cp:revision>38</cp:revision>
  <cp:lastPrinted>2024-08-01T03:13:00Z</cp:lastPrinted>
  <dcterms:created xsi:type="dcterms:W3CDTF">2024-12-24T06:16:00Z</dcterms:created>
  <dcterms:modified xsi:type="dcterms:W3CDTF">2024-12-30T03:37:00Z</dcterms:modified>
</cp:coreProperties>
</file>