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252" w:type="dxa"/>
        <w:tblLayout w:type="fixed"/>
        <w:tblLook w:val="04A0" w:firstRow="1" w:lastRow="0" w:firstColumn="1" w:lastColumn="0" w:noHBand="0" w:noVBand="1"/>
      </w:tblPr>
      <w:tblGrid>
        <w:gridCol w:w="3337"/>
        <w:gridCol w:w="6659"/>
      </w:tblGrid>
      <w:tr w:rsidR="00E96805" w:rsidTr="00B06A74">
        <w:trPr>
          <w:trHeight w:val="2127"/>
        </w:trPr>
        <w:tc>
          <w:tcPr>
            <w:tcW w:w="3337" w:type="dxa"/>
          </w:tcPr>
          <w:p w:rsidR="00E96805" w:rsidRDefault="00640F53">
            <w:pPr>
              <w:jc w:val="center"/>
              <w:rPr>
                <w:b/>
                <w:color w:val="000000"/>
                <w:sz w:val="26"/>
                <w:szCs w:val="26"/>
                <w:lang w:val="nl-NL"/>
              </w:rPr>
            </w:pPr>
            <w:r>
              <w:rPr>
                <w:b/>
                <w:color w:val="000000"/>
                <w:sz w:val="26"/>
                <w:szCs w:val="26"/>
                <w:lang w:val="nl-NL"/>
              </w:rPr>
              <w:t>BỘ TÀI CHÍNH</w:t>
            </w:r>
          </w:p>
          <w:p w:rsidR="00E96805" w:rsidRDefault="006A2E7D">
            <w:pPr>
              <w:jc w:val="center"/>
              <w:rPr>
                <w:b/>
                <w:color w:val="000000"/>
                <w:sz w:val="26"/>
                <w:szCs w:val="26"/>
                <w:lang w:val="nl-NL"/>
              </w:rPr>
            </w:pPr>
            <w:r>
              <w:rPr>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762635</wp:posOffset>
                      </wp:positionH>
                      <wp:positionV relativeFrom="paragraph">
                        <wp:posOffset>69850</wp:posOffset>
                      </wp:positionV>
                      <wp:extent cx="428625" cy="0"/>
                      <wp:effectExtent l="0" t="0" r="2857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ln>
                            </wps:spPr>
                            <wps:bodyPr/>
                          </wps:wsp>
                        </a:graphicData>
                      </a:graphic>
                    </wp:anchor>
                  </w:drawing>
                </mc:Choice>
                <mc:Fallback>
                  <w:pict>
                    <v:shapetype w14:anchorId="6AFDC6A5" id="_x0000_t32" coordsize="21600,21600" o:spt="32" o:oned="t" path="m,l21600,21600e" filled="f">
                      <v:path arrowok="t" fillok="f" o:connecttype="none"/>
                      <o:lock v:ext="edit" shapetype="t"/>
                    </v:shapetype>
                    <v:shape id="AutoShape 4" o:spid="_x0000_s1026" type="#_x0000_t32" style="position:absolute;margin-left:60.05pt;margin-top:5.5pt;width:33.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"/>
                  </w:pict>
                </mc:Fallback>
              </mc:AlternateContent>
            </w:r>
          </w:p>
          <w:p w:rsidR="00E96805" w:rsidRDefault="00E96805">
            <w:pPr>
              <w:jc w:val="center"/>
              <w:rPr>
                <w:color w:val="000000"/>
                <w:sz w:val="26"/>
                <w:szCs w:val="26"/>
                <w:lang w:val="nl-NL"/>
              </w:rPr>
            </w:pPr>
          </w:p>
          <w:p w:rsidR="00E96805" w:rsidRDefault="006A2E7D">
            <w:pPr>
              <w:jc w:val="center"/>
              <w:rPr>
                <w:color w:val="000000"/>
                <w:sz w:val="26"/>
                <w:szCs w:val="26"/>
                <w:lang w:val="nl-NL"/>
              </w:rPr>
            </w:pPr>
            <w:r>
              <w:rPr>
                <w:color w:val="000000"/>
                <w:sz w:val="26"/>
                <w:szCs w:val="26"/>
                <w:lang w:val="nl-NL"/>
              </w:rPr>
              <w:t xml:space="preserve">Số: </w:t>
            </w:r>
            <w:r w:rsidR="00640F53">
              <w:rPr>
                <w:color w:val="000000"/>
                <w:sz w:val="26"/>
                <w:szCs w:val="26"/>
                <w:lang w:val="nl-NL"/>
              </w:rPr>
              <w:t xml:space="preserve">         /BC-BTC</w:t>
            </w:r>
          </w:p>
          <w:p w:rsidR="00E96805" w:rsidRDefault="00E96805">
            <w:pPr>
              <w:jc w:val="center"/>
              <w:rPr>
                <w:color w:val="000000"/>
                <w:sz w:val="24"/>
                <w:lang w:val="nl-NL"/>
              </w:rPr>
            </w:pPr>
          </w:p>
        </w:tc>
        <w:tc>
          <w:tcPr>
            <w:tcW w:w="6659" w:type="dxa"/>
          </w:tcPr>
          <w:p w:rsidR="00E96805" w:rsidRDefault="006A2E7D">
            <w:pPr>
              <w:jc w:val="center"/>
              <w:rPr>
                <w:b/>
                <w:color w:val="000000"/>
                <w:sz w:val="26"/>
                <w:szCs w:val="26"/>
                <w:lang w:val="nl-NL"/>
              </w:rPr>
            </w:pPr>
            <w:r>
              <w:rPr>
                <w:b/>
                <w:color w:val="000000"/>
                <w:sz w:val="26"/>
                <w:szCs w:val="26"/>
                <w:lang w:val="nl-NL"/>
              </w:rPr>
              <w:t>CỘNG HOÀ XÃ HỘI CHỦ NGHĨA VIỆT NAM</w:t>
            </w:r>
          </w:p>
          <w:p w:rsidR="00E96805" w:rsidRDefault="006A2E7D">
            <w:pPr>
              <w:jc w:val="center"/>
              <w:rPr>
                <w:b/>
                <w:color w:val="000000"/>
                <w:szCs w:val="28"/>
                <w:lang w:val="nl-NL"/>
              </w:rPr>
            </w:pPr>
            <w:r>
              <w:rPr>
                <w:b/>
                <w:color w:val="000000"/>
                <w:szCs w:val="28"/>
                <w:lang w:val="nl-NL"/>
              </w:rPr>
              <w:t>Độc lập - Tự do - Hạnh phúc</w:t>
            </w:r>
          </w:p>
          <w:p w:rsidR="00E96805" w:rsidRDefault="006A2E7D">
            <w:pPr>
              <w:jc w:val="center"/>
              <w:rPr>
                <w:i/>
                <w:color w:val="000000"/>
                <w:szCs w:val="28"/>
                <w:lang w:val="nl-NL"/>
              </w:rPr>
            </w:pPr>
            <w:r>
              <w:rPr>
                <w:b/>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1019175</wp:posOffset>
                      </wp:positionH>
                      <wp:positionV relativeFrom="paragraph">
                        <wp:posOffset>70485</wp:posOffset>
                      </wp:positionV>
                      <wp:extent cx="2054860" cy="0"/>
                      <wp:effectExtent l="10160" t="5715" r="11430" b="133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ln>
                            </wps:spPr>
                            <wps:bodyPr/>
                          </wps:wsp>
                        </a:graphicData>
                      </a:graphic>
                    </wp:anchor>
                  </w:drawing>
                </mc:Choice>
                <mc:Fallback>
                  <w:pict>
                    <v:shape w14:anchorId="50A5581B" id="AutoShape 3" o:spid="_x0000_s1026" type="#_x0000_t32" style="position:absolute;margin-left:80.25pt;margin-top:5.55pt;width:16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"/>
                  </w:pict>
                </mc:Fallback>
              </mc:AlternateContent>
            </w:r>
          </w:p>
          <w:p w:rsidR="00E96805" w:rsidRDefault="006A2E7D" w:rsidP="00640F53">
            <w:pPr>
              <w:jc w:val="center"/>
              <w:rPr>
                <w:i/>
                <w:color w:val="000000"/>
                <w:szCs w:val="28"/>
                <w:lang w:val="nl-NL"/>
              </w:rPr>
            </w:pPr>
            <w:r>
              <w:rPr>
                <w:i/>
                <w:color w:val="000000"/>
                <w:szCs w:val="28"/>
                <w:lang w:val="nl-NL"/>
              </w:rPr>
              <w:t xml:space="preserve">Hà nội, ngày </w:t>
            </w:r>
            <w:r w:rsidR="00640F53">
              <w:rPr>
                <w:i/>
                <w:color w:val="000000"/>
                <w:szCs w:val="28"/>
                <w:lang w:val="nl-NL"/>
              </w:rPr>
              <w:t xml:space="preserve">     </w:t>
            </w:r>
            <w:r>
              <w:rPr>
                <w:i/>
                <w:color w:val="000000"/>
                <w:szCs w:val="28"/>
                <w:lang w:val="nl-NL"/>
              </w:rPr>
              <w:t xml:space="preserve"> tháng  </w:t>
            </w:r>
            <w:r w:rsidR="00640F53">
              <w:rPr>
                <w:i/>
                <w:color w:val="000000"/>
                <w:szCs w:val="28"/>
                <w:lang w:val="nl-NL"/>
              </w:rPr>
              <w:t xml:space="preserve">     </w:t>
            </w:r>
            <w:r>
              <w:rPr>
                <w:i/>
                <w:color w:val="000000"/>
                <w:szCs w:val="28"/>
                <w:lang w:val="nl-NL"/>
              </w:rPr>
              <w:t xml:space="preserve"> năm 202</w:t>
            </w:r>
            <w:r w:rsidR="00640F53">
              <w:rPr>
                <w:i/>
                <w:color w:val="000000"/>
                <w:szCs w:val="28"/>
                <w:lang w:val="nl-NL"/>
              </w:rPr>
              <w:t>4</w:t>
            </w:r>
          </w:p>
        </w:tc>
      </w:tr>
    </w:tbl>
    <w:p w:rsidR="00E96805" w:rsidRDefault="006A2E7D">
      <w:pPr>
        <w:widowControl w:val="0"/>
        <w:ind w:right="-284"/>
        <w:jc w:val="center"/>
        <w:rPr>
          <w:b/>
          <w:szCs w:val="28"/>
          <w:lang w:val="nl-NL"/>
        </w:rPr>
      </w:pPr>
      <w:r>
        <w:rPr>
          <w:b/>
          <w:szCs w:val="28"/>
          <w:lang w:val="nl-NL"/>
        </w:rPr>
        <w:t>BÁO CÁO ĐÁNH GIÁ TÁC ĐỘNG</w:t>
      </w:r>
    </w:p>
    <w:p w:rsidR="00E96805" w:rsidRDefault="00640F53">
      <w:pPr>
        <w:ind w:right="-284" w:hanging="142"/>
        <w:jc w:val="center"/>
        <w:rPr>
          <w:b/>
          <w:szCs w:val="28"/>
          <w:lang w:val="nl-NL"/>
        </w:rPr>
      </w:pPr>
      <w:r>
        <w:rPr>
          <w:b/>
          <w:szCs w:val="28"/>
          <w:lang w:val="nl-NL"/>
        </w:rPr>
        <w:t>Dự thảo Nghị định của Chính phủ quy định chi tiết Nghị quyết số 107/2023/QH15 ngày 29/11/2023 về việc áp dụng thuế thu nhập bổ sung theo quy định chống xói mòn cơ sở thuế toàn cầu</w:t>
      </w:r>
    </w:p>
    <w:p w:rsidR="00E96805" w:rsidRDefault="006A2E7D">
      <w:pPr>
        <w:widowControl w:val="0"/>
        <w:jc w:val="center"/>
        <w:rPr>
          <w:b/>
          <w:szCs w:val="28"/>
          <w:lang w:val="nl-NL"/>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2157095</wp:posOffset>
                </wp:positionH>
                <wp:positionV relativeFrom="paragraph">
                  <wp:posOffset>97790</wp:posOffset>
                </wp:positionV>
                <wp:extent cx="1247140" cy="0"/>
                <wp:effectExtent l="0" t="0" r="2921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9525">
                          <a:solidFill>
                            <a:srgbClr val="000000"/>
                          </a:solidFill>
                          <a:round/>
                        </a:ln>
                      </wps:spPr>
                      <wps:bodyPr/>
                    </wps:wsp>
                  </a:graphicData>
                </a:graphic>
              </wp:anchor>
            </w:drawing>
          </mc:Choice>
          <mc:Fallback>
            <w:pict>
              <v:shape w14:anchorId="4EE40C7C" id="AutoShape 2" o:spid="_x0000_s1026" type="#_x0000_t32" style="position:absolute;margin-left:169.85pt;margin-top:7.7pt;width:98.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"/>
            </w:pict>
          </mc:Fallback>
        </mc:AlternateContent>
      </w:r>
    </w:p>
    <w:p w:rsidR="00E96805" w:rsidRDefault="00E96805">
      <w:pPr>
        <w:widowControl w:val="0"/>
        <w:jc w:val="center"/>
        <w:rPr>
          <w:szCs w:val="28"/>
          <w:lang w:val="nl-NL"/>
        </w:rPr>
      </w:pPr>
    </w:p>
    <w:p w:rsidR="00E96805" w:rsidRDefault="006A2E7D">
      <w:pPr>
        <w:widowControl w:val="0"/>
        <w:jc w:val="center"/>
        <w:rPr>
          <w:szCs w:val="28"/>
        </w:rPr>
      </w:pPr>
      <w:r>
        <w:rPr>
          <w:szCs w:val="28"/>
          <w:lang w:val="nl-NL"/>
        </w:rPr>
        <w:t xml:space="preserve">Kính gửi: </w:t>
      </w:r>
      <w:r w:rsidR="00640F53">
        <w:rPr>
          <w:szCs w:val="28"/>
          <w:lang w:val="nl-NL"/>
        </w:rPr>
        <w:t>Chính phủ</w:t>
      </w:r>
      <w:r>
        <w:rPr>
          <w:szCs w:val="28"/>
        </w:rPr>
        <w:t>.</w:t>
      </w:r>
    </w:p>
    <w:p w:rsidR="000227F9" w:rsidRDefault="000227F9" w:rsidP="00640F53">
      <w:pPr>
        <w:widowControl w:val="0"/>
        <w:rPr>
          <w:szCs w:val="28"/>
          <w:lang w:val="nl-NL"/>
        </w:rPr>
      </w:pPr>
    </w:p>
    <w:p w:rsidR="00E96805" w:rsidRDefault="006A2E7D">
      <w:pPr>
        <w:widowControl w:val="0"/>
        <w:spacing w:before="120" w:after="120"/>
        <w:ind w:firstLine="720"/>
        <w:rPr>
          <w:b/>
          <w:szCs w:val="28"/>
          <w:lang w:val="nl-NL"/>
        </w:rPr>
      </w:pPr>
      <w:r>
        <w:rPr>
          <w:b/>
          <w:szCs w:val="28"/>
          <w:lang w:val="nl-NL"/>
        </w:rPr>
        <w:t xml:space="preserve">I. </w:t>
      </w:r>
      <w:r>
        <w:rPr>
          <w:b/>
          <w:bCs/>
          <w:szCs w:val="28"/>
          <w:lang w:val="nl-NL"/>
        </w:rPr>
        <w:t>XÁC ĐỊNH VẤN ĐỀ BẤT CẬP TỔNG QUAN</w:t>
      </w:r>
    </w:p>
    <w:p w:rsidR="00E96805" w:rsidRPr="00DA6216" w:rsidRDefault="006A2E7D">
      <w:pPr>
        <w:widowControl w:val="0"/>
        <w:spacing w:before="120" w:after="120"/>
        <w:ind w:firstLine="720"/>
        <w:jc w:val="both"/>
        <w:rPr>
          <w:b/>
          <w:i/>
          <w:szCs w:val="28"/>
          <w:lang w:val="nl-NL"/>
        </w:rPr>
      </w:pPr>
      <w:r w:rsidRPr="00DA6216">
        <w:rPr>
          <w:b/>
          <w:i/>
          <w:iCs/>
          <w:szCs w:val="28"/>
          <w:lang w:val="nl-NL"/>
        </w:rPr>
        <w:t>1. Bối cảnh xây dựng chính sách</w:t>
      </w:r>
    </w:p>
    <w:p w:rsidR="00DA6216" w:rsidRPr="00DA6216" w:rsidRDefault="00DA6216">
      <w:pPr>
        <w:widowControl w:val="0"/>
        <w:spacing w:before="120" w:after="120"/>
        <w:ind w:right="-1" w:firstLine="720"/>
        <w:jc w:val="both"/>
        <w:rPr>
          <w:i/>
        </w:rPr>
      </w:pPr>
      <w:r w:rsidRPr="00DA6216">
        <w:rPr>
          <w:i/>
        </w:rPr>
        <w:t>1.1. Quá trình hình thành thuế tối thiểu toàn cầu</w:t>
      </w:r>
    </w:p>
    <w:p w:rsidR="00E96805" w:rsidRDefault="00176734">
      <w:pPr>
        <w:widowControl w:val="0"/>
        <w:spacing w:before="120" w:after="120"/>
        <w:ind w:firstLine="720"/>
        <w:jc w:val="both"/>
        <w:rPr>
          <w:lang w:val="vi-VN"/>
        </w:rPr>
      </w:pPr>
      <w:r>
        <w:t>N</w:t>
      </w:r>
      <w:r w:rsidR="006A2E7D">
        <w:rPr>
          <w:lang w:val="vi-VN"/>
        </w:rPr>
        <w:t xml:space="preserve">gày 9/7/2021, Bộ trưởng Tài chính và Thống đốc Ngân hàng trung ương của Nhóm các nền kinh tế phát triển và mới nổi hàng đầu thế giới (G20) đã thống nhất về nguyên tắc </w:t>
      </w:r>
      <w:r w:rsidR="006A2E7D">
        <w:rPr>
          <w:i/>
          <w:lang w:val="vi-VN"/>
        </w:rPr>
        <w:t>Giải pháp Hai trụ cột nhằm giải quyết các thách thức về thuế phát sinh trong quá trình số hóa nền kinh tế</w:t>
      </w:r>
      <w:r w:rsidR="006A2E7D">
        <w:rPr>
          <w:i/>
        </w:rPr>
        <w:t xml:space="preserve">. </w:t>
      </w:r>
      <w:r w:rsidR="006A2E7D">
        <w:t>N</w:t>
      </w:r>
      <w:r w:rsidR="006A2E7D">
        <w:rPr>
          <w:lang w:val="vi-VN"/>
        </w:rPr>
        <w:t>gày 08/10/2021, OECD đưa ra tuyên bố Khung giải pháp Hai trụ cột để giải quyết các thách thức phát sinh từ nền kinh tế kỹ thuật số</w:t>
      </w:r>
      <w:r w:rsidR="006A2E7D">
        <w:t xml:space="preserve">, trong đó Trụ cột thứ hai </w:t>
      </w:r>
      <w:r w:rsidR="006A2E7D">
        <w:rPr>
          <w:lang w:val="vi-VN"/>
        </w:rPr>
        <w:t>đặt ra mức thuế doanh nghiệp tối thiểu toàn cầu 15% đối với các công ty đa quốc gia nhằm ngăn các công ty này chuyển lợi nhuận sang quốc gia có thuế suất thấp để tránh thuế. Đối với giải pháp này, các Tập đoàn công ty đa quốc gia (MNE) có mức doanh thu hợp nhất ít nhất 2 năm trong 4 năm liền kề trước năm xem xét đạt tối thiểu 750 triệu EUR căn cứ theo báo cáo tài chính của tập đoàn, thì tập đoàn đó thuộc đối tượng áp dụng Thuế tối thiểu toàn cầu, tức sẽ bị đánh thuế bổ sung phần chênh lệch nếu thuế suất thực tế thấp hơn mức tối thiểu 15%.</w:t>
      </w:r>
    </w:p>
    <w:p w:rsidR="00E96805" w:rsidRDefault="006A2E7D">
      <w:pPr>
        <w:widowControl w:val="0"/>
        <w:spacing w:before="120" w:after="120"/>
        <w:ind w:right="-1" w:firstLine="720"/>
        <w:jc w:val="both"/>
        <w:rPr>
          <w:bCs/>
          <w:iCs/>
        </w:rPr>
      </w:pPr>
      <w:r>
        <w:rPr>
          <w:lang w:val="vi-VN"/>
        </w:rPr>
        <w:t>Đến ngày 16/12/2022, Diễn đàn hợp tác toàn cầu về BEPS (IF) đã công bố có 138 nước đồng thuận (</w:t>
      </w:r>
      <w:r>
        <w:rPr>
          <w:i/>
          <w:lang w:val="vi-VN"/>
        </w:rPr>
        <w:t>không phản đối</w:t>
      </w:r>
      <w:r>
        <w:rPr>
          <w:lang w:val="vi-VN"/>
        </w:rPr>
        <w:t>) đối với nội dung về Khung giải pháp Hai trụ cột để giải quyết các thách thức phát sinh từ nền kinh tế kỹ thuật số mà OECD đưa ra ngày 8/10/2021 nêu trên. Việt Nam là thành viên thứ 100 của BEPS và không có ý kiến bảo lưu về nội dung này, nên là một trong những nước đồng thuận. Đến nay, Khung giải pháp Hai trụ cột đã nhận được sự đồng thuận của 142/142 nước thành viên IF.</w:t>
      </w:r>
    </w:p>
    <w:p w:rsidR="00BC47DD" w:rsidRPr="00B76938" w:rsidRDefault="00BC47DD" w:rsidP="00A3205E">
      <w:pPr>
        <w:widowControl w:val="0"/>
        <w:spacing w:before="120" w:after="120"/>
        <w:ind w:firstLine="720"/>
        <w:jc w:val="both"/>
        <w:rPr>
          <w:i/>
        </w:rPr>
      </w:pPr>
      <w:r w:rsidRPr="00B76938">
        <w:rPr>
          <w:i/>
        </w:rPr>
        <w:t xml:space="preserve">1.2. </w:t>
      </w:r>
      <w:r w:rsidR="00B76938" w:rsidRPr="00B76938">
        <w:rPr>
          <w:i/>
        </w:rPr>
        <w:t>Ban hành chính sách á</w:t>
      </w:r>
      <w:r w:rsidRPr="00B76938">
        <w:rPr>
          <w:i/>
        </w:rPr>
        <w:t>p dụng thuế tối thiểu toàn cầu tại Việt Nam</w:t>
      </w:r>
    </w:p>
    <w:p w:rsidR="00A3205E" w:rsidRPr="00A3205E" w:rsidRDefault="006A2E7D" w:rsidP="00A3205E">
      <w:pPr>
        <w:widowControl w:val="0"/>
        <w:spacing w:before="120" w:after="120"/>
        <w:ind w:firstLine="720"/>
        <w:jc w:val="both"/>
        <w:rPr>
          <w:lang w:val="vi-VN"/>
        </w:rPr>
      </w:pPr>
      <w:r>
        <w:rPr>
          <w:lang w:val="vi-VN"/>
        </w:rPr>
        <w:t xml:space="preserve">Trước bối cảnh các quốc gia có vốn đầu tư lớn vào Việt Nam đã có kế hoạch áp dụng Thuế tối thiểu toàn cầu để giành quyền thu thuế và các quốc gia nhận vốn đầu tư tương tự như Việt Nam đã và đang nghiên cứu chính sách ứng phó, chính sách hỗ trợ nhà đầu tư trước tác động của Thuế tối thiểu toàn cầu, </w:t>
      </w:r>
      <w:r>
        <w:rPr>
          <w:lang w:val="vi-VN"/>
        </w:rPr>
        <w:lastRenderedPageBreak/>
        <w:t xml:space="preserve">để </w:t>
      </w:r>
      <w:r>
        <w:rPr>
          <w:lang w:val="nl-NL"/>
        </w:rPr>
        <w:t>đảm bảo</w:t>
      </w:r>
      <w:r>
        <w:rPr>
          <w:lang w:val="vi-VN"/>
        </w:rPr>
        <w:t xml:space="preserve"> quyền và lợi ích hợp pháp </w:t>
      </w:r>
      <w:r>
        <w:rPr>
          <w:iCs/>
          <w:lang w:val="nl-NL"/>
        </w:rPr>
        <w:t>của</w:t>
      </w:r>
      <w:r>
        <w:rPr>
          <w:lang w:val="vi-VN"/>
        </w:rPr>
        <w:t xml:space="preserve"> mình, Việt Nam cần khẳng định áp dụng Thuế tối thiểu toàn cầu tại Việt Nam thông qua việc ban hành văn bản quy định việc áp dụng Thuế tối thiểu toàn cầu.</w:t>
      </w:r>
      <w:r w:rsidR="00A3205E">
        <w:t xml:space="preserve"> </w:t>
      </w:r>
      <w:r w:rsidR="00A3205E" w:rsidRPr="00857572">
        <w:rPr>
          <w:szCs w:val="28"/>
        </w:rPr>
        <w:t xml:space="preserve">Theo </w:t>
      </w:r>
      <w:r w:rsidR="00A3205E" w:rsidRPr="00857572">
        <w:rPr>
          <w:bCs/>
          <w:szCs w:val="28"/>
          <w:lang w:val="nl-NL"/>
        </w:rPr>
        <w:t>hướng dẫn</w:t>
      </w:r>
      <w:r w:rsidR="00A3205E" w:rsidRPr="00857572">
        <w:rPr>
          <w:szCs w:val="28"/>
          <w:lang w:val="nl-NL"/>
        </w:rPr>
        <w:t xml:space="preserve"> </w:t>
      </w:r>
      <w:r w:rsidR="00A3205E" w:rsidRPr="00857572">
        <w:rPr>
          <w:iCs/>
          <w:szCs w:val="28"/>
          <w:lang w:val="nl-NL"/>
        </w:rPr>
        <w:t>của</w:t>
      </w:r>
      <w:r w:rsidR="00A3205E" w:rsidRPr="00857572">
        <w:rPr>
          <w:szCs w:val="28"/>
        </w:rPr>
        <w:t xml:space="preserve"> OECD về quy định chống xói mòn cơ sở thuế toàn cầu, Thuế tối thiểu toàn cầu có bản chất là </w:t>
      </w:r>
      <w:r w:rsidR="00A3205E" w:rsidRPr="00857572">
        <w:rPr>
          <w:bCs/>
          <w:iCs/>
          <w:szCs w:val="28"/>
        </w:rPr>
        <w:t>thuế thu nhập doanh nghiệp bổ sung và</w:t>
      </w:r>
      <w:r w:rsidR="00A3205E" w:rsidRPr="00857572">
        <w:rPr>
          <w:szCs w:val="28"/>
        </w:rPr>
        <w:t xml:space="preserve"> các nước cần </w:t>
      </w:r>
      <w:r w:rsidR="00A3205E" w:rsidRPr="00857572">
        <w:rPr>
          <w:bCs/>
          <w:szCs w:val="28"/>
          <w:lang w:val="nl-NL"/>
        </w:rPr>
        <w:t>quy định</w:t>
      </w:r>
      <w:r w:rsidR="00A3205E" w:rsidRPr="00857572">
        <w:rPr>
          <w:szCs w:val="28"/>
        </w:rPr>
        <w:t xml:space="preserve"> trong hệ thống p</w:t>
      </w:r>
      <w:r w:rsidR="00A3205E" w:rsidRPr="00857572">
        <w:rPr>
          <w:iCs/>
          <w:szCs w:val="28"/>
          <w:lang w:val="nl-NL"/>
        </w:rPr>
        <w:t>háp luật</w:t>
      </w:r>
      <w:r w:rsidR="00A3205E" w:rsidRPr="00857572">
        <w:rPr>
          <w:szCs w:val="28"/>
          <w:lang w:val="nl-NL"/>
        </w:rPr>
        <w:t xml:space="preserve"> </w:t>
      </w:r>
      <w:r w:rsidR="00A3205E" w:rsidRPr="00857572">
        <w:rPr>
          <w:iCs/>
          <w:szCs w:val="28"/>
          <w:lang w:val="nl-NL"/>
        </w:rPr>
        <w:t>của</w:t>
      </w:r>
      <w:r w:rsidR="00A3205E" w:rsidRPr="00857572">
        <w:rPr>
          <w:szCs w:val="28"/>
        </w:rPr>
        <w:t xml:space="preserve"> mình cho phù hợp. </w:t>
      </w:r>
    </w:p>
    <w:p w:rsidR="000325D8" w:rsidRDefault="00A3205E" w:rsidP="00A3205E">
      <w:pPr>
        <w:widowControl w:val="0"/>
        <w:spacing w:before="120" w:after="120"/>
        <w:ind w:firstLine="658"/>
        <w:jc w:val="both"/>
        <w:rPr>
          <w:color w:val="000000"/>
          <w:szCs w:val="28"/>
        </w:rPr>
      </w:pPr>
      <w:r w:rsidRPr="00857572">
        <w:rPr>
          <w:color w:val="000000"/>
          <w:szCs w:val="28"/>
        </w:rPr>
        <w:t xml:space="preserve">Theo quy định tại khoản 4, Điều 70 của Hiến pháp nước Cộng hòa xã hội chủ nghĩa Việt Nam thì </w:t>
      </w:r>
      <w:r w:rsidRPr="00857572">
        <w:rPr>
          <w:bCs/>
          <w:color w:val="000000"/>
          <w:szCs w:val="28"/>
        </w:rPr>
        <w:t>Quốc hội “</w:t>
      </w:r>
      <w:r w:rsidRPr="00857572">
        <w:rPr>
          <w:bCs/>
          <w:i/>
          <w:color w:val="000000"/>
          <w:szCs w:val="28"/>
        </w:rPr>
        <w:t>quy định, sửa đổi hoặc bãi bỏ các thứ thuế</w:t>
      </w:r>
      <w:r w:rsidRPr="00857572">
        <w:rPr>
          <w:bCs/>
          <w:color w:val="000000"/>
          <w:szCs w:val="28"/>
        </w:rPr>
        <w:t>”.</w:t>
      </w:r>
      <w:r w:rsidRPr="00857572">
        <w:rPr>
          <w:color w:val="000000"/>
          <w:szCs w:val="28"/>
        </w:rPr>
        <w:t xml:space="preserve"> Vì vậy, việc áp dụng thuế thu nhập doanh nghiệp bổ sung theo quy định chống xói mòn cơ sở thuế toàn cầu </w:t>
      </w:r>
      <w:r w:rsidRPr="00857572">
        <w:rPr>
          <w:i/>
          <w:color w:val="000000"/>
          <w:szCs w:val="28"/>
        </w:rPr>
        <w:t xml:space="preserve">(Thuế tối thiểu toàn cầu) </w:t>
      </w:r>
      <w:r w:rsidRPr="00857572">
        <w:rPr>
          <w:color w:val="000000"/>
          <w:szCs w:val="28"/>
        </w:rPr>
        <w:t>cần phải trình Quốc hội xem xét, quy định.</w:t>
      </w:r>
      <w:r>
        <w:rPr>
          <w:color w:val="000000"/>
          <w:szCs w:val="28"/>
        </w:rPr>
        <w:t xml:space="preserve"> Theo đó, Bộ Tài chính đã trình Chính phủ trình Q</w:t>
      </w:r>
      <w:r w:rsidR="00A3025F">
        <w:rPr>
          <w:color w:val="000000"/>
          <w:szCs w:val="28"/>
        </w:rPr>
        <w:t xml:space="preserve">uốc hội phê duyệt </w:t>
      </w:r>
      <w:r>
        <w:rPr>
          <w:color w:val="000000"/>
          <w:szCs w:val="28"/>
        </w:rPr>
        <w:t>Nghị quyết của Quốc hội về việc áp dụng thuế thu nhập doanh nghiệp bổ sung theo quy định chống xói mòn cơ sở thuế toàn cầu</w:t>
      </w:r>
      <w:r w:rsidR="00A3025F">
        <w:rPr>
          <w:color w:val="000000"/>
          <w:szCs w:val="28"/>
        </w:rPr>
        <w:t xml:space="preserve"> tại Kỳ họp thứ 6, Quốc hội khóa XV</w:t>
      </w:r>
      <w:r>
        <w:rPr>
          <w:color w:val="000000"/>
          <w:szCs w:val="28"/>
        </w:rPr>
        <w:t>.</w:t>
      </w:r>
    </w:p>
    <w:p w:rsidR="00A3205E" w:rsidRDefault="00A3205E" w:rsidP="00A3205E">
      <w:pPr>
        <w:widowControl w:val="0"/>
        <w:spacing w:before="120" w:after="120"/>
        <w:ind w:firstLine="658"/>
        <w:jc w:val="both"/>
        <w:rPr>
          <w:color w:val="000000"/>
          <w:szCs w:val="28"/>
        </w:rPr>
      </w:pPr>
      <w:r>
        <w:rPr>
          <w:color w:val="000000"/>
          <w:szCs w:val="28"/>
        </w:rPr>
        <w:t xml:space="preserve">Ngày 29/11/2023, Quốc hội đã thông qua Nghị quyết số 107/2023/QH15 về việc áp dụng thuế thu nhập doanh nghiệp bổ sung theo quy định chống xói mòn cơ sở thuế toàn cầu. </w:t>
      </w:r>
      <w:r w:rsidR="00DA6216">
        <w:rPr>
          <w:szCs w:val="28"/>
        </w:rPr>
        <w:t xml:space="preserve">Theo đó, Việt Nam sẽ áp dụng 2 quy định là: Quy định </w:t>
      </w:r>
      <w:r w:rsidR="00DA6216" w:rsidRPr="00857572">
        <w:rPr>
          <w:color w:val="000000"/>
          <w:szCs w:val="28"/>
          <w:shd w:val="clear" w:color="auto" w:fill="FFFFFF"/>
        </w:rPr>
        <w:t>t</w:t>
      </w:r>
      <w:r w:rsidR="00DA6216" w:rsidRPr="00857572">
        <w:rPr>
          <w:szCs w:val="28"/>
        </w:rPr>
        <w:t xml:space="preserve">huế thu nhập doanh nghiệp bổ sung tối thiểu nội địa đạt chuẩn </w:t>
      </w:r>
      <w:r w:rsidR="00DA6216" w:rsidRPr="00857572">
        <w:rPr>
          <w:iCs/>
          <w:szCs w:val="28"/>
        </w:rPr>
        <w:t>(QDMTT)</w:t>
      </w:r>
      <w:r w:rsidR="00DA6216">
        <w:rPr>
          <w:iCs/>
          <w:szCs w:val="28"/>
        </w:rPr>
        <w:t xml:space="preserve"> và </w:t>
      </w:r>
      <w:r w:rsidR="00DA6216" w:rsidRPr="00857572">
        <w:rPr>
          <w:szCs w:val="28"/>
        </w:rPr>
        <w:t>Quy định về t</w:t>
      </w:r>
      <w:r w:rsidR="00DA6216" w:rsidRPr="00857572">
        <w:rPr>
          <w:szCs w:val="28"/>
          <w:lang w:val="vi-VN"/>
        </w:rPr>
        <w:t>ổng hợp thu nhập chịu thuế tối thiểu (IIR)</w:t>
      </w:r>
      <w:r w:rsidR="00DA6216">
        <w:rPr>
          <w:szCs w:val="28"/>
        </w:rPr>
        <w:t xml:space="preserve">, chưa áp dụng </w:t>
      </w:r>
      <w:r w:rsidR="00DA6216" w:rsidRPr="00A40F71">
        <w:rPr>
          <w:szCs w:val="28"/>
        </w:rPr>
        <w:t>Quy định lợi nhuận chịu thuế dưới mức tối thiểu (UTPR) và Quy định thuế khấu trừ tại nguồn tối thiểu (STTR).</w:t>
      </w:r>
      <w:r w:rsidR="00DA6216">
        <w:rPr>
          <w:szCs w:val="28"/>
        </w:rPr>
        <w:t xml:space="preserve"> </w:t>
      </w:r>
      <w:r>
        <w:rPr>
          <w:color w:val="000000"/>
          <w:szCs w:val="28"/>
        </w:rPr>
        <w:t>Nghị quyết có hiệu lực từ ngày 1/1/2024, áp dụng từ năm tài chính 2024.</w:t>
      </w:r>
    </w:p>
    <w:p w:rsidR="004B7621" w:rsidRPr="00C818FA" w:rsidRDefault="004B7621" w:rsidP="00A3205E">
      <w:pPr>
        <w:widowControl w:val="0"/>
        <w:spacing w:before="120" w:after="120"/>
        <w:ind w:firstLine="658"/>
        <w:jc w:val="both"/>
        <w:rPr>
          <w:i/>
          <w:color w:val="000000"/>
          <w:szCs w:val="28"/>
        </w:rPr>
      </w:pPr>
      <w:r w:rsidRPr="00C818FA">
        <w:rPr>
          <w:i/>
          <w:color w:val="000000"/>
          <w:szCs w:val="28"/>
        </w:rPr>
        <w:t xml:space="preserve">1.3. Xây dựng Nghị định của Chính phủ quy định chi tiết Nghị quyết 107/2023/QH15 </w:t>
      </w:r>
    </w:p>
    <w:p w:rsidR="00DA6101" w:rsidRDefault="00DA6101" w:rsidP="00DA6101">
      <w:pPr>
        <w:widowControl w:val="0"/>
        <w:spacing w:before="120" w:after="120"/>
        <w:ind w:firstLine="658"/>
        <w:jc w:val="both"/>
        <w:rPr>
          <w:color w:val="000000"/>
          <w:szCs w:val="28"/>
        </w:rPr>
      </w:pPr>
      <w:r>
        <w:rPr>
          <w:color w:val="000000"/>
          <w:szCs w:val="28"/>
        </w:rPr>
        <w:t>Căn cứ khoản 1 Điều 7 Nghị quyết số 107/2023/QH15 về việc áp dụng thuế thu nhập doanh nghiệp bổ sung theo quy định chống xói mòn cơ sở thuế toàn cầu quy định:</w:t>
      </w:r>
    </w:p>
    <w:p w:rsidR="00DA6101" w:rsidRDefault="00DA6101" w:rsidP="00DA6101">
      <w:pPr>
        <w:widowControl w:val="0"/>
        <w:spacing w:before="120" w:after="120"/>
        <w:ind w:firstLine="658"/>
        <w:jc w:val="both"/>
        <w:rPr>
          <w:i/>
          <w:color w:val="000000"/>
          <w:szCs w:val="28"/>
        </w:rPr>
      </w:pPr>
      <w:r w:rsidRPr="00DA6101">
        <w:rPr>
          <w:i/>
          <w:color w:val="000000"/>
          <w:szCs w:val="28"/>
        </w:rPr>
        <w:t>"1. Giao Chính phủ, các Bộ, trong phạm vi nhiệm vụ, quyền hạn của mình, chịu trách nhiệm tổ chức, triển khai thực hiện các nội dung, chính sách quy định tại Nghị quyết này; khẩn trương chuẩn bị các điều kiện cần thiết để bảo đảm cho việc thực hiện Nghị quyết; chú trọng tổ chức thực hiện các hoạt động hợp tác đa phương về trao đổi thông tin tự động phục vụ việc thu thuế tối thiểu toàn cầu; xây dựng kế hoạch, lộ trình triển khai chính thức, phân công trách nhiệm, tổ chức bộ máy, nguồn lực để kịp thời đáp ứng năng lực thực hiện cho cơ quan thuế, có biện pháp nâng cao tuân thủ tự nguyện cho người nộp thuế".</w:t>
      </w:r>
    </w:p>
    <w:p w:rsidR="00DA6101" w:rsidRPr="00DA6101" w:rsidRDefault="00DD6C18" w:rsidP="00DA6101">
      <w:pPr>
        <w:widowControl w:val="0"/>
        <w:spacing w:before="120" w:after="120"/>
        <w:ind w:firstLine="658"/>
        <w:jc w:val="both"/>
        <w:rPr>
          <w:color w:val="000000"/>
          <w:szCs w:val="28"/>
        </w:rPr>
      </w:pPr>
      <w:r>
        <w:rPr>
          <w:color w:val="000000"/>
          <w:szCs w:val="28"/>
        </w:rPr>
        <w:t>Căn cứ quy định nêu trên, theo Quyết định số 19/QĐ-TTg ngày 8/1/2024 của Thủ tướng Chính phủ về việc ban hành Danh mục và phân công cơ quan chủ trì soạn thảo văn bản quy định chi tiết thi hành các luật, nghị quyết được Quốc hội khóa XV thông qua tại Kỳ họp 6, theo đó Bộ Tài chính được phân công chủ trì xây dựng Nghị định quy định chi tiết Nghị quyết của Quốc hội về việc áp dụng thuế thu nhập doanh nghiệp bổ sung theo quy định chống xói mòn cơ sở thuế toàn cầu, thời hạn trình/ban hành là trước ngày 31/10/2024.</w:t>
      </w:r>
    </w:p>
    <w:p w:rsidR="00E96805" w:rsidRDefault="006A2E7D" w:rsidP="00DA6101">
      <w:pPr>
        <w:widowControl w:val="0"/>
        <w:spacing w:before="120" w:after="120"/>
        <w:ind w:firstLine="658"/>
        <w:jc w:val="both"/>
        <w:rPr>
          <w:b/>
          <w:bCs/>
          <w:color w:val="000000"/>
          <w:szCs w:val="28"/>
          <w:lang w:val="vi-VN"/>
        </w:rPr>
      </w:pPr>
      <w:r>
        <w:rPr>
          <w:b/>
          <w:bCs/>
          <w:color w:val="000000"/>
          <w:szCs w:val="28"/>
        </w:rPr>
        <w:lastRenderedPageBreak/>
        <w:t xml:space="preserve">2. </w:t>
      </w:r>
      <w:r>
        <w:rPr>
          <w:b/>
          <w:bCs/>
          <w:color w:val="000000"/>
          <w:szCs w:val="28"/>
          <w:lang w:val="vi-VN"/>
        </w:rPr>
        <w:t>Mục tiêu xây dựng ch</w:t>
      </w:r>
      <w:r>
        <w:rPr>
          <w:b/>
          <w:bCs/>
          <w:color w:val="000000"/>
          <w:szCs w:val="28"/>
        </w:rPr>
        <w:t>í</w:t>
      </w:r>
      <w:r>
        <w:rPr>
          <w:b/>
          <w:bCs/>
          <w:color w:val="000000"/>
          <w:szCs w:val="28"/>
          <w:lang w:val="vi-VN"/>
        </w:rPr>
        <w:t>nh sách</w:t>
      </w:r>
    </w:p>
    <w:p w:rsidR="00E96805" w:rsidRDefault="006A2E7D">
      <w:pPr>
        <w:spacing w:before="120" w:after="120"/>
        <w:ind w:leftChars="234" w:left="655" w:firstLineChars="51" w:firstLine="143"/>
        <w:jc w:val="both"/>
        <w:rPr>
          <w:b/>
          <w:bCs/>
          <w:color w:val="000000"/>
          <w:szCs w:val="28"/>
        </w:rPr>
      </w:pPr>
      <w:r>
        <w:rPr>
          <w:color w:val="000000"/>
          <w:szCs w:val="28"/>
        </w:rPr>
        <w:t xml:space="preserve">- </w:t>
      </w:r>
      <w:r>
        <w:rPr>
          <w:b/>
          <w:bCs/>
          <w:color w:val="000000"/>
          <w:szCs w:val="28"/>
        </w:rPr>
        <w:t>Mục tiêu tổng thể</w:t>
      </w:r>
    </w:p>
    <w:p w:rsidR="00E96805" w:rsidRDefault="006A2E7D">
      <w:pPr>
        <w:widowControl w:val="0"/>
        <w:spacing w:before="120" w:after="120"/>
        <w:ind w:firstLine="720"/>
        <w:jc w:val="both"/>
        <w:rPr>
          <w:rFonts w:eastAsia="Calibri"/>
        </w:rPr>
      </w:pPr>
      <w:r>
        <w:rPr>
          <w:rFonts w:eastAsia="Calibri"/>
          <w:szCs w:val="28"/>
          <w:lang w:val="nl-NL"/>
        </w:rPr>
        <w:t>Xây dựng</w:t>
      </w:r>
      <w:r>
        <w:rPr>
          <w:rFonts w:eastAsia="Calibri"/>
        </w:rPr>
        <w:t xml:space="preserve"> </w:t>
      </w:r>
      <w:r w:rsidR="0046324F">
        <w:rPr>
          <w:rFonts w:eastAsia="Calibri"/>
        </w:rPr>
        <w:t xml:space="preserve">quy định hướng dẫn áp dụng các quy định về </w:t>
      </w:r>
      <w:r>
        <w:rPr>
          <w:rFonts w:eastAsia="Calibri"/>
        </w:rPr>
        <w:t>Thuế tối thiểu toàn cầu để áp dụng từ năm 2024 (</w:t>
      </w:r>
      <w:r>
        <w:rPr>
          <w:rFonts w:eastAsia="Calibri"/>
          <w:i/>
        </w:rPr>
        <w:t xml:space="preserve">bao gồm </w:t>
      </w:r>
      <w:r>
        <w:rPr>
          <w:rFonts w:eastAsia="Calibri"/>
          <w:bCs/>
          <w:i/>
          <w:lang w:val="nl-NL"/>
        </w:rPr>
        <w:t>quy định</w:t>
      </w:r>
      <w:r>
        <w:rPr>
          <w:rFonts w:eastAsia="Calibri"/>
          <w:i/>
        </w:rPr>
        <w:t xml:space="preserve"> tổng hợp </w:t>
      </w:r>
      <w:r>
        <w:rPr>
          <w:rFonts w:eastAsia="Calibri"/>
          <w:i/>
          <w:lang w:val="nl-NL"/>
        </w:rPr>
        <w:t>thu nhập</w:t>
      </w:r>
      <w:r>
        <w:rPr>
          <w:rFonts w:eastAsia="Calibri"/>
          <w:i/>
        </w:rPr>
        <w:t xml:space="preserve"> chịu thuế tối thiểu (IIR) và thuế tối thiểu bổ sung nội địa đạt chuẩn (QDMTT)</w:t>
      </w:r>
      <w:r w:rsidR="0046324F">
        <w:rPr>
          <w:rFonts w:eastAsia="Calibri"/>
          <w:i/>
        </w:rPr>
        <w:t xml:space="preserve"> và các quy định có liên quan</w:t>
      </w:r>
      <w:r>
        <w:rPr>
          <w:rFonts w:eastAsia="Calibri"/>
        </w:rPr>
        <w:t xml:space="preserve">) </w:t>
      </w:r>
      <w:r w:rsidR="0046324F">
        <w:rPr>
          <w:rFonts w:eastAsia="Calibri"/>
        </w:rPr>
        <w:t>để hướng dẫn người nộp thuế xác định chính xác đối tượng áp dụng và số thuế nộp bổ sung theo quy định về thuế tối thiểu toàn cầu.</w:t>
      </w:r>
    </w:p>
    <w:p w:rsidR="00D07BA8" w:rsidRDefault="006A2E7D" w:rsidP="00D07BA8">
      <w:pPr>
        <w:spacing w:before="120" w:after="120"/>
        <w:ind w:firstLine="660"/>
        <w:jc w:val="both"/>
        <w:rPr>
          <w:b/>
          <w:bCs/>
          <w:szCs w:val="28"/>
        </w:rPr>
      </w:pPr>
      <w:r>
        <w:rPr>
          <w:b/>
          <w:bCs/>
          <w:szCs w:val="28"/>
        </w:rPr>
        <w:t>- Mục tiêu cụ thể</w:t>
      </w:r>
    </w:p>
    <w:p w:rsidR="00D07BA8" w:rsidRDefault="00D07BA8">
      <w:pPr>
        <w:widowControl w:val="0"/>
        <w:tabs>
          <w:tab w:val="left" w:pos="567"/>
        </w:tabs>
        <w:spacing w:before="120" w:after="120"/>
        <w:ind w:firstLineChars="202" w:firstLine="566"/>
        <w:jc w:val="both"/>
        <w:rPr>
          <w:szCs w:val="28"/>
        </w:rPr>
      </w:pPr>
      <w:r>
        <w:rPr>
          <w:szCs w:val="28"/>
        </w:rPr>
        <w:t>+ Phù hợp và đồng bộ với các quy định tại Nghị quyết số 107/2023/QH15 về việc áp dụng thuế thu nhập doanh nghiệp bổ sung theo quy định chống xói mòn cơ sở thuế toàn cầu;</w:t>
      </w:r>
    </w:p>
    <w:p w:rsidR="00D07BA8" w:rsidRDefault="00D07BA8" w:rsidP="00D07BA8">
      <w:pPr>
        <w:widowControl w:val="0"/>
        <w:tabs>
          <w:tab w:val="left" w:pos="567"/>
        </w:tabs>
        <w:spacing w:before="120" w:after="120"/>
        <w:ind w:firstLineChars="202" w:firstLine="566"/>
        <w:jc w:val="both"/>
        <w:rPr>
          <w:szCs w:val="28"/>
        </w:rPr>
      </w:pPr>
      <w:r>
        <w:rPr>
          <w:szCs w:val="28"/>
        </w:rPr>
        <w:t>+ Phù hợp với các quy định về thuế tối thiểu toàn cầu theo tài liệu hướng dẫn của OECD, đảm bảo đạt chuẩn khi tiến hành rà soát đồng cấp;</w:t>
      </w:r>
    </w:p>
    <w:p w:rsidR="00D07BA8" w:rsidRDefault="00D07BA8">
      <w:pPr>
        <w:widowControl w:val="0"/>
        <w:tabs>
          <w:tab w:val="left" w:pos="567"/>
        </w:tabs>
        <w:spacing w:before="120" w:after="120"/>
        <w:ind w:firstLineChars="202" w:firstLine="566"/>
        <w:jc w:val="both"/>
        <w:rPr>
          <w:szCs w:val="28"/>
        </w:rPr>
      </w:pPr>
      <w:r>
        <w:rPr>
          <w:szCs w:val="28"/>
        </w:rPr>
        <w:t>+ Xây dựng nội dung có tính chọn lọc, đảm bảo tính khả thi, dễ thực hiện khi áp dụng các quy định về thuế tối tiểu toàn cầu tại Việt Nam;</w:t>
      </w:r>
    </w:p>
    <w:p w:rsidR="00D07BA8" w:rsidRDefault="00D07BA8">
      <w:pPr>
        <w:widowControl w:val="0"/>
        <w:tabs>
          <w:tab w:val="left" w:pos="567"/>
        </w:tabs>
        <w:spacing w:before="120" w:after="120"/>
        <w:ind w:firstLineChars="202" w:firstLine="566"/>
        <w:jc w:val="both"/>
        <w:rPr>
          <w:szCs w:val="28"/>
        </w:rPr>
      </w:pPr>
      <w:r>
        <w:rPr>
          <w:szCs w:val="28"/>
        </w:rPr>
        <w:t xml:space="preserve">+ </w:t>
      </w:r>
      <w:r w:rsidR="000D2817">
        <w:rPr>
          <w:szCs w:val="28"/>
        </w:rPr>
        <w:t>Xây dựng công tác quản lý thuế hiệu quả, tiến bộ và minh bạch, giảm thiểu thủ tục hành chính cho người nộp thuế;</w:t>
      </w:r>
    </w:p>
    <w:p w:rsidR="00732F53" w:rsidRDefault="00732F53">
      <w:pPr>
        <w:widowControl w:val="0"/>
        <w:spacing w:before="120" w:after="120"/>
        <w:ind w:firstLine="720"/>
        <w:jc w:val="both"/>
        <w:rPr>
          <w:szCs w:val="28"/>
        </w:rPr>
      </w:pPr>
    </w:p>
    <w:p w:rsidR="00E96805" w:rsidRDefault="006A2E7D">
      <w:pPr>
        <w:widowControl w:val="0"/>
        <w:spacing w:before="120" w:after="120"/>
        <w:ind w:firstLine="720"/>
        <w:jc w:val="both"/>
        <w:rPr>
          <w:b/>
          <w:szCs w:val="28"/>
          <w:lang w:val="am-ET"/>
        </w:rPr>
      </w:pPr>
      <w:r>
        <w:rPr>
          <w:b/>
          <w:szCs w:val="28"/>
          <w:lang w:val="nl-NL"/>
        </w:rPr>
        <w:t>II. ĐÁNH GIÁ TÁC ĐỘNG CỦA CHÍNH SÁCH ĐỀ XUẤT</w:t>
      </w:r>
      <w:r>
        <w:rPr>
          <w:b/>
          <w:szCs w:val="28"/>
          <w:lang w:val="nl-NL"/>
        </w:rPr>
        <w:tab/>
      </w:r>
    </w:p>
    <w:p w:rsidR="00E96805" w:rsidRDefault="006A2E7D">
      <w:pPr>
        <w:spacing w:before="120" w:after="120"/>
        <w:ind w:firstLine="720"/>
        <w:jc w:val="both"/>
        <w:rPr>
          <w:szCs w:val="28"/>
        </w:rPr>
      </w:pPr>
      <w:r>
        <w:rPr>
          <w:b/>
          <w:szCs w:val="28"/>
          <w:lang w:val="sv-SE"/>
        </w:rPr>
        <w:t xml:space="preserve">1. </w:t>
      </w:r>
      <w:r>
        <w:rPr>
          <w:b/>
          <w:szCs w:val="28"/>
        </w:rPr>
        <w:t xml:space="preserve">Chính sách 1: </w:t>
      </w:r>
      <w:r>
        <w:rPr>
          <w:szCs w:val="28"/>
        </w:rPr>
        <w:t xml:space="preserve">Quy định </w:t>
      </w:r>
      <w:r w:rsidR="00332104">
        <w:rPr>
          <w:szCs w:val="28"/>
        </w:rPr>
        <w:t xml:space="preserve">chi tiết việc áp dụng </w:t>
      </w:r>
      <w:r>
        <w:rPr>
          <w:szCs w:val="28"/>
        </w:rPr>
        <w:t>Thuế bổ sung tối thiểu nội địa đạt chuẩn (QDMTT)</w:t>
      </w:r>
    </w:p>
    <w:p w:rsidR="00E96805" w:rsidRDefault="006A2E7D">
      <w:pPr>
        <w:widowControl w:val="0"/>
        <w:spacing w:before="120" w:after="120"/>
        <w:ind w:firstLine="720"/>
        <w:jc w:val="both"/>
        <w:rPr>
          <w:b/>
          <w:i/>
          <w:szCs w:val="28"/>
          <w:lang w:val="sv-SE"/>
        </w:rPr>
      </w:pPr>
      <w:r>
        <w:rPr>
          <w:b/>
          <w:i/>
          <w:szCs w:val="28"/>
          <w:lang w:val="sv-SE"/>
        </w:rPr>
        <w:t>a) Xác định vấn đề bất cập</w:t>
      </w:r>
    </w:p>
    <w:p w:rsidR="00E96805" w:rsidRDefault="006A2E7D">
      <w:pPr>
        <w:widowControl w:val="0"/>
        <w:spacing w:before="120" w:after="120"/>
        <w:ind w:firstLine="720"/>
        <w:jc w:val="both"/>
        <w:rPr>
          <w:lang w:val="vi-VN"/>
        </w:rPr>
      </w:pPr>
      <w:r>
        <w:rPr>
          <w:lang w:val="vi-VN"/>
        </w:rPr>
        <w:t xml:space="preserve">Thuế tối thiểu toàn cầu không phải là điều ước quốc tế, không phải là cam kết quốc tế, không bắt buộc các quốc gia phải áp dụng. Tuy nhiên, nếu Việt Nam không áp dụng thì vẫn phải chấp nhận việc các quốc gia khác áp dụng Thuế tối thiểu toàn cầu, có quyền thu thuế bổ sung đối với các doanh nghiệp tại Việt Nam (nếu thuộc đối tượng áp dụng) mà được hưởng mức thuế suất thực tế tại Việt Nam thấp hơn mức tối thiểu toàn cầu 15%, đặc biệt là các doanh nghiệp có vốn đầu tư nước ngoài. </w:t>
      </w:r>
    </w:p>
    <w:p w:rsidR="00E96805" w:rsidRDefault="006A2E7D">
      <w:pPr>
        <w:widowControl w:val="0"/>
        <w:spacing w:before="120" w:after="120"/>
        <w:ind w:firstLine="720"/>
        <w:jc w:val="both"/>
        <w:rPr>
          <w:lang w:val="vi-VN"/>
        </w:rPr>
      </w:pPr>
      <w:r>
        <w:t xml:space="preserve">Việt Nam </w:t>
      </w:r>
      <w:r w:rsidR="00041CF6">
        <w:t xml:space="preserve">quy định </w:t>
      </w:r>
      <w:r w:rsidR="00B06A74">
        <w:t xml:space="preserve">chi tiết việc </w:t>
      </w:r>
      <w:r>
        <w:t>áp dụng quy định về Thuế bổ sung tối thiểu nội địa đạt chuẩn thì sẽ thu thêm</w:t>
      </w:r>
      <w:r w:rsidR="00F06C7A">
        <w:t xml:space="preserve"> toàn bộ phần</w:t>
      </w:r>
      <w:r>
        <w:t xml:space="preserve"> thuế thu nhập doanh nghiệp bổ sung đối với </w:t>
      </w:r>
      <w:r w:rsidR="00972DEE" w:rsidRPr="00972DEE">
        <w:t xml:space="preserve">Đơn vị hợp thành hoặc tập hợp các đơn vị hợp thành của tập đoàn đa quốc gia </w:t>
      </w:r>
      <w:r w:rsidR="00972DEE">
        <w:t>thuộc đối tượng áp dụng của Nghị quyết 107/2023/QH15</w:t>
      </w:r>
      <w:r w:rsidR="00972DEE" w:rsidRPr="00972DEE">
        <w:t xml:space="preserve"> có hoạt động sản xuất, kinh doanh tại Việt Nam</w:t>
      </w:r>
      <w:r w:rsidR="00972DEE">
        <w:t xml:space="preserve"> </w:t>
      </w:r>
      <w:r>
        <w:t xml:space="preserve">với số thuế thực tế thấp hơn mức tối thiểu và sẽ góp phần </w:t>
      </w:r>
      <w:r>
        <w:rPr>
          <w:u w:val="single"/>
        </w:rPr>
        <w:t>tăng thu ngân sách nhà nước</w:t>
      </w:r>
      <w:r>
        <w:t xml:space="preserve"> về thuế thu nhập doanh nghiệp từ những đối tượng này.</w:t>
      </w:r>
      <w:r w:rsidR="001909C7">
        <w:t xml:space="preserve"> Ngoài ra, vẫn giữ nguyên quy định hiện hành về pháp luật thuế thu nhập doanh nghiệp song song với việc áp dụng quy định thuế thu nhập doanh nghiệp bổ sung tối thiểu nội địa đạt chuẩn.</w:t>
      </w:r>
    </w:p>
    <w:p w:rsidR="00E96805" w:rsidRDefault="006A2E7D">
      <w:pPr>
        <w:widowControl w:val="0"/>
        <w:spacing w:before="120" w:after="120"/>
        <w:ind w:firstLine="720"/>
        <w:jc w:val="both"/>
        <w:rPr>
          <w:b/>
          <w:i/>
          <w:szCs w:val="28"/>
          <w:lang w:val="sv-SE"/>
        </w:rPr>
      </w:pPr>
      <w:r>
        <w:rPr>
          <w:b/>
          <w:i/>
          <w:szCs w:val="28"/>
          <w:lang w:val="sv-SE"/>
        </w:rPr>
        <w:t>b) Mục tiêu giải quyết vấn đề</w:t>
      </w:r>
    </w:p>
    <w:p w:rsidR="00F2684E" w:rsidRPr="006001CF" w:rsidRDefault="00F2684E">
      <w:pPr>
        <w:widowControl w:val="0"/>
        <w:spacing w:before="120" w:after="120"/>
        <w:ind w:firstLine="720"/>
        <w:jc w:val="both"/>
        <w:rPr>
          <w:b/>
          <w:bCs/>
          <w:szCs w:val="28"/>
          <w:lang w:val="nl-NL"/>
        </w:rPr>
      </w:pPr>
      <w:r>
        <w:rPr>
          <w:b/>
          <w:szCs w:val="28"/>
          <w:lang w:val="sv-SE"/>
        </w:rPr>
        <w:lastRenderedPageBreak/>
        <w:t xml:space="preserve">- </w:t>
      </w:r>
      <w:r>
        <w:t>Việt Nam quy định chi tiết việc áp dụng quy định về Thuế bổ sung tối thiểu nội địa đạt chuẩn</w:t>
      </w:r>
      <w:r w:rsidR="008B0CFD">
        <w:t xml:space="preserve"> (QDMTT)</w:t>
      </w:r>
      <w:r>
        <w:t>;</w:t>
      </w:r>
    </w:p>
    <w:p w:rsidR="00E96805" w:rsidRDefault="006A2E7D">
      <w:pPr>
        <w:spacing w:before="120" w:after="120"/>
        <w:ind w:firstLine="720"/>
        <w:jc w:val="both"/>
        <w:rPr>
          <w:szCs w:val="28"/>
        </w:rPr>
      </w:pPr>
      <w:r>
        <w:rPr>
          <w:szCs w:val="28"/>
        </w:rPr>
        <w:t>- Tuân thủ theo hướng dẫn tại các văn bản, tài liệu quy định về Thuế tối thiểu toàn cầu của OECD;</w:t>
      </w:r>
    </w:p>
    <w:p w:rsidR="00E96805" w:rsidRDefault="006A2E7D">
      <w:pPr>
        <w:spacing w:before="120" w:after="120"/>
        <w:ind w:firstLine="720"/>
        <w:jc w:val="both"/>
        <w:rPr>
          <w:szCs w:val="28"/>
        </w:rPr>
      </w:pPr>
      <w:r>
        <w:rPr>
          <w:szCs w:val="28"/>
        </w:rPr>
        <w:t>- Bảo đảm chính sách minh bạch, rõ ràng, tạo thuận lợi trong thực hiện, qua đó nâng cao hiệu quả quản lý thuế;</w:t>
      </w:r>
    </w:p>
    <w:p w:rsidR="00E96805" w:rsidRDefault="006A2E7D">
      <w:pPr>
        <w:spacing w:before="120" w:after="120"/>
        <w:ind w:firstLine="720"/>
        <w:jc w:val="both"/>
        <w:rPr>
          <w:b/>
          <w:szCs w:val="28"/>
        </w:rPr>
      </w:pPr>
      <w:r>
        <w:rPr>
          <w:szCs w:val="28"/>
        </w:rPr>
        <w:t>- Mở rộng cơ sở thuế phù hợp bối cảnh kinh tế - xã hội của đất nước và thông lệ quốc tế</w:t>
      </w:r>
      <w:r>
        <w:rPr>
          <w:b/>
          <w:szCs w:val="28"/>
        </w:rPr>
        <w:t>.</w:t>
      </w:r>
    </w:p>
    <w:p w:rsidR="00E96805" w:rsidRDefault="006A2E7D">
      <w:pPr>
        <w:widowControl w:val="0"/>
        <w:spacing w:before="120" w:after="120"/>
        <w:ind w:firstLine="720"/>
        <w:jc w:val="both"/>
        <w:rPr>
          <w:i/>
          <w:szCs w:val="28"/>
          <w:lang w:val="sv-SE"/>
        </w:rPr>
      </w:pPr>
      <w:r>
        <w:rPr>
          <w:b/>
          <w:i/>
          <w:szCs w:val="28"/>
          <w:lang w:val="sv-SE"/>
        </w:rPr>
        <w:t>c)</w:t>
      </w:r>
      <w:r>
        <w:rPr>
          <w:i/>
          <w:szCs w:val="28"/>
          <w:lang w:val="sv-SE"/>
        </w:rPr>
        <w:t xml:space="preserve"> </w:t>
      </w:r>
      <w:r>
        <w:rPr>
          <w:b/>
          <w:i/>
          <w:szCs w:val="28"/>
          <w:lang w:val="nl-NL"/>
        </w:rPr>
        <w:t>Các giải pháp đề xuất để giải quyết vấn đề</w:t>
      </w:r>
    </w:p>
    <w:p w:rsidR="00E96805" w:rsidRDefault="006A2E7D">
      <w:pPr>
        <w:spacing w:before="120" w:after="120"/>
        <w:ind w:firstLine="720"/>
        <w:jc w:val="both"/>
        <w:rPr>
          <w:szCs w:val="28"/>
        </w:rPr>
      </w:pPr>
      <w:r>
        <w:rPr>
          <w:rFonts w:eastAsia="Calibri"/>
          <w:i/>
          <w:szCs w:val="28"/>
          <w:lang w:val="sv-SE"/>
        </w:rPr>
        <w:t xml:space="preserve">(c1) </w:t>
      </w:r>
      <w:r>
        <w:rPr>
          <w:rFonts w:eastAsia="Calibri"/>
          <w:i/>
          <w:szCs w:val="28"/>
          <w:u w:val="single"/>
          <w:lang w:val="sv-SE"/>
        </w:rPr>
        <w:t>Giải pháp 1</w:t>
      </w:r>
      <w:r>
        <w:rPr>
          <w:rFonts w:eastAsia="Calibri"/>
          <w:i/>
          <w:szCs w:val="28"/>
          <w:lang w:val="sv-SE"/>
        </w:rPr>
        <w:t>:</w:t>
      </w:r>
      <w:r>
        <w:rPr>
          <w:szCs w:val="28"/>
        </w:rPr>
        <w:t xml:space="preserve"> </w:t>
      </w:r>
      <w:r w:rsidR="00041CF6">
        <w:rPr>
          <w:szCs w:val="28"/>
        </w:rPr>
        <w:t>Quy định chi tiết việc á</w:t>
      </w:r>
      <w:r w:rsidR="00C44DCD">
        <w:rPr>
          <w:szCs w:val="28"/>
        </w:rPr>
        <w:t>p dụng q</w:t>
      </w:r>
      <w:r>
        <w:rPr>
          <w:szCs w:val="28"/>
        </w:rPr>
        <w:t>uy định Thuế bổ sung tối thiểu nội địa đạt chuẩn (QDMTT)</w:t>
      </w:r>
    </w:p>
    <w:p w:rsidR="00E96805" w:rsidRDefault="006A2E7D">
      <w:pPr>
        <w:spacing w:before="120" w:after="120"/>
        <w:ind w:firstLine="720"/>
        <w:jc w:val="both"/>
        <w:rPr>
          <w:szCs w:val="28"/>
          <w:lang w:val="sv-SE"/>
        </w:rPr>
      </w:pPr>
      <w:r>
        <w:rPr>
          <w:rFonts w:eastAsia="Calibri"/>
          <w:i/>
          <w:szCs w:val="28"/>
          <w:lang w:val="sv-SE"/>
        </w:rPr>
        <w:t xml:space="preserve">(c2) </w:t>
      </w:r>
      <w:r>
        <w:rPr>
          <w:rFonts w:eastAsia="Calibri"/>
          <w:i/>
          <w:szCs w:val="28"/>
          <w:u w:val="single"/>
          <w:lang w:val="sv-SE"/>
        </w:rPr>
        <w:t>Giải pháp 2</w:t>
      </w:r>
      <w:r>
        <w:rPr>
          <w:rFonts w:eastAsia="Calibri"/>
          <w:i/>
          <w:szCs w:val="28"/>
          <w:lang w:val="sv-SE"/>
        </w:rPr>
        <w:t>:</w:t>
      </w:r>
      <w:r>
        <w:rPr>
          <w:rFonts w:eastAsia="Calibri"/>
          <w:szCs w:val="28"/>
          <w:lang w:val="sv-SE"/>
        </w:rPr>
        <w:t xml:space="preserve"> Giữ nguyên quy định hiện hành, không </w:t>
      </w:r>
      <w:r w:rsidR="00041CF6">
        <w:rPr>
          <w:rFonts w:eastAsia="Calibri"/>
          <w:szCs w:val="28"/>
          <w:lang w:val="sv-SE"/>
        </w:rPr>
        <w:t xml:space="preserve">quy định chi tiết việc </w:t>
      </w:r>
      <w:r>
        <w:rPr>
          <w:rFonts w:eastAsia="Calibri"/>
          <w:szCs w:val="28"/>
          <w:lang w:val="sv-SE"/>
        </w:rPr>
        <w:t xml:space="preserve">áp dụng </w:t>
      </w:r>
      <w:r>
        <w:rPr>
          <w:szCs w:val="28"/>
        </w:rPr>
        <w:t>Thuế bổ sung tối thiểu nội địa đạt chuẩn</w:t>
      </w:r>
      <w:r>
        <w:rPr>
          <w:rFonts w:eastAsia="Calibri"/>
          <w:szCs w:val="28"/>
          <w:lang w:val="sv-SE"/>
        </w:rPr>
        <w:t xml:space="preserve"> </w:t>
      </w:r>
      <w:r>
        <w:rPr>
          <w:szCs w:val="28"/>
        </w:rPr>
        <w:t>(QDMTT).</w:t>
      </w:r>
    </w:p>
    <w:p w:rsidR="00E96805" w:rsidRDefault="006A2E7D">
      <w:pPr>
        <w:widowControl w:val="0"/>
        <w:spacing w:before="120" w:after="120"/>
        <w:ind w:firstLine="720"/>
        <w:jc w:val="both"/>
        <w:rPr>
          <w:b/>
          <w:i/>
          <w:szCs w:val="28"/>
          <w:lang w:val="nl-NL"/>
        </w:rPr>
      </w:pPr>
      <w:r>
        <w:rPr>
          <w:b/>
          <w:i/>
          <w:szCs w:val="28"/>
          <w:lang w:val="nl-NL"/>
        </w:rPr>
        <w:t>d) Đánh giá tác động của các giải pháp</w:t>
      </w:r>
    </w:p>
    <w:p w:rsidR="00E96805" w:rsidRDefault="006A2E7D">
      <w:pPr>
        <w:tabs>
          <w:tab w:val="center" w:pos="4890"/>
        </w:tabs>
        <w:spacing w:before="120" w:after="120"/>
        <w:ind w:firstLine="720"/>
        <w:jc w:val="both"/>
        <w:rPr>
          <w:i/>
          <w:szCs w:val="28"/>
          <w:u w:val="single"/>
          <w:lang w:val="nl-NL"/>
        </w:rPr>
      </w:pPr>
      <w:r>
        <w:rPr>
          <w:rFonts w:eastAsia="Calibri"/>
          <w:i/>
          <w:szCs w:val="28"/>
          <w:lang w:val="sv-SE"/>
        </w:rPr>
        <w:t xml:space="preserve">(d1) </w:t>
      </w:r>
      <w:r>
        <w:rPr>
          <w:i/>
          <w:szCs w:val="28"/>
          <w:u w:val="single"/>
          <w:lang w:val="nl-NL"/>
        </w:rPr>
        <w:t>Giải pháp 1</w:t>
      </w:r>
      <w:r>
        <w:rPr>
          <w:i/>
          <w:szCs w:val="28"/>
          <w:lang w:val="nl-NL"/>
        </w:rPr>
        <w:t>:</w:t>
      </w:r>
    </w:p>
    <w:p w:rsidR="00E96805" w:rsidRDefault="006A2E7D">
      <w:pPr>
        <w:spacing w:before="120" w:after="120"/>
        <w:ind w:firstLine="720"/>
        <w:jc w:val="both"/>
        <w:rPr>
          <w:szCs w:val="28"/>
          <w:lang w:val="nl-NL"/>
        </w:rPr>
      </w:pPr>
      <w:r>
        <w:rPr>
          <w:szCs w:val="28"/>
          <w:lang w:val="nl-NL"/>
        </w:rPr>
        <w:t>- Tác động về kinh tế, xã hội:</w:t>
      </w:r>
    </w:p>
    <w:p w:rsidR="00882020" w:rsidRPr="00882020" w:rsidRDefault="00882020" w:rsidP="00F34855">
      <w:pPr>
        <w:widowControl w:val="0"/>
        <w:spacing w:before="120" w:after="120"/>
        <w:ind w:firstLine="720"/>
        <w:jc w:val="both"/>
      </w:pPr>
      <w:r>
        <w:t>Theo số liệu của Bộ Kế hoạch và Đầu tư</w:t>
      </w:r>
      <w:r>
        <w:rPr>
          <w:rStyle w:val="FootnoteReference"/>
        </w:rPr>
        <w:footnoteReference w:id="1"/>
      </w:r>
      <w:r>
        <w:t xml:space="preserve">, tính đến ngày 20/12/2023, </w:t>
      </w:r>
      <w:r w:rsidRPr="00882020">
        <w:t>tổng vốn đăng ký cấp mới, điều chỉnh và góp vốn mua cổ phần, mua phần vốn góp (GVMCP) của nhà ĐTNN đạt gần 36,61 tỷ USD, tăng 32,1% so với cùng kỳ. Vốn thực hiện của dự án đầu tư nước ngoài ước đạt khoảng 23,18 tỷ USD, tăng 3,5% so với năm 2022.</w:t>
      </w:r>
    </w:p>
    <w:p w:rsidR="008337E7" w:rsidRDefault="00882020" w:rsidP="00E424B2">
      <w:pPr>
        <w:ind w:firstLine="720"/>
        <w:jc w:val="both"/>
        <w:rPr>
          <w:sz w:val="24"/>
        </w:rPr>
      </w:pPr>
      <w:r w:rsidRPr="00882020">
        <w:rPr>
          <w:lang w:val="vi-VN"/>
        </w:rPr>
        <w:t>Trong năm 2023, đã có 111 quốc gia và vùng lãnh thổ có đầu tư tại Việt Nam. Trong đó, Singapore dẫn đầu với tổng vốn đầu tư hơn 6,8 tỷ USD, chiếm 18,6% tổng vốn đầu tư vào Việt Nam, tăng 5,4% so với cùng kỳ 2022; Nhật Bản đứng thứ hai với gần 6,57 tỷ USD, chiếm hơn 17,9% tổng vốn đầu tư, tăng 37,3% so với cùng kỳ. Hồng Kông đứng thứ 3 với tổng vốn đầu tư đăng ký hơn 4,68 tỷ USD, chiếm gần 12,8% tổng vốn đầu tư, gấp 2,1 lần so với cùng kỳ. Tiếp theo là Trung Quốc, Hàn Quốc, Đài Loan,...</w:t>
      </w:r>
      <w:r w:rsidR="008337E7">
        <w:t xml:space="preserve"> </w:t>
      </w:r>
      <w:r w:rsidRPr="00882020">
        <w:rPr>
          <w:lang w:val="vi-VN"/>
        </w:rPr>
        <w:t>Xét về số dự án, Trung Quốc dẫn đầu về số dự án mới (chiếm 22,2%)</w:t>
      </w:r>
      <w:r w:rsidR="008337E7">
        <w:t xml:space="preserve">. Lũy kế đến 20/12/2023, </w:t>
      </w:r>
      <w:r w:rsidR="008337E7">
        <w:rPr>
          <w:lang w:val="vi-VN"/>
        </w:rPr>
        <w:t>các đối tác đầu tư nước ngoài lớn nhất của Việt Nam chủ yếu đến từ khu vực Đông Á, cụ thể trong nhiều năm qua Hàn Quốc, Nhật Bản và Singapore luôn dẫn đầu danh sách các nguồn đầu tư nước ngoài vào Việt Nam</w:t>
      </w:r>
      <w:r w:rsidR="008337E7">
        <w:rPr>
          <w:rStyle w:val="FootnoteReference"/>
          <w:b/>
          <w:bCs/>
        </w:rPr>
        <w:footnoteReference w:id="2"/>
      </w:r>
      <w:r w:rsidR="008337E7">
        <w:rPr>
          <w:lang w:val="vi-VN"/>
        </w:rPr>
        <w:t xml:space="preserve">. </w:t>
      </w:r>
    </w:p>
    <w:p w:rsidR="008337E7" w:rsidRDefault="008337E7" w:rsidP="008337E7">
      <w:pPr>
        <w:widowControl w:val="0"/>
        <w:spacing w:before="120" w:after="120"/>
        <w:ind w:firstLine="720"/>
        <w:jc w:val="both"/>
      </w:pPr>
    </w:p>
    <w:p w:rsidR="008337E7" w:rsidRDefault="008337E7" w:rsidP="008337E7">
      <w:pPr>
        <w:widowControl w:val="0"/>
        <w:spacing w:before="120" w:after="120"/>
        <w:ind w:firstLine="720"/>
        <w:jc w:val="both"/>
        <w:rPr>
          <w:lang w:val="vi-VN"/>
        </w:rPr>
      </w:pPr>
      <w:r>
        <w:lastRenderedPageBreak/>
        <w:t xml:space="preserve"> </w:t>
      </w:r>
      <w:r>
        <w:rPr>
          <w:noProof/>
        </w:rPr>
        <w:drawing>
          <wp:inline distT="0" distB="0" distL="0" distR="0" wp14:anchorId="695D4ECF" wp14:editId="32C1F216">
            <wp:extent cx="4844955" cy="3125338"/>
            <wp:effectExtent l="0" t="0" r="1333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6805" w:rsidRDefault="00E96805">
      <w:pPr>
        <w:widowControl w:val="0"/>
        <w:spacing w:before="120" w:after="120"/>
        <w:jc w:val="center"/>
        <w:rPr>
          <w:b/>
          <w:lang w:val="vi-VN"/>
        </w:rPr>
      </w:pPr>
    </w:p>
    <w:p w:rsidR="00174B85" w:rsidRPr="00174B85" w:rsidRDefault="00174B85" w:rsidP="00174B85">
      <w:pPr>
        <w:widowControl w:val="0"/>
        <w:spacing w:before="120" w:after="120"/>
        <w:ind w:firstLine="720"/>
        <w:jc w:val="both"/>
        <w:rPr>
          <w:lang w:val="vi-VN"/>
        </w:rPr>
      </w:pPr>
      <w:r w:rsidRPr="00174B85">
        <w:rPr>
          <w:lang w:val="vi-VN"/>
        </w:rPr>
        <w:t xml:space="preserve">Đến nay, hiện có 144 quốc gia, vùng lãnh thổ có dự án đầu tư còn hiệu lực tại </w:t>
      </w:r>
      <w:r>
        <w:rPr>
          <w:lang w:val="vi-VN"/>
        </w:rPr>
        <w:t>Việt Nam</w:t>
      </w:r>
      <w:r w:rsidRPr="00174B85">
        <w:rPr>
          <w:lang w:val="vi-VN"/>
        </w:rPr>
        <w:t>. Trong đó, đứng đầu là Hàn Quốc với tổng vốn đăng ký gần 85,87 tỷ USD (chiếm 18,3% tổng vốn đầu tư). Singapore đứng thứ hai với gần 74,52 tỷ USD (chiếm 15,9% tổng vốn đầu tư). Tiếp theo lần lượt là Nhật Bản, Đài Loan, Hồng Kông</w:t>
      </w:r>
      <w:r>
        <w:rPr>
          <w:rStyle w:val="FootnoteReference"/>
          <w:b/>
          <w:bCs/>
        </w:rPr>
        <w:footnoteReference w:id="3"/>
      </w:r>
      <w:r w:rsidRPr="00174B85">
        <w:rPr>
          <w:lang w:val="vi-VN"/>
        </w:rPr>
        <w:t>.</w:t>
      </w:r>
    </w:p>
    <w:p w:rsidR="008337E7" w:rsidRDefault="008337E7">
      <w:pPr>
        <w:widowControl w:val="0"/>
        <w:spacing w:before="120" w:after="120"/>
        <w:jc w:val="center"/>
        <w:rPr>
          <w:b/>
          <w:bCs/>
        </w:rPr>
      </w:pPr>
      <w:r>
        <w:rPr>
          <w:noProof/>
        </w:rPr>
        <w:drawing>
          <wp:inline distT="0" distB="0" distL="0" distR="0" wp14:anchorId="2DFCAECE" wp14:editId="1374A164">
            <wp:extent cx="5209775" cy="3272790"/>
            <wp:effectExtent l="0" t="0" r="1016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27F9" w:rsidRDefault="000227F9">
      <w:pPr>
        <w:widowControl w:val="0"/>
        <w:spacing w:before="120" w:after="120"/>
        <w:ind w:firstLine="720"/>
        <w:jc w:val="both"/>
        <w:rPr>
          <w:lang w:val="vi-VN"/>
        </w:rPr>
      </w:pPr>
    </w:p>
    <w:p w:rsidR="00E96805" w:rsidRPr="00FF5C72" w:rsidRDefault="006A2E7D" w:rsidP="00FF5C72">
      <w:pPr>
        <w:widowControl w:val="0"/>
        <w:spacing w:before="120" w:after="120"/>
        <w:ind w:firstLine="720"/>
        <w:jc w:val="both"/>
      </w:pPr>
      <w:r>
        <w:rPr>
          <w:lang w:val="vi-VN"/>
        </w:rPr>
        <w:t xml:space="preserve">Các chính sách ưu đãi về thuế thu nhập doanh nghiệp trong thu hút đầu tư của Việt Nam được đánh giá là hấp dẫn so với các nước trong khu vực. Nhờ </w:t>
      </w:r>
      <w:r>
        <w:rPr>
          <w:lang w:val="vi-VN"/>
        </w:rPr>
        <w:lastRenderedPageBreak/>
        <w:t>có chính sách ưu đãi thuế cạnh tranh, cùng với các thế mạnh như: tình hình kinh tế chính trị ổn định, nguồn lao động dồi dào..., dòng vốn đầu tư nước ngoài vào Việt Nam liên tục tăng qua các năm</w:t>
      </w:r>
      <w:r>
        <w:rPr>
          <w:rStyle w:val="FootnoteReference"/>
          <w:b/>
          <w:bCs/>
        </w:rPr>
        <w:footnoteReference w:id="4"/>
      </w:r>
      <w:r>
        <w:rPr>
          <w:lang w:val="vi-VN"/>
        </w:rPr>
        <w:t xml:space="preserve">. Năm 2020, Việt Nam lần đầu tiên vào nhóm 20 nước thu hút FDI hàng đầu thế giới, trong khi đầu tư nước ngoài trên toàn cầu có xu hướng giảm. Đến năm 2021, vốn FDI vào Việt Nam tiếp tục duy trì sự ổn định và vượt mốc 31 tỷ USD, tăng 9,2% so với cùng kỳ năm 2020. Trong năm 2022, Việt Nam cũng đã thu hút gần 30 tỷ USD, dù giảm so với cùng kỳ nhưng cho thấy tín hiệu tích cực trong đại dịch. </w:t>
      </w:r>
      <w:r w:rsidR="00FF5C72">
        <w:t xml:space="preserve">Đến năm 2023, vốn đầu tư thực hiện của các dự án đầu tư nước ngoài tăng so với cùng kỳ (3,5%). Tổng vốn đầu tư đăng ký tăng mạnh và đạt mức tăng cao nhất kể từ đầu năm, tăng 32,1% so với cùng kỳ và tăng 17,3 điểm phần trăm so với 11 tháng. </w:t>
      </w:r>
      <w:r>
        <w:rPr>
          <w:lang w:val="vi-VN"/>
        </w:rPr>
        <w:t xml:space="preserve">Tuy nhiên, Thuế tối thiểu toàn cầu </w:t>
      </w:r>
      <w:r w:rsidR="00FF5C72">
        <w:t xml:space="preserve">bắt đầu áp dụng từ năm 2024 </w:t>
      </w:r>
      <w:r>
        <w:rPr>
          <w:lang w:val="vi-VN"/>
        </w:rPr>
        <w:t>sẽ ảnh hưởng trực tiếp tới dòng vốn FDI toàn cầu, do đó Việt Nam sẽ gặp nhiều khó khăn trong việc thu hút FDI thông qua ưu đãi thuế.</w:t>
      </w:r>
    </w:p>
    <w:p w:rsidR="00E96805" w:rsidRPr="006A5712" w:rsidRDefault="006A2E7D">
      <w:pPr>
        <w:widowControl w:val="0"/>
        <w:spacing w:before="120" w:after="120"/>
        <w:ind w:firstLine="720"/>
        <w:jc w:val="both"/>
        <w:rPr>
          <w:lang w:val="vi-VN"/>
        </w:rPr>
      </w:pPr>
      <w:r w:rsidRPr="006A5712">
        <w:rPr>
          <w:lang w:val="vi-VN"/>
        </w:rPr>
        <w:t>Theo rà soát của Tổng cục Thuế thì hiện có 619 Tập đoàn MNE (</w:t>
      </w:r>
      <w:r w:rsidRPr="006A5712">
        <w:rPr>
          <w:i/>
          <w:iCs/>
          <w:lang w:val="vi-VN"/>
        </w:rPr>
        <w:t>khoảng 1.017 công ty thành viên tại Việt Nam</w:t>
      </w:r>
      <w:r w:rsidRPr="006A5712">
        <w:rPr>
          <w:lang w:val="vi-VN"/>
        </w:rPr>
        <w:t>) có doanh thu hợp nhất trong năm 2021 đạt khoảng 750 triệu EUR trở lên, trong đó có 438 Tập đoàn có một công ty thành viên tại Việt Nam và 181 Tập đoàn có nhiều công ty thành viên tại Việt Nam (</w:t>
      </w:r>
      <w:r w:rsidRPr="006A5712">
        <w:rPr>
          <w:i/>
          <w:iCs/>
          <w:lang w:val="vi-VN"/>
        </w:rPr>
        <w:t>576 công ty thành viên</w:t>
      </w:r>
      <w:r w:rsidRPr="006A5712">
        <w:rPr>
          <w:lang w:val="vi-VN"/>
        </w:rPr>
        <w:t>).</w:t>
      </w:r>
    </w:p>
    <w:p w:rsidR="00E96805" w:rsidRPr="006A5712" w:rsidRDefault="006A2E7D">
      <w:pPr>
        <w:widowControl w:val="0"/>
        <w:spacing w:before="120" w:after="120"/>
        <w:ind w:firstLine="720"/>
        <w:jc w:val="both"/>
        <w:rPr>
          <w:iCs/>
          <w:lang w:val="vi-VN"/>
        </w:rPr>
      </w:pPr>
      <w:r w:rsidRPr="006A5712">
        <w:rPr>
          <w:lang w:val="vi-VN"/>
        </w:rPr>
        <w:t>Theo số liệu quyết toán thuế thu nhập doanh nghiệp năm 2022</w:t>
      </w:r>
      <w:r w:rsidR="00D87359" w:rsidRPr="006A5712">
        <w:rPr>
          <w:rStyle w:val="FootnoteReference"/>
          <w:lang w:val="vi-VN"/>
        </w:rPr>
        <w:footnoteReference w:id="5"/>
      </w:r>
      <w:r w:rsidRPr="006A5712">
        <w:rPr>
          <w:lang w:val="vi-VN"/>
        </w:rPr>
        <w:t xml:space="preserve">, Tổng cục Thuế tính toán sơ bộ có khoảng 122 Tập đoàn nước ngoài đầu tư vào Việt Nam chịu ảnh hưởng của </w:t>
      </w:r>
      <w:r w:rsidRPr="006A5712">
        <w:rPr>
          <w:bCs/>
          <w:lang w:val="vi-VN"/>
        </w:rPr>
        <w:t xml:space="preserve">Thuế tối thiểu toàn cầu </w:t>
      </w:r>
      <w:r w:rsidRPr="006A5712">
        <w:rPr>
          <w:u w:val="single"/>
          <w:lang w:val="vi-VN"/>
        </w:rPr>
        <w:t xml:space="preserve">nếu </w:t>
      </w:r>
      <w:r w:rsidRPr="006A5712">
        <w:rPr>
          <w:bCs/>
          <w:u w:val="single"/>
          <w:lang w:val="vi-VN"/>
        </w:rPr>
        <w:t>Thuế tối thiểu toàn cầu</w:t>
      </w:r>
      <w:r w:rsidRPr="006A5712">
        <w:rPr>
          <w:u w:val="single"/>
          <w:lang w:val="vi-VN"/>
        </w:rPr>
        <w:t xml:space="preserve"> được áp dụng từ năm 2024</w:t>
      </w:r>
      <w:r w:rsidRPr="006A5712">
        <w:rPr>
          <w:lang w:val="vi-VN"/>
        </w:rPr>
        <w:t xml:space="preserve">. Theo đó, nếu các quốc gia khác đều áp dụng </w:t>
      </w:r>
      <w:r w:rsidRPr="006A5712">
        <w:rPr>
          <w:bCs/>
          <w:lang w:val="vi-VN"/>
        </w:rPr>
        <w:t>Thuế tối thiểu toàn cầu</w:t>
      </w:r>
      <w:r w:rsidRPr="006A5712">
        <w:rPr>
          <w:lang w:val="vi-VN"/>
        </w:rPr>
        <w:t xml:space="preserve"> bắt đầu từ năm 2024, các quốc gia có công ty mẹ sẽ được thu thêm phần thuế chênh lệch năm 2024 ước tính </w:t>
      </w:r>
      <w:r w:rsidRPr="006A5712">
        <w:rPr>
          <w:b/>
          <w:bCs/>
          <w:lang w:val="vi-VN"/>
        </w:rPr>
        <w:t>khoảng trên 14.600 tỷ đồng</w:t>
      </w:r>
      <w:r w:rsidRPr="006A5712">
        <w:rPr>
          <w:i/>
          <w:iCs/>
          <w:lang w:val="vi-VN"/>
        </w:rPr>
        <w:t>.</w:t>
      </w:r>
      <w:r w:rsidRPr="006A5712">
        <w:rPr>
          <w:iCs/>
          <w:lang w:val="vi-VN"/>
        </w:rPr>
        <w:t xml:space="preserve"> Trong đó:</w:t>
      </w:r>
    </w:p>
    <w:p w:rsidR="00E96805" w:rsidRPr="006A5712" w:rsidRDefault="006A2E7D">
      <w:pPr>
        <w:widowControl w:val="0"/>
        <w:spacing w:before="120" w:after="120"/>
        <w:ind w:firstLine="720"/>
        <w:jc w:val="both"/>
        <w:rPr>
          <w:lang w:val="vi-VN"/>
        </w:rPr>
      </w:pPr>
      <w:r w:rsidRPr="006A5712">
        <w:rPr>
          <w:lang w:val="vi-VN"/>
        </w:rPr>
        <w:t xml:space="preserve">+ Hàn Quốc có 18 Tập đoàn MNE đầu tư tại Việt Nam, với số thuế chênh lệch phải nộp ở Hàn Quốc năm 2024 </w:t>
      </w:r>
      <w:r w:rsidRPr="006A5712">
        <w:rPr>
          <w:b/>
          <w:bCs/>
          <w:lang w:val="vi-VN"/>
        </w:rPr>
        <w:t>hơn 10.700 tỷ đồng</w:t>
      </w:r>
      <w:r w:rsidRPr="006A5712">
        <w:rPr>
          <w:lang w:val="vi-VN"/>
        </w:rPr>
        <w:t>.</w:t>
      </w:r>
    </w:p>
    <w:p w:rsidR="00E96805" w:rsidRPr="006A5712" w:rsidRDefault="006A2E7D">
      <w:pPr>
        <w:widowControl w:val="0"/>
        <w:spacing w:before="120" w:after="120"/>
        <w:ind w:firstLine="720"/>
        <w:jc w:val="both"/>
        <w:rPr>
          <w:lang w:val="vi-VN"/>
        </w:rPr>
      </w:pPr>
      <w:r w:rsidRPr="006A5712">
        <w:rPr>
          <w:lang w:val="vi-VN"/>
        </w:rPr>
        <w:t xml:space="preserve">+ Nhật Bản có 36 Tập đoàn MNE đầu tư tại Việt Nam, với số thuế chênh lệch phải nộp ở Nhật Bản năm 2024 </w:t>
      </w:r>
      <w:r w:rsidRPr="006A5712">
        <w:rPr>
          <w:b/>
          <w:bCs/>
          <w:lang w:val="vi-VN"/>
        </w:rPr>
        <w:t>hơn 250 tỷ đồng</w:t>
      </w:r>
      <w:r w:rsidRPr="006A5712">
        <w:rPr>
          <w:lang w:val="vi-VN"/>
        </w:rPr>
        <w:t>.</w:t>
      </w:r>
    </w:p>
    <w:p w:rsidR="00E96805" w:rsidRDefault="006A2E7D">
      <w:pPr>
        <w:widowControl w:val="0"/>
        <w:spacing w:before="120" w:after="120"/>
        <w:ind w:firstLine="720"/>
        <w:jc w:val="both"/>
        <w:rPr>
          <w:lang w:val="vi-VN"/>
        </w:rPr>
      </w:pPr>
      <w:r w:rsidRPr="006A5712">
        <w:rPr>
          <w:b/>
          <w:lang w:val="vi-VN"/>
        </w:rPr>
        <w:t xml:space="preserve">+ </w:t>
      </w:r>
      <w:r w:rsidRPr="006A5712">
        <w:rPr>
          <w:lang w:val="vi-VN"/>
        </w:rPr>
        <w:t xml:space="preserve">Một số nước khác có vốn đầu tư lớn vào Việt Nam </w:t>
      </w:r>
      <w:r w:rsidRPr="006A5712">
        <w:rPr>
          <w:i/>
          <w:lang w:val="vi-VN"/>
        </w:rPr>
        <w:t>(Singapore, Đài Loan, Trung Quốc, Thái Lan, Hoa Kỳ, Canada, Hồng Kông, Hà Lan, Malaysia, British Virgin Islands, Vương quốc Anh)</w:t>
      </w:r>
      <w:r w:rsidRPr="006A5712">
        <w:rPr>
          <w:lang w:val="vi-VN"/>
        </w:rPr>
        <w:t xml:space="preserve"> có 50 Tập đoàn MNE, với số thuế chênh lệch phải nộp ở nước đầu tư </w:t>
      </w:r>
      <w:r w:rsidRPr="006A5712">
        <w:rPr>
          <w:b/>
          <w:lang w:val="vi-VN"/>
        </w:rPr>
        <w:t>hơn 3.560 tỷ đồng.</w:t>
      </w:r>
    </w:p>
    <w:p w:rsidR="00157434" w:rsidRDefault="00157434">
      <w:pPr>
        <w:tabs>
          <w:tab w:val="center" w:pos="4890"/>
        </w:tabs>
        <w:spacing w:before="120" w:after="120"/>
        <w:ind w:firstLine="720"/>
        <w:jc w:val="both"/>
        <w:rPr>
          <w:szCs w:val="28"/>
        </w:rPr>
      </w:pPr>
      <w:r>
        <w:rPr>
          <w:szCs w:val="28"/>
        </w:rPr>
        <w:t>Trường hợp Việt Nam quy định chi tiết việc áp dụng quy định Thuế thu nhập doanh nghiệp bổ sung tối thiểu nội địa đạt chuẩn đảm bảo theo hướng dẫn của OECD, Việt Nam có quyền thu toàn bộ phần thuế bổ sung này mà doanh nghiệp không bị tính lại thuế bổ sung tại nước có công ty mẹ.</w:t>
      </w:r>
    </w:p>
    <w:p w:rsidR="00E96805" w:rsidRDefault="006A2E7D">
      <w:pPr>
        <w:tabs>
          <w:tab w:val="center" w:pos="4890"/>
        </w:tabs>
        <w:spacing w:before="120" w:after="120"/>
        <w:ind w:firstLine="720"/>
        <w:jc w:val="both"/>
        <w:rPr>
          <w:szCs w:val="28"/>
          <w:lang w:val="vi-VN"/>
        </w:rPr>
      </w:pPr>
      <w:r>
        <w:rPr>
          <w:szCs w:val="28"/>
        </w:rPr>
        <w:lastRenderedPageBreak/>
        <w:t>-</w:t>
      </w:r>
      <w:r>
        <w:rPr>
          <w:szCs w:val="28"/>
          <w:lang w:val="vi-VN"/>
        </w:rPr>
        <w:t xml:space="preserve"> Tác động về giới: Không có tác động về giới.</w:t>
      </w:r>
    </w:p>
    <w:p w:rsidR="00E96805" w:rsidRPr="00E47B5C" w:rsidRDefault="006A2E7D">
      <w:pPr>
        <w:tabs>
          <w:tab w:val="center" w:pos="4890"/>
        </w:tabs>
        <w:spacing w:before="120" w:after="120"/>
        <w:ind w:firstLine="720"/>
        <w:jc w:val="both"/>
        <w:rPr>
          <w:szCs w:val="28"/>
        </w:rPr>
      </w:pPr>
      <w:r>
        <w:rPr>
          <w:szCs w:val="28"/>
        </w:rPr>
        <w:t>-</w:t>
      </w:r>
      <w:r>
        <w:rPr>
          <w:szCs w:val="28"/>
          <w:lang w:val="vi-VN"/>
        </w:rPr>
        <w:t xml:space="preserve"> </w:t>
      </w:r>
      <w:r w:rsidR="00E47B5C">
        <w:rPr>
          <w:szCs w:val="28"/>
          <w:lang w:val="vi-VN"/>
        </w:rPr>
        <w:t xml:space="preserve">Tác động về thủ tục hành chính: </w:t>
      </w:r>
      <w:r w:rsidR="00E47B5C">
        <w:rPr>
          <w:szCs w:val="28"/>
        </w:rPr>
        <w:t xml:space="preserve">Các đối tượng thuộc đối tượng áp dụng của Nghị quyết 107/2023/QH15 và Nghị định này ngoài việc kê khai và nộp thuế thu nhập doanh nghiệp theo quy định hiện hành cần phải nộp thêm hồ sơ kê khai thuế thu nhập doanh nghiệp bổ sung theo quy định chống xói mòn cơ sở thuế toàn cầu. Ngoài ra, trước khi kê khai và nộp thuế, đơn vị hợp thành chịu trách nhiệm kê khai thuế thu nhập doanh nghiệp bổ sung theo Quy định về thuế tối thiểu toàn cầu phải nộp hồ sơ đăng ký thuế lần đầu và thông báo các điều chỉnh sau này (nếu có). Việc phát sinh thủ tục hành chính sẽ làm tăng chi phí tuân thủ </w:t>
      </w:r>
      <w:r w:rsidR="00E47B5C" w:rsidRPr="00E47B5C">
        <w:rPr>
          <w:szCs w:val="28"/>
        </w:rPr>
        <w:t>cho người nộp thuế và chi phí hành thu của cơ quan thuế đối với nhóm đối tượng thuộc phạm vi điều chỉnh của chính sách.</w:t>
      </w:r>
      <w:r w:rsidR="00E47B5C">
        <w:rPr>
          <w:szCs w:val="28"/>
        </w:rPr>
        <w:t xml:space="preserve"> Tuy nhiên</w:t>
      </w:r>
      <w:r w:rsidR="008B7973">
        <w:rPr>
          <w:szCs w:val="28"/>
        </w:rPr>
        <w:t>,</w:t>
      </w:r>
      <w:r w:rsidR="00E47B5C">
        <w:rPr>
          <w:szCs w:val="28"/>
        </w:rPr>
        <w:t xml:space="preserve"> </w:t>
      </w:r>
      <w:r w:rsidR="0018493C">
        <w:rPr>
          <w:szCs w:val="28"/>
        </w:rPr>
        <w:t xml:space="preserve">việc thiết kế </w:t>
      </w:r>
      <w:r w:rsidR="00E47B5C">
        <w:rPr>
          <w:szCs w:val="28"/>
        </w:rPr>
        <w:t xml:space="preserve">quy trình </w:t>
      </w:r>
      <w:r w:rsidR="0018493C">
        <w:rPr>
          <w:szCs w:val="28"/>
        </w:rPr>
        <w:t xml:space="preserve">kê khai như trên là </w:t>
      </w:r>
      <w:r w:rsidR="00E47B5C">
        <w:rPr>
          <w:szCs w:val="28"/>
        </w:rPr>
        <w:t xml:space="preserve">cần thiết </w:t>
      </w:r>
      <w:r w:rsidR="0018493C">
        <w:rPr>
          <w:szCs w:val="28"/>
        </w:rPr>
        <w:t xml:space="preserve">để thực hiện quản lý thuế hiệu quả </w:t>
      </w:r>
      <w:r w:rsidR="00E47B5C">
        <w:rPr>
          <w:szCs w:val="28"/>
        </w:rPr>
        <w:t>và đã giảm thiểu thủ tục hành chính để người nộp thuế dễ thực hiện khi thực hiện kê khai và nộp thuế thu nhập doanh nghiệp bổ sung.</w:t>
      </w:r>
    </w:p>
    <w:p w:rsidR="00E96805" w:rsidRDefault="006A2E7D">
      <w:pPr>
        <w:widowControl w:val="0"/>
        <w:tabs>
          <w:tab w:val="center" w:pos="4890"/>
        </w:tabs>
        <w:spacing w:before="120" w:after="120"/>
        <w:ind w:firstLine="720"/>
        <w:jc w:val="both"/>
      </w:pPr>
      <w:r>
        <w:rPr>
          <w:szCs w:val="28"/>
        </w:rPr>
        <w:t>-</w:t>
      </w:r>
      <w:r>
        <w:rPr>
          <w:szCs w:val="28"/>
          <w:lang w:val="vi-VN"/>
        </w:rPr>
        <w:t xml:space="preserve"> Tác động đối với </w:t>
      </w:r>
      <w:r w:rsidR="006B2EFE">
        <w:rPr>
          <w:szCs w:val="28"/>
        </w:rPr>
        <w:t>hệ thống pháp luật</w:t>
      </w:r>
      <w:r>
        <w:rPr>
          <w:szCs w:val="28"/>
        </w:rPr>
        <w:t>:</w:t>
      </w:r>
    </w:p>
    <w:p w:rsidR="006B2EFE" w:rsidRDefault="006B2EFE" w:rsidP="006B2EFE">
      <w:pPr>
        <w:widowControl w:val="0"/>
        <w:tabs>
          <w:tab w:val="center" w:pos="4890"/>
        </w:tabs>
        <w:spacing w:before="120" w:after="120"/>
        <w:ind w:firstLine="720"/>
        <w:jc w:val="both"/>
      </w:pPr>
      <w:r>
        <w:rPr>
          <w:szCs w:val="28"/>
        </w:rPr>
        <w:t>+ Tác động tới Luật Thuế thu nhập doanh nghiệp:</w:t>
      </w:r>
    </w:p>
    <w:p w:rsidR="006B2EFE" w:rsidRDefault="006B2EFE" w:rsidP="00B2190B">
      <w:pPr>
        <w:widowControl w:val="0"/>
        <w:spacing w:before="120" w:after="120"/>
        <w:ind w:right="-1" w:firstLine="720"/>
        <w:jc w:val="both"/>
        <w:rPr>
          <w:lang w:val="vi-VN"/>
        </w:rPr>
      </w:pPr>
      <w:r>
        <w:rPr>
          <w:color w:val="000000" w:themeColor="text1"/>
        </w:rPr>
        <w:t>T</w:t>
      </w:r>
      <w:r>
        <w:rPr>
          <w:iCs/>
          <w:lang w:val="vi-VN"/>
        </w:rPr>
        <w:t>huế suất thuế thu nhập doanh nghiệp phổ thông là 20% về cơ bản đã đảm bảo quy định Thuế tối thiểu toàn cầu</w:t>
      </w:r>
      <w:r>
        <w:rPr>
          <w:lang w:val="vi-VN"/>
        </w:rPr>
        <w:t xml:space="preserve">. </w:t>
      </w:r>
      <w:r>
        <w:t>T</w:t>
      </w:r>
      <w:r>
        <w:rPr>
          <w:lang w:val="vi-VN"/>
        </w:rPr>
        <w:t xml:space="preserve">uy nhiên, để thu hút đầu tư, trong đó có đầu tư nước ngoài, trong những năm qua Việt Nam đã thực hiện chính sách ưu đãi đầu tư, trong đó có chính sách ưu đãi về thuế thu nhập doanh nghiệp. Đặc biệt, Luật Đầu tư năm 2020 đã sửa đổi, bổ sung </w:t>
      </w:r>
      <w:r>
        <w:rPr>
          <w:bCs/>
          <w:lang w:val="nl-NL"/>
        </w:rPr>
        <w:t>Luật</w:t>
      </w:r>
      <w:r>
        <w:rPr>
          <w:lang w:val="vi-VN"/>
        </w:rPr>
        <w:t xml:space="preserve"> Thuế </w:t>
      </w:r>
      <w:r>
        <w:rPr>
          <w:lang w:val="nl-NL"/>
        </w:rPr>
        <w:t>thu nhập</w:t>
      </w:r>
      <w:r>
        <w:rPr>
          <w:lang w:val="vi-VN"/>
        </w:rPr>
        <w:t xml:space="preserve"> doanh nghiệp về mức ưu đãi thuế </w:t>
      </w:r>
      <w:r>
        <w:rPr>
          <w:lang w:val="nl-NL"/>
        </w:rPr>
        <w:t>thu nhập</w:t>
      </w:r>
      <w:r>
        <w:rPr>
          <w:lang w:val="vi-VN"/>
        </w:rPr>
        <w:t xml:space="preserve"> doanh nghiệp đối với các dự án </w:t>
      </w:r>
      <w:r>
        <w:rPr>
          <w:lang w:val="nl-NL"/>
        </w:rPr>
        <w:t>được</w:t>
      </w:r>
      <w:r>
        <w:rPr>
          <w:lang w:val="vi-VN"/>
        </w:rPr>
        <w:t xml:space="preserve"> áp dụng ưu đãi, hỗ trợ </w:t>
      </w:r>
      <w:r>
        <w:rPr>
          <w:lang w:val="nl-NL"/>
        </w:rPr>
        <w:t>đầu tư</w:t>
      </w:r>
      <w:r>
        <w:rPr>
          <w:lang w:val="vi-VN"/>
        </w:rPr>
        <w:t xml:space="preserve"> đặc biệt với mức cao hơn. Theo đó, năm 2021, Thủ tướng Chính phủ đã ban hành Quyết định 29/2021/QĐ-TTg quy định về ưu đãi đầu tư đặc biệt với các chính sách ưu đãi về thuế thu nhập doanh nghiệp cao hơn so với Luật Thuế thu nhập doanh nghiệp hiện hành.</w:t>
      </w:r>
      <w:r w:rsidR="005A0A4C">
        <w:t xml:space="preserve"> D</w:t>
      </w:r>
      <w:r>
        <w:rPr>
          <w:lang w:val="vi-VN"/>
        </w:rPr>
        <w:t xml:space="preserve">o áp dụng ưu đãi thuế suất thấp và được ưu đãi miễn thuế, giảm thuế nên trên thực tế thuế suất đối với các dự án đầu tư của doanh nghiệp FDI có ưu đãi sẽ có thuế suất thực tế </w:t>
      </w:r>
      <w:r>
        <w:rPr>
          <w:iCs/>
          <w:lang w:val="vi-VN"/>
        </w:rPr>
        <w:t xml:space="preserve">trong </w:t>
      </w:r>
      <w:r>
        <w:rPr>
          <w:iCs/>
          <w:lang w:val="nl-NL"/>
        </w:rPr>
        <w:t>thời gian được</w:t>
      </w:r>
      <w:r>
        <w:rPr>
          <w:iCs/>
          <w:lang w:val="vi-VN"/>
        </w:rPr>
        <w:t xml:space="preserve"> hưởng ưu đãi, thấp hơn mức thuế suất tối thiểu là 15%</w:t>
      </w:r>
      <w:r w:rsidR="005A0A4C">
        <w:rPr>
          <w:lang w:val="vi-VN"/>
        </w:rPr>
        <w:t>.</w:t>
      </w:r>
    </w:p>
    <w:p w:rsidR="005A0A4C" w:rsidRPr="005A0A4C" w:rsidRDefault="005A0A4C" w:rsidP="00B2190B">
      <w:pPr>
        <w:widowControl w:val="0"/>
        <w:spacing w:before="120" w:after="120"/>
        <w:ind w:right="-1" w:firstLine="720"/>
        <w:jc w:val="both"/>
      </w:pPr>
      <w:r>
        <w:t>Hơn nữa, cách tính thuế thu nhập doanh nghiệp bổ sung theo quy định về thuế tối thiểu toàn cầu không tương thích với cách tính thuế thu nhập doanh nghiệp thông thường theo quy định hiện hành.</w:t>
      </w:r>
    </w:p>
    <w:p w:rsidR="006B2EFE" w:rsidRDefault="006B2EFE" w:rsidP="006B2EFE">
      <w:pPr>
        <w:widowControl w:val="0"/>
        <w:spacing w:before="120" w:after="120"/>
        <w:ind w:firstLine="720"/>
        <w:jc w:val="both"/>
      </w:pPr>
      <w:r>
        <w:t>+ Tác động tới quy định về lập báo cáo tài chính tại Việt Nam: Theo quy định về Thuế tối thiểu toàn cầu của OECD, chuẩn mực báo cáo tài chính được áp dụng bao gồm Chuẩn mực báo cáo tài chính được chấp nhận và Chuẩn mực báo cáo tài chính được phép áp dụng. Trong đó:</w:t>
      </w:r>
    </w:p>
    <w:p w:rsidR="006B2EFE" w:rsidRDefault="006B2EFE" w:rsidP="006B2EFE">
      <w:pPr>
        <w:widowControl w:val="0"/>
        <w:spacing w:before="120" w:after="120"/>
        <w:ind w:firstLine="720"/>
        <w:jc w:val="both"/>
      </w:pPr>
      <w:r>
        <w:rPr>
          <w:i/>
        </w:rPr>
        <w:t>Chuẩn mực kế toán tài chính được chấp nhận</w:t>
      </w:r>
      <w:r>
        <w:t xml:space="preserve"> là Chuẩn mực Báo cáo tài chính quốc tế (IFRS) và các nguyên tắc kế toán được chấp nhận chung của Úc, Brazil, Canada, các quốc gia thành viên của Liên minh Châu Âu, các quốc gia thành viên của Khu vực kinh tế Châu Âu, Hồng Kông (Trung Quốc), Nhật Bản, Mexico, New Zealand, Cộng hòa Nhân dân Trung Hoa, Cộng hòa Ấn Độ, Hàn Quốc, Nga, Singapore, Thụy Sĩ, Vương quốc Anh và Hợp chủng quốc Hoa Kỳ.</w:t>
      </w:r>
    </w:p>
    <w:p w:rsidR="006B2EFE" w:rsidRDefault="006B2EFE" w:rsidP="006B2EFE">
      <w:pPr>
        <w:widowControl w:val="0"/>
        <w:spacing w:before="120" w:after="120"/>
        <w:ind w:firstLine="720"/>
        <w:jc w:val="both"/>
      </w:pPr>
      <w:r>
        <w:rPr>
          <w:i/>
        </w:rPr>
        <w:lastRenderedPageBreak/>
        <w:t>Chuẩn mực kế toán tài chính được phép áp dụng</w:t>
      </w:r>
      <w:r>
        <w:t xml:space="preserve"> là một tập hợp các nguyên tắc kế toán được chấp nhận chung bởi cơ quan kế toán có thẩm quyền tại nước nơi Công ty đặt trụ sở cho phép áp dụng (ví dụ như Việt Nam).</w:t>
      </w:r>
    </w:p>
    <w:p w:rsidR="006B2EFE" w:rsidRDefault="006B2EFE" w:rsidP="006B2EFE">
      <w:pPr>
        <w:widowControl w:val="0"/>
        <w:spacing w:before="120" w:after="120"/>
        <w:ind w:firstLine="720"/>
        <w:jc w:val="both"/>
      </w:pPr>
      <w:r>
        <w:t xml:space="preserve">Điều này có nghĩa là quy định thuế tối thiểu toàn cầu cho phép áp dụng chuẩn mực kế toán tài chính quốc tế được chấp nhận rộng rãi tại các nước như được liệt kê ở trên và chuẩn mực kế toán tài chính theo quy định của từng nước mà công ty mẹ tối cao đặt trụ sở. Tuy nhiên, nếu có sự khác biệt giữa chuẩn mực kế toán tài chính được chấp nhận và chuẩn mực kế toán tài chính tại Việt Nam thì </w:t>
      </w:r>
      <w:r>
        <w:rPr>
          <w:rFonts w:eastAsiaTheme="minorHAnsi"/>
          <w:szCs w:val="28"/>
        </w:rPr>
        <w:t xml:space="preserve">doanh nghiệp sẽ phải nộp bản thuyết minh giải trình chênh lệch do khác biệt giữa các chuẩn mực kế toán tài chính. </w:t>
      </w:r>
      <w:r>
        <w:rPr>
          <w:rFonts w:eastAsia="SimSun"/>
          <w:color w:val="000000"/>
          <w:szCs w:val="28"/>
          <w:shd w:val="clear" w:color="auto" w:fill="FFFFFF"/>
        </w:rPr>
        <w:t>Do vậy, Thuế tối thiểu toàn cầu không ảnh hưởng tới quy định về chuẩn mực kế toán tài chính được phép áp dụng tại Việt Nam, tuy nhiên doanh nghiệp sẽ phải điều chỉnh các khoản chênh lệch giữa 2 chuẩn mực báo cáo tài chính</w:t>
      </w:r>
      <w:r w:rsidR="00041CF6">
        <w:rPr>
          <w:rFonts w:eastAsia="SimSun"/>
          <w:color w:val="000000"/>
          <w:szCs w:val="28"/>
          <w:shd w:val="clear" w:color="auto" w:fill="FFFFFF"/>
        </w:rPr>
        <w:t xml:space="preserve"> bằng cách nộp bổ sung </w:t>
      </w:r>
      <w:r w:rsidR="00041CF6" w:rsidRPr="00041CF6">
        <w:rPr>
          <w:rFonts w:eastAsia="SimSun"/>
          <w:color w:val="000000"/>
          <w:szCs w:val="28"/>
          <w:shd w:val="clear" w:color="auto" w:fill="FFFFFF"/>
        </w:rPr>
        <w:t>Bản thuyết minh giải trình chênh lệch do khác biệt giữa các chuẩn mực kế toán tài chính</w:t>
      </w:r>
      <w:r w:rsidR="00041CF6">
        <w:rPr>
          <w:rFonts w:eastAsia="SimSun"/>
          <w:color w:val="000000"/>
          <w:szCs w:val="28"/>
          <w:shd w:val="clear" w:color="auto" w:fill="FFFFFF"/>
        </w:rPr>
        <w:t xml:space="preserve"> theo mẫu. </w:t>
      </w:r>
    </w:p>
    <w:p w:rsidR="006B2EFE" w:rsidRDefault="006B2EFE" w:rsidP="006B2EFE">
      <w:pPr>
        <w:widowControl w:val="0"/>
        <w:spacing w:before="120" w:after="120"/>
        <w:ind w:firstLine="720"/>
        <w:jc w:val="both"/>
        <w:rPr>
          <w:szCs w:val="28"/>
          <w:lang w:val="vi-VN"/>
        </w:rPr>
      </w:pPr>
      <w:r>
        <w:rPr>
          <w:szCs w:val="28"/>
          <w:lang w:val="vi-VN"/>
        </w:rPr>
        <w:t>-</w:t>
      </w:r>
      <w:r>
        <w:rPr>
          <w:i/>
          <w:szCs w:val="28"/>
          <w:lang w:val="vi-VN"/>
        </w:rPr>
        <w:t xml:space="preserve"> </w:t>
      </w:r>
      <w:r>
        <w:rPr>
          <w:szCs w:val="28"/>
        </w:rPr>
        <w:t>Tác động của chính sách, sự tương thích với các điều ước quốc tế, đặc biệt là các hiệp định về bảo hộ đầu tư và quy định pháp luật về bảo hộ; cơ chế trao đổi thông tin</w:t>
      </w:r>
      <w:r>
        <w:rPr>
          <w:szCs w:val="28"/>
          <w:lang w:val="vi-VN"/>
        </w:rPr>
        <w:t>:</w:t>
      </w:r>
    </w:p>
    <w:p w:rsidR="006B2EFE" w:rsidRDefault="006B2EFE" w:rsidP="006B2EFE">
      <w:pPr>
        <w:widowControl w:val="0"/>
        <w:spacing w:before="120" w:after="120"/>
        <w:ind w:firstLine="720"/>
        <w:jc w:val="both"/>
        <w:rPr>
          <w:szCs w:val="28"/>
        </w:rPr>
      </w:pPr>
      <w:r>
        <w:rPr>
          <w:szCs w:val="28"/>
        </w:rPr>
        <w:t>Về tác động tới các điều ước quốc tế:</w:t>
      </w:r>
    </w:p>
    <w:p w:rsidR="006B2EFE" w:rsidRDefault="006B2EFE" w:rsidP="006B2EFE">
      <w:pPr>
        <w:widowControl w:val="0"/>
        <w:spacing w:before="120" w:after="120"/>
        <w:ind w:firstLine="720"/>
        <w:jc w:val="both"/>
        <w:rPr>
          <w:szCs w:val="28"/>
          <w:lang w:val="vi-VN"/>
        </w:rPr>
      </w:pPr>
      <w:r>
        <w:rPr>
          <w:szCs w:val="28"/>
        </w:rPr>
        <w:t>+</w:t>
      </w:r>
      <w:r>
        <w:rPr>
          <w:szCs w:val="28"/>
          <w:lang w:val="vi-VN"/>
        </w:rPr>
        <w:t xml:space="preserve"> Việt Nam đã chính thức trở thành thành viên thứ 150 của Tổ chức Thương mại thế giới (WTO) từ năm 2007, trong đó đã ký kết các Hiệp định như: Hiệp định về Chống bán phá giá, Hiệp định về xác định trị giá tính thuế hải quan, Hiệp định về giám định hàng hóa trước khi gửi hàng, Hiệp định về quy tắc xuất xứ, Hiệp định về thủ tục cấp phép nhập khẩu, Hiệp định trợ cấp và biện pháp đối kháng, Hiệp định về tự vệ</w:t>
      </w:r>
      <w:r>
        <w:rPr>
          <w:szCs w:val="28"/>
        </w:rPr>
        <w:t xml:space="preserve"> ....</w:t>
      </w:r>
      <w:r>
        <w:rPr>
          <w:szCs w:val="28"/>
          <w:lang w:val="vi-VN"/>
        </w:rPr>
        <w:t>;</w:t>
      </w:r>
    </w:p>
    <w:p w:rsidR="006B2EFE" w:rsidRPr="005A0A4C" w:rsidRDefault="006B2EFE" w:rsidP="006B2EFE">
      <w:pPr>
        <w:widowControl w:val="0"/>
        <w:spacing w:before="120" w:after="120"/>
        <w:ind w:firstLine="720"/>
        <w:jc w:val="both"/>
        <w:rPr>
          <w:rStyle w:val="Strong"/>
          <w:rFonts w:eastAsia="SimSun"/>
          <w:b w:val="0"/>
          <w:bCs w:val="0"/>
          <w:color w:val="212529"/>
          <w:shd w:val="clear" w:color="auto" w:fill="FFFFFF"/>
        </w:rPr>
      </w:pPr>
      <w:r w:rsidRPr="005A0A4C">
        <w:rPr>
          <w:szCs w:val="28"/>
        </w:rPr>
        <w:t>+</w:t>
      </w:r>
      <w:r w:rsidRPr="005A0A4C">
        <w:rPr>
          <w:szCs w:val="28"/>
          <w:lang w:val="vi-VN"/>
        </w:rPr>
        <w:t xml:space="preserve"> </w:t>
      </w:r>
      <w:r w:rsidRPr="005A0A4C">
        <w:rPr>
          <w:rStyle w:val="Strong"/>
          <w:rFonts w:eastAsia="SimSun"/>
          <w:b w:val="0"/>
          <w:color w:val="212529"/>
          <w:szCs w:val="28"/>
          <w:shd w:val="clear" w:color="auto" w:fill="FFFFFF"/>
          <w:lang w:val="vi-VN"/>
        </w:rPr>
        <w:t>Việt Nam đã ký kết Hiệp định Thương mại tự do song phương (EVFTA) và Hiệp định Bảo hộ đầu tư (EVIPA) và các Hiệp định FTA với các nước và trong khu vực;</w:t>
      </w:r>
    </w:p>
    <w:p w:rsidR="006B2EFE" w:rsidRPr="005A0A4C" w:rsidRDefault="006B2EFE" w:rsidP="006B2EFE">
      <w:pPr>
        <w:widowControl w:val="0"/>
        <w:spacing w:before="120" w:after="120"/>
        <w:ind w:firstLine="720"/>
        <w:jc w:val="both"/>
        <w:rPr>
          <w:rStyle w:val="Strong"/>
          <w:rFonts w:eastAsia="SimSun"/>
          <w:b w:val="0"/>
          <w:bCs w:val="0"/>
          <w:color w:val="212529"/>
          <w:szCs w:val="28"/>
          <w:shd w:val="clear" w:color="auto" w:fill="FFFFFF"/>
          <w:lang w:val="vi-VN"/>
        </w:rPr>
      </w:pPr>
      <w:r w:rsidRPr="005A0A4C">
        <w:rPr>
          <w:rStyle w:val="Strong"/>
          <w:rFonts w:eastAsia="SimSun"/>
          <w:b w:val="0"/>
          <w:color w:val="212529"/>
          <w:szCs w:val="28"/>
          <w:shd w:val="clear" w:color="auto" w:fill="FFFFFF"/>
        </w:rPr>
        <w:t>+</w:t>
      </w:r>
      <w:r w:rsidRPr="005A0A4C">
        <w:rPr>
          <w:rStyle w:val="Strong"/>
          <w:rFonts w:eastAsia="SimSun"/>
          <w:b w:val="0"/>
          <w:color w:val="212529"/>
          <w:szCs w:val="28"/>
          <w:shd w:val="clear" w:color="auto" w:fill="FFFFFF"/>
          <w:lang w:val="vi-VN"/>
        </w:rPr>
        <w:t xml:space="preserve"> Việt Nam đã ký </w:t>
      </w:r>
      <w:r w:rsidRPr="005A0A4C">
        <w:rPr>
          <w:rStyle w:val="Strong"/>
          <w:rFonts w:eastAsia="SimSun"/>
          <w:b w:val="0"/>
          <w:color w:val="212529"/>
          <w:szCs w:val="28"/>
          <w:shd w:val="clear" w:color="auto" w:fill="FFFFFF"/>
        </w:rPr>
        <w:t xml:space="preserve">kết 78 </w:t>
      </w:r>
      <w:r w:rsidRPr="005A0A4C">
        <w:rPr>
          <w:rStyle w:val="Strong"/>
          <w:rFonts w:eastAsia="SimSun"/>
          <w:b w:val="0"/>
          <w:color w:val="212529"/>
          <w:szCs w:val="28"/>
          <w:shd w:val="clear" w:color="auto" w:fill="FFFFFF"/>
          <w:lang w:val="vi-VN"/>
        </w:rPr>
        <w:t>Hiệp định tránh đánh thuế hai lần (DTAAs)</w:t>
      </w:r>
      <w:r w:rsidRPr="005A0A4C">
        <w:rPr>
          <w:rStyle w:val="Strong"/>
          <w:rFonts w:eastAsia="SimSun"/>
          <w:b w:val="0"/>
          <w:color w:val="212529"/>
          <w:szCs w:val="28"/>
          <w:shd w:val="clear" w:color="auto" w:fill="FFFFFF"/>
        </w:rPr>
        <w:t xml:space="preserve"> và ngăn ngừa việc trốn lậu thuế đối với các loại thuế đánh vào thu nhập (và tài sản)</w:t>
      </w:r>
      <w:r w:rsidRPr="005A0A4C">
        <w:rPr>
          <w:rStyle w:val="Strong"/>
          <w:rFonts w:eastAsia="SimSun"/>
          <w:b w:val="0"/>
          <w:color w:val="212529"/>
          <w:szCs w:val="28"/>
          <w:shd w:val="clear" w:color="auto" w:fill="FFFFFF"/>
          <w:lang w:val="vi-VN"/>
        </w:rPr>
        <w:t>.</w:t>
      </w:r>
    </w:p>
    <w:p w:rsidR="006B2EFE" w:rsidRDefault="006B2EFE" w:rsidP="006B2EFE">
      <w:pPr>
        <w:widowControl w:val="0"/>
        <w:spacing w:before="120" w:after="120"/>
        <w:ind w:firstLine="720"/>
        <w:jc w:val="both"/>
        <w:rPr>
          <w:rFonts w:eastAsia="SimSun"/>
        </w:rPr>
      </w:pPr>
      <w:r>
        <w:rPr>
          <w:bCs/>
          <w:szCs w:val="28"/>
        </w:rPr>
        <w:t>+</w:t>
      </w:r>
      <w:r>
        <w:rPr>
          <w:bCs/>
          <w:szCs w:val="28"/>
          <w:lang w:val="vi-VN"/>
        </w:rPr>
        <w:t xml:space="preserve"> Trong khuôn khổ Diễn đàn hợp tác chung IF, ngày 9/2/2022, Việt Nam đã tham gia ký kết Hiệp định đa phương về thực hiện các biện pháp liên quan đến hiệp định thuế nhằm ngăn ngừa xói mòn cơ sở thuế và chuyển dịch lợi nhuận </w:t>
      </w:r>
      <w:r>
        <w:rPr>
          <w:bCs/>
          <w:i/>
          <w:szCs w:val="28"/>
          <w:lang w:val="vi-VN"/>
        </w:rPr>
        <w:t>(MLI)</w:t>
      </w:r>
      <w:r>
        <w:rPr>
          <w:bCs/>
          <w:i/>
          <w:szCs w:val="28"/>
        </w:rPr>
        <w:t xml:space="preserve"> (</w:t>
      </w:r>
      <w:r>
        <w:rPr>
          <w:bCs/>
          <w:i/>
          <w:szCs w:val="28"/>
          <w:lang w:val="vi-VN"/>
        </w:rPr>
        <w:t>Hành động số 15</w:t>
      </w:r>
      <w:r>
        <w:rPr>
          <w:bCs/>
          <w:i/>
          <w:szCs w:val="28"/>
        </w:rPr>
        <w:t>)</w:t>
      </w:r>
      <w:r>
        <w:rPr>
          <w:bCs/>
          <w:szCs w:val="28"/>
          <w:lang w:val="vi-VN"/>
        </w:rPr>
        <w:t xml:space="preserve">, trong đó quy định 2 trong 4 tiêu chuẩn tối thiểu của Diễn đàn hợp tác chung về chống lợi dụng hiệp định và nâng cao hiệu quả giải quyết thủ tục thỏa thuận song phương. </w:t>
      </w:r>
      <w:r>
        <w:rPr>
          <w:bCs/>
          <w:szCs w:val="28"/>
        </w:rPr>
        <w:t>Hiệp định đa phương này là công cụ để các nhà đầu tư nước ngoài thuộc các nước ký Hiệp định với Việt Nam dù dưới hình thức nào, có thu nhập từ các hoạt động này sẽ không bị nộp thuế hai lần. Hiệp định góp phần ngăn chặn các hành vi, hành động trốn thuế của các tổ chức, cá nhân nước ngoài.</w:t>
      </w:r>
    </w:p>
    <w:p w:rsidR="006B2EFE" w:rsidRDefault="006B2EFE" w:rsidP="006B2EFE">
      <w:pPr>
        <w:widowControl w:val="0"/>
        <w:spacing w:before="120" w:after="120"/>
        <w:ind w:firstLine="720"/>
        <w:jc w:val="both"/>
        <w:rPr>
          <w:szCs w:val="28"/>
        </w:rPr>
      </w:pPr>
      <w:r>
        <w:rPr>
          <w:szCs w:val="28"/>
        </w:rPr>
        <w:t xml:space="preserve">Quy định về thuế thu nhập doanh nghiệp bổ sung tối thiểu nội địa đạt </w:t>
      </w:r>
      <w:r>
        <w:rPr>
          <w:szCs w:val="28"/>
        </w:rPr>
        <w:lastRenderedPageBreak/>
        <w:t>chuẩn (QDMTT) và quy định về tổng hợp thu nhập chịu thuế tối thiểu (IIR) là quy định áp dụng tại nước nhận đầu tư và nước nơi doanh nghiệp đóng trụ sở chính có đầu tư ra nước ngoài, làm tăng quyền đánh thuế của các nước áp dụng quy định này.</w:t>
      </w:r>
      <w:r w:rsidR="002463D8">
        <w:rPr>
          <w:szCs w:val="28"/>
        </w:rPr>
        <w:t xml:space="preserve"> Về thứ tự ưu tiên áp dụng, QDMTT sẽ được ưu tiên áp dụng trước cho nước nhận đầu tư. Trường hợp nước nhận đầu tư không áp dụng QDMTT thì nước đầu tư sẽ áp dụng IIR để thu thuế bổ sung đối với các doanh nghiệp FDI tại nước nhận đầu tư. </w:t>
      </w:r>
      <w:r>
        <w:rPr>
          <w:szCs w:val="28"/>
        </w:rPr>
        <w:t>Do đó, quy định QDMTT và quy định IIR không tạo ra việc đánh thuế trùng nên sẽ không mâu thuẫn với các hiệp định thuế mà Việt Nam đã ký kết.</w:t>
      </w:r>
    </w:p>
    <w:p w:rsidR="006B2EFE" w:rsidRDefault="006B2EFE" w:rsidP="006B2EFE">
      <w:pPr>
        <w:widowControl w:val="0"/>
        <w:spacing w:before="120" w:after="120"/>
        <w:ind w:firstLine="720"/>
        <w:jc w:val="both"/>
        <w:rPr>
          <w:szCs w:val="28"/>
        </w:rPr>
      </w:pPr>
      <w:r>
        <w:rPr>
          <w:szCs w:val="28"/>
        </w:rPr>
        <w:t>Về tác động của chính sách đối với các hiệp định về bảo hộ đầu tư và quy định pháp luật về bảo hộ đầu tư:</w:t>
      </w:r>
    </w:p>
    <w:p w:rsidR="006B2EFE" w:rsidRDefault="006B2EFE" w:rsidP="006B2EFE">
      <w:pPr>
        <w:widowControl w:val="0"/>
        <w:spacing w:before="120" w:after="120"/>
        <w:ind w:firstLine="720"/>
        <w:jc w:val="both"/>
        <w:rPr>
          <w:szCs w:val="28"/>
          <w:lang w:val="vi-VN"/>
        </w:rPr>
      </w:pPr>
      <w:r>
        <w:rPr>
          <w:szCs w:val="28"/>
        </w:rPr>
        <w:t xml:space="preserve">+ </w:t>
      </w:r>
      <w:r>
        <w:rPr>
          <w:szCs w:val="28"/>
          <w:lang w:val="vi-VN"/>
        </w:rPr>
        <w:t xml:space="preserve">Việc áp dụng quy định </w:t>
      </w:r>
      <w:r>
        <w:rPr>
          <w:iCs/>
          <w:szCs w:val="28"/>
          <w:lang w:val="vi-VN"/>
        </w:rPr>
        <w:t>QDMTT</w:t>
      </w:r>
      <w:r>
        <w:rPr>
          <w:szCs w:val="28"/>
          <w:lang w:val="vi-VN"/>
        </w:rPr>
        <w:t xml:space="preserve"> để thu thuế bổ sung đối với </w:t>
      </w:r>
      <w:r>
        <w:rPr>
          <w:szCs w:val="28"/>
          <w:lang w:val="nl-NL"/>
        </w:rPr>
        <w:t xml:space="preserve">các doanh nghiệp đang được hưởng chính sách ưu đãi thuế thu nhập doanh nghiệp tại Việt Nam mà có Công ty mẹ thuộc đối tượng </w:t>
      </w:r>
      <w:r>
        <w:rPr>
          <w:iCs/>
          <w:szCs w:val="28"/>
          <w:lang w:val="nl-NL"/>
        </w:rPr>
        <w:t>của</w:t>
      </w:r>
      <w:r>
        <w:rPr>
          <w:szCs w:val="28"/>
          <w:lang w:val="nl-NL"/>
        </w:rPr>
        <w:t xml:space="preserve"> Thuế tối thiểu toàn cầu sẽ dẫn đến khả năng doanh nghiệp khiếu nại, khiếu kiện </w:t>
      </w:r>
      <w:r>
        <w:rPr>
          <w:szCs w:val="28"/>
          <w:lang w:val="vi-VN"/>
        </w:rPr>
        <w:t>do Luật Đầu tư và Luật thuế thu nhập doanh nghiệp của Việt Nam có đưa ra các quy định về bảo đảm đầu tư và ổn định chính sách.</w:t>
      </w:r>
    </w:p>
    <w:p w:rsidR="006B2EFE" w:rsidRDefault="006B2EFE" w:rsidP="006B2EFE">
      <w:pPr>
        <w:widowControl w:val="0"/>
        <w:spacing w:before="120" w:after="120"/>
        <w:ind w:firstLine="720"/>
        <w:jc w:val="both"/>
        <w:rPr>
          <w:szCs w:val="28"/>
          <w:lang w:val="nl-NL"/>
        </w:rPr>
      </w:pPr>
      <w:r>
        <w:rPr>
          <w:szCs w:val="28"/>
          <w:lang w:val="nl-NL"/>
        </w:rPr>
        <w:t xml:space="preserve">+ Liên quan đến bảo hộ đầu tư, Việt Nam đã ký Hiệp định Bảo hộ đầu tư với Liên minh Châu Âu và các nước thành viên Liên minh Châu Âu ngày 30/6/2019 </w:t>
      </w:r>
      <w:r>
        <w:rPr>
          <w:i/>
          <w:iCs/>
          <w:szCs w:val="28"/>
          <w:lang w:val="nl-NL"/>
        </w:rPr>
        <w:t>(Hiệp định EVIPA)</w:t>
      </w:r>
      <w:r>
        <w:rPr>
          <w:szCs w:val="28"/>
          <w:lang w:val="nl-NL"/>
        </w:rPr>
        <w:t>, đã được Quốc hội phê chuẩn tại Nghị quyết số 103/2020/QH14 ngày 08/6/2020. Về bảo hộ đầu tư</w:t>
      </w:r>
      <w:r>
        <w:rPr>
          <w:rStyle w:val="FootnoteReference"/>
          <w:b/>
          <w:szCs w:val="28"/>
        </w:rPr>
        <w:footnoteReference w:id="6"/>
      </w:r>
      <w:r>
        <w:rPr>
          <w:szCs w:val="28"/>
          <w:lang w:val="nl-NL"/>
        </w:rPr>
        <w:t>, Hiệp định có quy định các nguyên tắc về đối xử quốc gia, đối xử tối huệ quốc, đối xử đầu tư, bồi thường thiệt hại, trưng dụng, chuyển tiền và thế quyền. Thuế tối thiểu toàn cầu không mâu thuẫn với quy định về bảo hộ đầu tư của Hiệp định. Như vậy, việc Việt Nam ban hành văn bản quy định pháp luật để triển khai Thuế tối thiểu toàn cầu không mâu thuẫn với quy định về bảo hộ đầu tư của Hiệp định.</w:t>
      </w:r>
    </w:p>
    <w:p w:rsidR="006B2EFE" w:rsidRPr="003D6FD6" w:rsidRDefault="006B2EFE" w:rsidP="003D6FD6">
      <w:pPr>
        <w:widowControl w:val="0"/>
        <w:spacing w:before="120" w:after="120"/>
        <w:ind w:firstLine="709"/>
        <w:jc w:val="both"/>
        <w:rPr>
          <w:szCs w:val="28"/>
          <w:lang w:val="nl-NL"/>
        </w:rPr>
      </w:pPr>
      <w:r>
        <w:rPr>
          <w:szCs w:val="28"/>
          <w:lang w:val="nl-NL"/>
        </w:rPr>
        <w:t xml:space="preserve">+ Việc quy định thuế thu nhập doanh nghiệp </w:t>
      </w:r>
      <w:r>
        <w:rPr>
          <w:bCs/>
          <w:szCs w:val="28"/>
          <w:lang w:val="nl-NL"/>
        </w:rPr>
        <w:t>bổ sung</w:t>
      </w:r>
      <w:r>
        <w:rPr>
          <w:szCs w:val="28"/>
          <w:lang w:val="nl-NL"/>
        </w:rPr>
        <w:t xml:space="preserve"> (</w:t>
      </w:r>
      <w:r>
        <w:rPr>
          <w:i/>
          <w:szCs w:val="28"/>
          <w:lang w:val="nl-NL"/>
        </w:rPr>
        <w:t>QDMTT</w:t>
      </w:r>
      <w:r>
        <w:rPr>
          <w:szCs w:val="28"/>
          <w:lang w:val="nl-NL"/>
        </w:rPr>
        <w:t xml:space="preserve">) theo quy định về Thuế tối thiểu toàn cầu của OECD nhằm tạo một mặt bằng tối thiểu về thuế thu nhập doanh nghiệp trên toàn cầu vì doanh nghiệp không nộp phần thuế bổ sung này ở nước nhận đầu tư </w:t>
      </w:r>
      <w:r>
        <w:rPr>
          <w:i/>
          <w:iCs/>
          <w:szCs w:val="28"/>
          <w:lang w:val="nl-NL"/>
        </w:rPr>
        <w:t>(nếu có thuế</w:t>
      </w:r>
      <w:r>
        <w:rPr>
          <w:i/>
          <w:iCs/>
          <w:szCs w:val="28"/>
          <w:lang w:val="vi-VN"/>
        </w:rPr>
        <w:t xml:space="preserve"> suất thực tế </w:t>
      </w:r>
      <w:r>
        <w:rPr>
          <w:i/>
          <w:iCs/>
          <w:szCs w:val="28"/>
          <w:lang w:val="nl-NL"/>
        </w:rPr>
        <w:t>thấp hơn 15%)</w:t>
      </w:r>
      <w:r>
        <w:rPr>
          <w:szCs w:val="28"/>
          <w:lang w:val="nl-NL"/>
        </w:rPr>
        <w:t xml:space="preserve"> thì cũng sẽ phải nộp ở nước Công ty mẹ</w:t>
      </w:r>
      <w:r>
        <w:rPr>
          <w:szCs w:val="28"/>
          <w:lang w:val="vi-VN"/>
        </w:rPr>
        <w:t xml:space="preserve"> hoặc một nước </w:t>
      </w:r>
      <w:r>
        <w:rPr>
          <w:szCs w:val="28"/>
          <w:lang w:val="nl-NL"/>
        </w:rPr>
        <w:t xml:space="preserve">khác nên khả năng xảy ra kiện liên quan đến việc bảo hộ đầu tư đối với các ưu đãi về thuế thu nhập doanh nghiệp đang được hưởng là không cao do doanh nghiệp, nhà đầu tư khó chứng minh được thiệt hại về vật chất </w:t>
      </w:r>
      <w:r w:rsidR="00B2190B">
        <w:rPr>
          <w:szCs w:val="28"/>
          <w:lang w:val="nl-NL"/>
        </w:rPr>
        <w:t xml:space="preserve">từ việc </w:t>
      </w:r>
      <w:r>
        <w:rPr>
          <w:szCs w:val="28"/>
          <w:lang w:val="nl-NL"/>
        </w:rPr>
        <w:t>áp dụng Thuế bổ</w:t>
      </w:r>
      <w:r>
        <w:rPr>
          <w:szCs w:val="28"/>
          <w:lang w:val="vi-VN"/>
        </w:rPr>
        <w:t xml:space="preserve"> sung tối thiểu nội địa đạt chuẩn </w:t>
      </w:r>
      <w:r>
        <w:rPr>
          <w:i/>
          <w:szCs w:val="28"/>
          <w:lang w:val="nl-NL"/>
        </w:rPr>
        <w:t>(QDMTT)</w:t>
      </w:r>
      <w:r>
        <w:rPr>
          <w:szCs w:val="28"/>
          <w:lang w:val="nl-NL"/>
        </w:rPr>
        <w:t xml:space="preserve">. Vấn đề này cũng đã được tham vấn các chuyên gia của Quỹ Tiền tệ quốc tế (IMF) và IMF cho rằng trong trường hợp doanh nghiệp khởi kiện để yêu cầu đảm bảo đầu tư thì có nhiều rủi ro doanh nghiệp thua kiện vì Thuế tối thiểu toàn cầu thực chất không gây thiệt hại cho doanh nghiệp. Tuy nhiên, để có phương án xử lý đối với trường hợp có doanh nghiệp không thống nhất với </w:t>
      </w:r>
      <w:r>
        <w:rPr>
          <w:bCs/>
          <w:szCs w:val="28"/>
          <w:lang w:val="nl-NL"/>
        </w:rPr>
        <w:t>quy định</w:t>
      </w:r>
      <w:r>
        <w:rPr>
          <w:szCs w:val="28"/>
          <w:lang w:val="nl-NL"/>
        </w:rPr>
        <w:t xml:space="preserve"> này thì có thể áp dụng Điều 13 (</w:t>
      </w:r>
      <w:r>
        <w:rPr>
          <w:bCs/>
          <w:i/>
          <w:szCs w:val="28"/>
          <w:lang w:val="nl-NL"/>
        </w:rPr>
        <w:t>quy định</w:t>
      </w:r>
      <w:r>
        <w:rPr>
          <w:i/>
          <w:szCs w:val="28"/>
          <w:lang w:val="nl-NL"/>
        </w:rPr>
        <w:t xml:space="preserve"> về b</w:t>
      </w:r>
      <w:r>
        <w:rPr>
          <w:rStyle w:val="Vnbnnidung"/>
          <w:i/>
          <w:iCs/>
          <w:szCs w:val="28"/>
          <w:lang w:val="nl-NL" w:eastAsia="vi-VN"/>
        </w:rPr>
        <w:t>ảo đảm đầu tư kinh doanh trong trường hợp thay đổi pháp luật</w:t>
      </w:r>
      <w:r>
        <w:rPr>
          <w:szCs w:val="28"/>
          <w:lang w:val="nl-NL"/>
        </w:rPr>
        <w:t xml:space="preserve">) </w:t>
      </w:r>
      <w:r>
        <w:rPr>
          <w:bCs/>
          <w:szCs w:val="28"/>
          <w:lang w:val="nl-NL"/>
        </w:rPr>
        <w:t>Luật</w:t>
      </w:r>
      <w:r>
        <w:rPr>
          <w:szCs w:val="28"/>
          <w:lang w:val="nl-NL"/>
        </w:rPr>
        <w:t xml:space="preserve"> Đầu tư </w:t>
      </w:r>
      <w:r>
        <w:rPr>
          <w:i/>
          <w:szCs w:val="28"/>
          <w:lang w:val="nl-NL"/>
        </w:rPr>
        <w:t xml:space="preserve">(đây chính là biện </w:t>
      </w:r>
      <w:r>
        <w:rPr>
          <w:i/>
          <w:szCs w:val="28"/>
          <w:lang w:val="nl-NL"/>
        </w:rPr>
        <w:lastRenderedPageBreak/>
        <w:t>pháp đàm phán của Nhà nước với doanh nghiệp)</w:t>
      </w:r>
      <w:r>
        <w:rPr>
          <w:szCs w:val="28"/>
          <w:lang w:val="nl-NL"/>
        </w:rPr>
        <w:t>.</w:t>
      </w:r>
    </w:p>
    <w:p w:rsidR="006B2EFE" w:rsidRDefault="006B2EFE" w:rsidP="006B2EFE">
      <w:pPr>
        <w:widowControl w:val="0"/>
        <w:spacing w:before="120" w:after="120"/>
        <w:ind w:firstLine="709"/>
        <w:jc w:val="both"/>
        <w:rPr>
          <w:szCs w:val="28"/>
          <w:lang w:val="nl-NL"/>
        </w:rPr>
      </w:pPr>
      <w:r>
        <w:rPr>
          <w:szCs w:val="28"/>
          <w:lang w:val="nl-NL"/>
        </w:rPr>
        <w:t xml:space="preserve">Về </w:t>
      </w:r>
      <w:r>
        <w:rPr>
          <w:szCs w:val="28"/>
        </w:rPr>
        <w:t>giải pháp, cơ chế trao đổi thông tin hoặc phối hợp giải quyết các vướng mắc phát sinh trong quá trình thực hiện Nghị quyết</w:t>
      </w:r>
      <w:r w:rsidR="00EE393B">
        <w:rPr>
          <w:szCs w:val="28"/>
        </w:rPr>
        <w:t>, Nghị định</w:t>
      </w:r>
      <w:r>
        <w:rPr>
          <w:szCs w:val="28"/>
        </w:rPr>
        <w:t xml:space="preserve">: </w:t>
      </w:r>
    </w:p>
    <w:p w:rsidR="006B2EFE" w:rsidRDefault="006B2EFE" w:rsidP="006B2EFE">
      <w:pPr>
        <w:widowControl w:val="0"/>
        <w:spacing w:before="120" w:after="120"/>
        <w:ind w:firstLine="709"/>
        <w:jc w:val="both"/>
        <w:rPr>
          <w:bCs/>
          <w:szCs w:val="28"/>
        </w:rPr>
      </w:pPr>
      <w:r>
        <w:rPr>
          <w:szCs w:val="28"/>
        </w:rPr>
        <w:t xml:space="preserve">+ Tại Điều 12 </w:t>
      </w:r>
      <w:r>
        <w:rPr>
          <w:bCs/>
          <w:szCs w:val="28"/>
          <w:lang w:val="nl-NL"/>
        </w:rPr>
        <w:t>Luật</w:t>
      </w:r>
      <w:r>
        <w:rPr>
          <w:szCs w:val="28"/>
        </w:rPr>
        <w:t xml:space="preserve"> Q</w:t>
      </w:r>
      <w:r>
        <w:rPr>
          <w:bCs/>
          <w:szCs w:val="28"/>
          <w:lang w:val="nl-NL"/>
        </w:rPr>
        <w:t>uản lý</w:t>
      </w:r>
      <w:r>
        <w:rPr>
          <w:szCs w:val="28"/>
        </w:rPr>
        <w:t xml:space="preserve"> thuế về h</w:t>
      </w:r>
      <w:r>
        <w:rPr>
          <w:bCs/>
          <w:szCs w:val="28"/>
        </w:rPr>
        <w:t xml:space="preserve">ợp tác quốc tế về thuế của cơ quan quản lý thuế có </w:t>
      </w:r>
      <w:r>
        <w:rPr>
          <w:bCs/>
          <w:szCs w:val="28"/>
          <w:lang w:val="nl-NL"/>
        </w:rPr>
        <w:t>quy định</w:t>
      </w:r>
      <w:r>
        <w:rPr>
          <w:bCs/>
          <w:szCs w:val="28"/>
        </w:rPr>
        <w:t>: “</w:t>
      </w:r>
      <w:r>
        <w:rPr>
          <w:i/>
          <w:szCs w:val="28"/>
        </w:rPr>
        <w:t xml:space="preserve">Trong phạm vi nhiệm vụ, quyền hạn của mình, cơ quan quản lý thuế có trách nhiệm: </w:t>
      </w:r>
      <w:r>
        <w:rPr>
          <w:i/>
          <w:szCs w:val="28"/>
          <w:lang w:val="vi-VN"/>
        </w:rPr>
        <w:t>Tổ chức khai thác, trao đổi thông tin và hợp tác nghiệp vụ với cơ quan quản lý thuế nước</w:t>
      </w:r>
      <w:r>
        <w:rPr>
          <w:i/>
          <w:szCs w:val="28"/>
        </w:rPr>
        <w:t xml:space="preserve"> ngoài</w:t>
      </w:r>
      <w:r>
        <w:rPr>
          <w:i/>
          <w:szCs w:val="28"/>
          <w:lang w:val="vi-VN"/>
        </w:rPr>
        <w:t>, các tổ chức quốc tế có liên quan. Trao đổi thông tin về người nộp thuế, thông tin về các bên liên kết với cơ quan thuế nước ngoài phục vụ công tác quản lý thuế đối với giao dịch liên kết</w:t>
      </w:r>
      <w:r>
        <w:rPr>
          <w:i/>
          <w:szCs w:val="28"/>
        </w:rPr>
        <w:t xml:space="preserve">; </w:t>
      </w:r>
      <w:r>
        <w:rPr>
          <w:i/>
          <w:szCs w:val="28"/>
          <w:lang w:val="vi-VN"/>
        </w:rPr>
        <w:t>Thực hiện các biện pháp hỗ trợ thu thuế theo các điều ước quốc tế mà nước Cộng hòa xã hội chủ nghĩa Việt Nam là thành viên</w:t>
      </w:r>
      <w:r>
        <w:rPr>
          <w:i/>
          <w:szCs w:val="28"/>
        </w:rPr>
        <w:t>….</w:t>
      </w:r>
      <w:r>
        <w:rPr>
          <w:bCs/>
          <w:szCs w:val="28"/>
        </w:rPr>
        <w:t xml:space="preserve">”. Theo đó, Tổng cục Thuế (Bộ Tài chính) đã và đang </w:t>
      </w:r>
      <w:r>
        <w:rPr>
          <w:bCs/>
          <w:szCs w:val="28"/>
          <w:lang w:val="nl-NL"/>
        </w:rPr>
        <w:t>thực hiện</w:t>
      </w:r>
      <w:r>
        <w:rPr>
          <w:bCs/>
          <w:szCs w:val="28"/>
        </w:rPr>
        <w:t xml:space="preserve"> trao đổi thông tin và hợp tác nghiệp vụ với cơ quan thuế </w:t>
      </w:r>
      <w:r>
        <w:rPr>
          <w:bCs/>
          <w:szCs w:val="28"/>
          <w:lang w:val="nl-NL"/>
        </w:rPr>
        <w:t>nước ngoài</w:t>
      </w:r>
      <w:r>
        <w:rPr>
          <w:bCs/>
          <w:szCs w:val="28"/>
        </w:rPr>
        <w:t xml:space="preserve">, tổ chức </w:t>
      </w:r>
      <w:r>
        <w:rPr>
          <w:bCs/>
          <w:szCs w:val="28"/>
          <w:lang w:val="nl-NL"/>
        </w:rPr>
        <w:t>quốc tế</w:t>
      </w:r>
      <w:r>
        <w:rPr>
          <w:bCs/>
          <w:szCs w:val="28"/>
        </w:rPr>
        <w:t xml:space="preserve"> có </w:t>
      </w:r>
      <w:r>
        <w:rPr>
          <w:bCs/>
          <w:szCs w:val="28"/>
          <w:lang w:val="nl-NL"/>
        </w:rPr>
        <w:t>liên quan</w:t>
      </w:r>
      <w:r>
        <w:rPr>
          <w:bCs/>
          <w:szCs w:val="28"/>
        </w:rPr>
        <w:t xml:space="preserve"> để phục vụ công tác </w:t>
      </w:r>
      <w:r>
        <w:rPr>
          <w:bCs/>
          <w:szCs w:val="28"/>
          <w:lang w:val="nl-NL"/>
        </w:rPr>
        <w:t>quản lý</w:t>
      </w:r>
      <w:r>
        <w:rPr>
          <w:bCs/>
          <w:szCs w:val="28"/>
        </w:rPr>
        <w:t xml:space="preserve"> thuế dưới nhiều hình thức như điện thoại, email, gửi văn bản.... </w:t>
      </w:r>
    </w:p>
    <w:p w:rsidR="006B2EFE" w:rsidRDefault="006B2EFE" w:rsidP="006B2EFE">
      <w:pPr>
        <w:widowControl w:val="0"/>
        <w:spacing w:before="120" w:after="120"/>
        <w:ind w:firstLine="709"/>
        <w:jc w:val="both"/>
        <w:rPr>
          <w:bCs/>
          <w:szCs w:val="28"/>
        </w:rPr>
      </w:pPr>
      <w:r>
        <w:rPr>
          <w:bCs/>
          <w:szCs w:val="28"/>
        </w:rPr>
        <w:t>+ Theo quy định tại điểm 10.1 Quy định mẫu của OECD về thuế tối thiểu toàn cầu, các nước có cơ chế trao đổi thông tin về tờ khai thông tin thuế tối thiểu toàn cầu. Theo tài liệu diễn giải Quy định mẫu có đề cập cơ chế này được quy định tại các hiệp định song phương hoặc đa phương giữa các nhà chức trách có thẩm quyền có quy định cơ chế trao đổi thông tin về tờ khai thông tin thuế tối thiểu toàn cầu.</w:t>
      </w:r>
    </w:p>
    <w:p w:rsidR="006B2EFE" w:rsidRDefault="006B2EFE" w:rsidP="006B2EFE">
      <w:pPr>
        <w:widowControl w:val="0"/>
        <w:spacing w:before="120" w:after="120"/>
        <w:ind w:firstLine="709"/>
        <w:jc w:val="both"/>
        <w:rPr>
          <w:bCs/>
          <w:szCs w:val="28"/>
        </w:rPr>
      </w:pPr>
      <w:r>
        <w:rPr>
          <w:bCs/>
          <w:szCs w:val="28"/>
        </w:rPr>
        <w:t>Theo đó các thông tin, số liệu liên quan đến doanh thu, lợi nhuận,… để xác định nghĩa vụ thuế của doanh nghiệp là thành viên của tập đoàn đa quốc gia sẽ được các nước trao đổi thông qua cơ chế trao đổi thông tin về tờ khai thông tin thuế tối thiểu toàn cầu.</w:t>
      </w:r>
    </w:p>
    <w:p w:rsidR="006B2EFE" w:rsidRDefault="006B2EFE" w:rsidP="006B2EFE">
      <w:pPr>
        <w:widowControl w:val="0"/>
        <w:spacing w:before="120" w:after="120"/>
        <w:ind w:firstLine="709"/>
        <w:jc w:val="both"/>
        <w:rPr>
          <w:bCs/>
          <w:szCs w:val="28"/>
        </w:rPr>
      </w:pPr>
      <w:r>
        <w:rPr>
          <w:bCs/>
          <w:szCs w:val="28"/>
        </w:rPr>
        <w:t>Mẫu hiệp định thuế song phương và đa phương giữa các nhà chức trách có thẩm quyền để trao đổi thông tin về tờ khai thông tin sẽ được OECD xây dựng dựa trên hiệp định đa phương về hỗ trợ hành chính thuế, hiệp định trao đổi thông tin về thuế và điều khoản trao đổi thông tin theo mẫu hiệp định thuế của OECD. Về vấn đề này, Tổng cục Thuế (Bộ Tài chính) đang trao đổi với OECD để cập nhật tình hình OECD xây dựng hiệp định song phương hoặc đa phương giữa các nhà chức trách có thẩm quyền.</w:t>
      </w:r>
    </w:p>
    <w:p w:rsidR="00E96805" w:rsidRPr="006B2EFE" w:rsidRDefault="006B2EFE" w:rsidP="006B2EFE">
      <w:pPr>
        <w:ind w:firstLine="709"/>
        <w:jc w:val="both"/>
        <w:rPr>
          <w:sz w:val="24"/>
        </w:rPr>
      </w:pPr>
      <w:r>
        <w:rPr>
          <w:bCs/>
          <w:szCs w:val="28"/>
        </w:rPr>
        <w:t xml:space="preserve">Ngoài ra, Tổng cục Thuế (Bộ Tài chính) đã và đang phối hợp chặt chẽ với các chuyên gia </w:t>
      </w:r>
      <w:r>
        <w:rPr>
          <w:bCs/>
          <w:iCs/>
          <w:szCs w:val="28"/>
          <w:lang w:val="nl-NL"/>
        </w:rPr>
        <w:t>của</w:t>
      </w:r>
      <w:r>
        <w:rPr>
          <w:bCs/>
          <w:szCs w:val="28"/>
        </w:rPr>
        <w:t xml:space="preserve"> OECD trong việc rà soát các </w:t>
      </w:r>
      <w:r>
        <w:rPr>
          <w:bCs/>
          <w:szCs w:val="28"/>
          <w:lang w:val="nl-NL"/>
        </w:rPr>
        <w:t>văn bản</w:t>
      </w:r>
      <w:r>
        <w:rPr>
          <w:bCs/>
          <w:szCs w:val="28"/>
        </w:rPr>
        <w:t xml:space="preserve"> </w:t>
      </w:r>
      <w:r>
        <w:rPr>
          <w:bCs/>
          <w:iCs/>
          <w:szCs w:val="28"/>
          <w:lang w:val="nl-NL"/>
        </w:rPr>
        <w:t>của</w:t>
      </w:r>
      <w:r>
        <w:rPr>
          <w:bCs/>
          <w:szCs w:val="28"/>
        </w:rPr>
        <w:t xml:space="preserve"> các nước về áp dụng thuế tối thiểu toàn cầu và các chuyên gia </w:t>
      </w:r>
      <w:r>
        <w:rPr>
          <w:bCs/>
          <w:iCs/>
          <w:szCs w:val="28"/>
          <w:lang w:val="nl-NL"/>
        </w:rPr>
        <w:t>của</w:t>
      </w:r>
      <w:r>
        <w:rPr>
          <w:bCs/>
          <w:szCs w:val="28"/>
        </w:rPr>
        <w:t xml:space="preserve"> Quỹ tiền tệ </w:t>
      </w:r>
      <w:r>
        <w:rPr>
          <w:bCs/>
          <w:szCs w:val="28"/>
          <w:lang w:val="nl-NL"/>
        </w:rPr>
        <w:t>quốc tế</w:t>
      </w:r>
      <w:r>
        <w:rPr>
          <w:bCs/>
          <w:szCs w:val="28"/>
        </w:rPr>
        <w:t xml:space="preserve"> (IMF) và Viện nghiên cứu IBFD (Hà Lan) về việc áp dụng thuế tối thiểu toàn cầu </w:t>
      </w:r>
      <w:r>
        <w:rPr>
          <w:bCs/>
          <w:iCs/>
          <w:szCs w:val="28"/>
          <w:lang w:val="nl-NL"/>
        </w:rPr>
        <w:t>của</w:t>
      </w:r>
      <w:r>
        <w:rPr>
          <w:bCs/>
          <w:szCs w:val="28"/>
        </w:rPr>
        <w:t xml:space="preserve"> Việt Nam và các </w:t>
      </w:r>
      <w:r>
        <w:rPr>
          <w:bCs/>
          <w:szCs w:val="28"/>
          <w:lang w:val="nl-NL"/>
        </w:rPr>
        <w:t>nước</w:t>
      </w:r>
      <w:r>
        <w:rPr>
          <w:bCs/>
          <w:szCs w:val="28"/>
        </w:rPr>
        <w:t xml:space="preserve"> trên thế giới, cùng với việc tham vấn, khai thác các thông tin về các tập đoàn thuộc </w:t>
      </w:r>
      <w:r>
        <w:rPr>
          <w:bCs/>
          <w:szCs w:val="28"/>
          <w:lang w:val="nl-NL"/>
        </w:rPr>
        <w:t>đối tượng</w:t>
      </w:r>
      <w:r>
        <w:rPr>
          <w:bCs/>
          <w:szCs w:val="28"/>
        </w:rPr>
        <w:t xml:space="preserve"> áp dụng </w:t>
      </w:r>
      <w:r>
        <w:rPr>
          <w:bCs/>
          <w:iCs/>
          <w:szCs w:val="28"/>
          <w:lang w:val="nl-NL"/>
        </w:rPr>
        <w:t>của</w:t>
      </w:r>
      <w:r>
        <w:rPr>
          <w:bCs/>
          <w:szCs w:val="28"/>
        </w:rPr>
        <w:t xml:space="preserve"> thuế tối thiểu toàn cầu.</w:t>
      </w:r>
      <w:r>
        <w:rPr>
          <w:sz w:val="24"/>
        </w:rPr>
        <w:t xml:space="preserve"> </w:t>
      </w:r>
    </w:p>
    <w:p w:rsidR="00E96805" w:rsidRDefault="006A2E7D">
      <w:pPr>
        <w:tabs>
          <w:tab w:val="center" w:pos="4890"/>
        </w:tabs>
        <w:spacing w:before="120" w:after="120"/>
        <w:ind w:firstLine="720"/>
        <w:jc w:val="both"/>
        <w:rPr>
          <w:i/>
          <w:szCs w:val="28"/>
          <w:u w:val="single"/>
          <w:lang w:val="nl-NL"/>
        </w:rPr>
      </w:pPr>
      <w:r>
        <w:rPr>
          <w:lang w:val="nl-NL"/>
        </w:rPr>
        <w:t xml:space="preserve"> </w:t>
      </w:r>
      <w:r>
        <w:rPr>
          <w:rFonts w:eastAsia="Calibri"/>
          <w:i/>
          <w:szCs w:val="28"/>
          <w:lang w:val="sv-SE"/>
        </w:rPr>
        <w:t xml:space="preserve">(d2) </w:t>
      </w:r>
      <w:r>
        <w:rPr>
          <w:i/>
          <w:szCs w:val="28"/>
          <w:u w:val="single"/>
          <w:lang w:val="nl-NL"/>
        </w:rPr>
        <w:t>Giải pháp 2</w:t>
      </w:r>
      <w:r>
        <w:rPr>
          <w:i/>
          <w:szCs w:val="28"/>
          <w:lang w:val="nl-NL"/>
        </w:rPr>
        <w:t>:</w:t>
      </w:r>
    </w:p>
    <w:p w:rsidR="00E96805" w:rsidRDefault="006A2E7D">
      <w:pPr>
        <w:spacing w:before="120" w:after="120"/>
        <w:ind w:firstLine="720"/>
        <w:jc w:val="both"/>
        <w:rPr>
          <w:szCs w:val="28"/>
          <w:lang w:val="nl-NL"/>
        </w:rPr>
      </w:pPr>
      <w:r>
        <w:rPr>
          <w:szCs w:val="28"/>
          <w:lang w:val="nl-NL"/>
        </w:rPr>
        <w:t>- Tác động về kinh tế, xã hội:</w:t>
      </w:r>
    </w:p>
    <w:p w:rsidR="00791BFD" w:rsidRDefault="006A2E7D" w:rsidP="00656E9A">
      <w:pPr>
        <w:widowControl w:val="0"/>
        <w:spacing w:before="120" w:after="120"/>
        <w:ind w:firstLine="720"/>
        <w:jc w:val="both"/>
      </w:pPr>
      <w:r>
        <w:rPr>
          <w:iCs/>
        </w:rPr>
        <w:t>Việt Nam không áp dụng Thuế tối thiểu toàn cầu thì số thu ngân sách nhà nước về thuế thu nhập doanh nghiệp không bị ảnh hưởng</w:t>
      </w:r>
      <w:r>
        <w:t xml:space="preserve">, các Tập đoàn sẽ nộp phần thuế thu nhập doanh nghiệp bổ sung về quốc gia của Công ty mẹ tối </w:t>
      </w:r>
      <w:r>
        <w:lastRenderedPageBreak/>
        <w:t xml:space="preserve">cao hoặc quốc gia có Công ty thành viên khác của Tập đoàn. Do đó, Việt Nam sẽ không có nguồn thu làm cơ sở cho các giải pháp hỗ trợ nhằm thu hút các nhà đầu tư gây ra khó khăn trong việc giữ chân các nhà đầu tư hiện tại và  </w:t>
      </w:r>
      <w:r>
        <w:rPr>
          <w:lang w:val="vi-VN"/>
        </w:rPr>
        <w:t>ảnh hưởng đến tính hấp dẫn của môi trường đầu tư tại Việt Nam, dẫn đến mất lợi thế cạnh tranh của thị trường Việt Nam trong thu hút đầu tư nước ngoà</w:t>
      </w:r>
      <w:r>
        <w:t>i. Từ đó</w:t>
      </w:r>
      <w:r>
        <w:rPr>
          <w:lang w:val="vi-VN"/>
        </w:rPr>
        <w:t xml:space="preserve"> gây ra tác động không nhỏ tới các doanh nghiệp vệ tinh của các Tập đoàn MNE cũng như có thể dẫn đến việc chuyển dịch đầu tư từ Việt Nam sang quốc gia khác có chính sách ưu đãi hấp dẫn hơn, môi trường đầu tư kinh doanh thuận lợi hơn. Việc thiếu vắng các Tập đoàn MNE lớn cũng như các doanh nghiệp vệ tinh sẽ ảnh hưởng lớn tới môi trường đầu tư và vị thế cạnh tranh của Việt Nam trên quốc tế.</w:t>
      </w:r>
    </w:p>
    <w:p w:rsidR="00656E9A" w:rsidRPr="00656E9A" w:rsidRDefault="00656E9A" w:rsidP="00656E9A">
      <w:pPr>
        <w:widowControl w:val="0"/>
        <w:spacing w:before="120" w:after="120"/>
        <w:ind w:firstLine="720"/>
        <w:jc w:val="both"/>
      </w:pPr>
      <w:r>
        <w:t xml:space="preserve">Việt Nam đã quy định áp dụng thuế tối thiểu toàn cầu theo Nghị quyết 107/2023/QH15 nhưng không </w:t>
      </w:r>
      <w:r w:rsidR="00A8569F">
        <w:t xml:space="preserve">quy định chi tiết </w:t>
      </w:r>
      <w:r>
        <w:t xml:space="preserve">đảm bảo </w:t>
      </w:r>
      <w:r w:rsidR="00A8569F">
        <w:t xml:space="preserve">đạt chuẩn </w:t>
      </w:r>
      <w:r>
        <w:t>theo hướng dẫn của OECD, các doanh nghiệp thuộc đối tượng áp dụng thuế tối thiểu toàn cầu tại Việt Nam sẽ bị tính toán lại phần thuế bổ sung tại nước có công ty mẹ và có khả năng phải nộp thêm thuế bổ sung theo quy định về thuế tối thiểu toàn cầu,</w:t>
      </w:r>
      <w:r w:rsidR="000D3C1B">
        <w:t xml:space="preserve"> điều này làm</w:t>
      </w:r>
      <w:r>
        <w:t xml:space="preserve"> tăng gánh nặng về thuế cho doanh nghiệp.</w:t>
      </w:r>
      <w:r w:rsidR="0059081C">
        <w:t xml:space="preserve"> Hơn nữa, nếu không ban hành quy định chi tiết hướng dẫn doanh nghiệp cách tính toán và thủ tục kê khai nộp thuế thu nhập doanh nghiệp bổ sung sẽ gây hoang mang cho các doanh nghiệp, đặc biệt là các doanh nghiệp FDI, khiến cho hệ thống chính sách của Việt Nam không minh bạch, rõ ràng, ảnh hưởng tiêu cực đến môi trường đầu tư của Việt Nam.</w:t>
      </w:r>
    </w:p>
    <w:p w:rsidR="00E96805" w:rsidRDefault="006A2E7D">
      <w:pPr>
        <w:widowControl w:val="0"/>
        <w:spacing w:before="120" w:after="120"/>
        <w:jc w:val="both"/>
        <w:rPr>
          <w:lang w:val="vi-VN"/>
        </w:rPr>
      </w:pPr>
      <w:r>
        <w:rPr>
          <w:lang w:val="vi-VN"/>
        </w:rPr>
        <w:tab/>
        <w:t>Ngoài sự đóng góp về vốn đầu tư cũng như tạo việc làm cho người lao động, các doanh nghiệp FDI cũng đóng vai trò quan trọng trong việc chuyển giao công nghệ, đào tạo nhân lực trong nước, xây dựng các hệ sinh thái ngành, đặc biệt trong lĩnh vực quan trọng là công nghiệp hỗ trợ, kết nối doanh nghiệp Việt Nam tham gia vào chuỗi giá trị toàn cầu để góp phần phát triển công nghiệp Việt Nam. Theo đó việc chuyển dịch đầu tư từ các doanh nghiệp FDI lớn sẽ ảnh hưởng tiêu cực đến mục tiêu phát triển công nghiệp quốc gia của Việt Nam</w:t>
      </w:r>
    </w:p>
    <w:p w:rsidR="00E96805" w:rsidRDefault="006A2E7D">
      <w:pPr>
        <w:widowControl w:val="0"/>
        <w:spacing w:before="120" w:after="120"/>
        <w:ind w:firstLine="720"/>
        <w:jc w:val="both"/>
        <w:rPr>
          <w:lang w:val="vi-VN"/>
        </w:rPr>
      </w:pPr>
      <w:r>
        <w:rPr>
          <w:lang w:val="vi-VN"/>
        </w:rPr>
        <w:t xml:space="preserve">Các Tập đoàn MNE lớn </w:t>
      </w:r>
      <w:r>
        <w:rPr>
          <w:i/>
          <w:lang w:val="vi-VN"/>
        </w:rPr>
        <w:t>(như Samsung)</w:t>
      </w:r>
      <w:r>
        <w:rPr>
          <w:lang w:val="vi-VN"/>
        </w:rPr>
        <w:t xml:space="preserve"> trong những năm vừa qua đã đóng góp nhiều vào tăng trưởng xuất khẩu và dự trữ ngoại hối của Việt Nam, vì vậy Thuế tối thiểu toàn cầu cũng sẽ có tác động trên cả phương diện này.</w:t>
      </w:r>
    </w:p>
    <w:p w:rsidR="00E96805" w:rsidRDefault="006A2E7D">
      <w:pPr>
        <w:tabs>
          <w:tab w:val="center" w:pos="4890"/>
        </w:tabs>
        <w:spacing w:before="120" w:after="120"/>
        <w:ind w:firstLine="720"/>
        <w:jc w:val="both"/>
        <w:rPr>
          <w:szCs w:val="28"/>
          <w:lang w:val="vi-VN"/>
        </w:rPr>
      </w:pPr>
      <w:r>
        <w:rPr>
          <w:szCs w:val="28"/>
        </w:rPr>
        <w:t>-</w:t>
      </w:r>
      <w:r>
        <w:rPr>
          <w:szCs w:val="28"/>
          <w:lang w:val="vi-VN"/>
        </w:rPr>
        <w:t xml:space="preserve"> Tác động về giới: Không có tác động về giới.</w:t>
      </w:r>
    </w:p>
    <w:p w:rsidR="00E96805" w:rsidRDefault="006A2E7D">
      <w:pPr>
        <w:tabs>
          <w:tab w:val="center" w:pos="4890"/>
        </w:tabs>
        <w:spacing w:before="120" w:after="120"/>
        <w:ind w:firstLine="720"/>
        <w:jc w:val="both"/>
        <w:rPr>
          <w:szCs w:val="28"/>
        </w:rPr>
      </w:pPr>
      <w:r>
        <w:rPr>
          <w:szCs w:val="28"/>
        </w:rPr>
        <w:t>-</w:t>
      </w:r>
      <w:r>
        <w:rPr>
          <w:szCs w:val="28"/>
          <w:lang w:val="vi-VN"/>
        </w:rPr>
        <w:t xml:space="preserve"> Tác động về thủ tục hành chính: </w:t>
      </w:r>
      <w:r>
        <w:rPr>
          <w:szCs w:val="28"/>
        </w:rPr>
        <w:t>Không phát sinh thủ tục hành chính.</w:t>
      </w:r>
    </w:p>
    <w:p w:rsidR="00E96805" w:rsidRPr="008055BA" w:rsidRDefault="006A2E7D">
      <w:pPr>
        <w:spacing w:before="120" w:after="120"/>
        <w:ind w:firstLine="720"/>
        <w:jc w:val="both"/>
        <w:rPr>
          <w:szCs w:val="28"/>
        </w:rPr>
      </w:pPr>
      <w:r>
        <w:rPr>
          <w:szCs w:val="28"/>
        </w:rPr>
        <w:t>-</w:t>
      </w:r>
      <w:r>
        <w:rPr>
          <w:szCs w:val="28"/>
          <w:lang w:val="vi-VN"/>
        </w:rPr>
        <w:t xml:space="preserve"> Tác động đối với hệ thống pháp luật: </w:t>
      </w:r>
      <w:r w:rsidR="008055BA">
        <w:rPr>
          <w:szCs w:val="28"/>
        </w:rPr>
        <w:t>Giữ nguyên hệ thống chính sách hiện hành.</w:t>
      </w:r>
    </w:p>
    <w:p w:rsidR="00E96805" w:rsidRDefault="006A2E7D">
      <w:pPr>
        <w:spacing w:before="120" w:after="120"/>
        <w:ind w:firstLine="720"/>
        <w:jc w:val="both"/>
        <w:rPr>
          <w:b/>
          <w:i/>
          <w:szCs w:val="28"/>
          <w:lang w:val="nl-NL"/>
        </w:rPr>
      </w:pPr>
      <w:r>
        <w:rPr>
          <w:b/>
          <w:i/>
          <w:szCs w:val="28"/>
          <w:lang w:val="nl-NL"/>
        </w:rPr>
        <w:t xml:space="preserve">đ) Kiến nghị giải pháp lựa chọn </w:t>
      </w:r>
    </w:p>
    <w:p w:rsidR="00E96805" w:rsidRDefault="0038313B">
      <w:pPr>
        <w:spacing w:before="120" w:after="120"/>
        <w:ind w:firstLine="720"/>
        <w:jc w:val="both"/>
        <w:rPr>
          <w:szCs w:val="28"/>
          <w:lang w:val="nl-NL"/>
        </w:rPr>
      </w:pPr>
      <w:r>
        <w:rPr>
          <w:szCs w:val="28"/>
          <w:lang w:val="nl-NL"/>
        </w:rPr>
        <w:t>Bộ Tài chính</w:t>
      </w:r>
      <w:r w:rsidR="006A2E7D">
        <w:rPr>
          <w:szCs w:val="28"/>
          <w:lang w:val="nl-NL"/>
        </w:rPr>
        <w:t xml:space="preserve"> đề nghị thực hiện theo giải pháp 1.</w:t>
      </w:r>
    </w:p>
    <w:p w:rsidR="00E96805" w:rsidRDefault="006A2E7D">
      <w:pPr>
        <w:spacing w:before="120" w:after="120"/>
        <w:ind w:firstLine="720"/>
        <w:jc w:val="both"/>
        <w:rPr>
          <w:szCs w:val="28"/>
        </w:rPr>
      </w:pPr>
      <w:r>
        <w:rPr>
          <w:b/>
          <w:szCs w:val="28"/>
          <w:lang w:val="sv-SE"/>
        </w:rPr>
        <w:t xml:space="preserve">2. </w:t>
      </w:r>
      <w:r>
        <w:rPr>
          <w:b/>
          <w:szCs w:val="28"/>
        </w:rPr>
        <w:t xml:space="preserve">Chính sách 2: </w:t>
      </w:r>
      <w:r>
        <w:rPr>
          <w:szCs w:val="28"/>
        </w:rPr>
        <w:t xml:space="preserve">Quy định </w:t>
      </w:r>
      <w:r w:rsidR="00791BFD">
        <w:rPr>
          <w:szCs w:val="28"/>
        </w:rPr>
        <w:t xml:space="preserve">chi tiết việc áp dụng </w:t>
      </w:r>
      <w:r>
        <w:rPr>
          <w:szCs w:val="28"/>
        </w:rPr>
        <w:t>Tổng hợp thu nhập chịu thuế tối thiểu (IIR)</w:t>
      </w:r>
    </w:p>
    <w:p w:rsidR="00E96805" w:rsidRDefault="006A2E7D">
      <w:pPr>
        <w:spacing w:before="120" w:after="120"/>
        <w:ind w:firstLine="720"/>
        <w:jc w:val="both"/>
        <w:rPr>
          <w:b/>
          <w:i/>
          <w:szCs w:val="28"/>
          <w:lang w:val="sv-SE"/>
        </w:rPr>
      </w:pPr>
      <w:r>
        <w:rPr>
          <w:b/>
          <w:i/>
          <w:szCs w:val="28"/>
          <w:lang w:val="sv-SE"/>
        </w:rPr>
        <w:t>a) Xác định vấn đề bất cập</w:t>
      </w:r>
    </w:p>
    <w:p w:rsidR="00E96805" w:rsidRDefault="006A2E7D">
      <w:pPr>
        <w:widowControl w:val="0"/>
        <w:spacing w:before="120" w:after="120"/>
        <w:ind w:firstLine="720"/>
        <w:jc w:val="both"/>
        <w:rPr>
          <w:lang w:val="vi"/>
        </w:rPr>
      </w:pPr>
      <w:r>
        <w:rPr>
          <w:lang w:val="vi-VN"/>
        </w:rPr>
        <w:lastRenderedPageBreak/>
        <w:t xml:space="preserve">Theo nguyên tắc áp dụng của Thuế tối thiểu toàn cầu </w:t>
      </w:r>
      <w:r>
        <w:rPr>
          <w:lang w:val="vi"/>
        </w:rPr>
        <w:t xml:space="preserve">thì quy định tổng hợp thu nhập chịu thuế tối thiểu </w:t>
      </w:r>
      <w:r>
        <w:rPr>
          <w:i/>
          <w:lang w:val="vi"/>
        </w:rPr>
        <w:t>(IIR)</w:t>
      </w:r>
      <w:r>
        <w:rPr>
          <w:lang w:val="vi"/>
        </w:rPr>
        <w:t xml:space="preserve"> sẽ được ưu tiên áp dụng trước cho công ty mẹ tối cao tại quốc gia nơi công ty mẹ tối cao đặt trụ sở chính. Trường hợp quốc gia của công ty mẹ tối cao không thực hiện quy định IIR thì quốc gia của công ty nắm giữ vốn thứ cấp kế tiếp trong chuỗi cơ cấu sở hữu của Tập đoàn sẽ được thực hiện quy định IIR đối với công ty này. </w:t>
      </w:r>
    </w:p>
    <w:p w:rsidR="00E96805" w:rsidRPr="00FF1491" w:rsidRDefault="006A2E7D">
      <w:pPr>
        <w:widowControl w:val="0"/>
        <w:spacing w:before="120" w:after="120"/>
        <w:ind w:firstLine="720"/>
        <w:jc w:val="both"/>
      </w:pPr>
      <w:r>
        <w:rPr>
          <w:lang w:val="vi-VN"/>
        </w:rPr>
        <w:t xml:space="preserve">Khi Việt Nam </w:t>
      </w:r>
      <w:r w:rsidR="00AB14F7">
        <w:t xml:space="preserve">quy định chi tiết việc </w:t>
      </w:r>
      <w:r>
        <w:rPr>
          <w:lang w:val="vi-VN"/>
        </w:rPr>
        <w:t xml:space="preserve">áp dụng Quy định Tổng hợp thu nhập chịu thuế tối thiểu (IIR) đối với những doanh nghiệp Việt Nam đầu tư ra nước ngoài mà có doanh thu hợp nhất đạt tối thiểu 750 triệu EUR (thuộc đối tượng áp dụng của Thuế tối thiểu toàn cầu), có công ty thành viên ở nước khác nếu có số thuế thu nhập doanh nghiệp thực tế thấp hơn mức tối thiểu thì có khả năng thu thêm </w:t>
      </w:r>
      <w:r w:rsidR="00AB14F7">
        <w:t xml:space="preserve">toàn bộ phần </w:t>
      </w:r>
      <w:r>
        <w:rPr>
          <w:lang w:val="vi-VN"/>
        </w:rPr>
        <w:t>thuế thu nhập doanh nghiệp từ những doanh nghiệp này, từ đó tăng thu ngân sách nhà nước.</w:t>
      </w:r>
      <w:r w:rsidR="00FF1491">
        <w:t xml:space="preserve"> Tuy nhiên, cần phải đảm bảo quy định chi tiết việc áp dụng </w:t>
      </w:r>
      <w:r w:rsidR="00FF1491">
        <w:rPr>
          <w:lang w:val="vi-VN"/>
        </w:rPr>
        <w:t>Tổng hợp thu nhập chịu thuế tối thiểu (IIR)</w:t>
      </w:r>
      <w:r w:rsidR="00FF1491">
        <w:t xml:space="preserve"> đạt chuẩn theo hướng dẫn của OECD.</w:t>
      </w:r>
    </w:p>
    <w:p w:rsidR="00E96805" w:rsidRDefault="006A2E7D">
      <w:pPr>
        <w:widowControl w:val="0"/>
        <w:spacing w:before="120" w:after="120"/>
        <w:ind w:firstLine="720"/>
        <w:jc w:val="both"/>
        <w:rPr>
          <w:b/>
          <w:i/>
          <w:szCs w:val="28"/>
          <w:lang w:val="sv-SE"/>
        </w:rPr>
      </w:pPr>
      <w:r>
        <w:rPr>
          <w:b/>
          <w:i/>
          <w:szCs w:val="28"/>
          <w:lang w:val="sv-SE"/>
        </w:rPr>
        <w:t>b) Mục tiêu giải quyết vấn đề</w:t>
      </w:r>
    </w:p>
    <w:p w:rsidR="009C67AA" w:rsidRPr="006001CF" w:rsidRDefault="009C67AA">
      <w:pPr>
        <w:widowControl w:val="0"/>
        <w:spacing w:before="120" w:after="120"/>
        <w:ind w:firstLine="720"/>
        <w:jc w:val="both"/>
        <w:rPr>
          <w:b/>
          <w:bCs/>
          <w:szCs w:val="28"/>
        </w:rPr>
      </w:pPr>
      <w:r>
        <w:rPr>
          <w:b/>
          <w:szCs w:val="28"/>
          <w:lang w:val="sv-SE"/>
        </w:rPr>
        <w:t xml:space="preserve">- </w:t>
      </w:r>
      <w:r>
        <w:rPr>
          <w:lang w:val="vi-VN"/>
        </w:rPr>
        <w:t xml:space="preserve">Việt Nam </w:t>
      </w:r>
      <w:r>
        <w:t xml:space="preserve">quy định chi tiết việc </w:t>
      </w:r>
      <w:r>
        <w:rPr>
          <w:lang w:val="vi-VN"/>
        </w:rPr>
        <w:t>áp dụng Quy định Tổng hợp thu nhập chịu thuế tối thiểu (IIR)</w:t>
      </w:r>
      <w:r>
        <w:t>;</w:t>
      </w:r>
    </w:p>
    <w:p w:rsidR="00E96805" w:rsidRDefault="006A2E7D">
      <w:pPr>
        <w:spacing w:before="120" w:after="120"/>
        <w:ind w:firstLine="720"/>
        <w:jc w:val="both"/>
        <w:rPr>
          <w:szCs w:val="28"/>
        </w:rPr>
      </w:pPr>
      <w:r>
        <w:rPr>
          <w:szCs w:val="28"/>
        </w:rPr>
        <w:t>- Tuân thủ theo hướng dẫn tại các văn bản, tài liệu quy định về Thuế tối thiểu toàn cầu của OECD;</w:t>
      </w:r>
    </w:p>
    <w:p w:rsidR="00E96805" w:rsidRDefault="006A2E7D">
      <w:pPr>
        <w:spacing w:before="120" w:after="120"/>
        <w:ind w:firstLine="720"/>
        <w:jc w:val="both"/>
        <w:rPr>
          <w:szCs w:val="28"/>
        </w:rPr>
      </w:pPr>
      <w:r>
        <w:rPr>
          <w:szCs w:val="28"/>
        </w:rPr>
        <w:t>- Bảo đảm chính sách minh bạch, rõ ràng, tạo thuận lợi trong thực hiện, qua đó nâng cao hiệu quả quản lý thuế;</w:t>
      </w:r>
    </w:p>
    <w:p w:rsidR="00E96805" w:rsidRDefault="006A2E7D">
      <w:pPr>
        <w:spacing w:before="120" w:after="120"/>
        <w:ind w:firstLine="720"/>
        <w:jc w:val="both"/>
        <w:rPr>
          <w:b/>
          <w:szCs w:val="28"/>
        </w:rPr>
      </w:pPr>
      <w:r>
        <w:rPr>
          <w:szCs w:val="28"/>
        </w:rPr>
        <w:t>- Mở rộng cơ sở thuế phù hợp bối cảnh kinh tế - xã hội của đất nước và thông lệ quốc tế</w:t>
      </w:r>
      <w:r>
        <w:rPr>
          <w:b/>
          <w:szCs w:val="28"/>
        </w:rPr>
        <w:t>.</w:t>
      </w:r>
    </w:p>
    <w:p w:rsidR="00E96805" w:rsidRDefault="006A2E7D">
      <w:pPr>
        <w:widowControl w:val="0"/>
        <w:spacing w:before="120" w:after="120"/>
        <w:ind w:firstLine="720"/>
        <w:jc w:val="both"/>
        <w:rPr>
          <w:i/>
          <w:szCs w:val="28"/>
          <w:lang w:val="sv-SE"/>
        </w:rPr>
      </w:pPr>
      <w:r>
        <w:rPr>
          <w:b/>
          <w:i/>
          <w:szCs w:val="28"/>
          <w:lang w:val="sv-SE"/>
        </w:rPr>
        <w:t>c)</w:t>
      </w:r>
      <w:r>
        <w:rPr>
          <w:i/>
          <w:szCs w:val="28"/>
          <w:lang w:val="sv-SE"/>
        </w:rPr>
        <w:t xml:space="preserve"> </w:t>
      </w:r>
      <w:r>
        <w:rPr>
          <w:b/>
          <w:i/>
          <w:szCs w:val="28"/>
          <w:lang w:val="nl-NL"/>
        </w:rPr>
        <w:t>Các giải pháp đề xuất để giải quyết vấn đề</w:t>
      </w:r>
    </w:p>
    <w:p w:rsidR="00E96805" w:rsidRDefault="006A2E7D">
      <w:pPr>
        <w:spacing w:before="120" w:after="120"/>
        <w:ind w:left="720"/>
        <w:jc w:val="both"/>
        <w:rPr>
          <w:szCs w:val="28"/>
        </w:rPr>
      </w:pPr>
      <w:r>
        <w:rPr>
          <w:rFonts w:eastAsia="Calibri"/>
          <w:i/>
          <w:szCs w:val="28"/>
          <w:lang w:val="sv-SE"/>
        </w:rPr>
        <w:t xml:space="preserve">(c1) </w:t>
      </w:r>
      <w:r>
        <w:rPr>
          <w:rFonts w:eastAsia="Calibri"/>
          <w:i/>
          <w:szCs w:val="28"/>
          <w:u w:val="single"/>
          <w:lang w:val="sv-SE"/>
        </w:rPr>
        <w:t>Giải pháp 1</w:t>
      </w:r>
      <w:r>
        <w:rPr>
          <w:rFonts w:eastAsia="Calibri"/>
          <w:i/>
          <w:szCs w:val="28"/>
          <w:lang w:val="sv-SE"/>
        </w:rPr>
        <w:t>:</w:t>
      </w:r>
      <w:r>
        <w:rPr>
          <w:szCs w:val="28"/>
        </w:rPr>
        <w:t xml:space="preserve"> </w:t>
      </w:r>
      <w:r w:rsidR="00BF7B95">
        <w:rPr>
          <w:szCs w:val="28"/>
        </w:rPr>
        <w:t>Quy định chi tiết việc á</w:t>
      </w:r>
      <w:r w:rsidR="0001487D">
        <w:rPr>
          <w:szCs w:val="28"/>
        </w:rPr>
        <w:t>p dụng q</w:t>
      </w:r>
      <w:r>
        <w:rPr>
          <w:szCs w:val="28"/>
        </w:rPr>
        <w:t>uy định Tổng hợp thu nhập chịu thuế tối thiểu (IIR)</w:t>
      </w:r>
    </w:p>
    <w:p w:rsidR="00E96805" w:rsidRDefault="006A2E7D">
      <w:pPr>
        <w:spacing w:before="120" w:after="120"/>
        <w:ind w:firstLine="720"/>
        <w:jc w:val="both"/>
        <w:rPr>
          <w:szCs w:val="28"/>
          <w:lang w:val="sv-SE"/>
        </w:rPr>
      </w:pPr>
      <w:r>
        <w:rPr>
          <w:rFonts w:eastAsia="Calibri"/>
          <w:i/>
          <w:szCs w:val="28"/>
          <w:lang w:val="sv-SE"/>
        </w:rPr>
        <w:t xml:space="preserve">(c2) </w:t>
      </w:r>
      <w:r>
        <w:rPr>
          <w:rFonts w:eastAsia="Calibri"/>
          <w:i/>
          <w:szCs w:val="28"/>
          <w:u w:val="single"/>
          <w:lang w:val="sv-SE"/>
        </w:rPr>
        <w:t>Giải pháp 2</w:t>
      </w:r>
      <w:r>
        <w:rPr>
          <w:rFonts w:eastAsia="Calibri"/>
          <w:i/>
          <w:szCs w:val="28"/>
          <w:lang w:val="sv-SE"/>
        </w:rPr>
        <w:t>:</w:t>
      </w:r>
      <w:r>
        <w:rPr>
          <w:rFonts w:eastAsia="Calibri"/>
          <w:szCs w:val="28"/>
          <w:lang w:val="sv-SE"/>
        </w:rPr>
        <w:t xml:space="preserve"> Giữ nguyên quy định hiện hành, không </w:t>
      </w:r>
      <w:r w:rsidR="00157434">
        <w:rPr>
          <w:rFonts w:eastAsia="Calibri"/>
          <w:szCs w:val="28"/>
          <w:lang w:val="sv-SE"/>
        </w:rPr>
        <w:t xml:space="preserve">quy định chi tiết việc </w:t>
      </w:r>
      <w:r>
        <w:rPr>
          <w:rFonts w:eastAsia="Calibri"/>
          <w:szCs w:val="28"/>
          <w:lang w:val="sv-SE"/>
        </w:rPr>
        <w:t xml:space="preserve">áp dụng </w:t>
      </w:r>
      <w:r>
        <w:rPr>
          <w:szCs w:val="28"/>
        </w:rPr>
        <w:t>Tổng hợp thu nhập chịu thuế tối thiểu (IIR)</w:t>
      </w:r>
      <w:r>
        <w:rPr>
          <w:rFonts w:eastAsia="Calibri"/>
          <w:szCs w:val="28"/>
          <w:lang w:val="sv-SE"/>
        </w:rPr>
        <w:t>.</w:t>
      </w:r>
    </w:p>
    <w:p w:rsidR="00E96805" w:rsidRDefault="006A2E7D">
      <w:pPr>
        <w:widowControl w:val="0"/>
        <w:spacing w:before="120" w:after="120"/>
        <w:ind w:firstLine="720"/>
        <w:jc w:val="both"/>
        <w:rPr>
          <w:b/>
          <w:i/>
          <w:szCs w:val="28"/>
          <w:lang w:val="nl-NL"/>
        </w:rPr>
      </w:pPr>
      <w:r>
        <w:rPr>
          <w:b/>
          <w:i/>
          <w:szCs w:val="28"/>
          <w:lang w:val="nl-NL"/>
        </w:rPr>
        <w:t>d) Đánh giá tác động của các giải pháp</w:t>
      </w:r>
    </w:p>
    <w:p w:rsidR="00E96805" w:rsidRDefault="006A2E7D">
      <w:pPr>
        <w:tabs>
          <w:tab w:val="center" w:pos="4890"/>
        </w:tabs>
        <w:spacing w:before="120" w:after="120"/>
        <w:ind w:firstLine="720"/>
        <w:jc w:val="both"/>
        <w:rPr>
          <w:i/>
          <w:szCs w:val="28"/>
          <w:u w:val="single"/>
          <w:lang w:val="nl-NL"/>
        </w:rPr>
      </w:pPr>
      <w:r>
        <w:rPr>
          <w:rFonts w:eastAsia="Calibri"/>
          <w:i/>
          <w:szCs w:val="28"/>
          <w:lang w:val="sv-SE"/>
        </w:rPr>
        <w:t xml:space="preserve">(d1) </w:t>
      </w:r>
      <w:r>
        <w:rPr>
          <w:i/>
          <w:szCs w:val="28"/>
          <w:u w:val="single"/>
          <w:lang w:val="nl-NL"/>
        </w:rPr>
        <w:t>Giải pháp 1</w:t>
      </w:r>
      <w:r>
        <w:rPr>
          <w:i/>
          <w:szCs w:val="28"/>
          <w:lang w:val="nl-NL"/>
        </w:rPr>
        <w:t>:</w:t>
      </w:r>
    </w:p>
    <w:p w:rsidR="00E96805" w:rsidRDefault="006A2E7D">
      <w:pPr>
        <w:spacing w:before="120" w:after="120"/>
        <w:ind w:firstLine="720"/>
        <w:jc w:val="both"/>
        <w:rPr>
          <w:szCs w:val="28"/>
          <w:lang w:val="nl-NL"/>
        </w:rPr>
      </w:pPr>
      <w:r>
        <w:rPr>
          <w:szCs w:val="28"/>
          <w:lang w:val="nl-NL"/>
        </w:rPr>
        <w:t>- Tác động về kinh tế, xã hội:</w:t>
      </w:r>
    </w:p>
    <w:p w:rsidR="00E96805" w:rsidRDefault="006A2E7D" w:rsidP="00A8569F">
      <w:pPr>
        <w:widowControl w:val="0"/>
        <w:adjustRightInd w:val="0"/>
        <w:snapToGrid w:val="0"/>
        <w:spacing w:before="120" w:after="120"/>
        <w:ind w:firstLine="720"/>
        <w:jc w:val="both"/>
        <w:rPr>
          <w:lang w:val="vi-VN"/>
        </w:rPr>
      </w:pPr>
      <w:r>
        <w:rPr>
          <w:lang w:val="vi-VN"/>
        </w:rPr>
        <w:t>Theo số liệu của Bộ Kế hoạch và Đầu tư, lũy kế đến 20/</w:t>
      </w:r>
      <w:r w:rsidR="00A8569F">
        <w:t>2</w:t>
      </w:r>
      <w:r>
        <w:rPr>
          <w:lang w:val="vi-VN"/>
        </w:rPr>
        <w:t>/202</w:t>
      </w:r>
      <w:r w:rsidR="00A8569F">
        <w:t>4</w:t>
      </w:r>
      <w:r>
        <w:rPr>
          <w:lang w:val="vi-VN"/>
        </w:rPr>
        <w:t>, Việt Nam đã có 1.</w:t>
      </w:r>
      <w:r w:rsidR="00A8569F">
        <w:t>720</w:t>
      </w:r>
      <w:r>
        <w:rPr>
          <w:lang w:val="vi-VN"/>
        </w:rPr>
        <w:t xml:space="preserve"> dự án đầu tư ra nước ngoài còn hiệu lực với tổng vốn đầu tư Việt Nam gần </w:t>
      </w:r>
      <w:r w:rsidR="00A8569F">
        <w:t>22,12</w:t>
      </w:r>
      <w:r>
        <w:rPr>
          <w:lang w:val="vi-VN"/>
        </w:rPr>
        <w:t xml:space="preserve"> tỷ USD. Trong đó, có 141 dự án của các doanh nghiệp có vốn nhà nước với tổng vốn đầu tư gần 11,67 tỷ USD, chiếm gần 53,3% tổng vốn đầu tư cả nước. Đầu tư của Việt Nam ra nước ngoài tập trung nhiều nhất vào các ngành khai khoáng (31,</w:t>
      </w:r>
      <w:r w:rsidR="00A8569F">
        <w:t>5</w:t>
      </w:r>
      <w:r>
        <w:rPr>
          <w:lang w:val="vi-VN"/>
        </w:rPr>
        <w:t>%); nông, lâm nghiệp, thủy sản (15,</w:t>
      </w:r>
      <w:r w:rsidR="00A8569F">
        <w:t>5</w:t>
      </w:r>
      <w:r>
        <w:rPr>
          <w:lang w:val="vi-VN"/>
        </w:rPr>
        <w:t>%).</w:t>
      </w:r>
    </w:p>
    <w:p w:rsidR="000227F9" w:rsidRDefault="006A2E7D" w:rsidP="000227F9">
      <w:pPr>
        <w:widowControl w:val="0"/>
        <w:ind w:firstLine="720"/>
        <w:jc w:val="both"/>
        <w:rPr>
          <w:lang w:val="vi-VN"/>
        </w:rPr>
      </w:pPr>
      <w:bookmarkStart w:id="0" w:name="_Hlk136192530"/>
      <w:r>
        <w:rPr>
          <w:lang w:val="vi-VN"/>
        </w:rPr>
        <w:t>Các địa bàn nhận đầu tư của Việt Nam nhiều nhất lần lượt là: Lào (24,</w:t>
      </w:r>
      <w:r w:rsidR="00A8569F">
        <w:t>7</w:t>
      </w:r>
      <w:r>
        <w:rPr>
          <w:lang w:val="vi-VN"/>
        </w:rPr>
        <w:t>%),</w:t>
      </w:r>
      <w:r>
        <w:t xml:space="preserve"> </w:t>
      </w:r>
      <w:r>
        <w:rPr>
          <w:lang w:val="vi-VN"/>
        </w:rPr>
        <w:t>Campuchia(13,</w:t>
      </w:r>
      <w:r w:rsidR="00A8569F">
        <w:t>2</w:t>
      </w:r>
      <w:r>
        <w:rPr>
          <w:lang w:val="vi-VN"/>
        </w:rPr>
        <w:t>%),</w:t>
      </w:r>
      <w:r>
        <w:t xml:space="preserve"> </w:t>
      </w:r>
      <w:r>
        <w:rPr>
          <w:lang w:val="vi-VN"/>
        </w:rPr>
        <w:t>Venezuela</w:t>
      </w:r>
      <w:r>
        <w:t xml:space="preserve"> (</w:t>
      </w:r>
      <w:r>
        <w:rPr>
          <w:lang w:val="vi-VN"/>
        </w:rPr>
        <w:t>8,3%)...</w:t>
      </w:r>
      <w:bookmarkEnd w:id="0"/>
    </w:p>
    <w:p w:rsidR="00E96805" w:rsidRDefault="006A2E7D" w:rsidP="00A8569F">
      <w:pPr>
        <w:widowControl w:val="0"/>
        <w:spacing w:before="120" w:after="120"/>
        <w:ind w:firstLine="720"/>
        <w:jc w:val="both"/>
      </w:pPr>
      <w:bookmarkStart w:id="1" w:name="_Hlk136192548"/>
      <w:r w:rsidRPr="00FE08F6">
        <w:lastRenderedPageBreak/>
        <w:t>Như vậy, không chỉ là nước nhận đầu tư, Việt Nam cũng có các nhà đầu tư ra nước ngoài như Tập đoàn Công nghiệp-Viễn thông Quân đội Viettel, Tập đoàn Dầu khí Việt Nam PVN, Tập đoàn Vingroup, Tổng công ty Cao su Việt Nam (VRG), Tập đoàn Xăng dầu Việt Nam và các Ngân hàng thương mại.</w:t>
      </w:r>
      <w:bookmarkEnd w:id="1"/>
      <w:r w:rsidR="00FE08F6" w:rsidRPr="00FE08F6">
        <w:t xml:space="preserve"> </w:t>
      </w:r>
      <w:r w:rsidR="00FE08F6">
        <w:t>Bộ Tài chính đã tiến hành rà soát các đối tượng là các Tập đoàn đa quốc gia của Việt Nam có hoạt động sản xuất kinh doanh tại nước ngoài</w:t>
      </w:r>
      <w:r w:rsidR="00FE08F6" w:rsidRPr="006A5712">
        <w:t>. Theo số liệu quyết toán thuế năm 2022</w:t>
      </w:r>
      <w:r w:rsidR="00FE08F6" w:rsidRPr="006A5712">
        <w:rPr>
          <w:rStyle w:val="FootnoteReference"/>
        </w:rPr>
        <w:footnoteReference w:id="7"/>
      </w:r>
      <w:r w:rsidR="00FE08F6" w:rsidRPr="006A5712">
        <w:t xml:space="preserve">, nếu Việt Nam áp dụng quy định tổng hợp thu nhập chịu thuế tối thiểu (IIR) từ năm 2024 thì sẽ có </w:t>
      </w:r>
      <w:r w:rsidR="00FE08F6" w:rsidRPr="006A5712">
        <w:rPr>
          <w:b/>
        </w:rPr>
        <w:t>6 Tập đoàn của Việt Nam</w:t>
      </w:r>
      <w:r w:rsidR="00FE08F6" w:rsidRPr="006A5712">
        <w:t xml:space="preserve"> thuộc đối tượng áp dụng </w:t>
      </w:r>
      <w:r w:rsidR="00FE08F6" w:rsidRPr="006A5712">
        <w:rPr>
          <w:i/>
        </w:rPr>
        <w:t>(gồm: Ngân hàng TMCP Ngoại thương Việt Nam, Tổng công ty Viễn thông Mobifone, Công ty CP Hàng không Vietjet, Tập đoàn Công nghiệp Viễn thông Quân đội Viettel, Tập đoàn xăng dầu Việt Nam, Tập đoàn Hòa Phát)</w:t>
      </w:r>
      <w:r w:rsidR="00FE08F6" w:rsidRPr="006A5712">
        <w:t xml:space="preserve">. Theo đó, số thuế thu nhập doanh nghiệp bổ sung Việt Nam có thể thu được nếu áp dụng quy định IIR năm 2024 dự kiến </w:t>
      </w:r>
      <w:r w:rsidR="00FE08F6" w:rsidRPr="006A5712">
        <w:rPr>
          <w:b/>
        </w:rPr>
        <w:t xml:space="preserve">khoảng gần 73 tỷ đồng </w:t>
      </w:r>
      <w:r w:rsidR="00FE08F6" w:rsidRPr="006A5712">
        <w:t>(trong trường hợp các nước nhận đầu tư không áp dụng QDMTT).</w:t>
      </w:r>
      <w:bookmarkStart w:id="2" w:name="_GoBack"/>
      <w:bookmarkEnd w:id="2"/>
    </w:p>
    <w:p w:rsidR="00737A36" w:rsidRDefault="00737A36" w:rsidP="00A8569F">
      <w:pPr>
        <w:widowControl w:val="0"/>
        <w:spacing w:before="120" w:after="120"/>
        <w:ind w:firstLine="720"/>
        <w:jc w:val="both"/>
        <w:rPr>
          <w:bCs/>
          <w:iCs/>
          <w:lang w:val="vi-VN"/>
        </w:rPr>
      </w:pPr>
      <w:r>
        <w:rPr>
          <w:szCs w:val="28"/>
        </w:rPr>
        <w:t>Trường hợp Việt Nam quy định chi tiết việc áp dụng quy định Thuế thu nhập doanh nghiệp bổ sung tối thiểu nội địa đạt chuẩn đảm bảo theo hướng dẫn của OECD, Việt Nam có quyền thu toàn bộ phần thuế bổ sung này mà doanh nghiệp không bị tính lại thuế bổ sung tại nước khác.</w:t>
      </w:r>
    </w:p>
    <w:p w:rsidR="00E96805" w:rsidRDefault="006A2E7D">
      <w:pPr>
        <w:tabs>
          <w:tab w:val="center" w:pos="4890"/>
        </w:tabs>
        <w:spacing w:before="120" w:after="120"/>
        <w:ind w:firstLine="720"/>
        <w:jc w:val="both"/>
        <w:rPr>
          <w:szCs w:val="28"/>
          <w:lang w:val="vi-VN"/>
        </w:rPr>
      </w:pPr>
      <w:r>
        <w:rPr>
          <w:szCs w:val="28"/>
        </w:rPr>
        <w:t>-</w:t>
      </w:r>
      <w:r>
        <w:rPr>
          <w:szCs w:val="28"/>
          <w:lang w:val="vi-VN"/>
        </w:rPr>
        <w:t xml:space="preserve"> Tác động về giới: Không có tác động về giới.</w:t>
      </w:r>
    </w:p>
    <w:p w:rsidR="00A8569F" w:rsidRDefault="006A2E7D" w:rsidP="00A8569F">
      <w:pPr>
        <w:tabs>
          <w:tab w:val="center" w:pos="4890"/>
        </w:tabs>
        <w:spacing w:before="120" w:after="120"/>
        <w:ind w:firstLine="720"/>
        <w:jc w:val="both"/>
        <w:rPr>
          <w:szCs w:val="28"/>
        </w:rPr>
      </w:pPr>
      <w:r>
        <w:rPr>
          <w:szCs w:val="28"/>
        </w:rPr>
        <w:t>-</w:t>
      </w:r>
      <w:r>
        <w:rPr>
          <w:szCs w:val="28"/>
          <w:lang w:val="vi-VN"/>
        </w:rPr>
        <w:t xml:space="preserve"> Tác động về thủ tục hành chính: </w:t>
      </w:r>
      <w:r w:rsidR="00A8569F">
        <w:rPr>
          <w:szCs w:val="28"/>
        </w:rPr>
        <w:t xml:space="preserve">Các đối tượng thuộc đối tượng áp dụng của Nghị quyết 107/2023/QH15 và Nghị định này ngoài việc kê khai và nộp thuế thu nhập doanh nghiệp theo quy định hiện hành cần phải nộp thêm hồ sơ kê khai thuế thu nhập doanh nghiệp bổ sung theo quy định chống xói mòn cơ sở thuế toàn cầu. Ngoài ra, trước khi kê khai và nộp thuế, đơn vị hợp thành chịu trách nhiệm kê khai thuế thu nhập doanh nghiệp bổ sung theo Quy định về thuế tối thiểu toàn cầu phải nộp hồ sơ đăng ký thuế lần đầu và thông báo các điều chỉnh sau này (nếu có). Việc phát sinh thủ tục hành chính sẽ làm tăng chi phí tuân thủ </w:t>
      </w:r>
      <w:r w:rsidR="00A8569F" w:rsidRPr="00E47B5C">
        <w:rPr>
          <w:szCs w:val="28"/>
        </w:rPr>
        <w:t>cho người nộp thuế và chi phí hành thu của cơ quan thuế đối với nhóm đối tượng thuộc phạm vi điều chỉnh của chính sách.</w:t>
      </w:r>
      <w:r w:rsidR="00A8569F">
        <w:rPr>
          <w:szCs w:val="28"/>
        </w:rPr>
        <w:t xml:space="preserve"> Tuy nhiên, việc thiết kế quy trình kê khai như trên là cần thiết để thực hiện quản lý thuế hiệu quả và đã giảm thiểu thủ tục hành chính để người nộp thuế dễ thực hiện khi thực hiện kê khai và nộp thuế thu nhập doanh nghiệp bổ sung.</w:t>
      </w:r>
    </w:p>
    <w:p w:rsidR="00E96805" w:rsidRPr="00737A36" w:rsidRDefault="006A2E7D" w:rsidP="00A8569F">
      <w:pPr>
        <w:tabs>
          <w:tab w:val="center" w:pos="4890"/>
        </w:tabs>
        <w:spacing w:before="120" w:after="120"/>
        <w:ind w:firstLine="720"/>
        <w:jc w:val="both"/>
        <w:rPr>
          <w:szCs w:val="28"/>
        </w:rPr>
      </w:pPr>
      <w:r>
        <w:rPr>
          <w:szCs w:val="28"/>
        </w:rPr>
        <w:t>-</w:t>
      </w:r>
      <w:r>
        <w:rPr>
          <w:szCs w:val="28"/>
          <w:lang w:val="vi-VN"/>
        </w:rPr>
        <w:t xml:space="preserve"> Tác động đối với hệ thống pháp luật: </w:t>
      </w:r>
      <w:r w:rsidR="00FE08F6">
        <w:rPr>
          <w:szCs w:val="28"/>
        </w:rPr>
        <w:t>Tương tự như Chính sách 1 nêu trên</w:t>
      </w:r>
      <w:r>
        <w:rPr>
          <w:szCs w:val="28"/>
          <w:lang w:val="vi-VN"/>
        </w:rPr>
        <w:t>.</w:t>
      </w:r>
      <w:r w:rsidR="00737A36">
        <w:rPr>
          <w:szCs w:val="28"/>
        </w:rPr>
        <w:t xml:space="preserve"> </w:t>
      </w:r>
      <w:r w:rsidR="00737A36">
        <w:t xml:space="preserve">Việt Nam đã quy định áp dụng thuế tối thiểu toàn cầu theo Nghị quyết 107/2023/QH15 nhưng không quy định chi tiết đảm bảo đạt chuẩn theo hướng dẫn của OECD, các doanh nghiệp thuộc đối tượng áp dụng thuế tối thiểu toàn cầu tại Việt Nam sẽ bị tính toán lại phần thuế bổ sung tại nước khác và có khả năng phải nộp thêm thuế bổ sung theo quy định về thuế tối thiểu toàn cầu, điều này làm tăng gánh nặng về thuế cho doanh nghiệp. Hơn nữa, nếu không ban hành quy định chi tiết hướng dẫn doanh nghiệp cách tính toán và thủ tục kê khai nộp thuế thu nhập doanh nghiệp bổ sung sẽ gây hoang mang cho các doanh </w:t>
      </w:r>
      <w:r w:rsidR="00737A36">
        <w:lastRenderedPageBreak/>
        <w:t>nghiệp, khiến cho hệ thống chính sách của Việt Nam không minh bạch, rõ ràng, ảnh hưởng tiêu cực đến môi trường đầu tư kinh doanh của Việt Nam.</w:t>
      </w:r>
    </w:p>
    <w:p w:rsidR="00E96805" w:rsidRDefault="006A2E7D">
      <w:pPr>
        <w:tabs>
          <w:tab w:val="center" w:pos="4890"/>
        </w:tabs>
        <w:spacing w:before="120" w:after="120"/>
        <w:ind w:firstLine="720"/>
        <w:jc w:val="both"/>
        <w:rPr>
          <w:i/>
          <w:szCs w:val="28"/>
          <w:u w:val="single"/>
          <w:lang w:val="nl-NL"/>
        </w:rPr>
      </w:pPr>
      <w:r>
        <w:rPr>
          <w:rFonts w:eastAsia="Calibri"/>
          <w:i/>
          <w:szCs w:val="28"/>
          <w:lang w:val="sv-SE"/>
        </w:rPr>
        <w:t xml:space="preserve">(d2) </w:t>
      </w:r>
      <w:r>
        <w:rPr>
          <w:i/>
          <w:szCs w:val="28"/>
          <w:u w:val="single"/>
          <w:lang w:val="nl-NL"/>
        </w:rPr>
        <w:t>Giải pháp 2</w:t>
      </w:r>
      <w:r>
        <w:rPr>
          <w:i/>
          <w:szCs w:val="28"/>
          <w:lang w:val="nl-NL"/>
        </w:rPr>
        <w:t>:</w:t>
      </w:r>
    </w:p>
    <w:p w:rsidR="00E96805" w:rsidRDefault="006A2E7D">
      <w:pPr>
        <w:spacing w:before="120" w:after="120"/>
        <w:ind w:firstLine="720"/>
        <w:jc w:val="both"/>
        <w:rPr>
          <w:szCs w:val="28"/>
          <w:lang w:val="nl-NL"/>
        </w:rPr>
      </w:pPr>
      <w:r>
        <w:rPr>
          <w:szCs w:val="28"/>
          <w:lang w:val="nl-NL"/>
        </w:rPr>
        <w:t>- Tác động về kinh tế, xã hội: Khô</w:t>
      </w:r>
      <w:r w:rsidR="00B8676A">
        <w:rPr>
          <w:szCs w:val="28"/>
          <w:lang w:val="nl-NL"/>
        </w:rPr>
        <w:t>ng tăng thu ngân sách nhà nước hoặc doanh nghiệp bị tăng gánh nặng về thuế do có khả năng phải nộp thêm thuế bổ sung ở nước khác nếu quy định của Việt Nam không đảm bảo đạt chuẩn.</w:t>
      </w:r>
    </w:p>
    <w:p w:rsidR="00E96805" w:rsidRDefault="006A2E7D">
      <w:pPr>
        <w:tabs>
          <w:tab w:val="center" w:pos="4890"/>
        </w:tabs>
        <w:spacing w:before="120" w:after="120"/>
        <w:ind w:firstLine="720"/>
        <w:jc w:val="both"/>
        <w:rPr>
          <w:szCs w:val="28"/>
          <w:lang w:val="vi-VN"/>
        </w:rPr>
      </w:pPr>
      <w:r>
        <w:rPr>
          <w:szCs w:val="28"/>
        </w:rPr>
        <w:t>-</w:t>
      </w:r>
      <w:r>
        <w:rPr>
          <w:szCs w:val="28"/>
          <w:lang w:val="vi-VN"/>
        </w:rPr>
        <w:t xml:space="preserve"> Tác động về giới: Không có tác động về giới.</w:t>
      </w:r>
    </w:p>
    <w:p w:rsidR="00E96805" w:rsidRDefault="006A2E7D">
      <w:pPr>
        <w:tabs>
          <w:tab w:val="center" w:pos="4890"/>
        </w:tabs>
        <w:spacing w:before="120" w:after="120"/>
        <w:ind w:firstLine="720"/>
        <w:jc w:val="both"/>
        <w:rPr>
          <w:szCs w:val="28"/>
        </w:rPr>
      </w:pPr>
      <w:r>
        <w:rPr>
          <w:szCs w:val="28"/>
        </w:rPr>
        <w:t>-</w:t>
      </w:r>
      <w:r>
        <w:rPr>
          <w:szCs w:val="28"/>
          <w:lang w:val="vi-VN"/>
        </w:rPr>
        <w:t xml:space="preserve"> Tác động về thủ tục hành chính: </w:t>
      </w:r>
      <w:r>
        <w:rPr>
          <w:szCs w:val="28"/>
        </w:rPr>
        <w:t xml:space="preserve">Không phát sinh </w:t>
      </w:r>
      <w:r w:rsidR="00B8676A">
        <w:rPr>
          <w:szCs w:val="28"/>
        </w:rPr>
        <w:t xml:space="preserve">thêm </w:t>
      </w:r>
      <w:r>
        <w:rPr>
          <w:szCs w:val="28"/>
        </w:rPr>
        <w:t>thủ tục hành chính.</w:t>
      </w:r>
    </w:p>
    <w:p w:rsidR="00E96805" w:rsidRDefault="006A2E7D">
      <w:pPr>
        <w:spacing w:before="120" w:after="120"/>
        <w:ind w:firstLine="720"/>
        <w:jc w:val="both"/>
        <w:rPr>
          <w:szCs w:val="28"/>
          <w:lang w:val="vi-VN"/>
        </w:rPr>
      </w:pPr>
      <w:r>
        <w:rPr>
          <w:szCs w:val="28"/>
        </w:rPr>
        <w:t>-</w:t>
      </w:r>
      <w:r>
        <w:rPr>
          <w:szCs w:val="28"/>
          <w:lang w:val="vi-VN"/>
        </w:rPr>
        <w:t xml:space="preserve"> Tác động đối với hệ thống pháp luật: </w:t>
      </w:r>
      <w:r w:rsidR="00A53058">
        <w:rPr>
          <w:szCs w:val="28"/>
        </w:rPr>
        <w:t>Giữ nguyên hệ thống chính sách hiện hành</w:t>
      </w:r>
      <w:r>
        <w:rPr>
          <w:szCs w:val="28"/>
          <w:lang w:val="vi-VN"/>
        </w:rPr>
        <w:t>.</w:t>
      </w:r>
    </w:p>
    <w:p w:rsidR="00E96805" w:rsidRDefault="006A2E7D">
      <w:pPr>
        <w:spacing w:before="120" w:after="120"/>
        <w:ind w:firstLine="720"/>
        <w:jc w:val="both"/>
        <w:rPr>
          <w:b/>
          <w:i/>
          <w:szCs w:val="28"/>
          <w:lang w:val="nl-NL"/>
        </w:rPr>
      </w:pPr>
      <w:r>
        <w:rPr>
          <w:b/>
          <w:i/>
          <w:szCs w:val="28"/>
          <w:lang w:val="nl-NL"/>
        </w:rPr>
        <w:t xml:space="preserve">đ) Kiến nghị giải pháp lựa chọn </w:t>
      </w:r>
    </w:p>
    <w:p w:rsidR="00E96805" w:rsidRDefault="00B8676A">
      <w:pPr>
        <w:spacing w:before="120" w:after="120"/>
        <w:ind w:firstLine="720"/>
        <w:jc w:val="both"/>
        <w:rPr>
          <w:szCs w:val="28"/>
          <w:lang w:val="nl-NL"/>
        </w:rPr>
      </w:pPr>
      <w:r>
        <w:rPr>
          <w:szCs w:val="28"/>
          <w:lang w:val="nl-NL"/>
        </w:rPr>
        <w:t>Bộ Tài chính</w:t>
      </w:r>
      <w:r w:rsidR="006A2E7D">
        <w:rPr>
          <w:szCs w:val="28"/>
          <w:lang w:val="nl-NL"/>
        </w:rPr>
        <w:t xml:space="preserve"> đề nghị thực hiện theo giải pháp 1.</w:t>
      </w:r>
    </w:p>
    <w:p w:rsidR="000227F9" w:rsidRDefault="000227F9">
      <w:pPr>
        <w:spacing w:before="120" w:after="120"/>
        <w:ind w:firstLine="720"/>
        <w:jc w:val="both"/>
        <w:rPr>
          <w:szCs w:val="28"/>
          <w:lang w:val="nl-NL"/>
        </w:rPr>
      </w:pPr>
    </w:p>
    <w:p w:rsidR="00E96805" w:rsidRDefault="006A2E7D">
      <w:pPr>
        <w:spacing w:before="120" w:after="120"/>
        <w:ind w:firstLine="720"/>
        <w:jc w:val="both"/>
        <w:rPr>
          <w:b/>
          <w:szCs w:val="28"/>
          <w:lang w:val="nl-NL"/>
        </w:rPr>
      </w:pPr>
      <w:r>
        <w:rPr>
          <w:b/>
          <w:szCs w:val="28"/>
          <w:lang w:val="nl-NL"/>
        </w:rPr>
        <w:t>III</w:t>
      </w:r>
      <w:r>
        <w:rPr>
          <w:b/>
          <w:szCs w:val="28"/>
          <w:lang w:val="am-ET"/>
        </w:rPr>
        <w:t xml:space="preserve">. </w:t>
      </w:r>
      <w:r>
        <w:rPr>
          <w:b/>
          <w:szCs w:val="28"/>
          <w:lang w:val="nl-NL"/>
        </w:rPr>
        <w:t>KẾT LUẬN</w:t>
      </w:r>
    </w:p>
    <w:p w:rsidR="00E96805" w:rsidRDefault="006A2E7D">
      <w:pPr>
        <w:adjustRightInd w:val="0"/>
        <w:snapToGrid w:val="0"/>
        <w:spacing w:before="120" w:after="120"/>
        <w:ind w:firstLine="720"/>
        <w:jc w:val="both"/>
        <w:rPr>
          <w:szCs w:val="28"/>
        </w:rPr>
      </w:pPr>
      <w:r>
        <w:rPr>
          <w:szCs w:val="28"/>
          <w:lang w:val="nl-NL"/>
        </w:rPr>
        <w:t xml:space="preserve">Việc </w:t>
      </w:r>
      <w:r w:rsidR="00B8676A">
        <w:rPr>
          <w:szCs w:val="28"/>
          <w:lang w:val="nl-NL"/>
        </w:rPr>
        <w:t xml:space="preserve">xây dựng Nghị định quy định chi tiết Nghị quyết 107/2023/QH15 về việc áp dụng thuế thu nhập doanh nghiệp bổ sung theo quy định chống xói mòn cơ sở thuế toàn cầu </w:t>
      </w:r>
      <w:r>
        <w:rPr>
          <w:szCs w:val="28"/>
          <w:lang w:val="nl-NL"/>
        </w:rPr>
        <w:t xml:space="preserve">sẽ </w:t>
      </w:r>
      <w:r>
        <w:rPr>
          <w:szCs w:val="28"/>
        </w:rPr>
        <w:t>mang lại cho Việt Nam nhưng cơ hội mới, cụ thể:</w:t>
      </w:r>
    </w:p>
    <w:p w:rsidR="00E96805" w:rsidRDefault="006A2E7D">
      <w:pPr>
        <w:spacing w:before="120" w:after="120"/>
        <w:ind w:firstLine="720"/>
        <w:jc w:val="both"/>
        <w:rPr>
          <w:rFonts w:eastAsiaTheme="minorHAnsi"/>
          <w:i/>
          <w:iCs/>
          <w:szCs w:val="28"/>
        </w:rPr>
      </w:pPr>
      <w:r>
        <w:rPr>
          <w:i/>
          <w:iCs/>
          <w:szCs w:val="28"/>
        </w:rPr>
        <w:t>a) Giảm thiểu tác động xấu của Thuế tối thiểu toàn cầu đến Việt Nam.</w:t>
      </w:r>
    </w:p>
    <w:p w:rsidR="00E96805" w:rsidRDefault="006A2E7D">
      <w:pPr>
        <w:spacing w:before="120" w:after="120"/>
        <w:ind w:firstLine="720"/>
        <w:jc w:val="both"/>
        <w:rPr>
          <w:i/>
          <w:iCs/>
          <w:szCs w:val="28"/>
        </w:rPr>
      </w:pPr>
      <w:r>
        <w:rPr>
          <w:i/>
          <w:iCs/>
          <w:szCs w:val="28"/>
        </w:rPr>
        <w:t>b) Tăng cường hội nhập quốc tế:</w:t>
      </w:r>
    </w:p>
    <w:p w:rsidR="00E96805" w:rsidRDefault="006A2E7D">
      <w:pPr>
        <w:spacing w:before="120" w:after="120"/>
        <w:ind w:firstLine="720"/>
        <w:jc w:val="both"/>
        <w:rPr>
          <w:szCs w:val="28"/>
        </w:rPr>
      </w:pPr>
      <w:r>
        <w:rPr>
          <w:szCs w:val="28"/>
        </w:rPr>
        <w:t>Việc áp dụng Thuế tối thiểu toàn cầu sẽ góp phần tăng cường hội nhập quốc tế của Việt Nam, cải cách hệ thống thuế theo hướng phù hợp với thông lệ và chuẩn mực quốc tế thông qua việc sửa đổi chính sách thuế thu nhập doanh nghiệp và pháp luật có liên quan.</w:t>
      </w:r>
    </w:p>
    <w:p w:rsidR="00E96805" w:rsidRDefault="006A2E7D">
      <w:pPr>
        <w:spacing w:before="120" w:after="120"/>
        <w:ind w:firstLine="720"/>
        <w:jc w:val="both"/>
        <w:rPr>
          <w:i/>
          <w:iCs/>
          <w:szCs w:val="28"/>
        </w:rPr>
      </w:pPr>
      <w:r>
        <w:rPr>
          <w:i/>
          <w:iCs/>
          <w:szCs w:val="28"/>
        </w:rPr>
        <w:t xml:space="preserve">c) </w:t>
      </w:r>
      <w:r w:rsidR="00146161">
        <w:rPr>
          <w:i/>
          <w:iCs/>
          <w:szCs w:val="28"/>
        </w:rPr>
        <w:t>Hạn chế</w:t>
      </w:r>
      <w:r>
        <w:rPr>
          <w:i/>
          <w:iCs/>
          <w:szCs w:val="28"/>
        </w:rPr>
        <w:t xml:space="preserve"> hiện tượng trốn thuế, tránh thuế, chuyển giá, chuyển lợi nhuận:</w:t>
      </w:r>
    </w:p>
    <w:p w:rsidR="00E96805" w:rsidRDefault="006A2E7D">
      <w:pPr>
        <w:spacing w:before="120" w:after="120"/>
        <w:ind w:firstLine="720"/>
        <w:jc w:val="both"/>
        <w:rPr>
          <w:szCs w:val="28"/>
        </w:rPr>
      </w:pPr>
      <w:r>
        <w:rPr>
          <w:szCs w:val="28"/>
        </w:rPr>
        <w:t xml:space="preserve">Việc các nước ban hành các chính sách ưu đãi thuế thu nhập doanh nghiệp để thu hút đầu tư nước ngoài khiến cho hiện tượng trốn thuế, tránh thuế, chuyển giá, chuyển lợi nhuận diễn ra ngày càng phức tạp. Các doanh nghiệp đã lợi dụng các cơ hội để chuyển lợi nhuận từ nước có thuế suất cao sang nước có thuế suất thấp hơn, từ đó xảy ra tình trạng thất thu thuế. Trong bối cảnh đó, việc </w:t>
      </w:r>
      <w:r w:rsidR="00D51CC8">
        <w:rPr>
          <w:szCs w:val="28"/>
        </w:rPr>
        <w:t xml:space="preserve">quy định chi tiết </w:t>
      </w:r>
      <w:r>
        <w:rPr>
          <w:szCs w:val="28"/>
        </w:rPr>
        <w:t xml:space="preserve">áp dụng Thuế tối thiểu toàn cầu </w:t>
      </w:r>
      <w:r w:rsidR="00B8676A">
        <w:rPr>
          <w:szCs w:val="28"/>
        </w:rPr>
        <w:t xml:space="preserve">đảm bảo đạt chuẩn </w:t>
      </w:r>
      <w:r>
        <w:rPr>
          <w:szCs w:val="28"/>
        </w:rPr>
        <w:t>sẽ tạo một bằng chung về thuế tại tất cả các quốc gia, từ đó tránh việc cạnh tranh về thuế giữa các nước hiện nay và giảm thiểu tình trạng chuyển giá, chuyển lợi nhuận, giữ vững nguồn thu thuế.</w:t>
      </w:r>
    </w:p>
    <w:p w:rsidR="0049733E" w:rsidRDefault="006A2E7D" w:rsidP="006001CF">
      <w:pPr>
        <w:widowControl w:val="0"/>
        <w:spacing w:before="120" w:after="120"/>
        <w:ind w:right="-1" w:firstLine="720"/>
        <w:jc w:val="both"/>
        <w:rPr>
          <w:szCs w:val="28"/>
          <w:lang w:val="nl-NL"/>
        </w:rPr>
      </w:pPr>
      <w:r>
        <w:rPr>
          <w:i/>
          <w:szCs w:val="28"/>
        </w:rPr>
        <w:t>d) Động lực để Việt Nam tiếp tục phát triển môi trường đầu tư theo hướng bền vững, minh bạch, cạnh tranh hơn thông qua cải cách thủ tục hành chính, tiếp cận đất đai, nguồn lao động chất lượng cao…</w:t>
      </w:r>
    </w:p>
    <w:p w:rsidR="00E96805" w:rsidRDefault="006A2E7D">
      <w:pPr>
        <w:spacing w:before="120" w:after="120"/>
        <w:ind w:firstLine="720"/>
        <w:jc w:val="both"/>
        <w:rPr>
          <w:szCs w:val="28"/>
          <w:lang w:val="da-DK"/>
        </w:rPr>
      </w:pPr>
      <w:r>
        <w:rPr>
          <w:szCs w:val="28"/>
          <w:lang w:val="nl-NL"/>
        </w:rPr>
        <w:lastRenderedPageBreak/>
        <w:t xml:space="preserve">Trên đây là Báo cáo đánh giá tác động </w:t>
      </w:r>
      <w:r w:rsidR="00B8676A">
        <w:rPr>
          <w:szCs w:val="22"/>
        </w:rPr>
        <w:t>dự thảo Nghị định quy định chi tiết</w:t>
      </w:r>
      <w:r>
        <w:rPr>
          <w:szCs w:val="22"/>
          <w:lang w:val="nl-NL"/>
        </w:rPr>
        <w:t xml:space="preserve"> Nghị quyết </w:t>
      </w:r>
      <w:r w:rsidR="00B8676A">
        <w:rPr>
          <w:szCs w:val="22"/>
          <w:lang w:val="nl-NL"/>
        </w:rPr>
        <w:t xml:space="preserve">số 107/2023/QH15 ngày 29/11/2023 </w:t>
      </w:r>
      <w:r>
        <w:rPr>
          <w:szCs w:val="22"/>
          <w:lang w:val="nl-NL"/>
        </w:rPr>
        <w:t>của Quốc hội về việc áp dụng thuế thu nhập doanh nghiệp bổ sung theo quy định chống xói mòn cơ sở thuế toàn cầu</w:t>
      </w:r>
      <w:r>
        <w:rPr>
          <w:szCs w:val="28"/>
          <w:lang w:val="am-ET"/>
        </w:rPr>
        <w:t>.</w:t>
      </w:r>
      <w:r>
        <w:rPr>
          <w:szCs w:val="28"/>
          <w:lang w:val="da-DK"/>
        </w:rPr>
        <w:t>/.</w:t>
      </w:r>
    </w:p>
    <w:p w:rsidR="00E96805" w:rsidRDefault="00E96805">
      <w:pPr>
        <w:spacing w:before="120" w:after="120"/>
        <w:ind w:firstLine="720"/>
        <w:jc w:val="both"/>
        <w:rPr>
          <w:szCs w:val="28"/>
          <w:lang w:val="da-DK"/>
        </w:rPr>
      </w:pPr>
    </w:p>
    <w:tbl>
      <w:tblPr>
        <w:tblW w:w="9854" w:type="dxa"/>
        <w:tblInd w:w="108" w:type="dxa"/>
        <w:tblLook w:val="04A0" w:firstRow="1" w:lastRow="0" w:firstColumn="1" w:lastColumn="0" w:noHBand="0" w:noVBand="1"/>
      </w:tblPr>
      <w:tblGrid>
        <w:gridCol w:w="4612"/>
        <w:gridCol w:w="5242"/>
      </w:tblGrid>
      <w:tr w:rsidR="00E96805" w:rsidTr="000227F9">
        <w:trPr>
          <w:trHeight w:val="1208"/>
        </w:trPr>
        <w:tc>
          <w:tcPr>
            <w:tcW w:w="4612" w:type="dxa"/>
          </w:tcPr>
          <w:p w:rsidR="00E96805" w:rsidRDefault="006A2E7D">
            <w:pPr>
              <w:widowControl w:val="0"/>
              <w:jc w:val="both"/>
              <w:rPr>
                <w:b/>
                <w:i/>
                <w:sz w:val="24"/>
                <w:lang w:val="it-IT"/>
              </w:rPr>
            </w:pPr>
            <w:r>
              <w:rPr>
                <w:b/>
                <w:i/>
                <w:sz w:val="24"/>
                <w:lang w:val="it-IT"/>
              </w:rPr>
              <w:t>Nơi nhận:</w:t>
            </w:r>
          </w:p>
          <w:p w:rsidR="00E96805" w:rsidRDefault="006A2E7D">
            <w:pPr>
              <w:widowControl w:val="0"/>
              <w:jc w:val="both"/>
              <w:rPr>
                <w:bCs/>
                <w:sz w:val="22"/>
                <w:szCs w:val="28"/>
                <w:lang w:val="it-IT"/>
              </w:rPr>
            </w:pPr>
            <w:r>
              <w:rPr>
                <w:bCs/>
                <w:sz w:val="22"/>
                <w:szCs w:val="28"/>
                <w:lang w:val="it-IT"/>
              </w:rPr>
              <w:t>- Như trên;</w:t>
            </w:r>
          </w:p>
          <w:p w:rsidR="00E96805" w:rsidRDefault="006A2E7D">
            <w:pPr>
              <w:widowControl w:val="0"/>
              <w:jc w:val="both"/>
              <w:rPr>
                <w:bCs/>
                <w:sz w:val="22"/>
                <w:szCs w:val="28"/>
              </w:rPr>
            </w:pPr>
            <w:r>
              <w:rPr>
                <w:bCs/>
                <w:sz w:val="22"/>
                <w:szCs w:val="28"/>
              </w:rPr>
              <w:t>- Văn phòng Chính phủ;</w:t>
            </w:r>
          </w:p>
          <w:p w:rsidR="002463D8" w:rsidRDefault="002463D8" w:rsidP="002463D8">
            <w:pPr>
              <w:widowControl w:val="0"/>
              <w:rPr>
                <w:sz w:val="22"/>
                <w:lang w:val="vi-VN"/>
              </w:rPr>
            </w:pPr>
            <w:r>
              <w:rPr>
                <w:sz w:val="22"/>
                <w:szCs w:val="22"/>
                <w:lang w:val="vi-VN"/>
              </w:rPr>
              <w:t xml:space="preserve">- Các Vụ: CST, </w:t>
            </w:r>
            <w:r w:rsidRPr="009B1AA9">
              <w:rPr>
                <w:sz w:val="22"/>
                <w:szCs w:val="22"/>
                <w:lang w:val="vi-VN"/>
              </w:rPr>
              <w:t xml:space="preserve">HTQT, </w:t>
            </w:r>
            <w:r>
              <w:rPr>
                <w:sz w:val="22"/>
                <w:szCs w:val="22"/>
                <w:lang w:val="vi-VN"/>
              </w:rPr>
              <w:t>PC</w:t>
            </w:r>
            <w:r w:rsidR="00D24E61">
              <w:rPr>
                <w:sz w:val="22"/>
                <w:szCs w:val="22"/>
              </w:rPr>
              <w:t>, TCNH</w:t>
            </w:r>
            <w:r>
              <w:rPr>
                <w:sz w:val="22"/>
                <w:szCs w:val="22"/>
                <w:lang w:val="vi-VN"/>
              </w:rPr>
              <w:t>;</w:t>
            </w:r>
          </w:p>
          <w:p w:rsidR="002463D8" w:rsidRDefault="00176734" w:rsidP="002463D8">
            <w:pPr>
              <w:widowControl w:val="0"/>
              <w:rPr>
                <w:sz w:val="22"/>
                <w:lang w:val="vi-VN"/>
              </w:rPr>
            </w:pPr>
            <w:r>
              <w:rPr>
                <w:sz w:val="22"/>
                <w:szCs w:val="22"/>
                <w:lang w:val="vi-VN"/>
              </w:rPr>
              <w:t xml:space="preserve">- Các </w:t>
            </w:r>
            <w:r w:rsidR="002463D8">
              <w:rPr>
                <w:sz w:val="22"/>
                <w:szCs w:val="22"/>
              </w:rPr>
              <w:t>đơn vị</w:t>
            </w:r>
            <w:r w:rsidR="002463D8">
              <w:rPr>
                <w:sz w:val="22"/>
                <w:szCs w:val="22"/>
                <w:lang w:val="vi-VN"/>
              </w:rPr>
              <w:t xml:space="preserve">: </w:t>
            </w:r>
            <w:r>
              <w:rPr>
                <w:sz w:val="22"/>
                <w:szCs w:val="22"/>
              </w:rPr>
              <w:t xml:space="preserve">QLKT, </w:t>
            </w:r>
            <w:r w:rsidR="002463D8">
              <w:rPr>
                <w:sz w:val="22"/>
                <w:szCs w:val="22"/>
                <w:lang w:val="vi-VN"/>
              </w:rPr>
              <w:t xml:space="preserve">TCDN, </w:t>
            </w:r>
            <w:r w:rsidR="002463D8">
              <w:rPr>
                <w:sz w:val="22"/>
                <w:szCs w:val="22"/>
              </w:rPr>
              <w:t>CLTC</w:t>
            </w:r>
            <w:r>
              <w:rPr>
                <w:sz w:val="22"/>
                <w:szCs w:val="22"/>
              </w:rPr>
              <w:t>, KBNN, VP</w:t>
            </w:r>
            <w:r w:rsidR="002463D8">
              <w:rPr>
                <w:sz w:val="22"/>
                <w:szCs w:val="22"/>
                <w:lang w:val="vi-VN"/>
              </w:rPr>
              <w:t>;</w:t>
            </w:r>
          </w:p>
          <w:p w:rsidR="00E96805" w:rsidRDefault="002463D8" w:rsidP="002463D8">
            <w:pPr>
              <w:widowControl w:val="0"/>
              <w:jc w:val="both"/>
              <w:rPr>
                <w:b/>
                <w:i/>
                <w:sz w:val="23"/>
                <w:szCs w:val="23"/>
                <w:lang w:val="it-IT"/>
              </w:rPr>
            </w:pPr>
            <w:r>
              <w:rPr>
                <w:sz w:val="22"/>
                <w:szCs w:val="22"/>
                <w:lang w:val="vi-VN"/>
              </w:rPr>
              <w:t>- Lưu: VT, TCT (VT, CS).</w:t>
            </w:r>
          </w:p>
        </w:tc>
        <w:tc>
          <w:tcPr>
            <w:tcW w:w="5242" w:type="dxa"/>
          </w:tcPr>
          <w:p w:rsidR="00E96805" w:rsidRDefault="008D6223">
            <w:pPr>
              <w:widowControl w:val="0"/>
              <w:jc w:val="center"/>
              <w:rPr>
                <w:b/>
                <w:bCs/>
                <w:sz w:val="26"/>
                <w:szCs w:val="26"/>
                <w:lang w:val="it-IT"/>
              </w:rPr>
            </w:pPr>
            <w:r>
              <w:rPr>
                <w:b/>
                <w:bCs/>
                <w:sz w:val="26"/>
                <w:szCs w:val="26"/>
                <w:lang w:val="it-IT"/>
              </w:rPr>
              <w:t>BỘ TRƯỞNG</w:t>
            </w:r>
          </w:p>
          <w:p w:rsidR="00E96805" w:rsidRDefault="00E96805">
            <w:pPr>
              <w:widowControl w:val="0"/>
              <w:jc w:val="center"/>
              <w:rPr>
                <w:b/>
                <w:sz w:val="26"/>
                <w:szCs w:val="26"/>
                <w:lang w:val="it-IT"/>
              </w:rPr>
            </w:pPr>
          </w:p>
          <w:p w:rsidR="00E96805" w:rsidRDefault="00E96805">
            <w:pPr>
              <w:widowControl w:val="0"/>
              <w:rPr>
                <w:sz w:val="26"/>
                <w:szCs w:val="26"/>
                <w:lang w:val="it-IT"/>
              </w:rPr>
            </w:pPr>
          </w:p>
          <w:p w:rsidR="00E96805" w:rsidRDefault="00E96805">
            <w:pPr>
              <w:widowControl w:val="0"/>
              <w:rPr>
                <w:sz w:val="26"/>
                <w:szCs w:val="26"/>
                <w:lang w:val="it-IT"/>
              </w:rPr>
            </w:pPr>
          </w:p>
          <w:p w:rsidR="00E96805" w:rsidRDefault="00E96805">
            <w:pPr>
              <w:widowControl w:val="0"/>
              <w:rPr>
                <w:sz w:val="26"/>
                <w:szCs w:val="26"/>
                <w:lang w:val="it-IT"/>
              </w:rPr>
            </w:pPr>
          </w:p>
          <w:p w:rsidR="00E96805" w:rsidRDefault="00E96805">
            <w:pPr>
              <w:widowControl w:val="0"/>
              <w:jc w:val="center"/>
              <w:rPr>
                <w:b/>
                <w:sz w:val="26"/>
                <w:szCs w:val="26"/>
                <w:lang w:val="it-IT"/>
              </w:rPr>
            </w:pPr>
          </w:p>
          <w:p w:rsidR="00E96805" w:rsidRDefault="006A2E7D">
            <w:pPr>
              <w:widowControl w:val="0"/>
              <w:jc w:val="center"/>
              <w:rPr>
                <w:b/>
                <w:szCs w:val="28"/>
                <w:lang w:val="it-IT"/>
              </w:rPr>
            </w:pPr>
            <w:r>
              <w:rPr>
                <w:b/>
                <w:szCs w:val="28"/>
                <w:lang w:val="it-IT"/>
              </w:rPr>
              <w:t>Hồ Đức Phớc</w:t>
            </w:r>
          </w:p>
        </w:tc>
      </w:tr>
    </w:tbl>
    <w:p w:rsidR="00E96805" w:rsidRDefault="00E96805">
      <w:pPr>
        <w:widowControl w:val="0"/>
        <w:spacing w:before="120" w:after="120"/>
        <w:rPr>
          <w:b/>
          <w:szCs w:val="28"/>
          <w:lang w:val="nl-NL"/>
        </w:rPr>
      </w:pPr>
    </w:p>
    <w:sectPr w:rsidR="00E96805" w:rsidSect="00BA0F33">
      <w:headerReference w:type="default" r:id="rId10"/>
      <w:pgSz w:w="11907" w:h="16840"/>
      <w:pgMar w:top="1077" w:right="1418" w:bottom="1077" w:left="1701" w:header="567"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E12" w:rsidRDefault="00112E12">
      <w:r>
        <w:separator/>
      </w:r>
    </w:p>
  </w:endnote>
  <w:endnote w:type="continuationSeparator" w:id="0">
    <w:p w:rsidR="00112E12" w:rsidRDefault="001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E12" w:rsidRDefault="00112E12">
      <w:r>
        <w:separator/>
      </w:r>
    </w:p>
  </w:footnote>
  <w:footnote w:type="continuationSeparator" w:id="0">
    <w:p w:rsidR="00112E12" w:rsidRDefault="00112E12">
      <w:r>
        <w:continuationSeparator/>
      </w:r>
    </w:p>
  </w:footnote>
  <w:footnote w:id="1">
    <w:p w:rsidR="00882020" w:rsidRDefault="00882020" w:rsidP="00B6055F">
      <w:pPr>
        <w:pStyle w:val="FootnoteText"/>
        <w:jc w:val="both"/>
      </w:pPr>
      <w:r>
        <w:rPr>
          <w:rStyle w:val="FootnoteReference"/>
        </w:rPr>
        <w:footnoteRef/>
      </w:r>
      <w:r>
        <w:t xml:space="preserve"> </w:t>
      </w:r>
      <w:hyperlink r:id="rId1" w:history="1">
        <w:r w:rsidR="009E61E2" w:rsidRPr="00731A18">
          <w:rPr>
            <w:rStyle w:val="Hyperlink"/>
          </w:rPr>
          <w:t>https://fia.mpi.gov.vn/Detail/CatID/f3cb5873-74b1-4a47-a57c-a491e0be4051/NewsID/00689952-458e-417a-bf12-896d853e1276</w:t>
        </w:r>
      </w:hyperlink>
    </w:p>
    <w:p w:rsidR="009E61E2" w:rsidRDefault="009E61E2">
      <w:pPr>
        <w:pStyle w:val="FootnoteText"/>
      </w:pPr>
    </w:p>
  </w:footnote>
  <w:footnote w:id="2">
    <w:p w:rsidR="008337E7" w:rsidRPr="00920AE3" w:rsidRDefault="008337E7" w:rsidP="008337E7">
      <w:pPr>
        <w:pStyle w:val="FootnoteText"/>
        <w:jc w:val="both"/>
        <w:rPr>
          <w:lang w:val="vi-VN"/>
        </w:rPr>
      </w:pPr>
      <w:r w:rsidRPr="00920AE3">
        <w:rPr>
          <w:rStyle w:val="FootnoteReference"/>
          <w:b/>
          <w:bCs/>
        </w:rPr>
        <w:footnoteRef/>
      </w:r>
      <w:r w:rsidRPr="00920AE3">
        <w:rPr>
          <w:lang w:val="vi-VN"/>
        </w:rPr>
        <w:t xml:space="preserve"> Lũy kế đến ngày 20/12/2023, số vốn đầu tư đăng ký của ba nước này chiếm </w:t>
      </w:r>
      <w:r w:rsidRPr="00920AE3">
        <w:t>khoảng</w:t>
      </w:r>
      <w:r w:rsidRPr="00920AE3">
        <w:rPr>
          <w:lang w:val="vi-VN"/>
        </w:rPr>
        <w:t xml:space="preserve"> 50% tổng vốn đầu tư FDI vào Việt Nam, trong đó Hàn Quốc dẫn đầu với 9.</w:t>
      </w:r>
      <w:r w:rsidRPr="00920AE3">
        <w:t>863</w:t>
      </w:r>
      <w:r w:rsidRPr="00920AE3">
        <w:rPr>
          <w:lang w:val="vi-VN"/>
        </w:rPr>
        <w:t xml:space="preserve"> dự án còn hiệu lực và tổng vốn đăng ký hơn 85 tỷ USD.</w:t>
      </w:r>
    </w:p>
  </w:footnote>
  <w:footnote w:id="3">
    <w:p w:rsidR="00174B85" w:rsidRPr="00920AE3" w:rsidRDefault="00174B85" w:rsidP="00174B85">
      <w:pPr>
        <w:pStyle w:val="FootnoteText"/>
        <w:jc w:val="both"/>
        <w:rPr>
          <w:lang w:val="vi-VN"/>
        </w:rPr>
      </w:pPr>
      <w:r w:rsidRPr="00920AE3">
        <w:rPr>
          <w:rStyle w:val="FootnoteReference"/>
          <w:b/>
          <w:bCs/>
        </w:rPr>
        <w:footnoteRef/>
      </w:r>
      <w:r w:rsidRPr="00920AE3">
        <w:rPr>
          <w:lang w:val="vi-VN"/>
        </w:rPr>
        <w:t xml:space="preserve"> Lũy kế đến ngày 20/12/2023, số vốn đầu tư đăng ký của </w:t>
      </w:r>
      <w:r>
        <w:t>Hàn Quốc, Singapore, Nhật Bản</w:t>
      </w:r>
      <w:r w:rsidRPr="00920AE3">
        <w:rPr>
          <w:lang w:val="vi-VN"/>
        </w:rPr>
        <w:t xml:space="preserve"> chiếm </w:t>
      </w:r>
      <w:r w:rsidRPr="00920AE3">
        <w:t>khoảng</w:t>
      </w:r>
      <w:r w:rsidRPr="00920AE3">
        <w:rPr>
          <w:lang w:val="vi-VN"/>
        </w:rPr>
        <w:t xml:space="preserve"> 50% tổng vốn đầu tư FDI vào Việt Nam, trong đó Hàn Quốc dẫn đầu với 9.</w:t>
      </w:r>
      <w:r w:rsidRPr="00920AE3">
        <w:t>863</w:t>
      </w:r>
      <w:r w:rsidRPr="00920AE3">
        <w:rPr>
          <w:lang w:val="vi-VN"/>
        </w:rPr>
        <w:t xml:space="preserve"> dự án còn hiệu lực và tổng vốn đăng ký hơn 85 tỷ USD.</w:t>
      </w:r>
    </w:p>
  </w:footnote>
  <w:footnote w:id="4">
    <w:p w:rsidR="00E96805" w:rsidRDefault="006A2E7D">
      <w:pPr>
        <w:pStyle w:val="FootnoteText"/>
        <w:jc w:val="both"/>
        <w:rPr>
          <w:lang w:val="vi-VN"/>
        </w:rPr>
      </w:pPr>
      <w:r w:rsidRPr="00D87359">
        <w:rPr>
          <w:rStyle w:val="FootnoteReference"/>
          <w:b/>
          <w:bCs/>
        </w:rPr>
        <w:footnoteRef/>
      </w:r>
      <w:r w:rsidRPr="00D87359">
        <w:rPr>
          <w:lang w:val="vi-VN"/>
        </w:rPr>
        <w:t xml:space="preserve"> Vốn đầu tư nước ngoài thực hiện trong giai đoạn 2016 - 2018 ước đạt 51,3 tỷ USD, tăng 55,6% so với giai đoạn 2011 – 2013.</w:t>
      </w:r>
    </w:p>
    <w:p w:rsidR="00D87359" w:rsidRPr="00D87359" w:rsidRDefault="00D87359">
      <w:pPr>
        <w:pStyle w:val="FootnoteText"/>
        <w:jc w:val="both"/>
        <w:rPr>
          <w:lang w:val="vi-VN"/>
        </w:rPr>
      </w:pPr>
    </w:p>
  </w:footnote>
  <w:footnote w:id="5">
    <w:p w:rsidR="00D87359" w:rsidRPr="00D87359" w:rsidRDefault="00D87359" w:rsidP="00D87359">
      <w:pPr>
        <w:pStyle w:val="FootnoteText"/>
        <w:jc w:val="both"/>
      </w:pPr>
      <w:r w:rsidRPr="00D87359">
        <w:rPr>
          <w:rStyle w:val="FootnoteReference"/>
        </w:rPr>
        <w:footnoteRef/>
      </w:r>
      <w:r w:rsidRPr="00D87359">
        <w:t xml:space="preserve"> Hiện tại Tổng cục Thuế đang yêu cầu các Cục Thuế cung cấp số liệu quyết toán thuế năm 2023 để thực hiện đánh giá ước thu thuế TNDN bổ sung theo Nghị quyết 107/2023/QH15 của năm 2024.</w:t>
      </w:r>
    </w:p>
  </w:footnote>
  <w:footnote w:id="6">
    <w:p w:rsidR="006B2EFE" w:rsidRPr="00E2644E" w:rsidRDefault="006B2EFE" w:rsidP="006B2EFE">
      <w:pPr>
        <w:pStyle w:val="FootnoteText"/>
        <w:snapToGrid w:val="0"/>
        <w:jc w:val="both"/>
        <w:rPr>
          <w:lang w:val="vi-VN"/>
        </w:rPr>
      </w:pPr>
      <w:r>
        <w:rPr>
          <w:rStyle w:val="FootnoteReference"/>
          <w:b/>
          <w:sz w:val="24"/>
          <w:szCs w:val="24"/>
        </w:rPr>
        <w:footnoteRef/>
      </w:r>
      <w:r>
        <w:rPr>
          <w:sz w:val="24"/>
          <w:szCs w:val="24"/>
          <w:lang w:val="vi-VN"/>
        </w:rPr>
        <w:t xml:space="preserve"> </w:t>
      </w:r>
      <w:r w:rsidRPr="00E2644E">
        <w:rPr>
          <w:lang w:val="vi-VN"/>
        </w:rPr>
        <w:t>Được quy định tại Chương 2 - Bảo hộ đầu tư của Hiệp định EVIPA. Nội dung cụ thể tại Phụ lục 13 đính kèm.</w:t>
      </w:r>
    </w:p>
  </w:footnote>
  <w:footnote w:id="7">
    <w:p w:rsidR="00FE08F6" w:rsidRDefault="00FE08F6">
      <w:pPr>
        <w:pStyle w:val="FootnoteText"/>
      </w:pPr>
      <w:r>
        <w:rPr>
          <w:rStyle w:val="FootnoteReference"/>
        </w:rPr>
        <w:footnoteRef/>
      </w:r>
      <w:r>
        <w:t xml:space="preserve"> </w:t>
      </w:r>
      <w:r w:rsidRPr="00D87359">
        <w:t>Hiện tại</w:t>
      </w:r>
      <w:r w:rsidR="0086367A">
        <w:t>,</w:t>
      </w:r>
      <w:r w:rsidRPr="00D87359">
        <w:t xml:space="preserve"> Tổng cục Thuế đang yêu cầu các Cục Thuế cung cấp số liệu quyết toán thuế năm 2023 để thực hiện đánh giá ước thu thuế TNDN bổ sung theo Nghị quyết 107/2023/QH15 của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63701"/>
      <w:docPartObj>
        <w:docPartGallery w:val="Page Numbers (Top of Page)"/>
        <w:docPartUnique/>
      </w:docPartObj>
    </w:sdtPr>
    <w:sdtEndPr>
      <w:rPr>
        <w:rFonts w:ascii="Times New Roman" w:hAnsi="Times New Roman"/>
        <w:noProof/>
        <w:color w:val="auto"/>
        <w:sz w:val="24"/>
      </w:rPr>
    </w:sdtEndPr>
    <w:sdtContent>
      <w:p w:rsidR="00BA0F33" w:rsidRPr="00BA0F33" w:rsidRDefault="00BA0F33">
        <w:pPr>
          <w:pStyle w:val="Header"/>
          <w:jc w:val="center"/>
          <w:rPr>
            <w:rFonts w:ascii="Times New Roman" w:hAnsi="Times New Roman"/>
            <w:color w:val="auto"/>
            <w:sz w:val="24"/>
          </w:rPr>
        </w:pPr>
        <w:r w:rsidRPr="00BA0F33">
          <w:rPr>
            <w:rFonts w:ascii="Times New Roman" w:hAnsi="Times New Roman"/>
            <w:color w:val="auto"/>
            <w:sz w:val="24"/>
          </w:rPr>
          <w:fldChar w:fldCharType="begin"/>
        </w:r>
        <w:r w:rsidRPr="00BA0F33">
          <w:rPr>
            <w:rFonts w:ascii="Times New Roman" w:hAnsi="Times New Roman"/>
            <w:color w:val="auto"/>
            <w:sz w:val="24"/>
          </w:rPr>
          <w:instrText xml:space="preserve"> PAGE   \* MERGEFORMAT </w:instrText>
        </w:r>
        <w:r w:rsidRPr="00BA0F33">
          <w:rPr>
            <w:rFonts w:ascii="Times New Roman" w:hAnsi="Times New Roman"/>
            <w:color w:val="auto"/>
            <w:sz w:val="24"/>
          </w:rPr>
          <w:fldChar w:fldCharType="separate"/>
        </w:r>
        <w:r w:rsidR="006A5712">
          <w:rPr>
            <w:rFonts w:ascii="Times New Roman" w:hAnsi="Times New Roman"/>
            <w:noProof/>
            <w:color w:val="auto"/>
            <w:sz w:val="24"/>
          </w:rPr>
          <w:t>14</w:t>
        </w:r>
        <w:r w:rsidRPr="00BA0F33">
          <w:rPr>
            <w:rFonts w:ascii="Times New Roman" w:hAnsi="Times New Roman"/>
            <w:noProof/>
            <w:color w:val="auto"/>
            <w:sz w:val="24"/>
          </w:rPr>
          <w:fldChar w:fldCharType="end"/>
        </w:r>
      </w:p>
    </w:sdtContent>
  </w:sdt>
  <w:p w:rsidR="00BA0F33" w:rsidRDefault="00BA0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F"/>
    <w:rsid w:val="000002B2"/>
    <w:rsid w:val="00001A8C"/>
    <w:rsid w:val="00002D85"/>
    <w:rsid w:val="00002DC8"/>
    <w:rsid w:val="000035A7"/>
    <w:rsid w:val="00003696"/>
    <w:rsid w:val="0000399F"/>
    <w:rsid w:val="00003AC0"/>
    <w:rsid w:val="00003C42"/>
    <w:rsid w:val="00003E7D"/>
    <w:rsid w:val="00005924"/>
    <w:rsid w:val="00005EE1"/>
    <w:rsid w:val="0000644A"/>
    <w:rsid w:val="0001013C"/>
    <w:rsid w:val="00011046"/>
    <w:rsid w:val="00011071"/>
    <w:rsid w:val="00011826"/>
    <w:rsid w:val="00011E38"/>
    <w:rsid w:val="00012043"/>
    <w:rsid w:val="000123DA"/>
    <w:rsid w:val="000124C8"/>
    <w:rsid w:val="00012552"/>
    <w:rsid w:val="00012FE4"/>
    <w:rsid w:val="0001305E"/>
    <w:rsid w:val="00013303"/>
    <w:rsid w:val="000142ED"/>
    <w:rsid w:val="0001487D"/>
    <w:rsid w:val="00014912"/>
    <w:rsid w:val="00015863"/>
    <w:rsid w:val="000163D3"/>
    <w:rsid w:val="0001737F"/>
    <w:rsid w:val="000178D6"/>
    <w:rsid w:val="00021894"/>
    <w:rsid w:val="00022111"/>
    <w:rsid w:val="00022335"/>
    <w:rsid w:val="0002268A"/>
    <w:rsid w:val="000227F9"/>
    <w:rsid w:val="00022D3C"/>
    <w:rsid w:val="00023A0E"/>
    <w:rsid w:val="00024144"/>
    <w:rsid w:val="00024D26"/>
    <w:rsid w:val="000251C0"/>
    <w:rsid w:val="00025358"/>
    <w:rsid w:val="000254C6"/>
    <w:rsid w:val="00025C15"/>
    <w:rsid w:val="0002664A"/>
    <w:rsid w:val="00026818"/>
    <w:rsid w:val="00027332"/>
    <w:rsid w:val="00027DCD"/>
    <w:rsid w:val="00030CB9"/>
    <w:rsid w:val="00030E72"/>
    <w:rsid w:val="000319E8"/>
    <w:rsid w:val="00031B18"/>
    <w:rsid w:val="00032039"/>
    <w:rsid w:val="00032186"/>
    <w:rsid w:val="000325D8"/>
    <w:rsid w:val="00034123"/>
    <w:rsid w:val="00035A0F"/>
    <w:rsid w:val="00035B8A"/>
    <w:rsid w:val="000367C5"/>
    <w:rsid w:val="00036801"/>
    <w:rsid w:val="0003726A"/>
    <w:rsid w:val="000374D3"/>
    <w:rsid w:val="00041CF6"/>
    <w:rsid w:val="00042B15"/>
    <w:rsid w:val="00043BC8"/>
    <w:rsid w:val="000440C9"/>
    <w:rsid w:val="00044ED7"/>
    <w:rsid w:val="00045668"/>
    <w:rsid w:val="00045E06"/>
    <w:rsid w:val="000465B5"/>
    <w:rsid w:val="000465D8"/>
    <w:rsid w:val="00046EC5"/>
    <w:rsid w:val="000476B3"/>
    <w:rsid w:val="00047F12"/>
    <w:rsid w:val="00050846"/>
    <w:rsid w:val="00050AFD"/>
    <w:rsid w:val="00051275"/>
    <w:rsid w:val="00051A54"/>
    <w:rsid w:val="00052B7D"/>
    <w:rsid w:val="000538D4"/>
    <w:rsid w:val="00053B70"/>
    <w:rsid w:val="000541D7"/>
    <w:rsid w:val="00054788"/>
    <w:rsid w:val="00055556"/>
    <w:rsid w:val="00055C45"/>
    <w:rsid w:val="00056386"/>
    <w:rsid w:val="00056E85"/>
    <w:rsid w:val="00056F09"/>
    <w:rsid w:val="00057E90"/>
    <w:rsid w:val="0006137D"/>
    <w:rsid w:val="000616CB"/>
    <w:rsid w:val="00062623"/>
    <w:rsid w:val="000626B6"/>
    <w:rsid w:val="000636B3"/>
    <w:rsid w:val="00063C40"/>
    <w:rsid w:val="00064265"/>
    <w:rsid w:val="00064BDE"/>
    <w:rsid w:val="0006562F"/>
    <w:rsid w:val="00065B2B"/>
    <w:rsid w:val="000661B9"/>
    <w:rsid w:val="00066FBA"/>
    <w:rsid w:val="000671F2"/>
    <w:rsid w:val="000674FC"/>
    <w:rsid w:val="00067601"/>
    <w:rsid w:val="00067F54"/>
    <w:rsid w:val="000712A3"/>
    <w:rsid w:val="00071574"/>
    <w:rsid w:val="00071960"/>
    <w:rsid w:val="00071CC8"/>
    <w:rsid w:val="0007207D"/>
    <w:rsid w:val="0007395C"/>
    <w:rsid w:val="00076212"/>
    <w:rsid w:val="00076403"/>
    <w:rsid w:val="00076724"/>
    <w:rsid w:val="00076CFB"/>
    <w:rsid w:val="00080948"/>
    <w:rsid w:val="00080FE8"/>
    <w:rsid w:val="00081E11"/>
    <w:rsid w:val="00082053"/>
    <w:rsid w:val="000823D6"/>
    <w:rsid w:val="0008299F"/>
    <w:rsid w:val="00082C6E"/>
    <w:rsid w:val="00083385"/>
    <w:rsid w:val="00083444"/>
    <w:rsid w:val="00083DCC"/>
    <w:rsid w:val="00083EBE"/>
    <w:rsid w:val="00083F03"/>
    <w:rsid w:val="00084913"/>
    <w:rsid w:val="0008560C"/>
    <w:rsid w:val="00085ECD"/>
    <w:rsid w:val="0008666F"/>
    <w:rsid w:val="00086ADB"/>
    <w:rsid w:val="00086E4B"/>
    <w:rsid w:val="00087373"/>
    <w:rsid w:val="0008746E"/>
    <w:rsid w:val="000875EF"/>
    <w:rsid w:val="00087FE6"/>
    <w:rsid w:val="00090AE7"/>
    <w:rsid w:val="00090BAA"/>
    <w:rsid w:val="00090EDE"/>
    <w:rsid w:val="0009136F"/>
    <w:rsid w:val="00091846"/>
    <w:rsid w:val="00091885"/>
    <w:rsid w:val="00091D6D"/>
    <w:rsid w:val="000921C5"/>
    <w:rsid w:val="00092871"/>
    <w:rsid w:val="00092A3D"/>
    <w:rsid w:val="00092EF6"/>
    <w:rsid w:val="00093AAF"/>
    <w:rsid w:val="00093CD9"/>
    <w:rsid w:val="00093D66"/>
    <w:rsid w:val="00094981"/>
    <w:rsid w:val="00094AE5"/>
    <w:rsid w:val="00095427"/>
    <w:rsid w:val="0009551F"/>
    <w:rsid w:val="000959B3"/>
    <w:rsid w:val="0009682A"/>
    <w:rsid w:val="000A022F"/>
    <w:rsid w:val="000A09D4"/>
    <w:rsid w:val="000A0A1B"/>
    <w:rsid w:val="000A1111"/>
    <w:rsid w:val="000A13FD"/>
    <w:rsid w:val="000A35A0"/>
    <w:rsid w:val="000A360A"/>
    <w:rsid w:val="000A368B"/>
    <w:rsid w:val="000A386E"/>
    <w:rsid w:val="000A4294"/>
    <w:rsid w:val="000A46CD"/>
    <w:rsid w:val="000A4EC4"/>
    <w:rsid w:val="000A555D"/>
    <w:rsid w:val="000A7409"/>
    <w:rsid w:val="000A7971"/>
    <w:rsid w:val="000B0A1F"/>
    <w:rsid w:val="000B20E7"/>
    <w:rsid w:val="000B23D7"/>
    <w:rsid w:val="000B26B3"/>
    <w:rsid w:val="000B2787"/>
    <w:rsid w:val="000B28B4"/>
    <w:rsid w:val="000B2FB0"/>
    <w:rsid w:val="000B3535"/>
    <w:rsid w:val="000B495B"/>
    <w:rsid w:val="000B4CEE"/>
    <w:rsid w:val="000B4D95"/>
    <w:rsid w:val="000B5FAC"/>
    <w:rsid w:val="000C00C1"/>
    <w:rsid w:val="000C0258"/>
    <w:rsid w:val="000C04B7"/>
    <w:rsid w:val="000C1290"/>
    <w:rsid w:val="000C1810"/>
    <w:rsid w:val="000C2247"/>
    <w:rsid w:val="000C30F1"/>
    <w:rsid w:val="000C352F"/>
    <w:rsid w:val="000C38B2"/>
    <w:rsid w:val="000C3FFF"/>
    <w:rsid w:val="000C4B6E"/>
    <w:rsid w:val="000C583B"/>
    <w:rsid w:val="000C6C47"/>
    <w:rsid w:val="000C72CB"/>
    <w:rsid w:val="000C7333"/>
    <w:rsid w:val="000C7458"/>
    <w:rsid w:val="000C7AFA"/>
    <w:rsid w:val="000D00E5"/>
    <w:rsid w:val="000D0195"/>
    <w:rsid w:val="000D100E"/>
    <w:rsid w:val="000D10D7"/>
    <w:rsid w:val="000D175B"/>
    <w:rsid w:val="000D1DB8"/>
    <w:rsid w:val="000D2817"/>
    <w:rsid w:val="000D3748"/>
    <w:rsid w:val="000D3C1B"/>
    <w:rsid w:val="000D4523"/>
    <w:rsid w:val="000D4B5C"/>
    <w:rsid w:val="000D4B8F"/>
    <w:rsid w:val="000D4FB0"/>
    <w:rsid w:val="000D5554"/>
    <w:rsid w:val="000D5AE3"/>
    <w:rsid w:val="000D6BCE"/>
    <w:rsid w:val="000D6C4A"/>
    <w:rsid w:val="000D75A4"/>
    <w:rsid w:val="000D7826"/>
    <w:rsid w:val="000D7B43"/>
    <w:rsid w:val="000E0398"/>
    <w:rsid w:val="000E092E"/>
    <w:rsid w:val="000E0E7C"/>
    <w:rsid w:val="000E200A"/>
    <w:rsid w:val="000E2A1B"/>
    <w:rsid w:val="000E3A4F"/>
    <w:rsid w:val="000E3A74"/>
    <w:rsid w:val="000E4432"/>
    <w:rsid w:val="000E47F3"/>
    <w:rsid w:val="000E5451"/>
    <w:rsid w:val="000E6461"/>
    <w:rsid w:val="000E6783"/>
    <w:rsid w:val="000E6A14"/>
    <w:rsid w:val="000E6D1C"/>
    <w:rsid w:val="000E6E16"/>
    <w:rsid w:val="000E6F54"/>
    <w:rsid w:val="000E72EB"/>
    <w:rsid w:val="000E7892"/>
    <w:rsid w:val="000F01D4"/>
    <w:rsid w:val="000F24D3"/>
    <w:rsid w:val="000F269A"/>
    <w:rsid w:val="000F2D8A"/>
    <w:rsid w:val="000F2E16"/>
    <w:rsid w:val="000F304E"/>
    <w:rsid w:val="000F3E8C"/>
    <w:rsid w:val="000F3FB3"/>
    <w:rsid w:val="000F4B5D"/>
    <w:rsid w:val="000F4F39"/>
    <w:rsid w:val="000F5164"/>
    <w:rsid w:val="000F545C"/>
    <w:rsid w:val="000F5AB5"/>
    <w:rsid w:val="000F5D11"/>
    <w:rsid w:val="000F7646"/>
    <w:rsid w:val="000F797C"/>
    <w:rsid w:val="000F7CBB"/>
    <w:rsid w:val="000F7CFE"/>
    <w:rsid w:val="000F7ED4"/>
    <w:rsid w:val="00100FA8"/>
    <w:rsid w:val="001017F1"/>
    <w:rsid w:val="001026FC"/>
    <w:rsid w:val="001030AD"/>
    <w:rsid w:val="0010329D"/>
    <w:rsid w:val="0010357F"/>
    <w:rsid w:val="0010379A"/>
    <w:rsid w:val="00103CA5"/>
    <w:rsid w:val="0010411B"/>
    <w:rsid w:val="001045D2"/>
    <w:rsid w:val="00104D78"/>
    <w:rsid w:val="00105511"/>
    <w:rsid w:val="00105BD6"/>
    <w:rsid w:val="00105FCE"/>
    <w:rsid w:val="00106755"/>
    <w:rsid w:val="001072AD"/>
    <w:rsid w:val="00107F4F"/>
    <w:rsid w:val="001107EA"/>
    <w:rsid w:val="0011106C"/>
    <w:rsid w:val="00111348"/>
    <w:rsid w:val="0011142F"/>
    <w:rsid w:val="00111DA9"/>
    <w:rsid w:val="00112412"/>
    <w:rsid w:val="00112924"/>
    <w:rsid w:val="00112B54"/>
    <w:rsid w:val="00112E12"/>
    <w:rsid w:val="001132C0"/>
    <w:rsid w:val="0011352E"/>
    <w:rsid w:val="00113F29"/>
    <w:rsid w:val="00114129"/>
    <w:rsid w:val="00114698"/>
    <w:rsid w:val="00115277"/>
    <w:rsid w:val="001153C0"/>
    <w:rsid w:val="00116C3F"/>
    <w:rsid w:val="00116D50"/>
    <w:rsid w:val="00116F94"/>
    <w:rsid w:val="00117185"/>
    <w:rsid w:val="001179D5"/>
    <w:rsid w:val="00117ACB"/>
    <w:rsid w:val="0012058F"/>
    <w:rsid w:val="00121563"/>
    <w:rsid w:val="001219E6"/>
    <w:rsid w:val="00121E7B"/>
    <w:rsid w:val="00122136"/>
    <w:rsid w:val="00122808"/>
    <w:rsid w:val="00122C78"/>
    <w:rsid w:val="00123BDD"/>
    <w:rsid w:val="001242DC"/>
    <w:rsid w:val="00124B5C"/>
    <w:rsid w:val="00125197"/>
    <w:rsid w:val="00125656"/>
    <w:rsid w:val="00125F23"/>
    <w:rsid w:val="00125F9B"/>
    <w:rsid w:val="001274C2"/>
    <w:rsid w:val="0012758C"/>
    <w:rsid w:val="001275D1"/>
    <w:rsid w:val="001277F2"/>
    <w:rsid w:val="00127DE8"/>
    <w:rsid w:val="00127F0C"/>
    <w:rsid w:val="00130AFA"/>
    <w:rsid w:val="00130B60"/>
    <w:rsid w:val="00130CC0"/>
    <w:rsid w:val="00131185"/>
    <w:rsid w:val="00131B67"/>
    <w:rsid w:val="00131BA0"/>
    <w:rsid w:val="0013219A"/>
    <w:rsid w:val="00132305"/>
    <w:rsid w:val="0013361C"/>
    <w:rsid w:val="00133B29"/>
    <w:rsid w:val="00133BFB"/>
    <w:rsid w:val="001346C0"/>
    <w:rsid w:val="00134983"/>
    <w:rsid w:val="00135BC5"/>
    <w:rsid w:val="00135D24"/>
    <w:rsid w:val="001360E5"/>
    <w:rsid w:val="00136A21"/>
    <w:rsid w:val="001378D4"/>
    <w:rsid w:val="00137BD0"/>
    <w:rsid w:val="00140891"/>
    <w:rsid w:val="00141542"/>
    <w:rsid w:val="001416A6"/>
    <w:rsid w:val="00141D46"/>
    <w:rsid w:val="00142226"/>
    <w:rsid w:val="00143230"/>
    <w:rsid w:val="001439B1"/>
    <w:rsid w:val="00143DD3"/>
    <w:rsid w:val="001443A5"/>
    <w:rsid w:val="00144F1E"/>
    <w:rsid w:val="00145026"/>
    <w:rsid w:val="001451D4"/>
    <w:rsid w:val="00145A65"/>
    <w:rsid w:val="00145D6F"/>
    <w:rsid w:val="00145DE0"/>
    <w:rsid w:val="00146161"/>
    <w:rsid w:val="00146973"/>
    <w:rsid w:val="00146FC1"/>
    <w:rsid w:val="0014711B"/>
    <w:rsid w:val="00147AB7"/>
    <w:rsid w:val="00147BC7"/>
    <w:rsid w:val="001504BA"/>
    <w:rsid w:val="001506B3"/>
    <w:rsid w:val="00150B3B"/>
    <w:rsid w:val="0015168D"/>
    <w:rsid w:val="00152304"/>
    <w:rsid w:val="00152405"/>
    <w:rsid w:val="00153114"/>
    <w:rsid w:val="001535FC"/>
    <w:rsid w:val="0015417C"/>
    <w:rsid w:val="00154684"/>
    <w:rsid w:val="00154839"/>
    <w:rsid w:val="00154CE6"/>
    <w:rsid w:val="00157175"/>
    <w:rsid w:val="00157182"/>
    <w:rsid w:val="00157434"/>
    <w:rsid w:val="00157722"/>
    <w:rsid w:val="001578FE"/>
    <w:rsid w:val="00157994"/>
    <w:rsid w:val="00160B75"/>
    <w:rsid w:val="00160CBA"/>
    <w:rsid w:val="00160FB9"/>
    <w:rsid w:val="0016128B"/>
    <w:rsid w:val="00161682"/>
    <w:rsid w:val="00162B05"/>
    <w:rsid w:val="00162C59"/>
    <w:rsid w:val="001632CB"/>
    <w:rsid w:val="001647BA"/>
    <w:rsid w:val="0016543C"/>
    <w:rsid w:val="00165C4D"/>
    <w:rsid w:val="00165D86"/>
    <w:rsid w:val="00165E17"/>
    <w:rsid w:val="001662E0"/>
    <w:rsid w:val="00166587"/>
    <w:rsid w:val="0016659F"/>
    <w:rsid w:val="00166A4C"/>
    <w:rsid w:val="00166FAC"/>
    <w:rsid w:val="00167647"/>
    <w:rsid w:val="001677AD"/>
    <w:rsid w:val="00170461"/>
    <w:rsid w:val="00170969"/>
    <w:rsid w:val="001719E4"/>
    <w:rsid w:val="00172207"/>
    <w:rsid w:val="00172B1F"/>
    <w:rsid w:val="00172FD0"/>
    <w:rsid w:val="00173B32"/>
    <w:rsid w:val="00173C0D"/>
    <w:rsid w:val="001741E1"/>
    <w:rsid w:val="00174609"/>
    <w:rsid w:val="00174781"/>
    <w:rsid w:val="00174A09"/>
    <w:rsid w:val="00174B85"/>
    <w:rsid w:val="00174C66"/>
    <w:rsid w:val="00174E13"/>
    <w:rsid w:val="00175BDC"/>
    <w:rsid w:val="00175D1A"/>
    <w:rsid w:val="00175EF2"/>
    <w:rsid w:val="00176734"/>
    <w:rsid w:val="00177C29"/>
    <w:rsid w:val="001807EC"/>
    <w:rsid w:val="001814E2"/>
    <w:rsid w:val="001820CA"/>
    <w:rsid w:val="00182FF7"/>
    <w:rsid w:val="00183349"/>
    <w:rsid w:val="00183C4B"/>
    <w:rsid w:val="00183DDD"/>
    <w:rsid w:val="00184213"/>
    <w:rsid w:val="00184284"/>
    <w:rsid w:val="0018493C"/>
    <w:rsid w:val="00184C25"/>
    <w:rsid w:val="001852D8"/>
    <w:rsid w:val="001853C9"/>
    <w:rsid w:val="001862AC"/>
    <w:rsid w:val="001868B2"/>
    <w:rsid w:val="00187AD6"/>
    <w:rsid w:val="001909C7"/>
    <w:rsid w:val="0019146D"/>
    <w:rsid w:val="00191C55"/>
    <w:rsid w:val="00192840"/>
    <w:rsid w:val="00192BB0"/>
    <w:rsid w:val="00193106"/>
    <w:rsid w:val="00193175"/>
    <w:rsid w:val="00193303"/>
    <w:rsid w:val="00194861"/>
    <w:rsid w:val="00194915"/>
    <w:rsid w:val="001956E8"/>
    <w:rsid w:val="00195770"/>
    <w:rsid w:val="0019608D"/>
    <w:rsid w:val="00197183"/>
    <w:rsid w:val="001A0501"/>
    <w:rsid w:val="001A0FE2"/>
    <w:rsid w:val="001A1236"/>
    <w:rsid w:val="001A2231"/>
    <w:rsid w:val="001A2490"/>
    <w:rsid w:val="001A24AC"/>
    <w:rsid w:val="001A34AA"/>
    <w:rsid w:val="001A369C"/>
    <w:rsid w:val="001A3F70"/>
    <w:rsid w:val="001A4200"/>
    <w:rsid w:val="001A531C"/>
    <w:rsid w:val="001A5529"/>
    <w:rsid w:val="001A568D"/>
    <w:rsid w:val="001A56F8"/>
    <w:rsid w:val="001A5C2D"/>
    <w:rsid w:val="001A5C71"/>
    <w:rsid w:val="001A67A1"/>
    <w:rsid w:val="001A6C87"/>
    <w:rsid w:val="001A7419"/>
    <w:rsid w:val="001A7745"/>
    <w:rsid w:val="001A777F"/>
    <w:rsid w:val="001A7CEF"/>
    <w:rsid w:val="001B00B6"/>
    <w:rsid w:val="001B33B4"/>
    <w:rsid w:val="001B3C94"/>
    <w:rsid w:val="001B4045"/>
    <w:rsid w:val="001B40E3"/>
    <w:rsid w:val="001B4B82"/>
    <w:rsid w:val="001B4DDA"/>
    <w:rsid w:val="001B4E64"/>
    <w:rsid w:val="001B5143"/>
    <w:rsid w:val="001B6A83"/>
    <w:rsid w:val="001B6A8A"/>
    <w:rsid w:val="001B7162"/>
    <w:rsid w:val="001B7A9B"/>
    <w:rsid w:val="001B7ADF"/>
    <w:rsid w:val="001C0338"/>
    <w:rsid w:val="001C040F"/>
    <w:rsid w:val="001C06FC"/>
    <w:rsid w:val="001C07F1"/>
    <w:rsid w:val="001C1766"/>
    <w:rsid w:val="001C183F"/>
    <w:rsid w:val="001C22E3"/>
    <w:rsid w:val="001C255B"/>
    <w:rsid w:val="001C351B"/>
    <w:rsid w:val="001C3EBC"/>
    <w:rsid w:val="001C40F1"/>
    <w:rsid w:val="001C5F62"/>
    <w:rsid w:val="001C62AA"/>
    <w:rsid w:val="001C7309"/>
    <w:rsid w:val="001C748D"/>
    <w:rsid w:val="001D0FFA"/>
    <w:rsid w:val="001D1174"/>
    <w:rsid w:val="001D195F"/>
    <w:rsid w:val="001D1AD4"/>
    <w:rsid w:val="001D1B47"/>
    <w:rsid w:val="001D2368"/>
    <w:rsid w:val="001D28B8"/>
    <w:rsid w:val="001D2E9D"/>
    <w:rsid w:val="001D2EBC"/>
    <w:rsid w:val="001D2F14"/>
    <w:rsid w:val="001D34B4"/>
    <w:rsid w:val="001D3600"/>
    <w:rsid w:val="001D4705"/>
    <w:rsid w:val="001D4748"/>
    <w:rsid w:val="001D5143"/>
    <w:rsid w:val="001D52E3"/>
    <w:rsid w:val="001D5B56"/>
    <w:rsid w:val="001D5F38"/>
    <w:rsid w:val="001D614F"/>
    <w:rsid w:val="001E02CB"/>
    <w:rsid w:val="001E0EAD"/>
    <w:rsid w:val="001E1A76"/>
    <w:rsid w:val="001E3A16"/>
    <w:rsid w:val="001E4219"/>
    <w:rsid w:val="001E49B2"/>
    <w:rsid w:val="001E55B4"/>
    <w:rsid w:val="001E6408"/>
    <w:rsid w:val="001E6740"/>
    <w:rsid w:val="001E6976"/>
    <w:rsid w:val="001E6ED0"/>
    <w:rsid w:val="001E6F24"/>
    <w:rsid w:val="001E7248"/>
    <w:rsid w:val="001E7958"/>
    <w:rsid w:val="001F019D"/>
    <w:rsid w:val="001F0712"/>
    <w:rsid w:val="001F0EBD"/>
    <w:rsid w:val="001F0F46"/>
    <w:rsid w:val="001F0F8E"/>
    <w:rsid w:val="001F10F1"/>
    <w:rsid w:val="001F25A5"/>
    <w:rsid w:val="001F304F"/>
    <w:rsid w:val="001F3CC4"/>
    <w:rsid w:val="001F471D"/>
    <w:rsid w:val="001F4769"/>
    <w:rsid w:val="001F4810"/>
    <w:rsid w:val="001F4A81"/>
    <w:rsid w:val="001F5526"/>
    <w:rsid w:val="001F5E62"/>
    <w:rsid w:val="001F6283"/>
    <w:rsid w:val="001F7A18"/>
    <w:rsid w:val="001F7DA9"/>
    <w:rsid w:val="002010E9"/>
    <w:rsid w:val="002011C8"/>
    <w:rsid w:val="00201C82"/>
    <w:rsid w:val="00202120"/>
    <w:rsid w:val="002022A2"/>
    <w:rsid w:val="00202404"/>
    <w:rsid w:val="00202DAD"/>
    <w:rsid w:val="00203A5D"/>
    <w:rsid w:val="00203D82"/>
    <w:rsid w:val="00203E0D"/>
    <w:rsid w:val="002044CC"/>
    <w:rsid w:val="00204F0D"/>
    <w:rsid w:val="0020669D"/>
    <w:rsid w:val="00206905"/>
    <w:rsid w:val="00206B1C"/>
    <w:rsid w:val="00206E3D"/>
    <w:rsid w:val="00207179"/>
    <w:rsid w:val="002074B1"/>
    <w:rsid w:val="00207B8C"/>
    <w:rsid w:val="002100FC"/>
    <w:rsid w:val="0021341A"/>
    <w:rsid w:val="00213906"/>
    <w:rsid w:val="00213CD3"/>
    <w:rsid w:val="002150B0"/>
    <w:rsid w:val="00215746"/>
    <w:rsid w:val="00215946"/>
    <w:rsid w:val="00215C88"/>
    <w:rsid w:val="002164F4"/>
    <w:rsid w:val="002165BE"/>
    <w:rsid w:val="002165E6"/>
    <w:rsid w:val="00216B70"/>
    <w:rsid w:val="00217B81"/>
    <w:rsid w:val="0022024C"/>
    <w:rsid w:val="00220490"/>
    <w:rsid w:val="002205A0"/>
    <w:rsid w:val="00220DFC"/>
    <w:rsid w:val="00221BD1"/>
    <w:rsid w:val="0022261A"/>
    <w:rsid w:val="00222AD8"/>
    <w:rsid w:val="002234A3"/>
    <w:rsid w:val="002239C6"/>
    <w:rsid w:val="0022428C"/>
    <w:rsid w:val="002270CB"/>
    <w:rsid w:val="00227C38"/>
    <w:rsid w:val="0023013F"/>
    <w:rsid w:val="002309CA"/>
    <w:rsid w:val="00230DA9"/>
    <w:rsid w:val="00231484"/>
    <w:rsid w:val="00231708"/>
    <w:rsid w:val="002317DC"/>
    <w:rsid w:val="00231C49"/>
    <w:rsid w:val="00232E5A"/>
    <w:rsid w:val="002331E6"/>
    <w:rsid w:val="00234138"/>
    <w:rsid w:val="0023458C"/>
    <w:rsid w:val="002346C6"/>
    <w:rsid w:val="002346F4"/>
    <w:rsid w:val="00235367"/>
    <w:rsid w:val="00235588"/>
    <w:rsid w:val="002370DE"/>
    <w:rsid w:val="00237848"/>
    <w:rsid w:val="00237A94"/>
    <w:rsid w:val="0024099E"/>
    <w:rsid w:val="00241ADB"/>
    <w:rsid w:val="00241D17"/>
    <w:rsid w:val="0024256B"/>
    <w:rsid w:val="00242618"/>
    <w:rsid w:val="0024264A"/>
    <w:rsid w:val="00243B28"/>
    <w:rsid w:val="002451B5"/>
    <w:rsid w:val="002451CB"/>
    <w:rsid w:val="0024588A"/>
    <w:rsid w:val="00246062"/>
    <w:rsid w:val="002463D8"/>
    <w:rsid w:val="00247E9E"/>
    <w:rsid w:val="00251476"/>
    <w:rsid w:val="0025276D"/>
    <w:rsid w:val="00252A95"/>
    <w:rsid w:val="002538AF"/>
    <w:rsid w:val="00253EAA"/>
    <w:rsid w:val="002541C1"/>
    <w:rsid w:val="00254DB7"/>
    <w:rsid w:val="002559D9"/>
    <w:rsid w:val="00255AA5"/>
    <w:rsid w:val="00256A2C"/>
    <w:rsid w:val="002573E8"/>
    <w:rsid w:val="00257905"/>
    <w:rsid w:val="00260450"/>
    <w:rsid w:val="0026066C"/>
    <w:rsid w:val="00260D32"/>
    <w:rsid w:val="002614C4"/>
    <w:rsid w:val="00261614"/>
    <w:rsid w:val="00261D05"/>
    <w:rsid w:val="00262290"/>
    <w:rsid w:val="0026261C"/>
    <w:rsid w:val="0026263B"/>
    <w:rsid w:val="00262E90"/>
    <w:rsid w:val="002634C9"/>
    <w:rsid w:val="002637EB"/>
    <w:rsid w:val="002638E5"/>
    <w:rsid w:val="00263D02"/>
    <w:rsid w:val="0026562F"/>
    <w:rsid w:val="00265910"/>
    <w:rsid w:val="00265B3F"/>
    <w:rsid w:val="00266892"/>
    <w:rsid w:val="00266AE7"/>
    <w:rsid w:val="002671CA"/>
    <w:rsid w:val="00267228"/>
    <w:rsid w:val="002677CC"/>
    <w:rsid w:val="00270136"/>
    <w:rsid w:val="00270683"/>
    <w:rsid w:val="00270B76"/>
    <w:rsid w:val="0027134B"/>
    <w:rsid w:val="00271B2D"/>
    <w:rsid w:val="00273080"/>
    <w:rsid w:val="002733A6"/>
    <w:rsid w:val="002743EB"/>
    <w:rsid w:val="00274A3F"/>
    <w:rsid w:val="00275D8A"/>
    <w:rsid w:val="0027664E"/>
    <w:rsid w:val="00276E0A"/>
    <w:rsid w:val="00277331"/>
    <w:rsid w:val="002777DD"/>
    <w:rsid w:val="00277982"/>
    <w:rsid w:val="00280FD8"/>
    <w:rsid w:val="002810A0"/>
    <w:rsid w:val="002829F5"/>
    <w:rsid w:val="002832BC"/>
    <w:rsid w:val="00283583"/>
    <w:rsid w:val="00283878"/>
    <w:rsid w:val="00283BAB"/>
    <w:rsid w:val="00283FD1"/>
    <w:rsid w:val="0028414F"/>
    <w:rsid w:val="0028465F"/>
    <w:rsid w:val="0028479E"/>
    <w:rsid w:val="002849F1"/>
    <w:rsid w:val="00284A43"/>
    <w:rsid w:val="002852B5"/>
    <w:rsid w:val="00285576"/>
    <w:rsid w:val="00286092"/>
    <w:rsid w:val="002863F2"/>
    <w:rsid w:val="00286636"/>
    <w:rsid w:val="00286F22"/>
    <w:rsid w:val="00287519"/>
    <w:rsid w:val="00287CEB"/>
    <w:rsid w:val="00290AF8"/>
    <w:rsid w:val="00290B86"/>
    <w:rsid w:val="00290D21"/>
    <w:rsid w:val="00290FA4"/>
    <w:rsid w:val="002914F5"/>
    <w:rsid w:val="0029157D"/>
    <w:rsid w:val="002917DF"/>
    <w:rsid w:val="002918ED"/>
    <w:rsid w:val="00292125"/>
    <w:rsid w:val="002923B7"/>
    <w:rsid w:val="00292BDD"/>
    <w:rsid w:val="00292F9E"/>
    <w:rsid w:val="00293022"/>
    <w:rsid w:val="0029444E"/>
    <w:rsid w:val="002951C5"/>
    <w:rsid w:val="00295653"/>
    <w:rsid w:val="00296AC1"/>
    <w:rsid w:val="0029702C"/>
    <w:rsid w:val="00297AB0"/>
    <w:rsid w:val="002A056B"/>
    <w:rsid w:val="002A07D4"/>
    <w:rsid w:val="002A0D5A"/>
    <w:rsid w:val="002A1B3F"/>
    <w:rsid w:val="002A2432"/>
    <w:rsid w:val="002A269C"/>
    <w:rsid w:val="002A28F1"/>
    <w:rsid w:val="002A2BE6"/>
    <w:rsid w:val="002A2C31"/>
    <w:rsid w:val="002A2EFF"/>
    <w:rsid w:val="002A372A"/>
    <w:rsid w:val="002A44AF"/>
    <w:rsid w:val="002A4A64"/>
    <w:rsid w:val="002A4C9E"/>
    <w:rsid w:val="002A5284"/>
    <w:rsid w:val="002A5988"/>
    <w:rsid w:val="002A5CE5"/>
    <w:rsid w:val="002A5F2E"/>
    <w:rsid w:val="002A611C"/>
    <w:rsid w:val="002A6207"/>
    <w:rsid w:val="002A6A8D"/>
    <w:rsid w:val="002A776B"/>
    <w:rsid w:val="002A7FD4"/>
    <w:rsid w:val="002B03E1"/>
    <w:rsid w:val="002B06EB"/>
    <w:rsid w:val="002B1AF1"/>
    <w:rsid w:val="002B1B56"/>
    <w:rsid w:val="002B30D7"/>
    <w:rsid w:val="002B3B08"/>
    <w:rsid w:val="002B3D2E"/>
    <w:rsid w:val="002B47C5"/>
    <w:rsid w:val="002B4BA3"/>
    <w:rsid w:val="002B4C29"/>
    <w:rsid w:val="002B4D15"/>
    <w:rsid w:val="002B4F61"/>
    <w:rsid w:val="002B5C2B"/>
    <w:rsid w:val="002B6C56"/>
    <w:rsid w:val="002B6D30"/>
    <w:rsid w:val="002B6DC1"/>
    <w:rsid w:val="002B7279"/>
    <w:rsid w:val="002C04EB"/>
    <w:rsid w:val="002C094B"/>
    <w:rsid w:val="002C0ACA"/>
    <w:rsid w:val="002C2378"/>
    <w:rsid w:val="002C2F4E"/>
    <w:rsid w:val="002C3368"/>
    <w:rsid w:val="002C3B09"/>
    <w:rsid w:val="002C4036"/>
    <w:rsid w:val="002C54BA"/>
    <w:rsid w:val="002C5878"/>
    <w:rsid w:val="002C599B"/>
    <w:rsid w:val="002C62CB"/>
    <w:rsid w:val="002C6DE1"/>
    <w:rsid w:val="002C71AC"/>
    <w:rsid w:val="002C7A16"/>
    <w:rsid w:val="002C7D21"/>
    <w:rsid w:val="002C7EE4"/>
    <w:rsid w:val="002D06F7"/>
    <w:rsid w:val="002D19B0"/>
    <w:rsid w:val="002D1EA7"/>
    <w:rsid w:val="002D2756"/>
    <w:rsid w:val="002D278B"/>
    <w:rsid w:val="002D3151"/>
    <w:rsid w:val="002D3485"/>
    <w:rsid w:val="002D39B2"/>
    <w:rsid w:val="002D39BB"/>
    <w:rsid w:val="002D3A7E"/>
    <w:rsid w:val="002D3E42"/>
    <w:rsid w:val="002D48EE"/>
    <w:rsid w:val="002D5634"/>
    <w:rsid w:val="002D5D81"/>
    <w:rsid w:val="002D6199"/>
    <w:rsid w:val="002D6612"/>
    <w:rsid w:val="002D7B56"/>
    <w:rsid w:val="002D7D8E"/>
    <w:rsid w:val="002D7EC8"/>
    <w:rsid w:val="002E0E4B"/>
    <w:rsid w:val="002E157C"/>
    <w:rsid w:val="002E1EA6"/>
    <w:rsid w:val="002E23FE"/>
    <w:rsid w:val="002E2B0C"/>
    <w:rsid w:val="002E2C69"/>
    <w:rsid w:val="002E3EE3"/>
    <w:rsid w:val="002E4A3F"/>
    <w:rsid w:val="002E5291"/>
    <w:rsid w:val="002E5C7C"/>
    <w:rsid w:val="002E5CCD"/>
    <w:rsid w:val="002E6075"/>
    <w:rsid w:val="002E614B"/>
    <w:rsid w:val="002E628F"/>
    <w:rsid w:val="002E65B6"/>
    <w:rsid w:val="002E6687"/>
    <w:rsid w:val="002E6D39"/>
    <w:rsid w:val="002E7059"/>
    <w:rsid w:val="002E74B3"/>
    <w:rsid w:val="002E79F4"/>
    <w:rsid w:val="002E7BFA"/>
    <w:rsid w:val="002F0001"/>
    <w:rsid w:val="002F02D6"/>
    <w:rsid w:val="002F0462"/>
    <w:rsid w:val="002F09C5"/>
    <w:rsid w:val="002F0C1C"/>
    <w:rsid w:val="002F11DC"/>
    <w:rsid w:val="002F1224"/>
    <w:rsid w:val="002F1CC0"/>
    <w:rsid w:val="002F1EB2"/>
    <w:rsid w:val="002F1EBB"/>
    <w:rsid w:val="002F2567"/>
    <w:rsid w:val="002F26CD"/>
    <w:rsid w:val="002F2EBB"/>
    <w:rsid w:val="002F3C5A"/>
    <w:rsid w:val="002F3F84"/>
    <w:rsid w:val="002F40CB"/>
    <w:rsid w:val="002F4138"/>
    <w:rsid w:val="002F420D"/>
    <w:rsid w:val="002F4249"/>
    <w:rsid w:val="002F52A9"/>
    <w:rsid w:val="002F5879"/>
    <w:rsid w:val="002F612A"/>
    <w:rsid w:val="002F669F"/>
    <w:rsid w:val="002F66C6"/>
    <w:rsid w:val="002F6E77"/>
    <w:rsid w:val="002F739C"/>
    <w:rsid w:val="002F73A7"/>
    <w:rsid w:val="002F7ACC"/>
    <w:rsid w:val="00300ED8"/>
    <w:rsid w:val="00301231"/>
    <w:rsid w:val="003012EC"/>
    <w:rsid w:val="00301C42"/>
    <w:rsid w:val="00303C63"/>
    <w:rsid w:val="0030401F"/>
    <w:rsid w:val="003047B8"/>
    <w:rsid w:val="00304926"/>
    <w:rsid w:val="00305E70"/>
    <w:rsid w:val="00306CDF"/>
    <w:rsid w:val="003070DC"/>
    <w:rsid w:val="00307300"/>
    <w:rsid w:val="0030732F"/>
    <w:rsid w:val="003074C0"/>
    <w:rsid w:val="00307A8E"/>
    <w:rsid w:val="003104CC"/>
    <w:rsid w:val="003108A5"/>
    <w:rsid w:val="00310FA0"/>
    <w:rsid w:val="003117CB"/>
    <w:rsid w:val="00311B4A"/>
    <w:rsid w:val="00311DAB"/>
    <w:rsid w:val="00312377"/>
    <w:rsid w:val="00312644"/>
    <w:rsid w:val="0031452F"/>
    <w:rsid w:val="00314BBE"/>
    <w:rsid w:val="00314C06"/>
    <w:rsid w:val="003152C2"/>
    <w:rsid w:val="0031602B"/>
    <w:rsid w:val="00316876"/>
    <w:rsid w:val="00316FD3"/>
    <w:rsid w:val="003176BF"/>
    <w:rsid w:val="0032051F"/>
    <w:rsid w:val="00320C42"/>
    <w:rsid w:val="00320FE6"/>
    <w:rsid w:val="003219A1"/>
    <w:rsid w:val="00321C20"/>
    <w:rsid w:val="00321E5C"/>
    <w:rsid w:val="00323745"/>
    <w:rsid w:val="00323D5D"/>
    <w:rsid w:val="0032457C"/>
    <w:rsid w:val="00324B86"/>
    <w:rsid w:val="00324F6D"/>
    <w:rsid w:val="00325799"/>
    <w:rsid w:val="00326A7A"/>
    <w:rsid w:val="003273AF"/>
    <w:rsid w:val="00327F93"/>
    <w:rsid w:val="00330000"/>
    <w:rsid w:val="003300E7"/>
    <w:rsid w:val="003309D2"/>
    <w:rsid w:val="00330AA8"/>
    <w:rsid w:val="00330D9E"/>
    <w:rsid w:val="003317D9"/>
    <w:rsid w:val="003318A2"/>
    <w:rsid w:val="00331A91"/>
    <w:rsid w:val="00331F5E"/>
    <w:rsid w:val="00332104"/>
    <w:rsid w:val="00335A3F"/>
    <w:rsid w:val="00335B06"/>
    <w:rsid w:val="003365DC"/>
    <w:rsid w:val="003371E9"/>
    <w:rsid w:val="0034023F"/>
    <w:rsid w:val="0034035F"/>
    <w:rsid w:val="00340426"/>
    <w:rsid w:val="0034088A"/>
    <w:rsid w:val="003418EE"/>
    <w:rsid w:val="00341BEA"/>
    <w:rsid w:val="00341DC3"/>
    <w:rsid w:val="00341E1B"/>
    <w:rsid w:val="00342427"/>
    <w:rsid w:val="00342BF5"/>
    <w:rsid w:val="00344324"/>
    <w:rsid w:val="00344D2D"/>
    <w:rsid w:val="003450D0"/>
    <w:rsid w:val="00345D06"/>
    <w:rsid w:val="003467E0"/>
    <w:rsid w:val="00346B23"/>
    <w:rsid w:val="00347795"/>
    <w:rsid w:val="00347BCC"/>
    <w:rsid w:val="00347FBC"/>
    <w:rsid w:val="003500C6"/>
    <w:rsid w:val="00350529"/>
    <w:rsid w:val="0035070F"/>
    <w:rsid w:val="003509A1"/>
    <w:rsid w:val="0035156E"/>
    <w:rsid w:val="00351CA1"/>
    <w:rsid w:val="00352157"/>
    <w:rsid w:val="0035225D"/>
    <w:rsid w:val="00352E40"/>
    <w:rsid w:val="00353B81"/>
    <w:rsid w:val="003542BF"/>
    <w:rsid w:val="00355349"/>
    <w:rsid w:val="00355899"/>
    <w:rsid w:val="00355AEB"/>
    <w:rsid w:val="00355B5D"/>
    <w:rsid w:val="00355DF3"/>
    <w:rsid w:val="00356C36"/>
    <w:rsid w:val="003603E6"/>
    <w:rsid w:val="00360CAA"/>
    <w:rsid w:val="003611EC"/>
    <w:rsid w:val="0036159C"/>
    <w:rsid w:val="00361980"/>
    <w:rsid w:val="003619C4"/>
    <w:rsid w:val="003621EC"/>
    <w:rsid w:val="0036236C"/>
    <w:rsid w:val="003636CE"/>
    <w:rsid w:val="00363787"/>
    <w:rsid w:val="003638B0"/>
    <w:rsid w:val="003639FF"/>
    <w:rsid w:val="00365024"/>
    <w:rsid w:val="00365D5A"/>
    <w:rsid w:val="00365D9E"/>
    <w:rsid w:val="00366185"/>
    <w:rsid w:val="003666A9"/>
    <w:rsid w:val="00366B74"/>
    <w:rsid w:val="00367783"/>
    <w:rsid w:val="00370498"/>
    <w:rsid w:val="003704D8"/>
    <w:rsid w:val="00370985"/>
    <w:rsid w:val="003717F2"/>
    <w:rsid w:val="00371C3F"/>
    <w:rsid w:val="00371D22"/>
    <w:rsid w:val="00371DB3"/>
    <w:rsid w:val="003723A6"/>
    <w:rsid w:val="003723D0"/>
    <w:rsid w:val="003724E0"/>
    <w:rsid w:val="00372882"/>
    <w:rsid w:val="00373100"/>
    <w:rsid w:val="0037339D"/>
    <w:rsid w:val="003752AA"/>
    <w:rsid w:val="003768ED"/>
    <w:rsid w:val="00377AD2"/>
    <w:rsid w:val="00377F83"/>
    <w:rsid w:val="00380094"/>
    <w:rsid w:val="0038013D"/>
    <w:rsid w:val="0038035E"/>
    <w:rsid w:val="00381AB2"/>
    <w:rsid w:val="003824CF"/>
    <w:rsid w:val="00382794"/>
    <w:rsid w:val="00382B75"/>
    <w:rsid w:val="0038313B"/>
    <w:rsid w:val="00383467"/>
    <w:rsid w:val="0038354F"/>
    <w:rsid w:val="0038406D"/>
    <w:rsid w:val="003854BB"/>
    <w:rsid w:val="00385CF3"/>
    <w:rsid w:val="003867A5"/>
    <w:rsid w:val="00386DAC"/>
    <w:rsid w:val="0038746F"/>
    <w:rsid w:val="00387884"/>
    <w:rsid w:val="00390998"/>
    <w:rsid w:val="00391821"/>
    <w:rsid w:val="00391BA7"/>
    <w:rsid w:val="003926F1"/>
    <w:rsid w:val="003926F6"/>
    <w:rsid w:val="00392733"/>
    <w:rsid w:val="00392FE2"/>
    <w:rsid w:val="003931CE"/>
    <w:rsid w:val="003944EC"/>
    <w:rsid w:val="0039456D"/>
    <w:rsid w:val="003954AA"/>
    <w:rsid w:val="00395EA2"/>
    <w:rsid w:val="00396CA2"/>
    <w:rsid w:val="003A0111"/>
    <w:rsid w:val="003A0205"/>
    <w:rsid w:val="003A0684"/>
    <w:rsid w:val="003A0E18"/>
    <w:rsid w:val="003A1028"/>
    <w:rsid w:val="003A10E1"/>
    <w:rsid w:val="003A11B9"/>
    <w:rsid w:val="003A19FE"/>
    <w:rsid w:val="003A1D74"/>
    <w:rsid w:val="003A2AC5"/>
    <w:rsid w:val="003A371D"/>
    <w:rsid w:val="003A3EC8"/>
    <w:rsid w:val="003A3F98"/>
    <w:rsid w:val="003A48AE"/>
    <w:rsid w:val="003A48B9"/>
    <w:rsid w:val="003A4F72"/>
    <w:rsid w:val="003A56EB"/>
    <w:rsid w:val="003A6090"/>
    <w:rsid w:val="003A62CC"/>
    <w:rsid w:val="003A6455"/>
    <w:rsid w:val="003A65EF"/>
    <w:rsid w:val="003A70FF"/>
    <w:rsid w:val="003A7CDF"/>
    <w:rsid w:val="003A7D71"/>
    <w:rsid w:val="003B0EF0"/>
    <w:rsid w:val="003B138B"/>
    <w:rsid w:val="003B2876"/>
    <w:rsid w:val="003B29D3"/>
    <w:rsid w:val="003B2BAE"/>
    <w:rsid w:val="003B32DD"/>
    <w:rsid w:val="003B363A"/>
    <w:rsid w:val="003B36F1"/>
    <w:rsid w:val="003B3BE6"/>
    <w:rsid w:val="003B3BF8"/>
    <w:rsid w:val="003B42C5"/>
    <w:rsid w:val="003B48FC"/>
    <w:rsid w:val="003B4BA7"/>
    <w:rsid w:val="003B4C7D"/>
    <w:rsid w:val="003B500F"/>
    <w:rsid w:val="003B541C"/>
    <w:rsid w:val="003B547E"/>
    <w:rsid w:val="003B55DA"/>
    <w:rsid w:val="003B6834"/>
    <w:rsid w:val="003B6EDC"/>
    <w:rsid w:val="003B744F"/>
    <w:rsid w:val="003B7933"/>
    <w:rsid w:val="003B7B33"/>
    <w:rsid w:val="003C1262"/>
    <w:rsid w:val="003C12A9"/>
    <w:rsid w:val="003C21D5"/>
    <w:rsid w:val="003C250C"/>
    <w:rsid w:val="003C2892"/>
    <w:rsid w:val="003C2D38"/>
    <w:rsid w:val="003C37FD"/>
    <w:rsid w:val="003C4874"/>
    <w:rsid w:val="003C4C4E"/>
    <w:rsid w:val="003C517E"/>
    <w:rsid w:val="003C58E9"/>
    <w:rsid w:val="003C601E"/>
    <w:rsid w:val="003C66EF"/>
    <w:rsid w:val="003C7BD4"/>
    <w:rsid w:val="003C7EA0"/>
    <w:rsid w:val="003C7EAA"/>
    <w:rsid w:val="003D0E4F"/>
    <w:rsid w:val="003D0E9E"/>
    <w:rsid w:val="003D11A2"/>
    <w:rsid w:val="003D1318"/>
    <w:rsid w:val="003D14C5"/>
    <w:rsid w:val="003D19A1"/>
    <w:rsid w:val="003D2257"/>
    <w:rsid w:val="003D2A06"/>
    <w:rsid w:val="003D3528"/>
    <w:rsid w:val="003D3B36"/>
    <w:rsid w:val="003D4876"/>
    <w:rsid w:val="003D52AC"/>
    <w:rsid w:val="003D5328"/>
    <w:rsid w:val="003D55D5"/>
    <w:rsid w:val="003D5730"/>
    <w:rsid w:val="003D6B6D"/>
    <w:rsid w:val="003D6FD6"/>
    <w:rsid w:val="003D7F65"/>
    <w:rsid w:val="003E00B0"/>
    <w:rsid w:val="003E0AF3"/>
    <w:rsid w:val="003E0B68"/>
    <w:rsid w:val="003E0DBE"/>
    <w:rsid w:val="003E190C"/>
    <w:rsid w:val="003E1C2F"/>
    <w:rsid w:val="003E3F43"/>
    <w:rsid w:val="003E42C1"/>
    <w:rsid w:val="003E47F5"/>
    <w:rsid w:val="003E54A4"/>
    <w:rsid w:val="003E581C"/>
    <w:rsid w:val="003E5EDC"/>
    <w:rsid w:val="003E5EE4"/>
    <w:rsid w:val="003E65C8"/>
    <w:rsid w:val="003E7C5C"/>
    <w:rsid w:val="003F0215"/>
    <w:rsid w:val="003F04C4"/>
    <w:rsid w:val="003F11B8"/>
    <w:rsid w:val="003F15F9"/>
    <w:rsid w:val="003F1EA0"/>
    <w:rsid w:val="003F206F"/>
    <w:rsid w:val="003F2E37"/>
    <w:rsid w:val="003F4AB7"/>
    <w:rsid w:val="003F6855"/>
    <w:rsid w:val="003F78BF"/>
    <w:rsid w:val="003F7CE3"/>
    <w:rsid w:val="003F7CF2"/>
    <w:rsid w:val="00400A38"/>
    <w:rsid w:val="004010AF"/>
    <w:rsid w:val="00401641"/>
    <w:rsid w:val="00402238"/>
    <w:rsid w:val="0040249D"/>
    <w:rsid w:val="00403913"/>
    <w:rsid w:val="00403A2D"/>
    <w:rsid w:val="00405A7D"/>
    <w:rsid w:val="004061F3"/>
    <w:rsid w:val="0040634C"/>
    <w:rsid w:val="00407C6D"/>
    <w:rsid w:val="00407F75"/>
    <w:rsid w:val="0041104E"/>
    <w:rsid w:val="004115E7"/>
    <w:rsid w:val="004117A3"/>
    <w:rsid w:val="004119FA"/>
    <w:rsid w:val="00411E56"/>
    <w:rsid w:val="00412363"/>
    <w:rsid w:val="004125BA"/>
    <w:rsid w:val="00412C52"/>
    <w:rsid w:val="0041384B"/>
    <w:rsid w:val="00413BCF"/>
    <w:rsid w:val="004141C6"/>
    <w:rsid w:val="004142CF"/>
    <w:rsid w:val="004143F0"/>
    <w:rsid w:val="004146D7"/>
    <w:rsid w:val="0041491C"/>
    <w:rsid w:val="00414B5A"/>
    <w:rsid w:val="00415FF7"/>
    <w:rsid w:val="00416298"/>
    <w:rsid w:val="004164E6"/>
    <w:rsid w:val="00421A27"/>
    <w:rsid w:val="00422414"/>
    <w:rsid w:val="00422448"/>
    <w:rsid w:val="00422A14"/>
    <w:rsid w:val="00423BB6"/>
    <w:rsid w:val="004245B3"/>
    <w:rsid w:val="00424E91"/>
    <w:rsid w:val="00425128"/>
    <w:rsid w:val="00425D45"/>
    <w:rsid w:val="00426956"/>
    <w:rsid w:val="00426982"/>
    <w:rsid w:val="00426E7F"/>
    <w:rsid w:val="00430011"/>
    <w:rsid w:val="0043033E"/>
    <w:rsid w:val="00431396"/>
    <w:rsid w:val="0043145D"/>
    <w:rsid w:val="00431711"/>
    <w:rsid w:val="00431713"/>
    <w:rsid w:val="00432BBF"/>
    <w:rsid w:val="00432FFF"/>
    <w:rsid w:val="00434C29"/>
    <w:rsid w:val="004352F4"/>
    <w:rsid w:val="00436514"/>
    <w:rsid w:val="004371D6"/>
    <w:rsid w:val="00437EE0"/>
    <w:rsid w:val="00440BC4"/>
    <w:rsid w:val="00440C18"/>
    <w:rsid w:val="0044132C"/>
    <w:rsid w:val="00442262"/>
    <w:rsid w:val="00442BEC"/>
    <w:rsid w:val="00443699"/>
    <w:rsid w:val="004436D8"/>
    <w:rsid w:val="0044399A"/>
    <w:rsid w:val="0044484E"/>
    <w:rsid w:val="004451AC"/>
    <w:rsid w:val="00445E0B"/>
    <w:rsid w:val="00446BEE"/>
    <w:rsid w:val="00447616"/>
    <w:rsid w:val="0044762E"/>
    <w:rsid w:val="00450607"/>
    <w:rsid w:val="0045149E"/>
    <w:rsid w:val="00451DB9"/>
    <w:rsid w:val="004522C0"/>
    <w:rsid w:val="00452629"/>
    <w:rsid w:val="004528EF"/>
    <w:rsid w:val="00453DAE"/>
    <w:rsid w:val="0045440C"/>
    <w:rsid w:val="00454742"/>
    <w:rsid w:val="00455476"/>
    <w:rsid w:val="0045564D"/>
    <w:rsid w:val="004566BD"/>
    <w:rsid w:val="00456953"/>
    <w:rsid w:val="00456AC3"/>
    <w:rsid w:val="00456BC8"/>
    <w:rsid w:val="004577F5"/>
    <w:rsid w:val="00457C53"/>
    <w:rsid w:val="0046035C"/>
    <w:rsid w:val="00460B77"/>
    <w:rsid w:val="00460D8D"/>
    <w:rsid w:val="00461551"/>
    <w:rsid w:val="00461832"/>
    <w:rsid w:val="004625EA"/>
    <w:rsid w:val="00462679"/>
    <w:rsid w:val="00463107"/>
    <w:rsid w:val="0046324F"/>
    <w:rsid w:val="0046579C"/>
    <w:rsid w:val="00465B1A"/>
    <w:rsid w:val="00466040"/>
    <w:rsid w:val="004667B2"/>
    <w:rsid w:val="004667B7"/>
    <w:rsid w:val="00466DA3"/>
    <w:rsid w:val="00467279"/>
    <w:rsid w:val="00467C9F"/>
    <w:rsid w:val="004709E3"/>
    <w:rsid w:val="004715D6"/>
    <w:rsid w:val="0047193C"/>
    <w:rsid w:val="00471A03"/>
    <w:rsid w:val="004722D5"/>
    <w:rsid w:val="00472883"/>
    <w:rsid w:val="004731A2"/>
    <w:rsid w:val="004732B6"/>
    <w:rsid w:val="0047359E"/>
    <w:rsid w:val="00473CBD"/>
    <w:rsid w:val="004753FC"/>
    <w:rsid w:val="00475995"/>
    <w:rsid w:val="00475A07"/>
    <w:rsid w:val="0047655E"/>
    <w:rsid w:val="00476714"/>
    <w:rsid w:val="00476BBD"/>
    <w:rsid w:val="00476CAB"/>
    <w:rsid w:val="00477410"/>
    <w:rsid w:val="0048044E"/>
    <w:rsid w:val="00480CAE"/>
    <w:rsid w:val="0048104B"/>
    <w:rsid w:val="0048123B"/>
    <w:rsid w:val="0048138F"/>
    <w:rsid w:val="0048153E"/>
    <w:rsid w:val="0048172F"/>
    <w:rsid w:val="00483003"/>
    <w:rsid w:val="0048313B"/>
    <w:rsid w:val="00483535"/>
    <w:rsid w:val="004843FA"/>
    <w:rsid w:val="00484731"/>
    <w:rsid w:val="004849A5"/>
    <w:rsid w:val="004851BF"/>
    <w:rsid w:val="004862C7"/>
    <w:rsid w:val="004863BC"/>
    <w:rsid w:val="00486488"/>
    <w:rsid w:val="004868E9"/>
    <w:rsid w:val="004872E8"/>
    <w:rsid w:val="00487C9A"/>
    <w:rsid w:val="00490321"/>
    <w:rsid w:val="00492262"/>
    <w:rsid w:val="00492743"/>
    <w:rsid w:val="0049306C"/>
    <w:rsid w:val="0049354F"/>
    <w:rsid w:val="00493A5F"/>
    <w:rsid w:val="00493CD3"/>
    <w:rsid w:val="00494713"/>
    <w:rsid w:val="00495495"/>
    <w:rsid w:val="00495DDD"/>
    <w:rsid w:val="0049617A"/>
    <w:rsid w:val="00497099"/>
    <w:rsid w:val="0049733E"/>
    <w:rsid w:val="00497688"/>
    <w:rsid w:val="004978BA"/>
    <w:rsid w:val="00497ECF"/>
    <w:rsid w:val="004A3381"/>
    <w:rsid w:val="004A35F2"/>
    <w:rsid w:val="004A39C1"/>
    <w:rsid w:val="004A3A6A"/>
    <w:rsid w:val="004A3AC3"/>
    <w:rsid w:val="004A3B62"/>
    <w:rsid w:val="004A46CE"/>
    <w:rsid w:val="004A482F"/>
    <w:rsid w:val="004A4BC9"/>
    <w:rsid w:val="004A4DFF"/>
    <w:rsid w:val="004A4F09"/>
    <w:rsid w:val="004A4F58"/>
    <w:rsid w:val="004A54AE"/>
    <w:rsid w:val="004A6F81"/>
    <w:rsid w:val="004B0124"/>
    <w:rsid w:val="004B04BF"/>
    <w:rsid w:val="004B1B1C"/>
    <w:rsid w:val="004B27C6"/>
    <w:rsid w:val="004B2A7C"/>
    <w:rsid w:val="004B2CCD"/>
    <w:rsid w:val="004B4C0F"/>
    <w:rsid w:val="004B597C"/>
    <w:rsid w:val="004B5AA9"/>
    <w:rsid w:val="004B74D8"/>
    <w:rsid w:val="004B7621"/>
    <w:rsid w:val="004B7941"/>
    <w:rsid w:val="004B7BDB"/>
    <w:rsid w:val="004B7DAD"/>
    <w:rsid w:val="004C00E9"/>
    <w:rsid w:val="004C060B"/>
    <w:rsid w:val="004C1588"/>
    <w:rsid w:val="004C2F20"/>
    <w:rsid w:val="004C359E"/>
    <w:rsid w:val="004C36A6"/>
    <w:rsid w:val="004C3982"/>
    <w:rsid w:val="004C43D9"/>
    <w:rsid w:val="004C487B"/>
    <w:rsid w:val="004C4A9D"/>
    <w:rsid w:val="004C5218"/>
    <w:rsid w:val="004C5F22"/>
    <w:rsid w:val="004C6EB7"/>
    <w:rsid w:val="004C771F"/>
    <w:rsid w:val="004D0DC3"/>
    <w:rsid w:val="004D1CE0"/>
    <w:rsid w:val="004D21BE"/>
    <w:rsid w:val="004D2C4A"/>
    <w:rsid w:val="004D33D3"/>
    <w:rsid w:val="004D405D"/>
    <w:rsid w:val="004D473B"/>
    <w:rsid w:val="004D4B91"/>
    <w:rsid w:val="004D4BC0"/>
    <w:rsid w:val="004D54CF"/>
    <w:rsid w:val="004D5AF4"/>
    <w:rsid w:val="004D677C"/>
    <w:rsid w:val="004D69D5"/>
    <w:rsid w:val="004D6B8E"/>
    <w:rsid w:val="004D7028"/>
    <w:rsid w:val="004D750C"/>
    <w:rsid w:val="004E0591"/>
    <w:rsid w:val="004E0764"/>
    <w:rsid w:val="004E0912"/>
    <w:rsid w:val="004E13F3"/>
    <w:rsid w:val="004E1C2F"/>
    <w:rsid w:val="004E1CA9"/>
    <w:rsid w:val="004E419C"/>
    <w:rsid w:val="004E4583"/>
    <w:rsid w:val="004E4A1F"/>
    <w:rsid w:val="004E4A75"/>
    <w:rsid w:val="004E4F7B"/>
    <w:rsid w:val="004E53F9"/>
    <w:rsid w:val="004E5B8D"/>
    <w:rsid w:val="004E5F12"/>
    <w:rsid w:val="004E7230"/>
    <w:rsid w:val="004E7EED"/>
    <w:rsid w:val="004F01AD"/>
    <w:rsid w:val="004F0367"/>
    <w:rsid w:val="004F0AA9"/>
    <w:rsid w:val="004F0C05"/>
    <w:rsid w:val="004F0C42"/>
    <w:rsid w:val="004F1947"/>
    <w:rsid w:val="004F1EDE"/>
    <w:rsid w:val="004F298C"/>
    <w:rsid w:val="004F428B"/>
    <w:rsid w:val="004F459B"/>
    <w:rsid w:val="004F497F"/>
    <w:rsid w:val="004F4CCE"/>
    <w:rsid w:val="004F4DED"/>
    <w:rsid w:val="004F4E4B"/>
    <w:rsid w:val="004F51E6"/>
    <w:rsid w:val="004F5731"/>
    <w:rsid w:val="004F5B47"/>
    <w:rsid w:val="004F5F1F"/>
    <w:rsid w:val="004F6594"/>
    <w:rsid w:val="004F690F"/>
    <w:rsid w:val="004F71B3"/>
    <w:rsid w:val="004F7653"/>
    <w:rsid w:val="004F7B52"/>
    <w:rsid w:val="004F7D7E"/>
    <w:rsid w:val="00501251"/>
    <w:rsid w:val="00502B31"/>
    <w:rsid w:val="00502EB6"/>
    <w:rsid w:val="00503B89"/>
    <w:rsid w:val="00504436"/>
    <w:rsid w:val="0050473A"/>
    <w:rsid w:val="00504E68"/>
    <w:rsid w:val="0050511C"/>
    <w:rsid w:val="00505311"/>
    <w:rsid w:val="00505331"/>
    <w:rsid w:val="00505784"/>
    <w:rsid w:val="00506426"/>
    <w:rsid w:val="00506C8C"/>
    <w:rsid w:val="00507C41"/>
    <w:rsid w:val="005109CF"/>
    <w:rsid w:val="00511807"/>
    <w:rsid w:val="005120E9"/>
    <w:rsid w:val="00512EA4"/>
    <w:rsid w:val="00513452"/>
    <w:rsid w:val="00514AF3"/>
    <w:rsid w:val="00514C53"/>
    <w:rsid w:val="005152C6"/>
    <w:rsid w:val="00516CE4"/>
    <w:rsid w:val="00520A55"/>
    <w:rsid w:val="00521CC9"/>
    <w:rsid w:val="0052224E"/>
    <w:rsid w:val="005222A8"/>
    <w:rsid w:val="0052251C"/>
    <w:rsid w:val="00523B76"/>
    <w:rsid w:val="00523BAE"/>
    <w:rsid w:val="00523BD6"/>
    <w:rsid w:val="005247BC"/>
    <w:rsid w:val="00525509"/>
    <w:rsid w:val="00525619"/>
    <w:rsid w:val="00525FB7"/>
    <w:rsid w:val="0052619C"/>
    <w:rsid w:val="00526363"/>
    <w:rsid w:val="005269D7"/>
    <w:rsid w:val="00526C50"/>
    <w:rsid w:val="00526FE2"/>
    <w:rsid w:val="005278EB"/>
    <w:rsid w:val="00531FE3"/>
    <w:rsid w:val="005323E5"/>
    <w:rsid w:val="00532F4D"/>
    <w:rsid w:val="00533281"/>
    <w:rsid w:val="00533423"/>
    <w:rsid w:val="00533A65"/>
    <w:rsid w:val="005345CE"/>
    <w:rsid w:val="00534756"/>
    <w:rsid w:val="00534C66"/>
    <w:rsid w:val="00535CBA"/>
    <w:rsid w:val="00535FBB"/>
    <w:rsid w:val="00537225"/>
    <w:rsid w:val="00537AF8"/>
    <w:rsid w:val="00540EFB"/>
    <w:rsid w:val="005415BA"/>
    <w:rsid w:val="00541B9F"/>
    <w:rsid w:val="00541E14"/>
    <w:rsid w:val="0054275F"/>
    <w:rsid w:val="0054296D"/>
    <w:rsid w:val="00542D4A"/>
    <w:rsid w:val="00542DC1"/>
    <w:rsid w:val="00543A61"/>
    <w:rsid w:val="00543B0B"/>
    <w:rsid w:val="00543D92"/>
    <w:rsid w:val="00544600"/>
    <w:rsid w:val="00545336"/>
    <w:rsid w:val="00545411"/>
    <w:rsid w:val="00545A11"/>
    <w:rsid w:val="00545ACD"/>
    <w:rsid w:val="005466C6"/>
    <w:rsid w:val="0054756F"/>
    <w:rsid w:val="0054791F"/>
    <w:rsid w:val="00547A08"/>
    <w:rsid w:val="005503B6"/>
    <w:rsid w:val="005505EF"/>
    <w:rsid w:val="0055095C"/>
    <w:rsid w:val="00550B24"/>
    <w:rsid w:val="00550BDD"/>
    <w:rsid w:val="005513DA"/>
    <w:rsid w:val="005513EF"/>
    <w:rsid w:val="00551411"/>
    <w:rsid w:val="00551F6F"/>
    <w:rsid w:val="00552417"/>
    <w:rsid w:val="00552CEC"/>
    <w:rsid w:val="00552F7A"/>
    <w:rsid w:val="00553A68"/>
    <w:rsid w:val="00553AB6"/>
    <w:rsid w:val="005540BC"/>
    <w:rsid w:val="00554203"/>
    <w:rsid w:val="0055478C"/>
    <w:rsid w:val="00554AF1"/>
    <w:rsid w:val="00555191"/>
    <w:rsid w:val="005551F1"/>
    <w:rsid w:val="00555E7C"/>
    <w:rsid w:val="0055695E"/>
    <w:rsid w:val="00560328"/>
    <w:rsid w:val="00561D54"/>
    <w:rsid w:val="0056207E"/>
    <w:rsid w:val="00562A99"/>
    <w:rsid w:val="00564832"/>
    <w:rsid w:val="00564857"/>
    <w:rsid w:val="005659B6"/>
    <w:rsid w:val="00566498"/>
    <w:rsid w:val="005667ED"/>
    <w:rsid w:val="0056716F"/>
    <w:rsid w:val="0057000B"/>
    <w:rsid w:val="0057023E"/>
    <w:rsid w:val="0057081D"/>
    <w:rsid w:val="00570C5F"/>
    <w:rsid w:val="005718F0"/>
    <w:rsid w:val="00571E87"/>
    <w:rsid w:val="0057324D"/>
    <w:rsid w:val="0057413D"/>
    <w:rsid w:val="00575292"/>
    <w:rsid w:val="00576956"/>
    <w:rsid w:val="00576F7F"/>
    <w:rsid w:val="00581475"/>
    <w:rsid w:val="00581A8D"/>
    <w:rsid w:val="00581C2A"/>
    <w:rsid w:val="00581C4D"/>
    <w:rsid w:val="00581F64"/>
    <w:rsid w:val="00582809"/>
    <w:rsid w:val="00582871"/>
    <w:rsid w:val="0058314B"/>
    <w:rsid w:val="005838F4"/>
    <w:rsid w:val="00583DDD"/>
    <w:rsid w:val="005847BA"/>
    <w:rsid w:val="00585F1F"/>
    <w:rsid w:val="00586CAE"/>
    <w:rsid w:val="00587199"/>
    <w:rsid w:val="0058753F"/>
    <w:rsid w:val="0058776E"/>
    <w:rsid w:val="00587998"/>
    <w:rsid w:val="00587C66"/>
    <w:rsid w:val="00590767"/>
    <w:rsid w:val="0059081C"/>
    <w:rsid w:val="0059085C"/>
    <w:rsid w:val="00590FA9"/>
    <w:rsid w:val="00591F6D"/>
    <w:rsid w:val="00592B23"/>
    <w:rsid w:val="00594248"/>
    <w:rsid w:val="00595169"/>
    <w:rsid w:val="00595604"/>
    <w:rsid w:val="0059695F"/>
    <w:rsid w:val="00596E7C"/>
    <w:rsid w:val="00596FEE"/>
    <w:rsid w:val="005A0246"/>
    <w:rsid w:val="005A05CE"/>
    <w:rsid w:val="005A0A4C"/>
    <w:rsid w:val="005A1605"/>
    <w:rsid w:val="005A20BB"/>
    <w:rsid w:val="005A21FD"/>
    <w:rsid w:val="005A2382"/>
    <w:rsid w:val="005A2C80"/>
    <w:rsid w:val="005A2F3E"/>
    <w:rsid w:val="005A3367"/>
    <w:rsid w:val="005A3C76"/>
    <w:rsid w:val="005A4615"/>
    <w:rsid w:val="005A4D27"/>
    <w:rsid w:val="005A53D1"/>
    <w:rsid w:val="005A5A0B"/>
    <w:rsid w:val="005A5CB5"/>
    <w:rsid w:val="005A5F1F"/>
    <w:rsid w:val="005A6A07"/>
    <w:rsid w:val="005A6C2C"/>
    <w:rsid w:val="005B09CF"/>
    <w:rsid w:val="005B0EFE"/>
    <w:rsid w:val="005B132C"/>
    <w:rsid w:val="005B1606"/>
    <w:rsid w:val="005B1C16"/>
    <w:rsid w:val="005B2B3B"/>
    <w:rsid w:val="005B2DE0"/>
    <w:rsid w:val="005B593C"/>
    <w:rsid w:val="005B5AE4"/>
    <w:rsid w:val="005B6CD0"/>
    <w:rsid w:val="005B70F9"/>
    <w:rsid w:val="005B7236"/>
    <w:rsid w:val="005B72A2"/>
    <w:rsid w:val="005B7354"/>
    <w:rsid w:val="005B7845"/>
    <w:rsid w:val="005B78F0"/>
    <w:rsid w:val="005C04C6"/>
    <w:rsid w:val="005C0621"/>
    <w:rsid w:val="005C165D"/>
    <w:rsid w:val="005C1BE5"/>
    <w:rsid w:val="005C1F9B"/>
    <w:rsid w:val="005C281C"/>
    <w:rsid w:val="005C2F64"/>
    <w:rsid w:val="005C335B"/>
    <w:rsid w:val="005C3F8F"/>
    <w:rsid w:val="005C44F0"/>
    <w:rsid w:val="005C4DFB"/>
    <w:rsid w:val="005D1E16"/>
    <w:rsid w:val="005D235D"/>
    <w:rsid w:val="005D2BFD"/>
    <w:rsid w:val="005D2EBD"/>
    <w:rsid w:val="005D342C"/>
    <w:rsid w:val="005D34AC"/>
    <w:rsid w:val="005D4059"/>
    <w:rsid w:val="005D4E1C"/>
    <w:rsid w:val="005E02E3"/>
    <w:rsid w:val="005E06BF"/>
    <w:rsid w:val="005E14A6"/>
    <w:rsid w:val="005E1F03"/>
    <w:rsid w:val="005E2501"/>
    <w:rsid w:val="005E330C"/>
    <w:rsid w:val="005E34DD"/>
    <w:rsid w:val="005E38C2"/>
    <w:rsid w:val="005E3B52"/>
    <w:rsid w:val="005E3ECF"/>
    <w:rsid w:val="005E405F"/>
    <w:rsid w:val="005E6C1B"/>
    <w:rsid w:val="005E6C54"/>
    <w:rsid w:val="005E6FA2"/>
    <w:rsid w:val="005E6FDF"/>
    <w:rsid w:val="005E7826"/>
    <w:rsid w:val="005E7862"/>
    <w:rsid w:val="005E7D5E"/>
    <w:rsid w:val="005E7EAD"/>
    <w:rsid w:val="005F07F4"/>
    <w:rsid w:val="005F0BED"/>
    <w:rsid w:val="005F173B"/>
    <w:rsid w:val="005F20DE"/>
    <w:rsid w:val="005F2103"/>
    <w:rsid w:val="005F2CE9"/>
    <w:rsid w:val="005F3B8C"/>
    <w:rsid w:val="005F3E82"/>
    <w:rsid w:val="005F4051"/>
    <w:rsid w:val="005F4059"/>
    <w:rsid w:val="005F4AE0"/>
    <w:rsid w:val="005F4AFE"/>
    <w:rsid w:val="005F4FC4"/>
    <w:rsid w:val="005F5DA3"/>
    <w:rsid w:val="005F64CF"/>
    <w:rsid w:val="005F68BE"/>
    <w:rsid w:val="005F69C0"/>
    <w:rsid w:val="005F6BD9"/>
    <w:rsid w:val="005F6FF4"/>
    <w:rsid w:val="005F742B"/>
    <w:rsid w:val="005F7712"/>
    <w:rsid w:val="005F7CB8"/>
    <w:rsid w:val="00600052"/>
    <w:rsid w:val="006001CF"/>
    <w:rsid w:val="006002FA"/>
    <w:rsid w:val="00600350"/>
    <w:rsid w:val="006012B2"/>
    <w:rsid w:val="00601BC3"/>
    <w:rsid w:val="00601DEA"/>
    <w:rsid w:val="0060234A"/>
    <w:rsid w:val="00602D83"/>
    <w:rsid w:val="006032F7"/>
    <w:rsid w:val="00605ADA"/>
    <w:rsid w:val="00606003"/>
    <w:rsid w:val="00606072"/>
    <w:rsid w:val="0060644E"/>
    <w:rsid w:val="006067D2"/>
    <w:rsid w:val="00606AC9"/>
    <w:rsid w:val="00606FA9"/>
    <w:rsid w:val="0060704B"/>
    <w:rsid w:val="00607BA8"/>
    <w:rsid w:val="006100A7"/>
    <w:rsid w:val="00611409"/>
    <w:rsid w:val="006114CD"/>
    <w:rsid w:val="00611931"/>
    <w:rsid w:val="00612002"/>
    <w:rsid w:val="00612969"/>
    <w:rsid w:val="00612B22"/>
    <w:rsid w:val="0061469E"/>
    <w:rsid w:val="00614786"/>
    <w:rsid w:val="00614856"/>
    <w:rsid w:val="00615CB6"/>
    <w:rsid w:val="006164B1"/>
    <w:rsid w:val="00616EA1"/>
    <w:rsid w:val="0061750F"/>
    <w:rsid w:val="0061792E"/>
    <w:rsid w:val="00617A94"/>
    <w:rsid w:val="00617B1B"/>
    <w:rsid w:val="00617FA9"/>
    <w:rsid w:val="006207E2"/>
    <w:rsid w:val="0062270B"/>
    <w:rsid w:val="00623748"/>
    <w:rsid w:val="00623B2C"/>
    <w:rsid w:val="00623E9D"/>
    <w:rsid w:val="00624D8A"/>
    <w:rsid w:val="00625A74"/>
    <w:rsid w:val="00625C1A"/>
    <w:rsid w:val="006262E0"/>
    <w:rsid w:val="006262E8"/>
    <w:rsid w:val="0062650D"/>
    <w:rsid w:val="0062676A"/>
    <w:rsid w:val="00627DE0"/>
    <w:rsid w:val="00627F91"/>
    <w:rsid w:val="0063041D"/>
    <w:rsid w:val="006309B6"/>
    <w:rsid w:val="00630DD8"/>
    <w:rsid w:val="0063199C"/>
    <w:rsid w:val="0063206F"/>
    <w:rsid w:val="00632387"/>
    <w:rsid w:val="0063276C"/>
    <w:rsid w:val="00632C82"/>
    <w:rsid w:val="006332CE"/>
    <w:rsid w:val="00633B6B"/>
    <w:rsid w:val="00633DED"/>
    <w:rsid w:val="006347BD"/>
    <w:rsid w:val="00634D6E"/>
    <w:rsid w:val="00634E2E"/>
    <w:rsid w:val="006353AB"/>
    <w:rsid w:val="0063585D"/>
    <w:rsid w:val="00637177"/>
    <w:rsid w:val="006373AA"/>
    <w:rsid w:val="0063747E"/>
    <w:rsid w:val="00637F8C"/>
    <w:rsid w:val="00640720"/>
    <w:rsid w:val="00640893"/>
    <w:rsid w:val="00640E75"/>
    <w:rsid w:val="00640F53"/>
    <w:rsid w:val="006418A0"/>
    <w:rsid w:val="0064332C"/>
    <w:rsid w:val="00643373"/>
    <w:rsid w:val="0064344D"/>
    <w:rsid w:val="00644134"/>
    <w:rsid w:val="00644BE9"/>
    <w:rsid w:val="006450CB"/>
    <w:rsid w:val="006457C3"/>
    <w:rsid w:val="006477A0"/>
    <w:rsid w:val="006477C0"/>
    <w:rsid w:val="006477DF"/>
    <w:rsid w:val="00650351"/>
    <w:rsid w:val="00650529"/>
    <w:rsid w:val="00650B62"/>
    <w:rsid w:val="00650DDA"/>
    <w:rsid w:val="0065110D"/>
    <w:rsid w:val="0065131E"/>
    <w:rsid w:val="0065239A"/>
    <w:rsid w:val="00652436"/>
    <w:rsid w:val="006527F6"/>
    <w:rsid w:val="00652FC9"/>
    <w:rsid w:val="00653461"/>
    <w:rsid w:val="00653497"/>
    <w:rsid w:val="006552A1"/>
    <w:rsid w:val="00655660"/>
    <w:rsid w:val="006557AB"/>
    <w:rsid w:val="00656126"/>
    <w:rsid w:val="00656330"/>
    <w:rsid w:val="006565FA"/>
    <w:rsid w:val="00656E9A"/>
    <w:rsid w:val="006571E8"/>
    <w:rsid w:val="006576D1"/>
    <w:rsid w:val="00657A7C"/>
    <w:rsid w:val="0066052F"/>
    <w:rsid w:val="006609EC"/>
    <w:rsid w:val="00660E36"/>
    <w:rsid w:val="00661627"/>
    <w:rsid w:val="006616E8"/>
    <w:rsid w:val="00661E72"/>
    <w:rsid w:val="00661EAA"/>
    <w:rsid w:val="006629DF"/>
    <w:rsid w:val="0066362F"/>
    <w:rsid w:val="0066466F"/>
    <w:rsid w:val="00664698"/>
    <w:rsid w:val="00664779"/>
    <w:rsid w:val="00664842"/>
    <w:rsid w:val="00664D10"/>
    <w:rsid w:val="00665C5A"/>
    <w:rsid w:val="00666921"/>
    <w:rsid w:val="00666922"/>
    <w:rsid w:val="00666960"/>
    <w:rsid w:val="006678B4"/>
    <w:rsid w:val="00667FDD"/>
    <w:rsid w:val="00670350"/>
    <w:rsid w:val="00670418"/>
    <w:rsid w:val="00670AF3"/>
    <w:rsid w:val="00670C75"/>
    <w:rsid w:val="00670E2B"/>
    <w:rsid w:val="00670FB5"/>
    <w:rsid w:val="00671134"/>
    <w:rsid w:val="006712DF"/>
    <w:rsid w:val="00671467"/>
    <w:rsid w:val="00671F48"/>
    <w:rsid w:val="00672128"/>
    <w:rsid w:val="00673C77"/>
    <w:rsid w:val="00674224"/>
    <w:rsid w:val="00675897"/>
    <w:rsid w:val="00675BB4"/>
    <w:rsid w:val="00676868"/>
    <w:rsid w:val="006779CB"/>
    <w:rsid w:val="00677DF7"/>
    <w:rsid w:val="00680516"/>
    <w:rsid w:val="006816CE"/>
    <w:rsid w:val="006817BA"/>
    <w:rsid w:val="00681C30"/>
    <w:rsid w:val="006835FF"/>
    <w:rsid w:val="00683663"/>
    <w:rsid w:val="00683B98"/>
    <w:rsid w:val="00684AFC"/>
    <w:rsid w:val="006852B1"/>
    <w:rsid w:val="0068540A"/>
    <w:rsid w:val="00685E3C"/>
    <w:rsid w:val="00686571"/>
    <w:rsid w:val="00686610"/>
    <w:rsid w:val="00686CC6"/>
    <w:rsid w:val="006873C9"/>
    <w:rsid w:val="00690127"/>
    <w:rsid w:val="00690613"/>
    <w:rsid w:val="006918B1"/>
    <w:rsid w:val="0069313E"/>
    <w:rsid w:val="0069474C"/>
    <w:rsid w:val="00694FCC"/>
    <w:rsid w:val="00695139"/>
    <w:rsid w:val="006951A3"/>
    <w:rsid w:val="00695A74"/>
    <w:rsid w:val="00695D7D"/>
    <w:rsid w:val="006970C3"/>
    <w:rsid w:val="0069714F"/>
    <w:rsid w:val="00697B44"/>
    <w:rsid w:val="006A04AD"/>
    <w:rsid w:val="006A059B"/>
    <w:rsid w:val="006A074F"/>
    <w:rsid w:val="006A0AAF"/>
    <w:rsid w:val="006A0AF3"/>
    <w:rsid w:val="006A0E3F"/>
    <w:rsid w:val="006A155F"/>
    <w:rsid w:val="006A183E"/>
    <w:rsid w:val="006A1DCE"/>
    <w:rsid w:val="006A1E52"/>
    <w:rsid w:val="006A28A1"/>
    <w:rsid w:val="006A290E"/>
    <w:rsid w:val="006A2E7D"/>
    <w:rsid w:val="006A2E83"/>
    <w:rsid w:val="006A3338"/>
    <w:rsid w:val="006A3986"/>
    <w:rsid w:val="006A471C"/>
    <w:rsid w:val="006A49EF"/>
    <w:rsid w:val="006A539F"/>
    <w:rsid w:val="006A5712"/>
    <w:rsid w:val="006A57EB"/>
    <w:rsid w:val="006A5982"/>
    <w:rsid w:val="006A5C95"/>
    <w:rsid w:val="006A5F97"/>
    <w:rsid w:val="006A5FCB"/>
    <w:rsid w:val="006A6F0C"/>
    <w:rsid w:val="006B0550"/>
    <w:rsid w:val="006B16C3"/>
    <w:rsid w:val="006B194C"/>
    <w:rsid w:val="006B1A4D"/>
    <w:rsid w:val="006B2EFE"/>
    <w:rsid w:val="006B323F"/>
    <w:rsid w:val="006B3678"/>
    <w:rsid w:val="006B4853"/>
    <w:rsid w:val="006B4BA9"/>
    <w:rsid w:val="006B503D"/>
    <w:rsid w:val="006B5F21"/>
    <w:rsid w:val="006B6178"/>
    <w:rsid w:val="006B6585"/>
    <w:rsid w:val="006B67E3"/>
    <w:rsid w:val="006B7264"/>
    <w:rsid w:val="006B7311"/>
    <w:rsid w:val="006B740A"/>
    <w:rsid w:val="006C097E"/>
    <w:rsid w:val="006C162F"/>
    <w:rsid w:val="006C16C4"/>
    <w:rsid w:val="006C1A04"/>
    <w:rsid w:val="006C3C18"/>
    <w:rsid w:val="006C3C1C"/>
    <w:rsid w:val="006C3DD3"/>
    <w:rsid w:val="006C406E"/>
    <w:rsid w:val="006C4092"/>
    <w:rsid w:val="006C474E"/>
    <w:rsid w:val="006C4793"/>
    <w:rsid w:val="006C4C65"/>
    <w:rsid w:val="006C4E42"/>
    <w:rsid w:val="006C5D4E"/>
    <w:rsid w:val="006C5EB0"/>
    <w:rsid w:val="006C6435"/>
    <w:rsid w:val="006C65A3"/>
    <w:rsid w:val="006C6736"/>
    <w:rsid w:val="006C6A06"/>
    <w:rsid w:val="006C7ED4"/>
    <w:rsid w:val="006D0D3D"/>
    <w:rsid w:val="006D0E98"/>
    <w:rsid w:val="006D1751"/>
    <w:rsid w:val="006D2037"/>
    <w:rsid w:val="006D2554"/>
    <w:rsid w:val="006D2A96"/>
    <w:rsid w:val="006D2C77"/>
    <w:rsid w:val="006D2F7B"/>
    <w:rsid w:val="006D360C"/>
    <w:rsid w:val="006D3921"/>
    <w:rsid w:val="006D4B1A"/>
    <w:rsid w:val="006D4EC9"/>
    <w:rsid w:val="006D5D1E"/>
    <w:rsid w:val="006D7CF5"/>
    <w:rsid w:val="006E0094"/>
    <w:rsid w:val="006E0517"/>
    <w:rsid w:val="006E060C"/>
    <w:rsid w:val="006E0CC3"/>
    <w:rsid w:val="006E1152"/>
    <w:rsid w:val="006E1541"/>
    <w:rsid w:val="006E1D85"/>
    <w:rsid w:val="006E2EED"/>
    <w:rsid w:val="006E3356"/>
    <w:rsid w:val="006E3C76"/>
    <w:rsid w:val="006E4095"/>
    <w:rsid w:val="006E4546"/>
    <w:rsid w:val="006E4B55"/>
    <w:rsid w:val="006E5053"/>
    <w:rsid w:val="006E53E5"/>
    <w:rsid w:val="006E6E79"/>
    <w:rsid w:val="006E7094"/>
    <w:rsid w:val="006E7372"/>
    <w:rsid w:val="006F0137"/>
    <w:rsid w:val="006F0EA1"/>
    <w:rsid w:val="006F1806"/>
    <w:rsid w:val="006F188B"/>
    <w:rsid w:val="006F214B"/>
    <w:rsid w:val="006F2752"/>
    <w:rsid w:val="006F28C9"/>
    <w:rsid w:val="006F2925"/>
    <w:rsid w:val="006F2C8E"/>
    <w:rsid w:val="006F3364"/>
    <w:rsid w:val="006F34FB"/>
    <w:rsid w:val="006F3A2E"/>
    <w:rsid w:val="006F458D"/>
    <w:rsid w:val="006F46BC"/>
    <w:rsid w:val="006F4A53"/>
    <w:rsid w:val="006F4B9E"/>
    <w:rsid w:val="006F4D5A"/>
    <w:rsid w:val="006F51C7"/>
    <w:rsid w:val="006F5272"/>
    <w:rsid w:val="006F59FB"/>
    <w:rsid w:val="006F5E36"/>
    <w:rsid w:val="006F6593"/>
    <w:rsid w:val="006F682B"/>
    <w:rsid w:val="006F7057"/>
    <w:rsid w:val="006F7663"/>
    <w:rsid w:val="0070028C"/>
    <w:rsid w:val="00700455"/>
    <w:rsid w:val="00700542"/>
    <w:rsid w:val="007006C8"/>
    <w:rsid w:val="0070138D"/>
    <w:rsid w:val="00701ECF"/>
    <w:rsid w:val="007024D0"/>
    <w:rsid w:val="00702815"/>
    <w:rsid w:val="00702BE5"/>
    <w:rsid w:val="00703E08"/>
    <w:rsid w:val="007041BF"/>
    <w:rsid w:val="007057CF"/>
    <w:rsid w:val="007060F6"/>
    <w:rsid w:val="00706115"/>
    <w:rsid w:val="00706874"/>
    <w:rsid w:val="007072D5"/>
    <w:rsid w:val="00707EDE"/>
    <w:rsid w:val="007106CB"/>
    <w:rsid w:val="00710B87"/>
    <w:rsid w:val="007111E4"/>
    <w:rsid w:val="00711355"/>
    <w:rsid w:val="007119CC"/>
    <w:rsid w:val="00711D04"/>
    <w:rsid w:val="00713018"/>
    <w:rsid w:val="007135A8"/>
    <w:rsid w:val="00713784"/>
    <w:rsid w:val="007140E4"/>
    <w:rsid w:val="00714470"/>
    <w:rsid w:val="0071488F"/>
    <w:rsid w:val="00715367"/>
    <w:rsid w:val="00715AE5"/>
    <w:rsid w:val="00716208"/>
    <w:rsid w:val="00717106"/>
    <w:rsid w:val="00717222"/>
    <w:rsid w:val="007177B8"/>
    <w:rsid w:val="0071792C"/>
    <w:rsid w:val="00717BEA"/>
    <w:rsid w:val="00717F6E"/>
    <w:rsid w:val="00721065"/>
    <w:rsid w:val="007212CB"/>
    <w:rsid w:val="007219FC"/>
    <w:rsid w:val="00721A3F"/>
    <w:rsid w:val="007225DB"/>
    <w:rsid w:val="00722D39"/>
    <w:rsid w:val="007238E5"/>
    <w:rsid w:val="0072434C"/>
    <w:rsid w:val="00724AB4"/>
    <w:rsid w:val="007262B5"/>
    <w:rsid w:val="00726A5B"/>
    <w:rsid w:val="00726AF7"/>
    <w:rsid w:val="00726B88"/>
    <w:rsid w:val="00727C2A"/>
    <w:rsid w:val="00730AF1"/>
    <w:rsid w:val="00730E59"/>
    <w:rsid w:val="00731A53"/>
    <w:rsid w:val="00731EC8"/>
    <w:rsid w:val="007324B5"/>
    <w:rsid w:val="007329E5"/>
    <w:rsid w:val="00732B83"/>
    <w:rsid w:val="00732CA5"/>
    <w:rsid w:val="00732F53"/>
    <w:rsid w:val="007331CF"/>
    <w:rsid w:val="007332D1"/>
    <w:rsid w:val="0073425A"/>
    <w:rsid w:val="007345EE"/>
    <w:rsid w:val="007347D2"/>
    <w:rsid w:val="00734E5C"/>
    <w:rsid w:val="007350E4"/>
    <w:rsid w:val="00737A36"/>
    <w:rsid w:val="007400F4"/>
    <w:rsid w:val="00740316"/>
    <w:rsid w:val="0074077C"/>
    <w:rsid w:val="0074116A"/>
    <w:rsid w:val="00741352"/>
    <w:rsid w:val="007413FA"/>
    <w:rsid w:val="00741B8B"/>
    <w:rsid w:val="007423C6"/>
    <w:rsid w:val="007424A2"/>
    <w:rsid w:val="00742A4D"/>
    <w:rsid w:val="007432DC"/>
    <w:rsid w:val="00743674"/>
    <w:rsid w:val="007436D6"/>
    <w:rsid w:val="0074386D"/>
    <w:rsid w:val="00743A9C"/>
    <w:rsid w:val="00743E7C"/>
    <w:rsid w:val="007441B9"/>
    <w:rsid w:val="00744523"/>
    <w:rsid w:val="00745C03"/>
    <w:rsid w:val="007460B6"/>
    <w:rsid w:val="007463E0"/>
    <w:rsid w:val="00746573"/>
    <w:rsid w:val="0074673D"/>
    <w:rsid w:val="00746B9D"/>
    <w:rsid w:val="00746BE7"/>
    <w:rsid w:val="007470CE"/>
    <w:rsid w:val="007470D9"/>
    <w:rsid w:val="0075125B"/>
    <w:rsid w:val="007515AA"/>
    <w:rsid w:val="00751DF3"/>
    <w:rsid w:val="00752370"/>
    <w:rsid w:val="00752449"/>
    <w:rsid w:val="0075248C"/>
    <w:rsid w:val="00752A40"/>
    <w:rsid w:val="00752CED"/>
    <w:rsid w:val="00753CEF"/>
    <w:rsid w:val="00753D47"/>
    <w:rsid w:val="00753ED2"/>
    <w:rsid w:val="0075446F"/>
    <w:rsid w:val="00754C01"/>
    <w:rsid w:val="00754E60"/>
    <w:rsid w:val="00754F10"/>
    <w:rsid w:val="00755483"/>
    <w:rsid w:val="00755DC8"/>
    <w:rsid w:val="0075623F"/>
    <w:rsid w:val="00756C82"/>
    <w:rsid w:val="0076032D"/>
    <w:rsid w:val="00760934"/>
    <w:rsid w:val="00760D2A"/>
    <w:rsid w:val="007610BB"/>
    <w:rsid w:val="00761BE4"/>
    <w:rsid w:val="0076268E"/>
    <w:rsid w:val="00764000"/>
    <w:rsid w:val="00764C35"/>
    <w:rsid w:val="00765478"/>
    <w:rsid w:val="0076572E"/>
    <w:rsid w:val="007657D6"/>
    <w:rsid w:val="00765EAF"/>
    <w:rsid w:val="007664A9"/>
    <w:rsid w:val="007664C8"/>
    <w:rsid w:val="00766930"/>
    <w:rsid w:val="00766D9B"/>
    <w:rsid w:val="007678F7"/>
    <w:rsid w:val="00767E97"/>
    <w:rsid w:val="00771043"/>
    <w:rsid w:val="00771ED9"/>
    <w:rsid w:val="007723BB"/>
    <w:rsid w:val="007725D6"/>
    <w:rsid w:val="007726F2"/>
    <w:rsid w:val="007733F2"/>
    <w:rsid w:val="00774D40"/>
    <w:rsid w:val="00774FA8"/>
    <w:rsid w:val="00776E70"/>
    <w:rsid w:val="00777291"/>
    <w:rsid w:val="007775B9"/>
    <w:rsid w:val="00777695"/>
    <w:rsid w:val="007811DF"/>
    <w:rsid w:val="00781CB1"/>
    <w:rsid w:val="00782203"/>
    <w:rsid w:val="00782BD4"/>
    <w:rsid w:val="007842D5"/>
    <w:rsid w:val="0078478F"/>
    <w:rsid w:val="00784949"/>
    <w:rsid w:val="00784F3C"/>
    <w:rsid w:val="007853C7"/>
    <w:rsid w:val="00785622"/>
    <w:rsid w:val="00785B50"/>
    <w:rsid w:val="00785C12"/>
    <w:rsid w:val="00785D5A"/>
    <w:rsid w:val="0078636D"/>
    <w:rsid w:val="0078689C"/>
    <w:rsid w:val="00786BCE"/>
    <w:rsid w:val="007878FA"/>
    <w:rsid w:val="007901CE"/>
    <w:rsid w:val="007907ED"/>
    <w:rsid w:val="007909FE"/>
    <w:rsid w:val="00790EF4"/>
    <w:rsid w:val="00791203"/>
    <w:rsid w:val="007915F3"/>
    <w:rsid w:val="00791BFD"/>
    <w:rsid w:val="00791DF9"/>
    <w:rsid w:val="00792106"/>
    <w:rsid w:val="00792A80"/>
    <w:rsid w:val="00792D0E"/>
    <w:rsid w:val="00792D55"/>
    <w:rsid w:val="007935C0"/>
    <w:rsid w:val="007939F5"/>
    <w:rsid w:val="00794031"/>
    <w:rsid w:val="007945AE"/>
    <w:rsid w:val="00795189"/>
    <w:rsid w:val="00795537"/>
    <w:rsid w:val="0079754E"/>
    <w:rsid w:val="007A0066"/>
    <w:rsid w:val="007A0B7D"/>
    <w:rsid w:val="007A0F42"/>
    <w:rsid w:val="007A19DC"/>
    <w:rsid w:val="007A21AF"/>
    <w:rsid w:val="007A22C7"/>
    <w:rsid w:val="007A28F8"/>
    <w:rsid w:val="007A2A99"/>
    <w:rsid w:val="007A2D92"/>
    <w:rsid w:val="007A32E6"/>
    <w:rsid w:val="007A343E"/>
    <w:rsid w:val="007A4286"/>
    <w:rsid w:val="007A4555"/>
    <w:rsid w:val="007A4B00"/>
    <w:rsid w:val="007A4D88"/>
    <w:rsid w:val="007A541B"/>
    <w:rsid w:val="007A615F"/>
    <w:rsid w:val="007A67A9"/>
    <w:rsid w:val="007A7173"/>
    <w:rsid w:val="007A7790"/>
    <w:rsid w:val="007A7820"/>
    <w:rsid w:val="007B1153"/>
    <w:rsid w:val="007B158C"/>
    <w:rsid w:val="007B185E"/>
    <w:rsid w:val="007B1868"/>
    <w:rsid w:val="007B1E77"/>
    <w:rsid w:val="007B2DF9"/>
    <w:rsid w:val="007B3038"/>
    <w:rsid w:val="007B3848"/>
    <w:rsid w:val="007B4BF1"/>
    <w:rsid w:val="007B5656"/>
    <w:rsid w:val="007B5D6B"/>
    <w:rsid w:val="007B7296"/>
    <w:rsid w:val="007B7543"/>
    <w:rsid w:val="007B7F63"/>
    <w:rsid w:val="007C01CF"/>
    <w:rsid w:val="007C01F4"/>
    <w:rsid w:val="007C0213"/>
    <w:rsid w:val="007C063D"/>
    <w:rsid w:val="007C0C90"/>
    <w:rsid w:val="007C0D5E"/>
    <w:rsid w:val="007C1151"/>
    <w:rsid w:val="007C141F"/>
    <w:rsid w:val="007C16DB"/>
    <w:rsid w:val="007C175F"/>
    <w:rsid w:val="007C1ECE"/>
    <w:rsid w:val="007C22B4"/>
    <w:rsid w:val="007C3043"/>
    <w:rsid w:val="007C3682"/>
    <w:rsid w:val="007C47FB"/>
    <w:rsid w:val="007C5830"/>
    <w:rsid w:val="007C623C"/>
    <w:rsid w:val="007C6259"/>
    <w:rsid w:val="007C63CC"/>
    <w:rsid w:val="007C659C"/>
    <w:rsid w:val="007C688D"/>
    <w:rsid w:val="007C6B5C"/>
    <w:rsid w:val="007C773C"/>
    <w:rsid w:val="007D05EE"/>
    <w:rsid w:val="007D1F34"/>
    <w:rsid w:val="007D2609"/>
    <w:rsid w:val="007D3059"/>
    <w:rsid w:val="007D3167"/>
    <w:rsid w:val="007D6459"/>
    <w:rsid w:val="007D6B02"/>
    <w:rsid w:val="007D6F64"/>
    <w:rsid w:val="007D73D9"/>
    <w:rsid w:val="007D7B79"/>
    <w:rsid w:val="007E05D2"/>
    <w:rsid w:val="007E1D99"/>
    <w:rsid w:val="007E242D"/>
    <w:rsid w:val="007E24CF"/>
    <w:rsid w:val="007E25CA"/>
    <w:rsid w:val="007E399A"/>
    <w:rsid w:val="007E3BAB"/>
    <w:rsid w:val="007E3D62"/>
    <w:rsid w:val="007E3E83"/>
    <w:rsid w:val="007E3EFF"/>
    <w:rsid w:val="007E4732"/>
    <w:rsid w:val="007E491B"/>
    <w:rsid w:val="007E4DFE"/>
    <w:rsid w:val="007E5138"/>
    <w:rsid w:val="007E55C2"/>
    <w:rsid w:val="007E6025"/>
    <w:rsid w:val="007E6AF1"/>
    <w:rsid w:val="007E6B0A"/>
    <w:rsid w:val="007E6BF5"/>
    <w:rsid w:val="007E70CB"/>
    <w:rsid w:val="007E7B3D"/>
    <w:rsid w:val="007F02EE"/>
    <w:rsid w:val="007F0320"/>
    <w:rsid w:val="007F109F"/>
    <w:rsid w:val="007F14BD"/>
    <w:rsid w:val="007F22D5"/>
    <w:rsid w:val="007F2826"/>
    <w:rsid w:val="007F2882"/>
    <w:rsid w:val="007F28C9"/>
    <w:rsid w:val="007F3D3D"/>
    <w:rsid w:val="007F3F17"/>
    <w:rsid w:val="007F4910"/>
    <w:rsid w:val="007F511E"/>
    <w:rsid w:val="007F5381"/>
    <w:rsid w:val="007F5BC9"/>
    <w:rsid w:val="007F733A"/>
    <w:rsid w:val="007F771A"/>
    <w:rsid w:val="007F7A44"/>
    <w:rsid w:val="007F7CBB"/>
    <w:rsid w:val="00800203"/>
    <w:rsid w:val="00800718"/>
    <w:rsid w:val="0080153A"/>
    <w:rsid w:val="008021EE"/>
    <w:rsid w:val="00802C91"/>
    <w:rsid w:val="00802E7E"/>
    <w:rsid w:val="008041C4"/>
    <w:rsid w:val="008043F6"/>
    <w:rsid w:val="008047C4"/>
    <w:rsid w:val="008055BA"/>
    <w:rsid w:val="00806319"/>
    <w:rsid w:val="00806755"/>
    <w:rsid w:val="008107E9"/>
    <w:rsid w:val="00810AA5"/>
    <w:rsid w:val="00810AB0"/>
    <w:rsid w:val="00810FF2"/>
    <w:rsid w:val="00811679"/>
    <w:rsid w:val="00811887"/>
    <w:rsid w:val="00811B05"/>
    <w:rsid w:val="008128F1"/>
    <w:rsid w:val="008131BD"/>
    <w:rsid w:val="00813447"/>
    <w:rsid w:val="008135C0"/>
    <w:rsid w:val="00813FCB"/>
    <w:rsid w:val="00814182"/>
    <w:rsid w:val="008151C0"/>
    <w:rsid w:val="0081572F"/>
    <w:rsid w:val="008159DA"/>
    <w:rsid w:val="0081644B"/>
    <w:rsid w:val="008168A4"/>
    <w:rsid w:val="00817E7E"/>
    <w:rsid w:val="0082079B"/>
    <w:rsid w:val="008222B5"/>
    <w:rsid w:val="008223F9"/>
    <w:rsid w:val="00823A70"/>
    <w:rsid w:val="008255AA"/>
    <w:rsid w:val="00825806"/>
    <w:rsid w:val="00826755"/>
    <w:rsid w:val="0082682A"/>
    <w:rsid w:val="00826ECC"/>
    <w:rsid w:val="00827116"/>
    <w:rsid w:val="0082753B"/>
    <w:rsid w:val="00827F4B"/>
    <w:rsid w:val="00827FE6"/>
    <w:rsid w:val="00830516"/>
    <w:rsid w:val="0083056A"/>
    <w:rsid w:val="008306BB"/>
    <w:rsid w:val="0083131D"/>
    <w:rsid w:val="0083149C"/>
    <w:rsid w:val="00831779"/>
    <w:rsid w:val="00831CDF"/>
    <w:rsid w:val="00831FB7"/>
    <w:rsid w:val="0083202C"/>
    <w:rsid w:val="008326C3"/>
    <w:rsid w:val="008337E7"/>
    <w:rsid w:val="00834C88"/>
    <w:rsid w:val="00834FEE"/>
    <w:rsid w:val="0083531E"/>
    <w:rsid w:val="008353EA"/>
    <w:rsid w:val="0083617F"/>
    <w:rsid w:val="008362B1"/>
    <w:rsid w:val="00836CEC"/>
    <w:rsid w:val="008374D2"/>
    <w:rsid w:val="008375A1"/>
    <w:rsid w:val="0084005F"/>
    <w:rsid w:val="0084013E"/>
    <w:rsid w:val="00840CDA"/>
    <w:rsid w:val="008415A0"/>
    <w:rsid w:val="00841F92"/>
    <w:rsid w:val="0084231F"/>
    <w:rsid w:val="0084235F"/>
    <w:rsid w:val="00844429"/>
    <w:rsid w:val="00844961"/>
    <w:rsid w:val="00844B97"/>
    <w:rsid w:val="00844C27"/>
    <w:rsid w:val="00844FBC"/>
    <w:rsid w:val="00845299"/>
    <w:rsid w:val="008453A2"/>
    <w:rsid w:val="008456A1"/>
    <w:rsid w:val="0084617D"/>
    <w:rsid w:val="0084622C"/>
    <w:rsid w:val="00846BF5"/>
    <w:rsid w:val="0084741C"/>
    <w:rsid w:val="00847666"/>
    <w:rsid w:val="008477C9"/>
    <w:rsid w:val="00847A28"/>
    <w:rsid w:val="00847A7C"/>
    <w:rsid w:val="00850208"/>
    <w:rsid w:val="00850CC3"/>
    <w:rsid w:val="00851851"/>
    <w:rsid w:val="0085202C"/>
    <w:rsid w:val="00853318"/>
    <w:rsid w:val="008533BD"/>
    <w:rsid w:val="008545AD"/>
    <w:rsid w:val="00855034"/>
    <w:rsid w:val="00855883"/>
    <w:rsid w:val="00855D21"/>
    <w:rsid w:val="0085663B"/>
    <w:rsid w:val="00856746"/>
    <w:rsid w:val="00857042"/>
    <w:rsid w:val="0085758D"/>
    <w:rsid w:val="008579EF"/>
    <w:rsid w:val="00857EF2"/>
    <w:rsid w:val="008600F4"/>
    <w:rsid w:val="00860230"/>
    <w:rsid w:val="00860A31"/>
    <w:rsid w:val="008613F3"/>
    <w:rsid w:val="008623D3"/>
    <w:rsid w:val="0086263F"/>
    <w:rsid w:val="00862710"/>
    <w:rsid w:val="00862841"/>
    <w:rsid w:val="0086290C"/>
    <w:rsid w:val="0086367A"/>
    <w:rsid w:val="00863EF9"/>
    <w:rsid w:val="008649E1"/>
    <w:rsid w:val="008657E1"/>
    <w:rsid w:val="00865CD5"/>
    <w:rsid w:val="00866306"/>
    <w:rsid w:val="008668EE"/>
    <w:rsid w:val="00866DC1"/>
    <w:rsid w:val="008673F5"/>
    <w:rsid w:val="008678C0"/>
    <w:rsid w:val="00867B5E"/>
    <w:rsid w:val="00867E81"/>
    <w:rsid w:val="008702E0"/>
    <w:rsid w:val="008704E1"/>
    <w:rsid w:val="00870CC7"/>
    <w:rsid w:val="008718FA"/>
    <w:rsid w:val="00871B17"/>
    <w:rsid w:val="00872C6C"/>
    <w:rsid w:val="00872FFC"/>
    <w:rsid w:val="0087339A"/>
    <w:rsid w:val="00873630"/>
    <w:rsid w:val="00873650"/>
    <w:rsid w:val="00874520"/>
    <w:rsid w:val="00875686"/>
    <w:rsid w:val="00876378"/>
    <w:rsid w:val="008768E5"/>
    <w:rsid w:val="00877EC2"/>
    <w:rsid w:val="00880671"/>
    <w:rsid w:val="00880CFE"/>
    <w:rsid w:val="00881201"/>
    <w:rsid w:val="00881397"/>
    <w:rsid w:val="008814C4"/>
    <w:rsid w:val="00881D10"/>
    <w:rsid w:val="00882020"/>
    <w:rsid w:val="00882EAB"/>
    <w:rsid w:val="00883908"/>
    <w:rsid w:val="00883DC3"/>
    <w:rsid w:val="00883F14"/>
    <w:rsid w:val="00886F0C"/>
    <w:rsid w:val="008877E0"/>
    <w:rsid w:val="00887AF9"/>
    <w:rsid w:val="00890150"/>
    <w:rsid w:val="0089059F"/>
    <w:rsid w:val="00890B86"/>
    <w:rsid w:val="00890C57"/>
    <w:rsid w:val="008913FE"/>
    <w:rsid w:val="00891B6E"/>
    <w:rsid w:val="00891E17"/>
    <w:rsid w:val="008927B1"/>
    <w:rsid w:val="00892C78"/>
    <w:rsid w:val="008933D9"/>
    <w:rsid w:val="008937FC"/>
    <w:rsid w:val="008938C3"/>
    <w:rsid w:val="00894C4E"/>
    <w:rsid w:val="0089610A"/>
    <w:rsid w:val="008968FD"/>
    <w:rsid w:val="008969E8"/>
    <w:rsid w:val="00896A8F"/>
    <w:rsid w:val="00896CC2"/>
    <w:rsid w:val="00897146"/>
    <w:rsid w:val="008976C2"/>
    <w:rsid w:val="00897948"/>
    <w:rsid w:val="008979D5"/>
    <w:rsid w:val="008A0E4B"/>
    <w:rsid w:val="008A0F8E"/>
    <w:rsid w:val="008A1197"/>
    <w:rsid w:val="008A19AC"/>
    <w:rsid w:val="008A207A"/>
    <w:rsid w:val="008A2BF2"/>
    <w:rsid w:val="008A2E5D"/>
    <w:rsid w:val="008A305C"/>
    <w:rsid w:val="008A36AA"/>
    <w:rsid w:val="008A37B1"/>
    <w:rsid w:val="008A3D65"/>
    <w:rsid w:val="008A4B4D"/>
    <w:rsid w:val="008A5FAB"/>
    <w:rsid w:val="008A608A"/>
    <w:rsid w:val="008A666C"/>
    <w:rsid w:val="008A6AB1"/>
    <w:rsid w:val="008A7938"/>
    <w:rsid w:val="008A7A96"/>
    <w:rsid w:val="008A7AF1"/>
    <w:rsid w:val="008A7E2A"/>
    <w:rsid w:val="008A7F48"/>
    <w:rsid w:val="008B0429"/>
    <w:rsid w:val="008B0BBC"/>
    <w:rsid w:val="008B0CFD"/>
    <w:rsid w:val="008B0E57"/>
    <w:rsid w:val="008B329B"/>
    <w:rsid w:val="008B3707"/>
    <w:rsid w:val="008B45C5"/>
    <w:rsid w:val="008B46B4"/>
    <w:rsid w:val="008B4841"/>
    <w:rsid w:val="008B4DC6"/>
    <w:rsid w:val="008B4EDA"/>
    <w:rsid w:val="008B530C"/>
    <w:rsid w:val="008B5456"/>
    <w:rsid w:val="008B61FE"/>
    <w:rsid w:val="008B746A"/>
    <w:rsid w:val="008B7973"/>
    <w:rsid w:val="008B7BF0"/>
    <w:rsid w:val="008C018E"/>
    <w:rsid w:val="008C0D10"/>
    <w:rsid w:val="008C1001"/>
    <w:rsid w:val="008C11CD"/>
    <w:rsid w:val="008C1847"/>
    <w:rsid w:val="008C1CFA"/>
    <w:rsid w:val="008C3D40"/>
    <w:rsid w:val="008C4234"/>
    <w:rsid w:val="008C4362"/>
    <w:rsid w:val="008C4839"/>
    <w:rsid w:val="008C4D4B"/>
    <w:rsid w:val="008C5194"/>
    <w:rsid w:val="008C6210"/>
    <w:rsid w:val="008C6B1D"/>
    <w:rsid w:val="008C6C35"/>
    <w:rsid w:val="008C6E88"/>
    <w:rsid w:val="008C72C5"/>
    <w:rsid w:val="008C776C"/>
    <w:rsid w:val="008C7D01"/>
    <w:rsid w:val="008C7DE0"/>
    <w:rsid w:val="008C7EC2"/>
    <w:rsid w:val="008D06B5"/>
    <w:rsid w:val="008D0753"/>
    <w:rsid w:val="008D16C1"/>
    <w:rsid w:val="008D2885"/>
    <w:rsid w:val="008D28E3"/>
    <w:rsid w:val="008D3FCA"/>
    <w:rsid w:val="008D4CAC"/>
    <w:rsid w:val="008D4F50"/>
    <w:rsid w:val="008D6223"/>
    <w:rsid w:val="008D6365"/>
    <w:rsid w:val="008D6D01"/>
    <w:rsid w:val="008D6E80"/>
    <w:rsid w:val="008D7407"/>
    <w:rsid w:val="008E06EE"/>
    <w:rsid w:val="008E278F"/>
    <w:rsid w:val="008E2C0B"/>
    <w:rsid w:val="008E2C66"/>
    <w:rsid w:val="008E3175"/>
    <w:rsid w:val="008E377D"/>
    <w:rsid w:val="008E432F"/>
    <w:rsid w:val="008E4623"/>
    <w:rsid w:val="008E4648"/>
    <w:rsid w:val="008E4FA7"/>
    <w:rsid w:val="008E5873"/>
    <w:rsid w:val="008E64BF"/>
    <w:rsid w:val="008E761C"/>
    <w:rsid w:val="008E7864"/>
    <w:rsid w:val="008E7F9C"/>
    <w:rsid w:val="008F0F85"/>
    <w:rsid w:val="008F1391"/>
    <w:rsid w:val="008F171B"/>
    <w:rsid w:val="008F1BD5"/>
    <w:rsid w:val="008F2297"/>
    <w:rsid w:val="008F30C3"/>
    <w:rsid w:val="008F3312"/>
    <w:rsid w:val="008F3B9F"/>
    <w:rsid w:val="008F468E"/>
    <w:rsid w:val="008F5753"/>
    <w:rsid w:val="008F58ED"/>
    <w:rsid w:val="008F5AD1"/>
    <w:rsid w:val="008F64F2"/>
    <w:rsid w:val="008F6C6B"/>
    <w:rsid w:val="008F73C2"/>
    <w:rsid w:val="008F7FEC"/>
    <w:rsid w:val="00900D88"/>
    <w:rsid w:val="00901283"/>
    <w:rsid w:val="00901C08"/>
    <w:rsid w:val="0090217A"/>
    <w:rsid w:val="00902532"/>
    <w:rsid w:val="009026C2"/>
    <w:rsid w:val="009031F1"/>
    <w:rsid w:val="00903370"/>
    <w:rsid w:val="00903552"/>
    <w:rsid w:val="009035E7"/>
    <w:rsid w:val="00903D94"/>
    <w:rsid w:val="00904303"/>
    <w:rsid w:val="00904A7E"/>
    <w:rsid w:val="00904FF7"/>
    <w:rsid w:val="009057AA"/>
    <w:rsid w:val="00905BE1"/>
    <w:rsid w:val="00905BE2"/>
    <w:rsid w:val="00905F8C"/>
    <w:rsid w:val="00906678"/>
    <w:rsid w:val="00906C7B"/>
    <w:rsid w:val="00907198"/>
    <w:rsid w:val="009071B9"/>
    <w:rsid w:val="00907833"/>
    <w:rsid w:val="00907FFD"/>
    <w:rsid w:val="00910899"/>
    <w:rsid w:val="0091115C"/>
    <w:rsid w:val="00911AEC"/>
    <w:rsid w:val="00911B20"/>
    <w:rsid w:val="00911BB2"/>
    <w:rsid w:val="00911CA0"/>
    <w:rsid w:val="00912E2A"/>
    <w:rsid w:val="00913334"/>
    <w:rsid w:val="00913510"/>
    <w:rsid w:val="00913FA0"/>
    <w:rsid w:val="00914136"/>
    <w:rsid w:val="00914467"/>
    <w:rsid w:val="0091489D"/>
    <w:rsid w:val="00914A3F"/>
    <w:rsid w:val="00914AF8"/>
    <w:rsid w:val="009150EC"/>
    <w:rsid w:val="0091537F"/>
    <w:rsid w:val="00916AC4"/>
    <w:rsid w:val="00917283"/>
    <w:rsid w:val="0092013A"/>
    <w:rsid w:val="00920736"/>
    <w:rsid w:val="00920AE3"/>
    <w:rsid w:val="009217D6"/>
    <w:rsid w:val="009231EB"/>
    <w:rsid w:val="009243C4"/>
    <w:rsid w:val="009246CD"/>
    <w:rsid w:val="00924CC9"/>
    <w:rsid w:val="00924D05"/>
    <w:rsid w:val="00925E4C"/>
    <w:rsid w:val="00925F00"/>
    <w:rsid w:val="00927F28"/>
    <w:rsid w:val="0093089E"/>
    <w:rsid w:val="00930951"/>
    <w:rsid w:val="00931209"/>
    <w:rsid w:val="0093230B"/>
    <w:rsid w:val="009323D8"/>
    <w:rsid w:val="00932511"/>
    <w:rsid w:val="009330A9"/>
    <w:rsid w:val="00933403"/>
    <w:rsid w:val="009336CD"/>
    <w:rsid w:val="009336DF"/>
    <w:rsid w:val="009338B8"/>
    <w:rsid w:val="00933AF5"/>
    <w:rsid w:val="00933E0F"/>
    <w:rsid w:val="00934C55"/>
    <w:rsid w:val="00935C75"/>
    <w:rsid w:val="00941111"/>
    <w:rsid w:val="0094140F"/>
    <w:rsid w:val="009418B6"/>
    <w:rsid w:val="00941C1F"/>
    <w:rsid w:val="0094285C"/>
    <w:rsid w:val="00943563"/>
    <w:rsid w:val="00943668"/>
    <w:rsid w:val="00943925"/>
    <w:rsid w:val="00943FB6"/>
    <w:rsid w:val="00944311"/>
    <w:rsid w:val="009454E6"/>
    <w:rsid w:val="009457D0"/>
    <w:rsid w:val="00945D6E"/>
    <w:rsid w:val="0094659C"/>
    <w:rsid w:val="00946B94"/>
    <w:rsid w:val="00947A78"/>
    <w:rsid w:val="00950D5A"/>
    <w:rsid w:val="0095158B"/>
    <w:rsid w:val="009522F9"/>
    <w:rsid w:val="0095306C"/>
    <w:rsid w:val="009534A2"/>
    <w:rsid w:val="00953603"/>
    <w:rsid w:val="009540EC"/>
    <w:rsid w:val="0095480B"/>
    <w:rsid w:val="00955278"/>
    <w:rsid w:val="009554C3"/>
    <w:rsid w:val="009555DB"/>
    <w:rsid w:val="00955FF5"/>
    <w:rsid w:val="009560C0"/>
    <w:rsid w:val="00956D87"/>
    <w:rsid w:val="00957343"/>
    <w:rsid w:val="009573CB"/>
    <w:rsid w:val="0096092B"/>
    <w:rsid w:val="00960CA1"/>
    <w:rsid w:val="00961782"/>
    <w:rsid w:val="00961A6F"/>
    <w:rsid w:val="009623C5"/>
    <w:rsid w:val="0096295B"/>
    <w:rsid w:val="00962F89"/>
    <w:rsid w:val="009630ED"/>
    <w:rsid w:val="009633E6"/>
    <w:rsid w:val="0096373B"/>
    <w:rsid w:val="00963FFA"/>
    <w:rsid w:val="00964253"/>
    <w:rsid w:val="009644EE"/>
    <w:rsid w:val="009645A1"/>
    <w:rsid w:val="009649B1"/>
    <w:rsid w:val="00964BCA"/>
    <w:rsid w:val="00964F1E"/>
    <w:rsid w:val="00964F5D"/>
    <w:rsid w:val="009657E7"/>
    <w:rsid w:val="009662D0"/>
    <w:rsid w:val="00966BDC"/>
    <w:rsid w:val="00966C18"/>
    <w:rsid w:val="00966DE7"/>
    <w:rsid w:val="00966E52"/>
    <w:rsid w:val="00967541"/>
    <w:rsid w:val="00967EA1"/>
    <w:rsid w:val="00967F88"/>
    <w:rsid w:val="00970701"/>
    <w:rsid w:val="00970F82"/>
    <w:rsid w:val="0097233B"/>
    <w:rsid w:val="00972A2E"/>
    <w:rsid w:val="00972DEE"/>
    <w:rsid w:val="00973797"/>
    <w:rsid w:val="00974BA3"/>
    <w:rsid w:val="00974C9E"/>
    <w:rsid w:val="00974E45"/>
    <w:rsid w:val="00975BC3"/>
    <w:rsid w:val="009764AB"/>
    <w:rsid w:val="009764FF"/>
    <w:rsid w:val="009768FD"/>
    <w:rsid w:val="009770EE"/>
    <w:rsid w:val="0097722C"/>
    <w:rsid w:val="009778E4"/>
    <w:rsid w:val="00981241"/>
    <w:rsid w:val="009812B7"/>
    <w:rsid w:val="009818FA"/>
    <w:rsid w:val="009825D6"/>
    <w:rsid w:val="0098282C"/>
    <w:rsid w:val="00982B4A"/>
    <w:rsid w:val="00982E8D"/>
    <w:rsid w:val="00983EBF"/>
    <w:rsid w:val="0098450B"/>
    <w:rsid w:val="00985C95"/>
    <w:rsid w:val="009860F7"/>
    <w:rsid w:val="009879C3"/>
    <w:rsid w:val="00987CA9"/>
    <w:rsid w:val="00990949"/>
    <w:rsid w:val="00990A23"/>
    <w:rsid w:val="009912DB"/>
    <w:rsid w:val="00991CD5"/>
    <w:rsid w:val="00993142"/>
    <w:rsid w:val="009932B4"/>
    <w:rsid w:val="00993397"/>
    <w:rsid w:val="009936DA"/>
    <w:rsid w:val="00993A05"/>
    <w:rsid w:val="00993B14"/>
    <w:rsid w:val="00993BA9"/>
    <w:rsid w:val="00993C3B"/>
    <w:rsid w:val="009961B4"/>
    <w:rsid w:val="00996C90"/>
    <w:rsid w:val="00997142"/>
    <w:rsid w:val="00997380"/>
    <w:rsid w:val="009A0B47"/>
    <w:rsid w:val="009A1301"/>
    <w:rsid w:val="009A1A30"/>
    <w:rsid w:val="009A1BD7"/>
    <w:rsid w:val="009A25E7"/>
    <w:rsid w:val="009A3F89"/>
    <w:rsid w:val="009A4369"/>
    <w:rsid w:val="009A4F79"/>
    <w:rsid w:val="009A5165"/>
    <w:rsid w:val="009A5671"/>
    <w:rsid w:val="009A5B79"/>
    <w:rsid w:val="009A629E"/>
    <w:rsid w:val="009A635B"/>
    <w:rsid w:val="009A7B19"/>
    <w:rsid w:val="009B055C"/>
    <w:rsid w:val="009B0CBF"/>
    <w:rsid w:val="009B137D"/>
    <w:rsid w:val="009B18E1"/>
    <w:rsid w:val="009B1D46"/>
    <w:rsid w:val="009B2002"/>
    <w:rsid w:val="009B2B61"/>
    <w:rsid w:val="009B2CD3"/>
    <w:rsid w:val="009B32A5"/>
    <w:rsid w:val="009B47DF"/>
    <w:rsid w:val="009B4EA6"/>
    <w:rsid w:val="009B50D5"/>
    <w:rsid w:val="009B6D35"/>
    <w:rsid w:val="009B752E"/>
    <w:rsid w:val="009B7A18"/>
    <w:rsid w:val="009C0590"/>
    <w:rsid w:val="009C0F19"/>
    <w:rsid w:val="009C13ED"/>
    <w:rsid w:val="009C1AAE"/>
    <w:rsid w:val="009C1F44"/>
    <w:rsid w:val="009C203C"/>
    <w:rsid w:val="009C2C36"/>
    <w:rsid w:val="009C30DB"/>
    <w:rsid w:val="009C3453"/>
    <w:rsid w:val="009C3BDF"/>
    <w:rsid w:val="009C3F8B"/>
    <w:rsid w:val="009C422A"/>
    <w:rsid w:val="009C4F56"/>
    <w:rsid w:val="009C53FA"/>
    <w:rsid w:val="009C5722"/>
    <w:rsid w:val="009C5A63"/>
    <w:rsid w:val="009C5AAF"/>
    <w:rsid w:val="009C5B25"/>
    <w:rsid w:val="009C6271"/>
    <w:rsid w:val="009C6297"/>
    <w:rsid w:val="009C67AA"/>
    <w:rsid w:val="009C7E98"/>
    <w:rsid w:val="009D01AC"/>
    <w:rsid w:val="009D039A"/>
    <w:rsid w:val="009D06BD"/>
    <w:rsid w:val="009D0709"/>
    <w:rsid w:val="009D0CB4"/>
    <w:rsid w:val="009D1BD5"/>
    <w:rsid w:val="009D491D"/>
    <w:rsid w:val="009D5691"/>
    <w:rsid w:val="009D57A0"/>
    <w:rsid w:val="009D59C0"/>
    <w:rsid w:val="009D5A5C"/>
    <w:rsid w:val="009D64F5"/>
    <w:rsid w:val="009D67A2"/>
    <w:rsid w:val="009E0B9A"/>
    <w:rsid w:val="009E0FDF"/>
    <w:rsid w:val="009E10A2"/>
    <w:rsid w:val="009E1C53"/>
    <w:rsid w:val="009E1DCD"/>
    <w:rsid w:val="009E1F5F"/>
    <w:rsid w:val="009E229E"/>
    <w:rsid w:val="009E2E24"/>
    <w:rsid w:val="009E3011"/>
    <w:rsid w:val="009E398C"/>
    <w:rsid w:val="009E3D04"/>
    <w:rsid w:val="009E47FB"/>
    <w:rsid w:val="009E4BC3"/>
    <w:rsid w:val="009E59E2"/>
    <w:rsid w:val="009E61E2"/>
    <w:rsid w:val="009E61E3"/>
    <w:rsid w:val="009E63D1"/>
    <w:rsid w:val="009E6D4B"/>
    <w:rsid w:val="009E719E"/>
    <w:rsid w:val="009E7777"/>
    <w:rsid w:val="009F0666"/>
    <w:rsid w:val="009F0812"/>
    <w:rsid w:val="009F0E68"/>
    <w:rsid w:val="009F26BB"/>
    <w:rsid w:val="009F2E5B"/>
    <w:rsid w:val="009F4CA4"/>
    <w:rsid w:val="009F4D63"/>
    <w:rsid w:val="009F5692"/>
    <w:rsid w:val="009F57B7"/>
    <w:rsid w:val="009F696D"/>
    <w:rsid w:val="009F71AC"/>
    <w:rsid w:val="009F74AA"/>
    <w:rsid w:val="00A005B7"/>
    <w:rsid w:val="00A00990"/>
    <w:rsid w:val="00A00FBC"/>
    <w:rsid w:val="00A00FBD"/>
    <w:rsid w:val="00A032BC"/>
    <w:rsid w:val="00A0361A"/>
    <w:rsid w:val="00A03695"/>
    <w:rsid w:val="00A036F4"/>
    <w:rsid w:val="00A048C3"/>
    <w:rsid w:val="00A0510D"/>
    <w:rsid w:val="00A05C83"/>
    <w:rsid w:val="00A0605D"/>
    <w:rsid w:val="00A06191"/>
    <w:rsid w:val="00A06F81"/>
    <w:rsid w:val="00A075D9"/>
    <w:rsid w:val="00A07D0B"/>
    <w:rsid w:val="00A10175"/>
    <w:rsid w:val="00A10277"/>
    <w:rsid w:val="00A1054D"/>
    <w:rsid w:val="00A10CE1"/>
    <w:rsid w:val="00A1112F"/>
    <w:rsid w:val="00A11B18"/>
    <w:rsid w:val="00A12D7B"/>
    <w:rsid w:val="00A131D3"/>
    <w:rsid w:val="00A1496F"/>
    <w:rsid w:val="00A152BC"/>
    <w:rsid w:val="00A15F26"/>
    <w:rsid w:val="00A2047B"/>
    <w:rsid w:val="00A20E56"/>
    <w:rsid w:val="00A2176F"/>
    <w:rsid w:val="00A223CE"/>
    <w:rsid w:val="00A22960"/>
    <w:rsid w:val="00A22FC6"/>
    <w:rsid w:val="00A23205"/>
    <w:rsid w:val="00A235E4"/>
    <w:rsid w:val="00A23795"/>
    <w:rsid w:val="00A23B8D"/>
    <w:rsid w:val="00A23BCE"/>
    <w:rsid w:val="00A23E1E"/>
    <w:rsid w:val="00A23EFF"/>
    <w:rsid w:val="00A244D8"/>
    <w:rsid w:val="00A24B37"/>
    <w:rsid w:val="00A24C4E"/>
    <w:rsid w:val="00A24CE3"/>
    <w:rsid w:val="00A24E12"/>
    <w:rsid w:val="00A27207"/>
    <w:rsid w:val="00A30092"/>
    <w:rsid w:val="00A3025F"/>
    <w:rsid w:val="00A30C3C"/>
    <w:rsid w:val="00A31290"/>
    <w:rsid w:val="00A312DF"/>
    <w:rsid w:val="00A316BF"/>
    <w:rsid w:val="00A31B40"/>
    <w:rsid w:val="00A31D31"/>
    <w:rsid w:val="00A3205E"/>
    <w:rsid w:val="00A32587"/>
    <w:rsid w:val="00A327E8"/>
    <w:rsid w:val="00A32C5A"/>
    <w:rsid w:val="00A34140"/>
    <w:rsid w:val="00A34E91"/>
    <w:rsid w:val="00A352AF"/>
    <w:rsid w:val="00A35446"/>
    <w:rsid w:val="00A35897"/>
    <w:rsid w:val="00A35CF2"/>
    <w:rsid w:val="00A360A6"/>
    <w:rsid w:val="00A3733F"/>
    <w:rsid w:val="00A37C79"/>
    <w:rsid w:val="00A40A20"/>
    <w:rsid w:val="00A41AD2"/>
    <w:rsid w:val="00A42064"/>
    <w:rsid w:val="00A42B28"/>
    <w:rsid w:val="00A435F2"/>
    <w:rsid w:val="00A43C10"/>
    <w:rsid w:val="00A44D87"/>
    <w:rsid w:val="00A44E84"/>
    <w:rsid w:val="00A4566C"/>
    <w:rsid w:val="00A46B2C"/>
    <w:rsid w:val="00A4713F"/>
    <w:rsid w:val="00A50131"/>
    <w:rsid w:val="00A502BE"/>
    <w:rsid w:val="00A506FE"/>
    <w:rsid w:val="00A50C3A"/>
    <w:rsid w:val="00A51CAC"/>
    <w:rsid w:val="00A52122"/>
    <w:rsid w:val="00A524D8"/>
    <w:rsid w:val="00A52906"/>
    <w:rsid w:val="00A53058"/>
    <w:rsid w:val="00A530DD"/>
    <w:rsid w:val="00A53913"/>
    <w:rsid w:val="00A5481E"/>
    <w:rsid w:val="00A55637"/>
    <w:rsid w:val="00A56161"/>
    <w:rsid w:val="00A56FEA"/>
    <w:rsid w:val="00A618F9"/>
    <w:rsid w:val="00A61964"/>
    <w:rsid w:val="00A62132"/>
    <w:rsid w:val="00A6274C"/>
    <w:rsid w:val="00A62ADA"/>
    <w:rsid w:val="00A62E9C"/>
    <w:rsid w:val="00A6366A"/>
    <w:rsid w:val="00A636B9"/>
    <w:rsid w:val="00A64715"/>
    <w:rsid w:val="00A64A9B"/>
    <w:rsid w:val="00A65970"/>
    <w:rsid w:val="00A66AE6"/>
    <w:rsid w:val="00A67354"/>
    <w:rsid w:val="00A673A1"/>
    <w:rsid w:val="00A673E1"/>
    <w:rsid w:val="00A675EC"/>
    <w:rsid w:val="00A67A3C"/>
    <w:rsid w:val="00A67A62"/>
    <w:rsid w:val="00A67F86"/>
    <w:rsid w:val="00A67FF1"/>
    <w:rsid w:val="00A70BB8"/>
    <w:rsid w:val="00A715B3"/>
    <w:rsid w:val="00A71EFF"/>
    <w:rsid w:val="00A720A1"/>
    <w:rsid w:val="00A72402"/>
    <w:rsid w:val="00A736C0"/>
    <w:rsid w:val="00A7377F"/>
    <w:rsid w:val="00A73AE8"/>
    <w:rsid w:val="00A74947"/>
    <w:rsid w:val="00A74C82"/>
    <w:rsid w:val="00A7520F"/>
    <w:rsid w:val="00A75572"/>
    <w:rsid w:val="00A756B6"/>
    <w:rsid w:val="00A75EF3"/>
    <w:rsid w:val="00A76391"/>
    <w:rsid w:val="00A7639A"/>
    <w:rsid w:val="00A7658A"/>
    <w:rsid w:val="00A76683"/>
    <w:rsid w:val="00A771F8"/>
    <w:rsid w:val="00A77EF1"/>
    <w:rsid w:val="00A80072"/>
    <w:rsid w:val="00A80315"/>
    <w:rsid w:val="00A8056E"/>
    <w:rsid w:val="00A806FB"/>
    <w:rsid w:val="00A810E7"/>
    <w:rsid w:val="00A81668"/>
    <w:rsid w:val="00A81A8C"/>
    <w:rsid w:val="00A81DE7"/>
    <w:rsid w:val="00A82A7E"/>
    <w:rsid w:val="00A82B8D"/>
    <w:rsid w:val="00A84CFB"/>
    <w:rsid w:val="00A84F38"/>
    <w:rsid w:val="00A85503"/>
    <w:rsid w:val="00A8569F"/>
    <w:rsid w:val="00A85B85"/>
    <w:rsid w:val="00A85C59"/>
    <w:rsid w:val="00A85E9A"/>
    <w:rsid w:val="00A863CF"/>
    <w:rsid w:val="00A86437"/>
    <w:rsid w:val="00A864B6"/>
    <w:rsid w:val="00A866CD"/>
    <w:rsid w:val="00A875FF"/>
    <w:rsid w:val="00A913DD"/>
    <w:rsid w:val="00A91527"/>
    <w:rsid w:val="00A91577"/>
    <w:rsid w:val="00A91EFD"/>
    <w:rsid w:val="00A922C8"/>
    <w:rsid w:val="00A92755"/>
    <w:rsid w:val="00A92AD7"/>
    <w:rsid w:val="00A92E05"/>
    <w:rsid w:val="00A92F48"/>
    <w:rsid w:val="00A931D5"/>
    <w:rsid w:val="00A938FC"/>
    <w:rsid w:val="00A94B83"/>
    <w:rsid w:val="00A9533D"/>
    <w:rsid w:val="00A95384"/>
    <w:rsid w:val="00A9574C"/>
    <w:rsid w:val="00A95925"/>
    <w:rsid w:val="00A95D56"/>
    <w:rsid w:val="00A95FD5"/>
    <w:rsid w:val="00A9621E"/>
    <w:rsid w:val="00A96F2F"/>
    <w:rsid w:val="00A975A0"/>
    <w:rsid w:val="00AA0F06"/>
    <w:rsid w:val="00AA2304"/>
    <w:rsid w:val="00AA4243"/>
    <w:rsid w:val="00AA42A6"/>
    <w:rsid w:val="00AA42E4"/>
    <w:rsid w:val="00AA53E7"/>
    <w:rsid w:val="00AA58FA"/>
    <w:rsid w:val="00AA614A"/>
    <w:rsid w:val="00AA665B"/>
    <w:rsid w:val="00AA6971"/>
    <w:rsid w:val="00AA6C62"/>
    <w:rsid w:val="00AA7253"/>
    <w:rsid w:val="00AA7D95"/>
    <w:rsid w:val="00AB07E7"/>
    <w:rsid w:val="00AB0B93"/>
    <w:rsid w:val="00AB0F5F"/>
    <w:rsid w:val="00AB14F7"/>
    <w:rsid w:val="00AB153D"/>
    <w:rsid w:val="00AB1C95"/>
    <w:rsid w:val="00AB2E3B"/>
    <w:rsid w:val="00AB329A"/>
    <w:rsid w:val="00AB3F24"/>
    <w:rsid w:val="00AB468D"/>
    <w:rsid w:val="00AB494E"/>
    <w:rsid w:val="00AB4BEC"/>
    <w:rsid w:val="00AB5273"/>
    <w:rsid w:val="00AB55E0"/>
    <w:rsid w:val="00AB5A44"/>
    <w:rsid w:val="00AB5D95"/>
    <w:rsid w:val="00AB615B"/>
    <w:rsid w:val="00AB7937"/>
    <w:rsid w:val="00AC00B0"/>
    <w:rsid w:val="00AC02C0"/>
    <w:rsid w:val="00AC2508"/>
    <w:rsid w:val="00AC2B14"/>
    <w:rsid w:val="00AC3DAB"/>
    <w:rsid w:val="00AC42EB"/>
    <w:rsid w:val="00AC4E2B"/>
    <w:rsid w:val="00AC579A"/>
    <w:rsid w:val="00AC5E2F"/>
    <w:rsid w:val="00AC648A"/>
    <w:rsid w:val="00AC6BA2"/>
    <w:rsid w:val="00AC6F35"/>
    <w:rsid w:val="00AC70EB"/>
    <w:rsid w:val="00AC79F8"/>
    <w:rsid w:val="00AC7BCC"/>
    <w:rsid w:val="00AD0475"/>
    <w:rsid w:val="00AD0930"/>
    <w:rsid w:val="00AD1002"/>
    <w:rsid w:val="00AD15D2"/>
    <w:rsid w:val="00AD1600"/>
    <w:rsid w:val="00AD1DB0"/>
    <w:rsid w:val="00AD269C"/>
    <w:rsid w:val="00AD281C"/>
    <w:rsid w:val="00AD2C1C"/>
    <w:rsid w:val="00AD2D17"/>
    <w:rsid w:val="00AD2D80"/>
    <w:rsid w:val="00AD3F30"/>
    <w:rsid w:val="00AD48FC"/>
    <w:rsid w:val="00AD4DDF"/>
    <w:rsid w:val="00AD505B"/>
    <w:rsid w:val="00AD5956"/>
    <w:rsid w:val="00AD5FC7"/>
    <w:rsid w:val="00AD6077"/>
    <w:rsid w:val="00AD6F98"/>
    <w:rsid w:val="00AD6FD7"/>
    <w:rsid w:val="00AD6FE7"/>
    <w:rsid w:val="00AD72EC"/>
    <w:rsid w:val="00AD7437"/>
    <w:rsid w:val="00AD76E2"/>
    <w:rsid w:val="00AD7D95"/>
    <w:rsid w:val="00AE0D2C"/>
    <w:rsid w:val="00AE1146"/>
    <w:rsid w:val="00AE16EA"/>
    <w:rsid w:val="00AE1D5F"/>
    <w:rsid w:val="00AE233E"/>
    <w:rsid w:val="00AE306B"/>
    <w:rsid w:val="00AE355E"/>
    <w:rsid w:val="00AE38AB"/>
    <w:rsid w:val="00AE3977"/>
    <w:rsid w:val="00AE4F23"/>
    <w:rsid w:val="00AE627C"/>
    <w:rsid w:val="00AE6305"/>
    <w:rsid w:val="00AE7276"/>
    <w:rsid w:val="00AE78FC"/>
    <w:rsid w:val="00AF0285"/>
    <w:rsid w:val="00AF0A67"/>
    <w:rsid w:val="00AF0B82"/>
    <w:rsid w:val="00AF18E5"/>
    <w:rsid w:val="00AF2FD2"/>
    <w:rsid w:val="00AF387D"/>
    <w:rsid w:val="00AF3EDF"/>
    <w:rsid w:val="00AF6575"/>
    <w:rsid w:val="00AF6AEA"/>
    <w:rsid w:val="00AF7407"/>
    <w:rsid w:val="00AF752A"/>
    <w:rsid w:val="00AF76D0"/>
    <w:rsid w:val="00AF7A9A"/>
    <w:rsid w:val="00B00671"/>
    <w:rsid w:val="00B008AD"/>
    <w:rsid w:val="00B01026"/>
    <w:rsid w:val="00B0113B"/>
    <w:rsid w:val="00B01BCF"/>
    <w:rsid w:val="00B01DCE"/>
    <w:rsid w:val="00B03874"/>
    <w:rsid w:val="00B038BA"/>
    <w:rsid w:val="00B03CB9"/>
    <w:rsid w:val="00B03DC0"/>
    <w:rsid w:val="00B04362"/>
    <w:rsid w:val="00B04B1D"/>
    <w:rsid w:val="00B05101"/>
    <w:rsid w:val="00B0514C"/>
    <w:rsid w:val="00B05209"/>
    <w:rsid w:val="00B056B5"/>
    <w:rsid w:val="00B057B9"/>
    <w:rsid w:val="00B05A97"/>
    <w:rsid w:val="00B05B40"/>
    <w:rsid w:val="00B06A74"/>
    <w:rsid w:val="00B07ADE"/>
    <w:rsid w:val="00B07D1A"/>
    <w:rsid w:val="00B07D9B"/>
    <w:rsid w:val="00B07F84"/>
    <w:rsid w:val="00B103AC"/>
    <w:rsid w:val="00B10AE6"/>
    <w:rsid w:val="00B11050"/>
    <w:rsid w:val="00B11A3D"/>
    <w:rsid w:val="00B127CA"/>
    <w:rsid w:val="00B12894"/>
    <w:rsid w:val="00B12961"/>
    <w:rsid w:val="00B12B1D"/>
    <w:rsid w:val="00B145C1"/>
    <w:rsid w:val="00B1498B"/>
    <w:rsid w:val="00B14C7A"/>
    <w:rsid w:val="00B14D4E"/>
    <w:rsid w:val="00B14E99"/>
    <w:rsid w:val="00B14F3F"/>
    <w:rsid w:val="00B15AA3"/>
    <w:rsid w:val="00B16DDF"/>
    <w:rsid w:val="00B17464"/>
    <w:rsid w:val="00B17575"/>
    <w:rsid w:val="00B17C7A"/>
    <w:rsid w:val="00B17E3E"/>
    <w:rsid w:val="00B201EC"/>
    <w:rsid w:val="00B20AEB"/>
    <w:rsid w:val="00B2190B"/>
    <w:rsid w:val="00B21ABA"/>
    <w:rsid w:val="00B220F7"/>
    <w:rsid w:val="00B22605"/>
    <w:rsid w:val="00B23665"/>
    <w:rsid w:val="00B23DE3"/>
    <w:rsid w:val="00B24C5F"/>
    <w:rsid w:val="00B254F8"/>
    <w:rsid w:val="00B25B56"/>
    <w:rsid w:val="00B2782D"/>
    <w:rsid w:val="00B308C9"/>
    <w:rsid w:val="00B30B1D"/>
    <w:rsid w:val="00B31D69"/>
    <w:rsid w:val="00B31EF5"/>
    <w:rsid w:val="00B321B6"/>
    <w:rsid w:val="00B327A1"/>
    <w:rsid w:val="00B32DB5"/>
    <w:rsid w:val="00B33888"/>
    <w:rsid w:val="00B34663"/>
    <w:rsid w:val="00B34684"/>
    <w:rsid w:val="00B348D9"/>
    <w:rsid w:val="00B34F9F"/>
    <w:rsid w:val="00B35077"/>
    <w:rsid w:val="00B35601"/>
    <w:rsid w:val="00B35632"/>
    <w:rsid w:val="00B35757"/>
    <w:rsid w:val="00B35B04"/>
    <w:rsid w:val="00B35D85"/>
    <w:rsid w:val="00B362F8"/>
    <w:rsid w:val="00B367B0"/>
    <w:rsid w:val="00B368CC"/>
    <w:rsid w:val="00B370C6"/>
    <w:rsid w:val="00B3756E"/>
    <w:rsid w:val="00B37BAE"/>
    <w:rsid w:val="00B41F7E"/>
    <w:rsid w:val="00B4220A"/>
    <w:rsid w:val="00B4242A"/>
    <w:rsid w:val="00B4296A"/>
    <w:rsid w:val="00B42A3C"/>
    <w:rsid w:val="00B42C36"/>
    <w:rsid w:val="00B42DC1"/>
    <w:rsid w:val="00B42EFA"/>
    <w:rsid w:val="00B42F81"/>
    <w:rsid w:val="00B4315C"/>
    <w:rsid w:val="00B4340C"/>
    <w:rsid w:val="00B43789"/>
    <w:rsid w:val="00B4390A"/>
    <w:rsid w:val="00B44E44"/>
    <w:rsid w:val="00B452C2"/>
    <w:rsid w:val="00B45721"/>
    <w:rsid w:val="00B46CA1"/>
    <w:rsid w:val="00B46E89"/>
    <w:rsid w:val="00B46F99"/>
    <w:rsid w:val="00B479F0"/>
    <w:rsid w:val="00B47CBE"/>
    <w:rsid w:val="00B50810"/>
    <w:rsid w:val="00B50826"/>
    <w:rsid w:val="00B5087C"/>
    <w:rsid w:val="00B51CAF"/>
    <w:rsid w:val="00B5220F"/>
    <w:rsid w:val="00B52E61"/>
    <w:rsid w:val="00B53595"/>
    <w:rsid w:val="00B539A9"/>
    <w:rsid w:val="00B53DAA"/>
    <w:rsid w:val="00B53DE7"/>
    <w:rsid w:val="00B53FA1"/>
    <w:rsid w:val="00B5538F"/>
    <w:rsid w:val="00B554B1"/>
    <w:rsid w:val="00B5580A"/>
    <w:rsid w:val="00B55C57"/>
    <w:rsid w:val="00B56B68"/>
    <w:rsid w:val="00B56D3C"/>
    <w:rsid w:val="00B56D44"/>
    <w:rsid w:val="00B56EBB"/>
    <w:rsid w:val="00B573D2"/>
    <w:rsid w:val="00B57457"/>
    <w:rsid w:val="00B57B2B"/>
    <w:rsid w:val="00B57BA0"/>
    <w:rsid w:val="00B60398"/>
    <w:rsid w:val="00B6055F"/>
    <w:rsid w:val="00B610AB"/>
    <w:rsid w:val="00B615D1"/>
    <w:rsid w:val="00B61803"/>
    <w:rsid w:val="00B61D43"/>
    <w:rsid w:val="00B626C5"/>
    <w:rsid w:val="00B62E2A"/>
    <w:rsid w:val="00B62F25"/>
    <w:rsid w:val="00B630C7"/>
    <w:rsid w:val="00B63318"/>
    <w:rsid w:val="00B6414B"/>
    <w:rsid w:val="00B646DC"/>
    <w:rsid w:val="00B64860"/>
    <w:rsid w:val="00B64B0C"/>
    <w:rsid w:val="00B64FC0"/>
    <w:rsid w:val="00B652A2"/>
    <w:rsid w:val="00B7097A"/>
    <w:rsid w:val="00B7120D"/>
    <w:rsid w:val="00B713B8"/>
    <w:rsid w:val="00B7159E"/>
    <w:rsid w:val="00B7304D"/>
    <w:rsid w:val="00B73492"/>
    <w:rsid w:val="00B7442E"/>
    <w:rsid w:val="00B744DB"/>
    <w:rsid w:val="00B746DB"/>
    <w:rsid w:val="00B74D13"/>
    <w:rsid w:val="00B7558F"/>
    <w:rsid w:val="00B75EAC"/>
    <w:rsid w:val="00B76269"/>
    <w:rsid w:val="00B7650E"/>
    <w:rsid w:val="00B768DD"/>
    <w:rsid w:val="00B76938"/>
    <w:rsid w:val="00B76D3C"/>
    <w:rsid w:val="00B76E25"/>
    <w:rsid w:val="00B774CA"/>
    <w:rsid w:val="00B77B4A"/>
    <w:rsid w:val="00B805B2"/>
    <w:rsid w:val="00B8092C"/>
    <w:rsid w:val="00B80A32"/>
    <w:rsid w:val="00B810CF"/>
    <w:rsid w:val="00B8119C"/>
    <w:rsid w:val="00B81384"/>
    <w:rsid w:val="00B81ED9"/>
    <w:rsid w:val="00B827D9"/>
    <w:rsid w:val="00B82F48"/>
    <w:rsid w:val="00B83C90"/>
    <w:rsid w:val="00B845FF"/>
    <w:rsid w:val="00B8475D"/>
    <w:rsid w:val="00B847A3"/>
    <w:rsid w:val="00B849A2"/>
    <w:rsid w:val="00B84D1E"/>
    <w:rsid w:val="00B84D98"/>
    <w:rsid w:val="00B851D2"/>
    <w:rsid w:val="00B852C6"/>
    <w:rsid w:val="00B85B3A"/>
    <w:rsid w:val="00B85EDC"/>
    <w:rsid w:val="00B8676A"/>
    <w:rsid w:val="00B86D5B"/>
    <w:rsid w:val="00B86E45"/>
    <w:rsid w:val="00B90502"/>
    <w:rsid w:val="00B905C7"/>
    <w:rsid w:val="00B90666"/>
    <w:rsid w:val="00B90987"/>
    <w:rsid w:val="00B9185C"/>
    <w:rsid w:val="00B9188F"/>
    <w:rsid w:val="00B91CAD"/>
    <w:rsid w:val="00B91D6D"/>
    <w:rsid w:val="00B91EF0"/>
    <w:rsid w:val="00B92ACB"/>
    <w:rsid w:val="00B92AFE"/>
    <w:rsid w:val="00B92DF4"/>
    <w:rsid w:val="00B9319D"/>
    <w:rsid w:val="00B949E1"/>
    <w:rsid w:val="00B95A6E"/>
    <w:rsid w:val="00B96478"/>
    <w:rsid w:val="00B96891"/>
    <w:rsid w:val="00B96C13"/>
    <w:rsid w:val="00B96F2D"/>
    <w:rsid w:val="00BA0199"/>
    <w:rsid w:val="00BA03E4"/>
    <w:rsid w:val="00BA0535"/>
    <w:rsid w:val="00BA0F33"/>
    <w:rsid w:val="00BA265A"/>
    <w:rsid w:val="00BA2B83"/>
    <w:rsid w:val="00BA2D78"/>
    <w:rsid w:val="00BA3B03"/>
    <w:rsid w:val="00BA419F"/>
    <w:rsid w:val="00BA41BA"/>
    <w:rsid w:val="00BA4321"/>
    <w:rsid w:val="00BA4910"/>
    <w:rsid w:val="00BA4ABC"/>
    <w:rsid w:val="00BA4B1C"/>
    <w:rsid w:val="00BA4CA6"/>
    <w:rsid w:val="00BA5578"/>
    <w:rsid w:val="00BA55F8"/>
    <w:rsid w:val="00BA5826"/>
    <w:rsid w:val="00BA5B09"/>
    <w:rsid w:val="00BA6507"/>
    <w:rsid w:val="00BA6615"/>
    <w:rsid w:val="00BA6A40"/>
    <w:rsid w:val="00BA6A8E"/>
    <w:rsid w:val="00BA7802"/>
    <w:rsid w:val="00BA7CA4"/>
    <w:rsid w:val="00BA7E56"/>
    <w:rsid w:val="00BB05BC"/>
    <w:rsid w:val="00BB0B4A"/>
    <w:rsid w:val="00BB0DF9"/>
    <w:rsid w:val="00BB1DA8"/>
    <w:rsid w:val="00BB289D"/>
    <w:rsid w:val="00BB2AC8"/>
    <w:rsid w:val="00BB2D1B"/>
    <w:rsid w:val="00BB358C"/>
    <w:rsid w:val="00BB3E28"/>
    <w:rsid w:val="00BB418D"/>
    <w:rsid w:val="00BB48F0"/>
    <w:rsid w:val="00BB4CDB"/>
    <w:rsid w:val="00BB4DB2"/>
    <w:rsid w:val="00BB4DE7"/>
    <w:rsid w:val="00BB4F97"/>
    <w:rsid w:val="00BB4FD4"/>
    <w:rsid w:val="00BB545F"/>
    <w:rsid w:val="00BB6476"/>
    <w:rsid w:val="00BB77AB"/>
    <w:rsid w:val="00BB7BC4"/>
    <w:rsid w:val="00BC04C3"/>
    <w:rsid w:val="00BC04DF"/>
    <w:rsid w:val="00BC0714"/>
    <w:rsid w:val="00BC0759"/>
    <w:rsid w:val="00BC0B3A"/>
    <w:rsid w:val="00BC0B97"/>
    <w:rsid w:val="00BC17F3"/>
    <w:rsid w:val="00BC2162"/>
    <w:rsid w:val="00BC3307"/>
    <w:rsid w:val="00BC47DD"/>
    <w:rsid w:val="00BC494E"/>
    <w:rsid w:val="00BC4D92"/>
    <w:rsid w:val="00BC4EB9"/>
    <w:rsid w:val="00BC5A5D"/>
    <w:rsid w:val="00BC5D2E"/>
    <w:rsid w:val="00BC66D5"/>
    <w:rsid w:val="00BC6C7C"/>
    <w:rsid w:val="00BC7180"/>
    <w:rsid w:val="00BC73C9"/>
    <w:rsid w:val="00BC78B0"/>
    <w:rsid w:val="00BD0234"/>
    <w:rsid w:val="00BD1259"/>
    <w:rsid w:val="00BD1EF8"/>
    <w:rsid w:val="00BD1F47"/>
    <w:rsid w:val="00BD2229"/>
    <w:rsid w:val="00BD2303"/>
    <w:rsid w:val="00BD3B64"/>
    <w:rsid w:val="00BD3CCC"/>
    <w:rsid w:val="00BD3F0E"/>
    <w:rsid w:val="00BD4106"/>
    <w:rsid w:val="00BD484A"/>
    <w:rsid w:val="00BD4A53"/>
    <w:rsid w:val="00BD50E8"/>
    <w:rsid w:val="00BD5371"/>
    <w:rsid w:val="00BD5F18"/>
    <w:rsid w:val="00BD69FB"/>
    <w:rsid w:val="00BD6F50"/>
    <w:rsid w:val="00BD6F9F"/>
    <w:rsid w:val="00BD7287"/>
    <w:rsid w:val="00BD7C2B"/>
    <w:rsid w:val="00BE0210"/>
    <w:rsid w:val="00BE0B77"/>
    <w:rsid w:val="00BE120F"/>
    <w:rsid w:val="00BE1A08"/>
    <w:rsid w:val="00BE37B3"/>
    <w:rsid w:val="00BE4C60"/>
    <w:rsid w:val="00BE69F6"/>
    <w:rsid w:val="00BE6CEE"/>
    <w:rsid w:val="00BE7CBF"/>
    <w:rsid w:val="00BE7D8F"/>
    <w:rsid w:val="00BF29A1"/>
    <w:rsid w:val="00BF35A3"/>
    <w:rsid w:val="00BF4462"/>
    <w:rsid w:val="00BF4949"/>
    <w:rsid w:val="00BF4FE8"/>
    <w:rsid w:val="00BF5449"/>
    <w:rsid w:val="00BF5E5E"/>
    <w:rsid w:val="00BF5EEB"/>
    <w:rsid w:val="00BF71C1"/>
    <w:rsid w:val="00BF73BE"/>
    <w:rsid w:val="00BF76D2"/>
    <w:rsid w:val="00BF7B95"/>
    <w:rsid w:val="00BF7E1F"/>
    <w:rsid w:val="00C006F2"/>
    <w:rsid w:val="00C00747"/>
    <w:rsid w:val="00C0122E"/>
    <w:rsid w:val="00C01BD9"/>
    <w:rsid w:val="00C01D04"/>
    <w:rsid w:val="00C01E78"/>
    <w:rsid w:val="00C02212"/>
    <w:rsid w:val="00C024FC"/>
    <w:rsid w:val="00C025BA"/>
    <w:rsid w:val="00C025F9"/>
    <w:rsid w:val="00C02AE8"/>
    <w:rsid w:val="00C03647"/>
    <w:rsid w:val="00C03D8C"/>
    <w:rsid w:val="00C03FB4"/>
    <w:rsid w:val="00C04550"/>
    <w:rsid w:val="00C04B43"/>
    <w:rsid w:val="00C04DE9"/>
    <w:rsid w:val="00C05318"/>
    <w:rsid w:val="00C05EB0"/>
    <w:rsid w:val="00C06370"/>
    <w:rsid w:val="00C069D9"/>
    <w:rsid w:val="00C07A24"/>
    <w:rsid w:val="00C07B82"/>
    <w:rsid w:val="00C07C11"/>
    <w:rsid w:val="00C10883"/>
    <w:rsid w:val="00C10C49"/>
    <w:rsid w:val="00C110F3"/>
    <w:rsid w:val="00C1113F"/>
    <w:rsid w:val="00C111A3"/>
    <w:rsid w:val="00C11A29"/>
    <w:rsid w:val="00C11ED4"/>
    <w:rsid w:val="00C12189"/>
    <w:rsid w:val="00C122F6"/>
    <w:rsid w:val="00C12654"/>
    <w:rsid w:val="00C12680"/>
    <w:rsid w:val="00C12F51"/>
    <w:rsid w:val="00C134BF"/>
    <w:rsid w:val="00C13671"/>
    <w:rsid w:val="00C13873"/>
    <w:rsid w:val="00C13C92"/>
    <w:rsid w:val="00C142B7"/>
    <w:rsid w:val="00C144AA"/>
    <w:rsid w:val="00C145E6"/>
    <w:rsid w:val="00C14988"/>
    <w:rsid w:val="00C14AB0"/>
    <w:rsid w:val="00C14D4C"/>
    <w:rsid w:val="00C158B3"/>
    <w:rsid w:val="00C15A6B"/>
    <w:rsid w:val="00C15D03"/>
    <w:rsid w:val="00C16082"/>
    <w:rsid w:val="00C161E2"/>
    <w:rsid w:val="00C16A49"/>
    <w:rsid w:val="00C1729C"/>
    <w:rsid w:val="00C17460"/>
    <w:rsid w:val="00C2073A"/>
    <w:rsid w:val="00C21424"/>
    <w:rsid w:val="00C21749"/>
    <w:rsid w:val="00C21F05"/>
    <w:rsid w:val="00C2200B"/>
    <w:rsid w:val="00C224A8"/>
    <w:rsid w:val="00C22678"/>
    <w:rsid w:val="00C2276A"/>
    <w:rsid w:val="00C2284C"/>
    <w:rsid w:val="00C22F7D"/>
    <w:rsid w:val="00C23160"/>
    <w:rsid w:val="00C23609"/>
    <w:rsid w:val="00C238FB"/>
    <w:rsid w:val="00C2396F"/>
    <w:rsid w:val="00C2654F"/>
    <w:rsid w:val="00C266E2"/>
    <w:rsid w:val="00C3039A"/>
    <w:rsid w:val="00C30A11"/>
    <w:rsid w:val="00C312FF"/>
    <w:rsid w:val="00C31330"/>
    <w:rsid w:val="00C3140C"/>
    <w:rsid w:val="00C31790"/>
    <w:rsid w:val="00C32273"/>
    <w:rsid w:val="00C32B5A"/>
    <w:rsid w:val="00C32DBF"/>
    <w:rsid w:val="00C32E99"/>
    <w:rsid w:val="00C3344B"/>
    <w:rsid w:val="00C33819"/>
    <w:rsid w:val="00C33A06"/>
    <w:rsid w:val="00C33DA3"/>
    <w:rsid w:val="00C342A0"/>
    <w:rsid w:val="00C34CDD"/>
    <w:rsid w:val="00C35247"/>
    <w:rsid w:val="00C35A6B"/>
    <w:rsid w:val="00C36321"/>
    <w:rsid w:val="00C3666D"/>
    <w:rsid w:val="00C37134"/>
    <w:rsid w:val="00C37316"/>
    <w:rsid w:val="00C37371"/>
    <w:rsid w:val="00C37E64"/>
    <w:rsid w:val="00C409CC"/>
    <w:rsid w:val="00C40B43"/>
    <w:rsid w:val="00C40B5A"/>
    <w:rsid w:val="00C40D68"/>
    <w:rsid w:val="00C40F77"/>
    <w:rsid w:val="00C4107F"/>
    <w:rsid w:val="00C41497"/>
    <w:rsid w:val="00C4182D"/>
    <w:rsid w:val="00C421A3"/>
    <w:rsid w:val="00C42A1D"/>
    <w:rsid w:val="00C431B4"/>
    <w:rsid w:val="00C43469"/>
    <w:rsid w:val="00C443EB"/>
    <w:rsid w:val="00C4471E"/>
    <w:rsid w:val="00C44DCD"/>
    <w:rsid w:val="00C44E75"/>
    <w:rsid w:val="00C451E5"/>
    <w:rsid w:val="00C45BE8"/>
    <w:rsid w:val="00C46310"/>
    <w:rsid w:val="00C46E21"/>
    <w:rsid w:val="00C475C8"/>
    <w:rsid w:val="00C47B34"/>
    <w:rsid w:val="00C47DB1"/>
    <w:rsid w:val="00C50280"/>
    <w:rsid w:val="00C504EA"/>
    <w:rsid w:val="00C5078E"/>
    <w:rsid w:val="00C50790"/>
    <w:rsid w:val="00C51039"/>
    <w:rsid w:val="00C522AB"/>
    <w:rsid w:val="00C52329"/>
    <w:rsid w:val="00C5299A"/>
    <w:rsid w:val="00C52E4B"/>
    <w:rsid w:val="00C531BC"/>
    <w:rsid w:val="00C53A02"/>
    <w:rsid w:val="00C53D42"/>
    <w:rsid w:val="00C544D3"/>
    <w:rsid w:val="00C54902"/>
    <w:rsid w:val="00C54D5D"/>
    <w:rsid w:val="00C54FCC"/>
    <w:rsid w:val="00C558C1"/>
    <w:rsid w:val="00C56A79"/>
    <w:rsid w:val="00C56E46"/>
    <w:rsid w:val="00C56F0A"/>
    <w:rsid w:val="00C573BE"/>
    <w:rsid w:val="00C57E57"/>
    <w:rsid w:val="00C60B84"/>
    <w:rsid w:val="00C61323"/>
    <w:rsid w:val="00C6144D"/>
    <w:rsid w:val="00C616DF"/>
    <w:rsid w:val="00C61EF7"/>
    <w:rsid w:val="00C62CEE"/>
    <w:rsid w:val="00C632E3"/>
    <w:rsid w:val="00C634E2"/>
    <w:rsid w:val="00C63A70"/>
    <w:rsid w:val="00C648DE"/>
    <w:rsid w:val="00C6510F"/>
    <w:rsid w:val="00C65E5D"/>
    <w:rsid w:val="00C65EB9"/>
    <w:rsid w:val="00C665B3"/>
    <w:rsid w:val="00C66DEE"/>
    <w:rsid w:val="00C705A2"/>
    <w:rsid w:val="00C706A5"/>
    <w:rsid w:val="00C72264"/>
    <w:rsid w:val="00C73677"/>
    <w:rsid w:val="00C73CFF"/>
    <w:rsid w:val="00C74690"/>
    <w:rsid w:val="00C748F5"/>
    <w:rsid w:val="00C752BC"/>
    <w:rsid w:val="00C753E7"/>
    <w:rsid w:val="00C75864"/>
    <w:rsid w:val="00C7597B"/>
    <w:rsid w:val="00C76818"/>
    <w:rsid w:val="00C768CC"/>
    <w:rsid w:val="00C76A3A"/>
    <w:rsid w:val="00C7761C"/>
    <w:rsid w:val="00C77FC2"/>
    <w:rsid w:val="00C80FF2"/>
    <w:rsid w:val="00C818FA"/>
    <w:rsid w:val="00C82D71"/>
    <w:rsid w:val="00C83153"/>
    <w:rsid w:val="00C83CD6"/>
    <w:rsid w:val="00C83F90"/>
    <w:rsid w:val="00C840D8"/>
    <w:rsid w:val="00C845DD"/>
    <w:rsid w:val="00C84699"/>
    <w:rsid w:val="00C847CB"/>
    <w:rsid w:val="00C849DC"/>
    <w:rsid w:val="00C8534E"/>
    <w:rsid w:val="00C85CCA"/>
    <w:rsid w:val="00C868EF"/>
    <w:rsid w:val="00C86A86"/>
    <w:rsid w:val="00C86B17"/>
    <w:rsid w:val="00C86B7C"/>
    <w:rsid w:val="00C86DCA"/>
    <w:rsid w:val="00C86F20"/>
    <w:rsid w:val="00C87AD2"/>
    <w:rsid w:val="00C9006D"/>
    <w:rsid w:val="00C901D4"/>
    <w:rsid w:val="00C902CB"/>
    <w:rsid w:val="00C91307"/>
    <w:rsid w:val="00C9136C"/>
    <w:rsid w:val="00C916B3"/>
    <w:rsid w:val="00C918A0"/>
    <w:rsid w:val="00C91F3A"/>
    <w:rsid w:val="00C92DB3"/>
    <w:rsid w:val="00C93AEF"/>
    <w:rsid w:val="00C94376"/>
    <w:rsid w:val="00C953F9"/>
    <w:rsid w:val="00C9665C"/>
    <w:rsid w:val="00C96BEA"/>
    <w:rsid w:val="00C97372"/>
    <w:rsid w:val="00C97BE4"/>
    <w:rsid w:val="00C97C5A"/>
    <w:rsid w:val="00C97CE8"/>
    <w:rsid w:val="00C97F66"/>
    <w:rsid w:val="00CA00B7"/>
    <w:rsid w:val="00CA07F8"/>
    <w:rsid w:val="00CA0E37"/>
    <w:rsid w:val="00CA1F77"/>
    <w:rsid w:val="00CA22AD"/>
    <w:rsid w:val="00CA272C"/>
    <w:rsid w:val="00CA29E2"/>
    <w:rsid w:val="00CA31AC"/>
    <w:rsid w:val="00CA3263"/>
    <w:rsid w:val="00CA3B22"/>
    <w:rsid w:val="00CA41C2"/>
    <w:rsid w:val="00CA4418"/>
    <w:rsid w:val="00CA4A00"/>
    <w:rsid w:val="00CA4D27"/>
    <w:rsid w:val="00CA530A"/>
    <w:rsid w:val="00CA5342"/>
    <w:rsid w:val="00CA5828"/>
    <w:rsid w:val="00CA5900"/>
    <w:rsid w:val="00CA5F67"/>
    <w:rsid w:val="00CA61A6"/>
    <w:rsid w:val="00CA63F2"/>
    <w:rsid w:val="00CA724B"/>
    <w:rsid w:val="00CA7C5E"/>
    <w:rsid w:val="00CB007A"/>
    <w:rsid w:val="00CB0653"/>
    <w:rsid w:val="00CB0B84"/>
    <w:rsid w:val="00CB1D4A"/>
    <w:rsid w:val="00CB1E06"/>
    <w:rsid w:val="00CB246C"/>
    <w:rsid w:val="00CB275D"/>
    <w:rsid w:val="00CB378F"/>
    <w:rsid w:val="00CB3856"/>
    <w:rsid w:val="00CB4C5A"/>
    <w:rsid w:val="00CB4ED4"/>
    <w:rsid w:val="00CB4EE3"/>
    <w:rsid w:val="00CB509B"/>
    <w:rsid w:val="00CB60AA"/>
    <w:rsid w:val="00CB61AA"/>
    <w:rsid w:val="00CB7096"/>
    <w:rsid w:val="00CB717C"/>
    <w:rsid w:val="00CB7184"/>
    <w:rsid w:val="00CB7DAB"/>
    <w:rsid w:val="00CB7FC1"/>
    <w:rsid w:val="00CC047D"/>
    <w:rsid w:val="00CC1254"/>
    <w:rsid w:val="00CC165B"/>
    <w:rsid w:val="00CC185D"/>
    <w:rsid w:val="00CC24AF"/>
    <w:rsid w:val="00CC2716"/>
    <w:rsid w:val="00CC31EB"/>
    <w:rsid w:val="00CC329E"/>
    <w:rsid w:val="00CC362B"/>
    <w:rsid w:val="00CC3684"/>
    <w:rsid w:val="00CC3D13"/>
    <w:rsid w:val="00CC4242"/>
    <w:rsid w:val="00CC46B7"/>
    <w:rsid w:val="00CC4C88"/>
    <w:rsid w:val="00CC4F41"/>
    <w:rsid w:val="00CC5A5E"/>
    <w:rsid w:val="00CC5CAB"/>
    <w:rsid w:val="00CC61C5"/>
    <w:rsid w:val="00CC62C1"/>
    <w:rsid w:val="00CC6834"/>
    <w:rsid w:val="00CC6B72"/>
    <w:rsid w:val="00CC70CE"/>
    <w:rsid w:val="00CC75C4"/>
    <w:rsid w:val="00CC7B24"/>
    <w:rsid w:val="00CC7DC7"/>
    <w:rsid w:val="00CD01C7"/>
    <w:rsid w:val="00CD02C1"/>
    <w:rsid w:val="00CD0300"/>
    <w:rsid w:val="00CD0C43"/>
    <w:rsid w:val="00CD0CF2"/>
    <w:rsid w:val="00CD22E2"/>
    <w:rsid w:val="00CD23D1"/>
    <w:rsid w:val="00CD2DA5"/>
    <w:rsid w:val="00CD3A40"/>
    <w:rsid w:val="00CD3E1F"/>
    <w:rsid w:val="00CD40B8"/>
    <w:rsid w:val="00CD495F"/>
    <w:rsid w:val="00CD49E7"/>
    <w:rsid w:val="00CD4D6D"/>
    <w:rsid w:val="00CD56AB"/>
    <w:rsid w:val="00CD5CB5"/>
    <w:rsid w:val="00CD635A"/>
    <w:rsid w:val="00CD64F6"/>
    <w:rsid w:val="00CD79D4"/>
    <w:rsid w:val="00CD7FFA"/>
    <w:rsid w:val="00CE0148"/>
    <w:rsid w:val="00CE133D"/>
    <w:rsid w:val="00CE221D"/>
    <w:rsid w:val="00CE23C0"/>
    <w:rsid w:val="00CE32CD"/>
    <w:rsid w:val="00CE3A7B"/>
    <w:rsid w:val="00CE3AD1"/>
    <w:rsid w:val="00CE4041"/>
    <w:rsid w:val="00CE4060"/>
    <w:rsid w:val="00CE44DE"/>
    <w:rsid w:val="00CE456E"/>
    <w:rsid w:val="00CE47D0"/>
    <w:rsid w:val="00CE5004"/>
    <w:rsid w:val="00CE55B2"/>
    <w:rsid w:val="00CE5701"/>
    <w:rsid w:val="00CE595C"/>
    <w:rsid w:val="00CE5CC7"/>
    <w:rsid w:val="00CE63C0"/>
    <w:rsid w:val="00CE69A3"/>
    <w:rsid w:val="00CE69B5"/>
    <w:rsid w:val="00CE6ACB"/>
    <w:rsid w:val="00CE7A20"/>
    <w:rsid w:val="00CE7B68"/>
    <w:rsid w:val="00CE7ED3"/>
    <w:rsid w:val="00CF0418"/>
    <w:rsid w:val="00CF1B14"/>
    <w:rsid w:val="00CF2AC8"/>
    <w:rsid w:val="00CF2E5F"/>
    <w:rsid w:val="00CF3B53"/>
    <w:rsid w:val="00CF3E43"/>
    <w:rsid w:val="00CF4928"/>
    <w:rsid w:val="00CF4EED"/>
    <w:rsid w:val="00CF6DFA"/>
    <w:rsid w:val="00CF6EDE"/>
    <w:rsid w:val="00CF7204"/>
    <w:rsid w:val="00CF7258"/>
    <w:rsid w:val="00CF7559"/>
    <w:rsid w:val="00D00E7F"/>
    <w:rsid w:val="00D017D7"/>
    <w:rsid w:val="00D017EA"/>
    <w:rsid w:val="00D01819"/>
    <w:rsid w:val="00D01E1A"/>
    <w:rsid w:val="00D021BA"/>
    <w:rsid w:val="00D02865"/>
    <w:rsid w:val="00D02DAC"/>
    <w:rsid w:val="00D02E0B"/>
    <w:rsid w:val="00D03115"/>
    <w:rsid w:val="00D036DC"/>
    <w:rsid w:val="00D0507B"/>
    <w:rsid w:val="00D056DD"/>
    <w:rsid w:val="00D05B7A"/>
    <w:rsid w:val="00D05EFB"/>
    <w:rsid w:val="00D06877"/>
    <w:rsid w:val="00D07BA8"/>
    <w:rsid w:val="00D07CBD"/>
    <w:rsid w:val="00D07E21"/>
    <w:rsid w:val="00D07F22"/>
    <w:rsid w:val="00D10B25"/>
    <w:rsid w:val="00D10F91"/>
    <w:rsid w:val="00D11111"/>
    <w:rsid w:val="00D12C23"/>
    <w:rsid w:val="00D12D3E"/>
    <w:rsid w:val="00D13C3A"/>
    <w:rsid w:val="00D14167"/>
    <w:rsid w:val="00D149EB"/>
    <w:rsid w:val="00D14E11"/>
    <w:rsid w:val="00D1525D"/>
    <w:rsid w:val="00D153A2"/>
    <w:rsid w:val="00D15BAF"/>
    <w:rsid w:val="00D163C8"/>
    <w:rsid w:val="00D164F3"/>
    <w:rsid w:val="00D16AFC"/>
    <w:rsid w:val="00D173F8"/>
    <w:rsid w:val="00D178BA"/>
    <w:rsid w:val="00D17960"/>
    <w:rsid w:val="00D17D18"/>
    <w:rsid w:val="00D200AD"/>
    <w:rsid w:val="00D2153F"/>
    <w:rsid w:val="00D21561"/>
    <w:rsid w:val="00D22C6A"/>
    <w:rsid w:val="00D23752"/>
    <w:rsid w:val="00D23BBC"/>
    <w:rsid w:val="00D23CF5"/>
    <w:rsid w:val="00D23FFA"/>
    <w:rsid w:val="00D24854"/>
    <w:rsid w:val="00D24E61"/>
    <w:rsid w:val="00D262A1"/>
    <w:rsid w:val="00D2653B"/>
    <w:rsid w:val="00D2659A"/>
    <w:rsid w:val="00D267A2"/>
    <w:rsid w:val="00D27864"/>
    <w:rsid w:val="00D27984"/>
    <w:rsid w:val="00D31563"/>
    <w:rsid w:val="00D316FD"/>
    <w:rsid w:val="00D31A17"/>
    <w:rsid w:val="00D32017"/>
    <w:rsid w:val="00D32CF1"/>
    <w:rsid w:val="00D32EE4"/>
    <w:rsid w:val="00D34029"/>
    <w:rsid w:val="00D3437B"/>
    <w:rsid w:val="00D34660"/>
    <w:rsid w:val="00D34697"/>
    <w:rsid w:val="00D34BDC"/>
    <w:rsid w:val="00D3512D"/>
    <w:rsid w:val="00D35572"/>
    <w:rsid w:val="00D35C01"/>
    <w:rsid w:val="00D364EC"/>
    <w:rsid w:val="00D36D23"/>
    <w:rsid w:val="00D36F17"/>
    <w:rsid w:val="00D3790D"/>
    <w:rsid w:val="00D37A94"/>
    <w:rsid w:val="00D40293"/>
    <w:rsid w:val="00D409E4"/>
    <w:rsid w:val="00D40A00"/>
    <w:rsid w:val="00D40C43"/>
    <w:rsid w:val="00D41202"/>
    <w:rsid w:val="00D41EC1"/>
    <w:rsid w:val="00D41EC7"/>
    <w:rsid w:val="00D4257E"/>
    <w:rsid w:val="00D429DF"/>
    <w:rsid w:val="00D42AB2"/>
    <w:rsid w:val="00D42D27"/>
    <w:rsid w:val="00D4324E"/>
    <w:rsid w:val="00D43ECC"/>
    <w:rsid w:val="00D4467D"/>
    <w:rsid w:val="00D451C5"/>
    <w:rsid w:val="00D4548E"/>
    <w:rsid w:val="00D45548"/>
    <w:rsid w:val="00D45AD4"/>
    <w:rsid w:val="00D45C3E"/>
    <w:rsid w:val="00D46061"/>
    <w:rsid w:val="00D46F36"/>
    <w:rsid w:val="00D473C1"/>
    <w:rsid w:val="00D474D0"/>
    <w:rsid w:val="00D4757A"/>
    <w:rsid w:val="00D4760F"/>
    <w:rsid w:val="00D4775F"/>
    <w:rsid w:val="00D50C2C"/>
    <w:rsid w:val="00D50CD1"/>
    <w:rsid w:val="00D50F2C"/>
    <w:rsid w:val="00D514B7"/>
    <w:rsid w:val="00D516CB"/>
    <w:rsid w:val="00D51817"/>
    <w:rsid w:val="00D51C83"/>
    <w:rsid w:val="00D51CC8"/>
    <w:rsid w:val="00D51E9C"/>
    <w:rsid w:val="00D52307"/>
    <w:rsid w:val="00D525FB"/>
    <w:rsid w:val="00D5299B"/>
    <w:rsid w:val="00D54130"/>
    <w:rsid w:val="00D54783"/>
    <w:rsid w:val="00D5510F"/>
    <w:rsid w:val="00D552A3"/>
    <w:rsid w:val="00D56779"/>
    <w:rsid w:val="00D5760F"/>
    <w:rsid w:val="00D6216A"/>
    <w:rsid w:val="00D62227"/>
    <w:rsid w:val="00D624A8"/>
    <w:rsid w:val="00D62747"/>
    <w:rsid w:val="00D62A41"/>
    <w:rsid w:val="00D62CC4"/>
    <w:rsid w:val="00D634C9"/>
    <w:rsid w:val="00D63B4A"/>
    <w:rsid w:val="00D6462A"/>
    <w:rsid w:val="00D6462D"/>
    <w:rsid w:val="00D64C80"/>
    <w:rsid w:val="00D6592F"/>
    <w:rsid w:val="00D65C12"/>
    <w:rsid w:val="00D662BE"/>
    <w:rsid w:val="00D664D9"/>
    <w:rsid w:val="00D66912"/>
    <w:rsid w:val="00D66A5C"/>
    <w:rsid w:val="00D66C09"/>
    <w:rsid w:val="00D6736D"/>
    <w:rsid w:val="00D7024A"/>
    <w:rsid w:val="00D704C3"/>
    <w:rsid w:val="00D70773"/>
    <w:rsid w:val="00D71B5B"/>
    <w:rsid w:val="00D71F24"/>
    <w:rsid w:val="00D73328"/>
    <w:rsid w:val="00D736CA"/>
    <w:rsid w:val="00D738ED"/>
    <w:rsid w:val="00D73CCE"/>
    <w:rsid w:val="00D743AB"/>
    <w:rsid w:val="00D746D3"/>
    <w:rsid w:val="00D74A8B"/>
    <w:rsid w:val="00D75815"/>
    <w:rsid w:val="00D75A70"/>
    <w:rsid w:val="00D767EF"/>
    <w:rsid w:val="00D775FE"/>
    <w:rsid w:val="00D8098B"/>
    <w:rsid w:val="00D80C27"/>
    <w:rsid w:val="00D80C73"/>
    <w:rsid w:val="00D81577"/>
    <w:rsid w:val="00D81BA6"/>
    <w:rsid w:val="00D81BAE"/>
    <w:rsid w:val="00D81E69"/>
    <w:rsid w:val="00D820FA"/>
    <w:rsid w:val="00D82A4F"/>
    <w:rsid w:val="00D82E94"/>
    <w:rsid w:val="00D83540"/>
    <w:rsid w:val="00D83D30"/>
    <w:rsid w:val="00D8482B"/>
    <w:rsid w:val="00D85691"/>
    <w:rsid w:val="00D85C69"/>
    <w:rsid w:val="00D8608F"/>
    <w:rsid w:val="00D860CC"/>
    <w:rsid w:val="00D8629D"/>
    <w:rsid w:val="00D86362"/>
    <w:rsid w:val="00D8641E"/>
    <w:rsid w:val="00D8649C"/>
    <w:rsid w:val="00D864FB"/>
    <w:rsid w:val="00D86653"/>
    <w:rsid w:val="00D86BBD"/>
    <w:rsid w:val="00D87359"/>
    <w:rsid w:val="00D87881"/>
    <w:rsid w:val="00D9007E"/>
    <w:rsid w:val="00D90786"/>
    <w:rsid w:val="00D914C1"/>
    <w:rsid w:val="00D91749"/>
    <w:rsid w:val="00D91CFC"/>
    <w:rsid w:val="00D9226E"/>
    <w:rsid w:val="00D944D7"/>
    <w:rsid w:val="00D94BD4"/>
    <w:rsid w:val="00D9534B"/>
    <w:rsid w:val="00D96A44"/>
    <w:rsid w:val="00D96DA2"/>
    <w:rsid w:val="00D973EB"/>
    <w:rsid w:val="00D97610"/>
    <w:rsid w:val="00D97CFE"/>
    <w:rsid w:val="00DA051E"/>
    <w:rsid w:val="00DA0AE5"/>
    <w:rsid w:val="00DA1ABF"/>
    <w:rsid w:val="00DA246B"/>
    <w:rsid w:val="00DA2EB6"/>
    <w:rsid w:val="00DA482D"/>
    <w:rsid w:val="00DA488A"/>
    <w:rsid w:val="00DA4A38"/>
    <w:rsid w:val="00DA6101"/>
    <w:rsid w:val="00DA6216"/>
    <w:rsid w:val="00DA658D"/>
    <w:rsid w:val="00DA6827"/>
    <w:rsid w:val="00DA7B4B"/>
    <w:rsid w:val="00DB0035"/>
    <w:rsid w:val="00DB075E"/>
    <w:rsid w:val="00DB08A9"/>
    <w:rsid w:val="00DB195C"/>
    <w:rsid w:val="00DB196A"/>
    <w:rsid w:val="00DB1A34"/>
    <w:rsid w:val="00DB1F7A"/>
    <w:rsid w:val="00DB2776"/>
    <w:rsid w:val="00DB2850"/>
    <w:rsid w:val="00DB3526"/>
    <w:rsid w:val="00DB396F"/>
    <w:rsid w:val="00DB3DC7"/>
    <w:rsid w:val="00DB3E87"/>
    <w:rsid w:val="00DB409D"/>
    <w:rsid w:val="00DB4219"/>
    <w:rsid w:val="00DB43E2"/>
    <w:rsid w:val="00DB5418"/>
    <w:rsid w:val="00DB641E"/>
    <w:rsid w:val="00DB6761"/>
    <w:rsid w:val="00DB7706"/>
    <w:rsid w:val="00DB7F76"/>
    <w:rsid w:val="00DB7F9D"/>
    <w:rsid w:val="00DC04A8"/>
    <w:rsid w:val="00DC0CA6"/>
    <w:rsid w:val="00DC0D4B"/>
    <w:rsid w:val="00DC13F0"/>
    <w:rsid w:val="00DC1EDA"/>
    <w:rsid w:val="00DC20FD"/>
    <w:rsid w:val="00DC225C"/>
    <w:rsid w:val="00DC2DF1"/>
    <w:rsid w:val="00DC3391"/>
    <w:rsid w:val="00DC43F2"/>
    <w:rsid w:val="00DC448B"/>
    <w:rsid w:val="00DC4A9C"/>
    <w:rsid w:val="00DC50C8"/>
    <w:rsid w:val="00DC5180"/>
    <w:rsid w:val="00DC5467"/>
    <w:rsid w:val="00DC5718"/>
    <w:rsid w:val="00DC5913"/>
    <w:rsid w:val="00DC5C85"/>
    <w:rsid w:val="00DC5D83"/>
    <w:rsid w:val="00DC6CF4"/>
    <w:rsid w:val="00DC6E7B"/>
    <w:rsid w:val="00DC7861"/>
    <w:rsid w:val="00DC7C86"/>
    <w:rsid w:val="00DC7EEB"/>
    <w:rsid w:val="00DD11D7"/>
    <w:rsid w:val="00DD11DD"/>
    <w:rsid w:val="00DD17A6"/>
    <w:rsid w:val="00DD268D"/>
    <w:rsid w:val="00DD348F"/>
    <w:rsid w:val="00DD3594"/>
    <w:rsid w:val="00DD3ADA"/>
    <w:rsid w:val="00DD3E8E"/>
    <w:rsid w:val="00DD464D"/>
    <w:rsid w:val="00DD4914"/>
    <w:rsid w:val="00DD5997"/>
    <w:rsid w:val="00DD5CC6"/>
    <w:rsid w:val="00DD5E8A"/>
    <w:rsid w:val="00DD6C18"/>
    <w:rsid w:val="00DD7D6B"/>
    <w:rsid w:val="00DE015B"/>
    <w:rsid w:val="00DE08A0"/>
    <w:rsid w:val="00DE0921"/>
    <w:rsid w:val="00DE1363"/>
    <w:rsid w:val="00DE2B30"/>
    <w:rsid w:val="00DE2E57"/>
    <w:rsid w:val="00DE2F9F"/>
    <w:rsid w:val="00DE30CA"/>
    <w:rsid w:val="00DE310C"/>
    <w:rsid w:val="00DE32F2"/>
    <w:rsid w:val="00DE381A"/>
    <w:rsid w:val="00DE3880"/>
    <w:rsid w:val="00DE3DD3"/>
    <w:rsid w:val="00DE5097"/>
    <w:rsid w:val="00DE5527"/>
    <w:rsid w:val="00DE5569"/>
    <w:rsid w:val="00DE5B06"/>
    <w:rsid w:val="00DE5DFB"/>
    <w:rsid w:val="00DE606C"/>
    <w:rsid w:val="00DE67CA"/>
    <w:rsid w:val="00DE6B75"/>
    <w:rsid w:val="00DE6F58"/>
    <w:rsid w:val="00DE7436"/>
    <w:rsid w:val="00DE74C8"/>
    <w:rsid w:val="00DE74EB"/>
    <w:rsid w:val="00DF046B"/>
    <w:rsid w:val="00DF094A"/>
    <w:rsid w:val="00DF0BCE"/>
    <w:rsid w:val="00DF1AB3"/>
    <w:rsid w:val="00DF27D6"/>
    <w:rsid w:val="00DF2D38"/>
    <w:rsid w:val="00DF3251"/>
    <w:rsid w:val="00DF39EF"/>
    <w:rsid w:val="00DF3BB5"/>
    <w:rsid w:val="00DF4A66"/>
    <w:rsid w:val="00DF514C"/>
    <w:rsid w:val="00DF5398"/>
    <w:rsid w:val="00DF5C8F"/>
    <w:rsid w:val="00DF7655"/>
    <w:rsid w:val="00DF7791"/>
    <w:rsid w:val="00E01E19"/>
    <w:rsid w:val="00E02620"/>
    <w:rsid w:val="00E03301"/>
    <w:rsid w:val="00E033A5"/>
    <w:rsid w:val="00E03CC8"/>
    <w:rsid w:val="00E0400B"/>
    <w:rsid w:val="00E04ABB"/>
    <w:rsid w:val="00E04C25"/>
    <w:rsid w:val="00E056DA"/>
    <w:rsid w:val="00E05F8F"/>
    <w:rsid w:val="00E07010"/>
    <w:rsid w:val="00E07A30"/>
    <w:rsid w:val="00E07A82"/>
    <w:rsid w:val="00E1038C"/>
    <w:rsid w:val="00E11190"/>
    <w:rsid w:val="00E1120C"/>
    <w:rsid w:val="00E12745"/>
    <w:rsid w:val="00E128EA"/>
    <w:rsid w:val="00E12BDF"/>
    <w:rsid w:val="00E1353E"/>
    <w:rsid w:val="00E14313"/>
    <w:rsid w:val="00E14664"/>
    <w:rsid w:val="00E14A34"/>
    <w:rsid w:val="00E14AA8"/>
    <w:rsid w:val="00E14F78"/>
    <w:rsid w:val="00E15AD4"/>
    <w:rsid w:val="00E15EC5"/>
    <w:rsid w:val="00E201CB"/>
    <w:rsid w:val="00E205B5"/>
    <w:rsid w:val="00E213F5"/>
    <w:rsid w:val="00E21F57"/>
    <w:rsid w:val="00E22A15"/>
    <w:rsid w:val="00E22BFD"/>
    <w:rsid w:val="00E2343B"/>
    <w:rsid w:val="00E23DAB"/>
    <w:rsid w:val="00E24660"/>
    <w:rsid w:val="00E24A6A"/>
    <w:rsid w:val="00E250C4"/>
    <w:rsid w:val="00E259E1"/>
    <w:rsid w:val="00E25EB3"/>
    <w:rsid w:val="00E26265"/>
    <w:rsid w:val="00E2644E"/>
    <w:rsid w:val="00E2656A"/>
    <w:rsid w:val="00E270C9"/>
    <w:rsid w:val="00E27673"/>
    <w:rsid w:val="00E276B5"/>
    <w:rsid w:val="00E27B14"/>
    <w:rsid w:val="00E30151"/>
    <w:rsid w:val="00E30A38"/>
    <w:rsid w:val="00E30D0A"/>
    <w:rsid w:val="00E3156E"/>
    <w:rsid w:val="00E32EB7"/>
    <w:rsid w:val="00E330C2"/>
    <w:rsid w:val="00E33998"/>
    <w:rsid w:val="00E35029"/>
    <w:rsid w:val="00E350F6"/>
    <w:rsid w:val="00E353D7"/>
    <w:rsid w:val="00E35473"/>
    <w:rsid w:val="00E357FB"/>
    <w:rsid w:val="00E36BB8"/>
    <w:rsid w:val="00E370C3"/>
    <w:rsid w:val="00E402C1"/>
    <w:rsid w:val="00E41A7A"/>
    <w:rsid w:val="00E42388"/>
    <w:rsid w:val="00E424B2"/>
    <w:rsid w:val="00E4280C"/>
    <w:rsid w:val="00E42B98"/>
    <w:rsid w:val="00E42EA2"/>
    <w:rsid w:val="00E437F9"/>
    <w:rsid w:val="00E44243"/>
    <w:rsid w:val="00E44F84"/>
    <w:rsid w:val="00E451BB"/>
    <w:rsid w:val="00E45BC3"/>
    <w:rsid w:val="00E45F9D"/>
    <w:rsid w:val="00E46766"/>
    <w:rsid w:val="00E47060"/>
    <w:rsid w:val="00E47762"/>
    <w:rsid w:val="00E47B5C"/>
    <w:rsid w:val="00E5031E"/>
    <w:rsid w:val="00E50C33"/>
    <w:rsid w:val="00E519B1"/>
    <w:rsid w:val="00E52074"/>
    <w:rsid w:val="00E52196"/>
    <w:rsid w:val="00E52368"/>
    <w:rsid w:val="00E524ED"/>
    <w:rsid w:val="00E52655"/>
    <w:rsid w:val="00E52A77"/>
    <w:rsid w:val="00E52F8E"/>
    <w:rsid w:val="00E53B9E"/>
    <w:rsid w:val="00E540B1"/>
    <w:rsid w:val="00E5415F"/>
    <w:rsid w:val="00E54504"/>
    <w:rsid w:val="00E54597"/>
    <w:rsid w:val="00E54678"/>
    <w:rsid w:val="00E54B30"/>
    <w:rsid w:val="00E55BB1"/>
    <w:rsid w:val="00E561CA"/>
    <w:rsid w:val="00E56B04"/>
    <w:rsid w:val="00E60FE8"/>
    <w:rsid w:val="00E610F6"/>
    <w:rsid w:val="00E616D0"/>
    <w:rsid w:val="00E62F0E"/>
    <w:rsid w:val="00E63074"/>
    <w:rsid w:val="00E63833"/>
    <w:rsid w:val="00E6426C"/>
    <w:rsid w:val="00E643FA"/>
    <w:rsid w:val="00E647DE"/>
    <w:rsid w:val="00E65D3A"/>
    <w:rsid w:val="00E66205"/>
    <w:rsid w:val="00E66AEE"/>
    <w:rsid w:val="00E66E85"/>
    <w:rsid w:val="00E67993"/>
    <w:rsid w:val="00E707CE"/>
    <w:rsid w:val="00E708B4"/>
    <w:rsid w:val="00E70AE8"/>
    <w:rsid w:val="00E71AEF"/>
    <w:rsid w:val="00E71DB4"/>
    <w:rsid w:val="00E724B4"/>
    <w:rsid w:val="00E731E7"/>
    <w:rsid w:val="00E733DF"/>
    <w:rsid w:val="00E73FE6"/>
    <w:rsid w:val="00E7426F"/>
    <w:rsid w:val="00E7442F"/>
    <w:rsid w:val="00E74CF4"/>
    <w:rsid w:val="00E74E81"/>
    <w:rsid w:val="00E758B0"/>
    <w:rsid w:val="00E76157"/>
    <w:rsid w:val="00E76A35"/>
    <w:rsid w:val="00E77662"/>
    <w:rsid w:val="00E77A21"/>
    <w:rsid w:val="00E80147"/>
    <w:rsid w:val="00E8071B"/>
    <w:rsid w:val="00E81230"/>
    <w:rsid w:val="00E8192C"/>
    <w:rsid w:val="00E833DB"/>
    <w:rsid w:val="00E83419"/>
    <w:rsid w:val="00E843E2"/>
    <w:rsid w:val="00E8496C"/>
    <w:rsid w:val="00E85602"/>
    <w:rsid w:val="00E85A00"/>
    <w:rsid w:val="00E85CE7"/>
    <w:rsid w:val="00E86458"/>
    <w:rsid w:val="00E86ED5"/>
    <w:rsid w:val="00E86FA1"/>
    <w:rsid w:val="00E8727B"/>
    <w:rsid w:val="00E87E3B"/>
    <w:rsid w:val="00E9063A"/>
    <w:rsid w:val="00E9129A"/>
    <w:rsid w:val="00E9133A"/>
    <w:rsid w:val="00E913CF"/>
    <w:rsid w:val="00E91544"/>
    <w:rsid w:val="00E91E03"/>
    <w:rsid w:val="00E928EA"/>
    <w:rsid w:val="00E93600"/>
    <w:rsid w:val="00E93EE6"/>
    <w:rsid w:val="00E94320"/>
    <w:rsid w:val="00E94FE4"/>
    <w:rsid w:val="00E954F3"/>
    <w:rsid w:val="00E95848"/>
    <w:rsid w:val="00E9613F"/>
    <w:rsid w:val="00E961ED"/>
    <w:rsid w:val="00E964CC"/>
    <w:rsid w:val="00E96805"/>
    <w:rsid w:val="00E9698E"/>
    <w:rsid w:val="00E96F44"/>
    <w:rsid w:val="00E971DD"/>
    <w:rsid w:val="00E9744B"/>
    <w:rsid w:val="00E974C7"/>
    <w:rsid w:val="00E97D80"/>
    <w:rsid w:val="00EA0469"/>
    <w:rsid w:val="00EA04E2"/>
    <w:rsid w:val="00EA0E5F"/>
    <w:rsid w:val="00EA11A7"/>
    <w:rsid w:val="00EA1687"/>
    <w:rsid w:val="00EA202B"/>
    <w:rsid w:val="00EA23ED"/>
    <w:rsid w:val="00EA25C8"/>
    <w:rsid w:val="00EA27EE"/>
    <w:rsid w:val="00EA377C"/>
    <w:rsid w:val="00EA3CF4"/>
    <w:rsid w:val="00EA4D55"/>
    <w:rsid w:val="00EA5A4A"/>
    <w:rsid w:val="00EA5A7E"/>
    <w:rsid w:val="00EA6CAB"/>
    <w:rsid w:val="00EA730F"/>
    <w:rsid w:val="00EA755E"/>
    <w:rsid w:val="00EA75A1"/>
    <w:rsid w:val="00EA799F"/>
    <w:rsid w:val="00EA79E3"/>
    <w:rsid w:val="00EA7F3D"/>
    <w:rsid w:val="00EA7F9D"/>
    <w:rsid w:val="00EB0069"/>
    <w:rsid w:val="00EB0201"/>
    <w:rsid w:val="00EB0611"/>
    <w:rsid w:val="00EB0B1F"/>
    <w:rsid w:val="00EB1233"/>
    <w:rsid w:val="00EB12EA"/>
    <w:rsid w:val="00EB1DBA"/>
    <w:rsid w:val="00EB2043"/>
    <w:rsid w:val="00EB2051"/>
    <w:rsid w:val="00EB2C47"/>
    <w:rsid w:val="00EB2DB0"/>
    <w:rsid w:val="00EB3140"/>
    <w:rsid w:val="00EB36A1"/>
    <w:rsid w:val="00EB46CF"/>
    <w:rsid w:val="00EB4867"/>
    <w:rsid w:val="00EB4938"/>
    <w:rsid w:val="00EB4C10"/>
    <w:rsid w:val="00EB5578"/>
    <w:rsid w:val="00EB5DE5"/>
    <w:rsid w:val="00EB5F1D"/>
    <w:rsid w:val="00EB637A"/>
    <w:rsid w:val="00EB77A5"/>
    <w:rsid w:val="00EB7A84"/>
    <w:rsid w:val="00EB7F4D"/>
    <w:rsid w:val="00EC01FB"/>
    <w:rsid w:val="00EC0B86"/>
    <w:rsid w:val="00EC1090"/>
    <w:rsid w:val="00EC109C"/>
    <w:rsid w:val="00EC3944"/>
    <w:rsid w:val="00EC4143"/>
    <w:rsid w:val="00EC5851"/>
    <w:rsid w:val="00EC5D6C"/>
    <w:rsid w:val="00EC75DD"/>
    <w:rsid w:val="00EC7E17"/>
    <w:rsid w:val="00EC7E33"/>
    <w:rsid w:val="00EC7FCF"/>
    <w:rsid w:val="00ED0645"/>
    <w:rsid w:val="00ED09BB"/>
    <w:rsid w:val="00ED22BD"/>
    <w:rsid w:val="00ED22FE"/>
    <w:rsid w:val="00ED3C5E"/>
    <w:rsid w:val="00ED3C9E"/>
    <w:rsid w:val="00ED3CBF"/>
    <w:rsid w:val="00ED5379"/>
    <w:rsid w:val="00ED553C"/>
    <w:rsid w:val="00ED5824"/>
    <w:rsid w:val="00ED58BB"/>
    <w:rsid w:val="00ED5C63"/>
    <w:rsid w:val="00ED5E69"/>
    <w:rsid w:val="00ED5F01"/>
    <w:rsid w:val="00ED60BC"/>
    <w:rsid w:val="00ED6979"/>
    <w:rsid w:val="00ED7505"/>
    <w:rsid w:val="00ED7B36"/>
    <w:rsid w:val="00EE059E"/>
    <w:rsid w:val="00EE05AA"/>
    <w:rsid w:val="00EE07AB"/>
    <w:rsid w:val="00EE0CDA"/>
    <w:rsid w:val="00EE1B06"/>
    <w:rsid w:val="00EE1E24"/>
    <w:rsid w:val="00EE393B"/>
    <w:rsid w:val="00EE3C10"/>
    <w:rsid w:val="00EE3D51"/>
    <w:rsid w:val="00EE3EC4"/>
    <w:rsid w:val="00EE4107"/>
    <w:rsid w:val="00EE4CDA"/>
    <w:rsid w:val="00EE4EBC"/>
    <w:rsid w:val="00EE5123"/>
    <w:rsid w:val="00EE59A0"/>
    <w:rsid w:val="00EE6349"/>
    <w:rsid w:val="00EE6502"/>
    <w:rsid w:val="00EE665F"/>
    <w:rsid w:val="00EE6CC8"/>
    <w:rsid w:val="00EE71AF"/>
    <w:rsid w:val="00EE73E4"/>
    <w:rsid w:val="00EE744C"/>
    <w:rsid w:val="00EE7694"/>
    <w:rsid w:val="00EE7D54"/>
    <w:rsid w:val="00EF060B"/>
    <w:rsid w:val="00EF07A8"/>
    <w:rsid w:val="00EF08F9"/>
    <w:rsid w:val="00EF11AC"/>
    <w:rsid w:val="00EF2A98"/>
    <w:rsid w:val="00EF2B1F"/>
    <w:rsid w:val="00EF2B3E"/>
    <w:rsid w:val="00EF2DD0"/>
    <w:rsid w:val="00EF33FB"/>
    <w:rsid w:val="00EF34A1"/>
    <w:rsid w:val="00EF3EF4"/>
    <w:rsid w:val="00EF4014"/>
    <w:rsid w:val="00EF424F"/>
    <w:rsid w:val="00EF42CC"/>
    <w:rsid w:val="00EF54A0"/>
    <w:rsid w:val="00EF5C75"/>
    <w:rsid w:val="00EF6249"/>
    <w:rsid w:val="00EF6CF7"/>
    <w:rsid w:val="00EF7620"/>
    <w:rsid w:val="00F01C2D"/>
    <w:rsid w:val="00F02071"/>
    <w:rsid w:val="00F0304B"/>
    <w:rsid w:val="00F04EB6"/>
    <w:rsid w:val="00F055D5"/>
    <w:rsid w:val="00F06BEE"/>
    <w:rsid w:val="00F06C7A"/>
    <w:rsid w:val="00F0724A"/>
    <w:rsid w:val="00F07A9A"/>
    <w:rsid w:val="00F07B0E"/>
    <w:rsid w:val="00F10063"/>
    <w:rsid w:val="00F10E6A"/>
    <w:rsid w:val="00F10EC0"/>
    <w:rsid w:val="00F10ED4"/>
    <w:rsid w:val="00F11A37"/>
    <w:rsid w:val="00F1212B"/>
    <w:rsid w:val="00F1233B"/>
    <w:rsid w:val="00F129E8"/>
    <w:rsid w:val="00F12C7E"/>
    <w:rsid w:val="00F12E24"/>
    <w:rsid w:val="00F13028"/>
    <w:rsid w:val="00F13277"/>
    <w:rsid w:val="00F13864"/>
    <w:rsid w:val="00F14231"/>
    <w:rsid w:val="00F147FB"/>
    <w:rsid w:val="00F14C47"/>
    <w:rsid w:val="00F16AF0"/>
    <w:rsid w:val="00F1754B"/>
    <w:rsid w:val="00F202DC"/>
    <w:rsid w:val="00F20D13"/>
    <w:rsid w:val="00F21E07"/>
    <w:rsid w:val="00F21E72"/>
    <w:rsid w:val="00F22E1A"/>
    <w:rsid w:val="00F23002"/>
    <w:rsid w:val="00F2338A"/>
    <w:rsid w:val="00F23502"/>
    <w:rsid w:val="00F23918"/>
    <w:rsid w:val="00F24224"/>
    <w:rsid w:val="00F25207"/>
    <w:rsid w:val="00F25730"/>
    <w:rsid w:val="00F2684E"/>
    <w:rsid w:val="00F26FA0"/>
    <w:rsid w:val="00F27082"/>
    <w:rsid w:val="00F275DE"/>
    <w:rsid w:val="00F27FA9"/>
    <w:rsid w:val="00F302BE"/>
    <w:rsid w:val="00F303CF"/>
    <w:rsid w:val="00F30598"/>
    <w:rsid w:val="00F3170E"/>
    <w:rsid w:val="00F322C7"/>
    <w:rsid w:val="00F323C6"/>
    <w:rsid w:val="00F32B77"/>
    <w:rsid w:val="00F32D8C"/>
    <w:rsid w:val="00F3301C"/>
    <w:rsid w:val="00F33882"/>
    <w:rsid w:val="00F3421B"/>
    <w:rsid w:val="00F34855"/>
    <w:rsid w:val="00F3489C"/>
    <w:rsid w:val="00F35106"/>
    <w:rsid w:val="00F35E81"/>
    <w:rsid w:val="00F36F97"/>
    <w:rsid w:val="00F37939"/>
    <w:rsid w:val="00F37CA9"/>
    <w:rsid w:val="00F40325"/>
    <w:rsid w:val="00F40E36"/>
    <w:rsid w:val="00F41BE2"/>
    <w:rsid w:val="00F41ECF"/>
    <w:rsid w:val="00F422D0"/>
    <w:rsid w:val="00F42AF7"/>
    <w:rsid w:val="00F430A8"/>
    <w:rsid w:val="00F43377"/>
    <w:rsid w:val="00F43569"/>
    <w:rsid w:val="00F43768"/>
    <w:rsid w:val="00F43971"/>
    <w:rsid w:val="00F4430F"/>
    <w:rsid w:val="00F443EB"/>
    <w:rsid w:val="00F451F3"/>
    <w:rsid w:val="00F45D1F"/>
    <w:rsid w:val="00F46C93"/>
    <w:rsid w:val="00F46E25"/>
    <w:rsid w:val="00F47F49"/>
    <w:rsid w:val="00F502BC"/>
    <w:rsid w:val="00F5052E"/>
    <w:rsid w:val="00F50586"/>
    <w:rsid w:val="00F51CFE"/>
    <w:rsid w:val="00F51E5F"/>
    <w:rsid w:val="00F52437"/>
    <w:rsid w:val="00F52A4E"/>
    <w:rsid w:val="00F52E48"/>
    <w:rsid w:val="00F52F76"/>
    <w:rsid w:val="00F53A67"/>
    <w:rsid w:val="00F53ADE"/>
    <w:rsid w:val="00F544A5"/>
    <w:rsid w:val="00F54BDF"/>
    <w:rsid w:val="00F54EE5"/>
    <w:rsid w:val="00F555B2"/>
    <w:rsid w:val="00F556F8"/>
    <w:rsid w:val="00F560A7"/>
    <w:rsid w:val="00F564CA"/>
    <w:rsid w:val="00F5681B"/>
    <w:rsid w:val="00F57FFA"/>
    <w:rsid w:val="00F60191"/>
    <w:rsid w:val="00F60593"/>
    <w:rsid w:val="00F60724"/>
    <w:rsid w:val="00F6099D"/>
    <w:rsid w:val="00F60D65"/>
    <w:rsid w:val="00F62529"/>
    <w:rsid w:val="00F62923"/>
    <w:rsid w:val="00F62C04"/>
    <w:rsid w:val="00F62D8C"/>
    <w:rsid w:val="00F63CE2"/>
    <w:rsid w:val="00F64C28"/>
    <w:rsid w:val="00F6533E"/>
    <w:rsid w:val="00F6566B"/>
    <w:rsid w:val="00F65828"/>
    <w:rsid w:val="00F65E3A"/>
    <w:rsid w:val="00F66D66"/>
    <w:rsid w:val="00F66FB2"/>
    <w:rsid w:val="00F6792C"/>
    <w:rsid w:val="00F67A93"/>
    <w:rsid w:val="00F67E9A"/>
    <w:rsid w:val="00F705E7"/>
    <w:rsid w:val="00F70787"/>
    <w:rsid w:val="00F71CD9"/>
    <w:rsid w:val="00F71CEF"/>
    <w:rsid w:val="00F72934"/>
    <w:rsid w:val="00F74C52"/>
    <w:rsid w:val="00F77145"/>
    <w:rsid w:val="00F80AAB"/>
    <w:rsid w:val="00F81AB2"/>
    <w:rsid w:val="00F820A9"/>
    <w:rsid w:val="00F826B2"/>
    <w:rsid w:val="00F82AF3"/>
    <w:rsid w:val="00F82EA7"/>
    <w:rsid w:val="00F83294"/>
    <w:rsid w:val="00F83944"/>
    <w:rsid w:val="00F83BAB"/>
    <w:rsid w:val="00F84796"/>
    <w:rsid w:val="00F84F4F"/>
    <w:rsid w:val="00F84F7F"/>
    <w:rsid w:val="00F850A9"/>
    <w:rsid w:val="00F85BE1"/>
    <w:rsid w:val="00F8612E"/>
    <w:rsid w:val="00F87432"/>
    <w:rsid w:val="00F90ECE"/>
    <w:rsid w:val="00F911AD"/>
    <w:rsid w:val="00F916D2"/>
    <w:rsid w:val="00F917D4"/>
    <w:rsid w:val="00F91939"/>
    <w:rsid w:val="00F91BF2"/>
    <w:rsid w:val="00F91FBC"/>
    <w:rsid w:val="00F921B8"/>
    <w:rsid w:val="00F931DC"/>
    <w:rsid w:val="00F93707"/>
    <w:rsid w:val="00F93850"/>
    <w:rsid w:val="00F93955"/>
    <w:rsid w:val="00F93BFA"/>
    <w:rsid w:val="00F940A8"/>
    <w:rsid w:val="00F944F3"/>
    <w:rsid w:val="00F94A8E"/>
    <w:rsid w:val="00F94EDA"/>
    <w:rsid w:val="00F950A4"/>
    <w:rsid w:val="00F95987"/>
    <w:rsid w:val="00F95BAE"/>
    <w:rsid w:val="00F962C5"/>
    <w:rsid w:val="00F96B03"/>
    <w:rsid w:val="00F977A3"/>
    <w:rsid w:val="00FA0B1C"/>
    <w:rsid w:val="00FA0E9F"/>
    <w:rsid w:val="00FA12C2"/>
    <w:rsid w:val="00FA1398"/>
    <w:rsid w:val="00FA16E8"/>
    <w:rsid w:val="00FA1977"/>
    <w:rsid w:val="00FA1DD8"/>
    <w:rsid w:val="00FA2353"/>
    <w:rsid w:val="00FA24EB"/>
    <w:rsid w:val="00FA2CB8"/>
    <w:rsid w:val="00FA4211"/>
    <w:rsid w:val="00FA5664"/>
    <w:rsid w:val="00FA62B7"/>
    <w:rsid w:val="00FA6324"/>
    <w:rsid w:val="00FA64DF"/>
    <w:rsid w:val="00FA6D51"/>
    <w:rsid w:val="00FA79D8"/>
    <w:rsid w:val="00FB0495"/>
    <w:rsid w:val="00FB0780"/>
    <w:rsid w:val="00FB0CB9"/>
    <w:rsid w:val="00FB0D81"/>
    <w:rsid w:val="00FB16D9"/>
    <w:rsid w:val="00FB19DE"/>
    <w:rsid w:val="00FB2ED2"/>
    <w:rsid w:val="00FB33FC"/>
    <w:rsid w:val="00FB367A"/>
    <w:rsid w:val="00FB4887"/>
    <w:rsid w:val="00FB4897"/>
    <w:rsid w:val="00FB4B26"/>
    <w:rsid w:val="00FB5B2E"/>
    <w:rsid w:val="00FB6055"/>
    <w:rsid w:val="00FB6AA4"/>
    <w:rsid w:val="00FB71FE"/>
    <w:rsid w:val="00FB7369"/>
    <w:rsid w:val="00FB79B7"/>
    <w:rsid w:val="00FB7FB7"/>
    <w:rsid w:val="00FC07AB"/>
    <w:rsid w:val="00FC0BA3"/>
    <w:rsid w:val="00FC1680"/>
    <w:rsid w:val="00FC3237"/>
    <w:rsid w:val="00FC3C45"/>
    <w:rsid w:val="00FC4EB3"/>
    <w:rsid w:val="00FC57DF"/>
    <w:rsid w:val="00FC5C67"/>
    <w:rsid w:val="00FC7889"/>
    <w:rsid w:val="00FD00BB"/>
    <w:rsid w:val="00FD08DD"/>
    <w:rsid w:val="00FD09F3"/>
    <w:rsid w:val="00FD1A34"/>
    <w:rsid w:val="00FD318B"/>
    <w:rsid w:val="00FD32A9"/>
    <w:rsid w:val="00FD35B3"/>
    <w:rsid w:val="00FD3C99"/>
    <w:rsid w:val="00FD3D50"/>
    <w:rsid w:val="00FD4D54"/>
    <w:rsid w:val="00FD5869"/>
    <w:rsid w:val="00FD7306"/>
    <w:rsid w:val="00FD73D8"/>
    <w:rsid w:val="00FD79AE"/>
    <w:rsid w:val="00FE0585"/>
    <w:rsid w:val="00FE08F6"/>
    <w:rsid w:val="00FE0EB7"/>
    <w:rsid w:val="00FE147C"/>
    <w:rsid w:val="00FE19EC"/>
    <w:rsid w:val="00FE4DB0"/>
    <w:rsid w:val="00FE5F95"/>
    <w:rsid w:val="00FE695A"/>
    <w:rsid w:val="00FE6CB3"/>
    <w:rsid w:val="00FE7134"/>
    <w:rsid w:val="00FE71F9"/>
    <w:rsid w:val="00FF00F7"/>
    <w:rsid w:val="00FF05B0"/>
    <w:rsid w:val="00FF0829"/>
    <w:rsid w:val="00FF1491"/>
    <w:rsid w:val="00FF16AB"/>
    <w:rsid w:val="00FF1C22"/>
    <w:rsid w:val="00FF3E0E"/>
    <w:rsid w:val="00FF3E53"/>
    <w:rsid w:val="00FF44B2"/>
    <w:rsid w:val="00FF4C9B"/>
    <w:rsid w:val="00FF4CD7"/>
    <w:rsid w:val="00FF5788"/>
    <w:rsid w:val="00FF599A"/>
    <w:rsid w:val="00FF5C72"/>
    <w:rsid w:val="00FF6B44"/>
    <w:rsid w:val="00FF6EB6"/>
    <w:rsid w:val="00FF6F63"/>
    <w:rsid w:val="00FF7AFB"/>
    <w:rsid w:val="00FF7F67"/>
    <w:rsid w:val="16865C75"/>
    <w:rsid w:val="1D187091"/>
    <w:rsid w:val="27A52F98"/>
    <w:rsid w:val="28840166"/>
    <w:rsid w:val="3AC13DD2"/>
    <w:rsid w:val="5623455D"/>
    <w:rsid w:val="688C3FD5"/>
    <w:rsid w:val="764A4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A2BE8F8-2861-47D2-A853-18BCD57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link w:val="Heading1Char"/>
    <w:uiPriority w:val="9"/>
    <w:qFormat/>
    <w:pPr>
      <w:keepNext/>
      <w:jc w:val="center"/>
      <w:outlineLvl w:val="0"/>
    </w:pPr>
    <w:rPr>
      <w:rFonts w:ascii=".VnTime" w:hAnsi=".VnTime"/>
      <w:i/>
      <w:lang w:val="en-AU"/>
    </w:rPr>
  </w:style>
  <w:style w:type="paragraph" w:styleId="Heading2">
    <w:name w:val="heading 2"/>
    <w:basedOn w:val="Normal"/>
    <w:next w:val="Normal"/>
    <w:link w:val="Heading2Char1"/>
    <w:qFormat/>
    <w:pPr>
      <w:keepNext/>
      <w:jc w:val="both"/>
      <w:outlineLvl w:val="1"/>
    </w:pPr>
    <w:rPr>
      <w:rFonts w:ascii=".VnTimeH" w:hAnsi=".VnTimeH"/>
      <w:b/>
      <w:color w:val="0000FF"/>
      <w:sz w:val="24"/>
    </w:rPr>
  </w:style>
  <w:style w:type="paragraph" w:styleId="Heading3">
    <w:name w:val="heading 3"/>
    <w:basedOn w:val="Normal"/>
    <w:next w:val="Normal"/>
    <w:link w:val="Heading3Char"/>
    <w:qFormat/>
    <w:pPr>
      <w:keepNext/>
      <w:jc w:val="center"/>
      <w:outlineLvl w:val="2"/>
    </w:pPr>
    <w:rPr>
      <w:rFonts w:ascii=".VnTime" w:hAnsi=".VnTime"/>
      <w:b/>
      <w:bCs/>
      <w:sz w:val="24"/>
      <w:lang w:val="en-AU"/>
    </w:rPr>
  </w:style>
  <w:style w:type="paragraph" w:styleId="Heading4">
    <w:name w:val="heading 4"/>
    <w:basedOn w:val="Normal"/>
    <w:next w:val="Normal"/>
    <w:link w:val="Heading4Char"/>
    <w:qFormat/>
    <w:pPr>
      <w:keepNext/>
      <w:spacing w:before="120"/>
      <w:ind w:right="-142"/>
      <w:jc w:val="center"/>
      <w:outlineLvl w:val="3"/>
    </w:pPr>
    <w:rPr>
      <w:rFonts w:ascii=".VnTime" w:hAnsi=".VnTime"/>
      <w:i/>
      <w:iCs/>
      <w:szCs w:val="28"/>
    </w:rPr>
  </w:style>
  <w:style w:type="paragraph" w:styleId="Heading6">
    <w:name w:val="heading 6"/>
    <w:basedOn w:val="Normal"/>
    <w:next w:val="Normal"/>
    <w:link w:val="Heading6Char"/>
    <w:uiPriority w:val="9"/>
    <w:qFormat/>
    <w:pPr>
      <w:keepNext/>
      <w:jc w:val="center"/>
      <w:outlineLvl w:val="5"/>
    </w:pPr>
    <w:rPr>
      <w:rFonts w:ascii=".VnTime" w:hAnsi=".VnTime"/>
      <w:b/>
    </w:rPr>
  </w:style>
  <w:style w:type="paragraph" w:styleId="Heading7">
    <w:name w:val="heading 7"/>
    <w:basedOn w:val="Normal"/>
    <w:next w:val="Normal"/>
    <w:link w:val="Heading7Char"/>
    <w:qFormat/>
    <w:pPr>
      <w:keepNext/>
      <w:autoSpaceDE w:val="0"/>
      <w:autoSpaceDN w:val="0"/>
      <w:spacing w:after="120"/>
      <w:jc w:val="center"/>
      <w:outlineLvl w:val="6"/>
    </w:pPr>
    <w:rPr>
      <w:rFonts w:ascii=".VnTimeH" w:hAnsi=".VnTimeH"/>
      <w:b/>
      <w:bCs/>
      <w:szCs w:val="28"/>
      <w:lang w:val="en-GB"/>
    </w:rPr>
  </w:style>
  <w:style w:type="paragraph" w:styleId="Heading8">
    <w:name w:val="heading 8"/>
    <w:basedOn w:val="Normal"/>
    <w:next w:val="Normal"/>
    <w:link w:val="Heading8Char"/>
    <w:qFormat/>
    <w:pPr>
      <w:keepNext/>
      <w:autoSpaceDE w:val="0"/>
      <w:autoSpaceDN w:val="0"/>
      <w:spacing w:before="240" w:after="240"/>
      <w:jc w:val="center"/>
      <w:outlineLvl w:val="7"/>
    </w:pPr>
    <w:rPr>
      <w:rFonts w:ascii=".VnTimeH" w:hAnsi=".VnTimeH"/>
      <w:b/>
      <w:bCs/>
      <w:color w:val="000000"/>
      <w:spacing w:val="28"/>
      <w:szCs w:val="28"/>
      <w:lang w:val="en-GB"/>
    </w:rPr>
  </w:style>
  <w:style w:type="paragraph" w:styleId="Heading9">
    <w:name w:val="heading 9"/>
    <w:basedOn w:val="Normal"/>
    <w:next w:val="Normal"/>
    <w:link w:val="Heading9Char"/>
    <w:qFormat/>
    <w:pPr>
      <w:keepNext/>
      <w:jc w:val="center"/>
      <w:outlineLvl w:val="8"/>
    </w:pPr>
    <w:rPr>
      <w:rFonts w:ascii=".VnTime" w:hAnsi=".VnTime"/>
      <w:i/>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rPr>
      <w:rFonts w:ascii=".VnTimeH" w:hAnsi=".VnTimeH"/>
      <w:color w:val="0000FF"/>
      <w:szCs w:val="20"/>
    </w:rPr>
  </w:style>
  <w:style w:type="paragraph" w:styleId="BodyText2">
    <w:name w:val="Body Text 2"/>
    <w:basedOn w:val="Normal"/>
    <w:link w:val="BodyText2Char"/>
    <w:qFormat/>
    <w:pPr>
      <w:keepNext/>
      <w:autoSpaceDE w:val="0"/>
      <w:autoSpaceDN w:val="0"/>
      <w:spacing w:before="120"/>
      <w:ind w:firstLine="567"/>
      <w:jc w:val="both"/>
    </w:pPr>
    <w:rPr>
      <w:rFonts w:ascii=".VnTime" w:hAnsi=".VnTime"/>
      <w:color w:val="000000"/>
      <w:szCs w:val="28"/>
      <w:lang w:val="en-GB"/>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ind w:firstLine="851"/>
      <w:jc w:val="both"/>
    </w:pPr>
    <w:rPr>
      <w:rFonts w:ascii=".VnTime" w:hAnsi=".VnTime"/>
      <w:color w:val="0000FF"/>
      <w:sz w:val="26"/>
      <w:szCs w:val="20"/>
    </w:rPr>
  </w:style>
  <w:style w:type="paragraph" w:styleId="BodyTextIndent3">
    <w:name w:val="Body Text Indent 3"/>
    <w:basedOn w:val="Normal"/>
    <w:link w:val="BodyTextIndent3Char"/>
    <w:qFormat/>
    <w:pPr>
      <w:spacing w:after="120"/>
      <w:ind w:left="360"/>
    </w:pPr>
    <w:rPr>
      <w:rFonts w:ascii=".VnTime" w:hAnsi=".VnTime"/>
      <w:color w:val="0000FF"/>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after="160"/>
    </w:pPr>
    <w:rPr>
      <w:rFonts w:ascii="Calibri" w:eastAsia="Calibri" w:hAnsi="Calibri"/>
      <w:sz w:val="20"/>
      <w:szCs w:val="20"/>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aliases w:val="Footnote,BearingPoint,Ref,de nota al pie,ftref,BVI fnr,Footnote text,16 Point,Superscript 6 Point,fr,Footnote Text1,Footnote + Arial,10 pt,Black,Footnote Text11"/>
    <w:link w:val="4GCharCharChar"/>
    <w:uiPriority w:val="99"/>
    <w:qFormat/>
    <w:rPr>
      <w:vertAlign w:val="superscript"/>
    </w:rPr>
  </w:style>
  <w:style w:type="paragraph" w:customStyle="1" w:styleId="4GCharCharChar">
    <w:name w:val="4_G Char Char Char"/>
    <w:basedOn w:val="Normal"/>
    <w:link w:val="FootnoteReference"/>
    <w:uiPriority w:val="99"/>
    <w:qFormat/>
    <w:pPr>
      <w:spacing w:before="100" w:line="240" w:lineRule="exact"/>
    </w:pPr>
    <w:rPr>
      <w:sz w:val="20"/>
      <w:szCs w:val="20"/>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qFormat/>
    <w:rPr>
      <w:sz w:val="20"/>
      <w:szCs w:val="20"/>
    </w:rPr>
  </w:style>
  <w:style w:type="paragraph" w:styleId="Header">
    <w:name w:val="header"/>
    <w:basedOn w:val="Normal"/>
    <w:link w:val="HeaderChar"/>
    <w:uiPriority w:val="99"/>
    <w:qFormat/>
    <w:pPr>
      <w:tabs>
        <w:tab w:val="center" w:pos="4320"/>
        <w:tab w:val="right" w:pos="8640"/>
      </w:tabs>
    </w:pPr>
    <w:rPr>
      <w:rFonts w:ascii=".VnTime" w:hAnsi=".VnTime"/>
      <w:color w:val="0000FF"/>
      <w:sz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FF"/>
      <w:sz w:val="26"/>
      <w:szCs w:val="20"/>
    </w:rPr>
  </w:style>
  <w:style w:type="paragraph" w:styleId="NormalWeb">
    <w:name w:val="Normal (Web)"/>
    <w:basedOn w:val="Normal"/>
    <w:link w:val="NormalWebChar"/>
    <w:uiPriority w:val="99"/>
    <w:qFormat/>
    <w:pPr>
      <w:spacing w:before="100" w:beforeAutospacing="1" w:after="100" w:afterAutospacing="1"/>
    </w:pPr>
    <w:rPr>
      <w:sz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VnTime" w:hAnsi=".VnTime"/>
      <w:i/>
      <w:sz w:val="28"/>
      <w:szCs w:val="24"/>
      <w:lang w:val="en-AU" w:eastAsia="en-US"/>
    </w:rPr>
  </w:style>
  <w:style w:type="character" w:customStyle="1" w:styleId="Heading2Char1">
    <w:name w:val="Heading 2 Char1"/>
    <w:link w:val="Heading2"/>
    <w:qFormat/>
    <w:rPr>
      <w:rFonts w:ascii=".VnTimeH" w:hAnsi=".VnTimeH"/>
      <w:b/>
      <w:color w:val="0000FF"/>
      <w:sz w:val="24"/>
      <w:szCs w:val="24"/>
      <w:lang w:val="en-US" w:eastAsia="en-US"/>
    </w:rPr>
  </w:style>
  <w:style w:type="character" w:customStyle="1" w:styleId="Heading3Char">
    <w:name w:val="Heading 3 Char"/>
    <w:link w:val="Heading3"/>
    <w:qFormat/>
    <w:rPr>
      <w:rFonts w:ascii=".VnTime" w:hAnsi=".VnTime"/>
      <w:b/>
      <w:bCs/>
      <w:sz w:val="24"/>
      <w:szCs w:val="24"/>
      <w:lang w:val="en-AU" w:eastAsia="en-US"/>
    </w:rPr>
  </w:style>
  <w:style w:type="character" w:customStyle="1" w:styleId="Heading4Char">
    <w:name w:val="Heading 4 Char"/>
    <w:link w:val="Heading4"/>
    <w:qFormat/>
    <w:rPr>
      <w:rFonts w:ascii=".VnTime" w:hAnsi=".VnTime"/>
      <w:i/>
      <w:iCs/>
      <w:sz w:val="28"/>
      <w:szCs w:val="28"/>
      <w:lang w:val="en-US" w:eastAsia="en-US"/>
    </w:rPr>
  </w:style>
  <w:style w:type="character" w:customStyle="1" w:styleId="Heading6Char">
    <w:name w:val="Heading 6 Char"/>
    <w:link w:val="Heading6"/>
    <w:uiPriority w:val="9"/>
    <w:qFormat/>
    <w:rPr>
      <w:rFonts w:ascii=".VnTime" w:hAnsi=".VnTime"/>
      <w:b/>
      <w:sz w:val="28"/>
      <w:szCs w:val="24"/>
      <w:lang w:val="en-US" w:eastAsia="en-US"/>
    </w:rPr>
  </w:style>
  <w:style w:type="character" w:customStyle="1" w:styleId="Heading7Char">
    <w:name w:val="Heading 7 Char"/>
    <w:link w:val="Heading7"/>
    <w:qFormat/>
    <w:rPr>
      <w:rFonts w:ascii=".VnTimeH" w:hAnsi=".VnTimeH" w:cs=".VnTimeH"/>
      <w:b/>
      <w:bCs/>
      <w:sz w:val="28"/>
      <w:szCs w:val="28"/>
      <w:lang w:val="en-GB" w:eastAsia="en-US"/>
    </w:rPr>
  </w:style>
  <w:style w:type="character" w:customStyle="1" w:styleId="Heading8Char">
    <w:name w:val="Heading 8 Char"/>
    <w:link w:val="Heading8"/>
    <w:qFormat/>
    <w:rPr>
      <w:rFonts w:ascii=".VnTimeH" w:hAnsi=".VnTimeH" w:cs=".VnTimeH"/>
      <w:b/>
      <w:bCs/>
      <w:color w:val="000000"/>
      <w:spacing w:val="28"/>
      <w:sz w:val="28"/>
      <w:szCs w:val="28"/>
      <w:lang w:val="en-GB" w:eastAsia="en-US"/>
    </w:rPr>
  </w:style>
  <w:style w:type="character" w:customStyle="1" w:styleId="Heading9Char">
    <w:name w:val="Heading 9 Char"/>
    <w:link w:val="Heading9"/>
    <w:qFormat/>
    <w:rPr>
      <w:rFonts w:ascii=".VnTime" w:hAnsi=".VnTime"/>
      <w:i/>
      <w:color w:val="0000FF"/>
      <w:sz w:val="26"/>
      <w:lang w:val="en-US" w:eastAsia="en-US"/>
    </w:rPr>
  </w:style>
  <w:style w:type="character" w:customStyle="1" w:styleId="FooterChar">
    <w:name w:val="Footer Char"/>
    <w:link w:val="Footer"/>
    <w:uiPriority w:val="99"/>
    <w:qFormat/>
    <w:rPr>
      <w:sz w:val="28"/>
      <w:szCs w:val="24"/>
      <w:lang w:val="en-US" w:eastAsia="en-US"/>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sz w:val="22"/>
      <w:szCs w:val="22"/>
    </w:rPr>
  </w:style>
  <w:style w:type="character" w:customStyle="1" w:styleId="Heading2Char">
    <w:name w:val="Heading 2 Char"/>
    <w:uiPriority w:val="9"/>
    <w:semiHidden/>
    <w:qFormat/>
    <w:rPr>
      <w:rFonts w:ascii="Times New Roman" w:eastAsia="Times New Roman" w:hAnsi="Times New Roman" w:cs="Times New Roman"/>
      <w:b/>
      <w:bCs/>
      <w:i/>
      <w:iCs/>
      <w:sz w:val="28"/>
      <w:szCs w:val="28"/>
      <w:lang w:val="en-US" w:eastAsia="en-US"/>
    </w:rPr>
  </w:style>
  <w:style w:type="character" w:customStyle="1" w:styleId="HeaderChar">
    <w:name w:val="Header Char"/>
    <w:link w:val="Header"/>
    <w:uiPriority w:val="99"/>
    <w:qFormat/>
    <w:rPr>
      <w:rFonts w:ascii=".VnTime" w:hAnsi=".VnTime"/>
      <w:color w:val="0000FF"/>
      <w:sz w:val="26"/>
      <w:szCs w:val="24"/>
      <w:lang w:val="en-US" w:eastAsia="en-US"/>
    </w:rPr>
  </w:style>
  <w:style w:type="paragraph" w:customStyle="1" w:styleId="Char">
    <w:name w:val="Char"/>
    <w:basedOn w:val="Normal"/>
    <w:qFormat/>
    <w:pPr>
      <w:spacing w:after="160" w:line="240" w:lineRule="exact"/>
    </w:pPr>
    <w:rPr>
      <w:rFonts w:ascii="Verdana" w:hAnsi="Verdana"/>
      <w:sz w:val="20"/>
      <w:szCs w:val="20"/>
    </w:rPr>
  </w:style>
  <w:style w:type="character" w:customStyle="1" w:styleId="BodyText2Char">
    <w:name w:val="Body Text 2 Char"/>
    <w:link w:val="BodyText2"/>
    <w:qFormat/>
    <w:rPr>
      <w:rFonts w:ascii=".VnTime" w:hAnsi=".VnTime" w:cs=".VnTime"/>
      <w:color w:val="000000"/>
      <w:sz w:val="28"/>
      <w:szCs w:val="28"/>
      <w:lang w:val="en-GB" w:eastAsia="en-US"/>
    </w:rPr>
  </w:style>
  <w:style w:type="character" w:customStyle="1" w:styleId="BodyTextIndent3Char">
    <w:name w:val="Body Text Indent 3 Char"/>
    <w:link w:val="BodyTextIndent3"/>
    <w:qFormat/>
    <w:rPr>
      <w:rFonts w:ascii=".VnTime" w:hAnsi=".VnTime"/>
      <w:color w:val="0000FF"/>
      <w:sz w:val="16"/>
      <w:szCs w:val="16"/>
      <w:lang w:val="en-US" w:eastAsia="en-US"/>
    </w:rPr>
  </w:style>
  <w:style w:type="character" w:customStyle="1" w:styleId="BodyTextIndentChar">
    <w:name w:val="Body Text Indent Char"/>
    <w:link w:val="BodyTextIndent"/>
    <w:qFormat/>
    <w:rPr>
      <w:rFonts w:ascii=".VnTime" w:hAnsi=".VnTime"/>
      <w:color w:val="0000FF"/>
      <w:sz w:val="26"/>
      <w:lang w:val="en-US" w:eastAsia="en-US"/>
    </w:rPr>
  </w:style>
  <w:style w:type="character" w:customStyle="1" w:styleId="BodyTextChar">
    <w:name w:val="Body Text Char"/>
    <w:link w:val="BodyText"/>
    <w:uiPriority w:val="99"/>
    <w:qFormat/>
    <w:rPr>
      <w:rFonts w:ascii=".VnTimeH" w:hAnsi=".VnTimeH"/>
      <w:color w:val="0000FF"/>
      <w:sz w:val="28"/>
      <w:lang w:val="en-US" w:eastAsia="en-US"/>
    </w:rPr>
  </w:style>
  <w:style w:type="paragraph" w:customStyle="1" w:styleId="Char1">
    <w:name w:val="Char1"/>
    <w:basedOn w:val="Normal"/>
    <w:qFormat/>
    <w:pPr>
      <w:spacing w:after="160" w:line="240" w:lineRule="exact"/>
    </w:pPr>
    <w:rPr>
      <w:rFonts w:ascii="Verdana" w:hAnsi="Verdana"/>
      <w:sz w:val="20"/>
      <w:szCs w:val="20"/>
    </w:rPr>
  </w:style>
  <w:style w:type="paragraph" w:customStyle="1" w:styleId="normal-p">
    <w:name w:val="normal-p"/>
    <w:basedOn w:val="Normal"/>
    <w:qFormat/>
    <w:rPr>
      <w:sz w:val="20"/>
      <w:szCs w:val="20"/>
    </w:rPr>
  </w:style>
  <w:style w:type="character" w:customStyle="1" w:styleId="normal-h1">
    <w:name w:val="normal-h1"/>
    <w:uiPriority w:val="99"/>
    <w:qFormat/>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qFormat/>
    <w:pPr>
      <w:pageBreakBefore/>
      <w:spacing w:before="100" w:beforeAutospacing="1" w:after="100" w:afterAutospacing="1"/>
    </w:pPr>
    <w:rPr>
      <w:rFonts w:ascii="Tahoma" w:hAnsi="Tahoma"/>
      <w:sz w:val="20"/>
      <w:szCs w:val="20"/>
    </w:rPr>
  </w:style>
  <w:style w:type="character" w:customStyle="1" w:styleId="normalchar1">
    <w:name w:val="normal__char1"/>
    <w:qFormat/>
    <w:rPr>
      <w:rFonts w:ascii="Arial" w:hAnsi="Arial" w:cs="Arial" w:hint="default"/>
      <w:sz w:val="22"/>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rPr>
      <w:lang w:val="en-US" w:eastAsia="en-US"/>
    </w:rPr>
  </w:style>
  <w:style w:type="character" w:customStyle="1" w:styleId="n-dieu-h">
    <w:name w:val="n-dieu-h"/>
    <w:basedOn w:val="DefaultParagraphFont"/>
    <w:uiPriority w:val="99"/>
    <w:qFormat/>
  </w:style>
  <w:style w:type="character" w:customStyle="1" w:styleId="BalloonTextChar">
    <w:name w:val="Balloon Text Char"/>
    <w:link w:val="BalloonText"/>
    <w:qFormat/>
    <w:rPr>
      <w:rFonts w:ascii="Tahoma" w:hAnsi="Tahoma" w:cs="Tahoma"/>
      <w:sz w:val="16"/>
      <w:szCs w:val="16"/>
      <w:lang w:val="en-US" w:eastAsia="en-US"/>
    </w:rPr>
  </w:style>
  <w:style w:type="character" w:customStyle="1" w:styleId="ListParagraphChar">
    <w:name w:val="List Paragraph Char"/>
    <w:link w:val="ListParagraph"/>
    <w:uiPriority w:val="34"/>
    <w:qFormat/>
    <w:rPr>
      <w:rFonts w:ascii="Calibri" w:eastAsia="Calibri" w:hAnsi="Calibri" w:cs="Calibri"/>
      <w:sz w:val="22"/>
      <w:szCs w:val="22"/>
      <w:lang w:val="en-US" w:eastAsia="en-US"/>
    </w:rPr>
  </w:style>
  <w:style w:type="paragraph" w:customStyle="1" w:styleId="CharCharCharCharCharCharCharCharChar1CharCharCharChar">
    <w:name w:val="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qFormat/>
    <w:pPr>
      <w:spacing w:after="160" w:line="240" w:lineRule="exact"/>
    </w:pPr>
    <w:rPr>
      <w:rFonts w:ascii="Arial" w:hAnsi="Arial"/>
      <w:sz w:val="22"/>
      <w:szCs w:val="22"/>
    </w:rPr>
  </w:style>
  <w:style w:type="character" w:customStyle="1" w:styleId="BodyText3Char">
    <w:name w:val="Body Text 3 Char"/>
    <w:link w:val="BodyText3"/>
    <w:qFormat/>
    <w:rPr>
      <w:sz w:val="16"/>
      <w:szCs w:val="16"/>
    </w:rPr>
  </w:style>
  <w:style w:type="character" w:customStyle="1" w:styleId="CommentTextChar">
    <w:name w:val="Comment Text Char"/>
    <w:link w:val="CommentText"/>
    <w:uiPriority w:val="99"/>
    <w:qFormat/>
    <w:rPr>
      <w:rFonts w:ascii="Calibri" w:eastAsia="Calibri" w:hAnsi="Calibri" w:cs="Times New Roman"/>
    </w:rPr>
  </w:style>
  <w:style w:type="character" w:customStyle="1" w:styleId="apple-converted-space">
    <w:name w:val="apple-converted-space"/>
    <w:qFormat/>
    <w:rPr>
      <w:rFonts w:ascii="Times New Roman" w:hAnsi="Times New Roman" w:cs="Times New Roman" w:hint="default"/>
    </w:rPr>
  </w:style>
  <w:style w:type="character" w:customStyle="1" w:styleId="NormalWebChar">
    <w:name w:val="Normal (Web) Char"/>
    <w:link w:val="NormalWeb"/>
    <w:uiPriority w:val="99"/>
    <w:qFormat/>
    <w:locked/>
    <w:rPr>
      <w:sz w:val="24"/>
      <w:szCs w:val="24"/>
    </w:rPr>
  </w:style>
  <w:style w:type="character" w:customStyle="1" w:styleId="normal-h">
    <w:name w:val="normal-h"/>
    <w:qFormat/>
    <w:rPr>
      <w:rFonts w:ascii="Times New Roman" w:hAnsi="Times New Roman" w:cs="Times New Roman" w:hint="default"/>
    </w:rPr>
  </w:style>
  <w:style w:type="character" w:customStyle="1" w:styleId="n-dieund-h1">
    <w:name w:val="n-dieund-h1"/>
    <w:uiPriority w:val="99"/>
    <w:qFormat/>
  </w:style>
  <w:style w:type="paragraph" w:customStyle="1" w:styleId="n-dieund-p">
    <w:name w:val="n-dieund-p"/>
    <w:basedOn w:val="Normal"/>
    <w:qFormat/>
    <w:pPr>
      <w:spacing w:before="100" w:beforeAutospacing="1" w:after="100" w:afterAutospacing="1"/>
    </w:pPr>
    <w:rPr>
      <w:sz w:val="24"/>
    </w:rPr>
  </w:style>
  <w:style w:type="paragraph" w:customStyle="1" w:styleId="body-text">
    <w:name w:val="body-text"/>
    <w:basedOn w:val="Normal"/>
    <w:qFormat/>
    <w:pPr>
      <w:spacing w:before="100" w:beforeAutospacing="1" w:after="100" w:afterAutospacing="1"/>
    </w:pPr>
    <w:rPr>
      <w:sz w:val="24"/>
      <w:lang w:val="vi-VN" w:eastAsia="vi-VN"/>
    </w:rPr>
  </w:style>
  <w:style w:type="character" w:customStyle="1" w:styleId="FontStyle18">
    <w:name w:val="Font Style18"/>
    <w:uiPriority w:val="99"/>
    <w:qFormat/>
    <w:rPr>
      <w:rFonts w:ascii="Times New Roman" w:hAnsi="Times New Roman" w:cs="Times New Roman"/>
      <w:color w:val="000000"/>
      <w:sz w:val="24"/>
      <w:szCs w:val="24"/>
    </w:rPr>
  </w:style>
  <w:style w:type="character" w:customStyle="1" w:styleId="Bodytext0">
    <w:name w:val="Body text_"/>
    <w:link w:val="Bodytext1"/>
    <w:qFormat/>
    <w:locked/>
    <w:rPr>
      <w:sz w:val="26"/>
      <w:szCs w:val="26"/>
      <w:shd w:val="clear" w:color="auto" w:fill="FFFFFF"/>
    </w:rPr>
  </w:style>
  <w:style w:type="paragraph" w:customStyle="1" w:styleId="Bodytext1">
    <w:name w:val="Body text1"/>
    <w:basedOn w:val="Normal"/>
    <w:link w:val="Bodytext0"/>
    <w:qFormat/>
    <w:pPr>
      <w:widowControl w:val="0"/>
      <w:shd w:val="clear" w:color="auto" w:fill="FFFFFF"/>
      <w:spacing w:before="120" w:after="1260" w:line="259" w:lineRule="exact"/>
      <w:ind w:hanging="500"/>
    </w:pPr>
    <w:rPr>
      <w:sz w:val="26"/>
      <w:szCs w:val="26"/>
      <w:shd w:val="clear" w:color="auto" w:fill="FFFFFF"/>
    </w:rPr>
  </w:style>
  <w:style w:type="character" w:customStyle="1" w:styleId="Bodytext8">
    <w:name w:val="Body text (8)_"/>
    <w:link w:val="Bodytext80"/>
    <w:qFormat/>
    <w:locked/>
    <w:rPr>
      <w:b/>
      <w:bCs/>
      <w:sz w:val="25"/>
      <w:szCs w:val="25"/>
      <w:shd w:val="clear" w:color="auto" w:fill="FFFFFF"/>
    </w:rPr>
  </w:style>
  <w:style w:type="paragraph" w:customStyle="1" w:styleId="Bodytext80">
    <w:name w:val="Body text (8)"/>
    <w:basedOn w:val="Normal"/>
    <w:link w:val="Bodytext8"/>
    <w:qFormat/>
    <w:pPr>
      <w:widowControl w:val="0"/>
      <w:shd w:val="clear" w:color="auto" w:fill="FFFFFF"/>
      <w:spacing w:before="300" w:line="326" w:lineRule="exact"/>
      <w:ind w:firstLine="740"/>
      <w:jc w:val="both"/>
    </w:pPr>
    <w:rPr>
      <w:b/>
      <w:bCs/>
      <w:sz w:val="25"/>
      <w:szCs w:val="25"/>
      <w:shd w:val="clear" w:color="auto" w:fill="FFFFFF"/>
    </w:rPr>
  </w:style>
  <w:style w:type="character" w:customStyle="1" w:styleId="newsdetailtitle">
    <w:name w:val="news_detail_title"/>
    <w:qFormat/>
  </w:style>
  <w:style w:type="character" w:customStyle="1" w:styleId="Vnbnnidung">
    <w:name w:val="Văn bản nội dung_"/>
    <w:link w:val="Vnbnnidung0"/>
    <w:uiPriority w:val="99"/>
    <w:qFormat/>
    <w:locked/>
    <w:rPr>
      <w:sz w:val="26"/>
      <w:szCs w:val="26"/>
    </w:rPr>
  </w:style>
  <w:style w:type="paragraph" w:customStyle="1" w:styleId="Vnbnnidung0">
    <w:name w:val="Văn bản nội dung"/>
    <w:basedOn w:val="Normal"/>
    <w:link w:val="Vnbnnidung"/>
    <w:uiPriority w:val="99"/>
    <w:qFormat/>
    <w:pPr>
      <w:widowControl w:val="0"/>
      <w:spacing w:after="100"/>
      <w:ind w:firstLine="400"/>
    </w:pPr>
    <w:rPr>
      <w:sz w:val="26"/>
      <w:szCs w:val="26"/>
    </w:rPr>
  </w:style>
  <w:style w:type="paragraph" w:customStyle="1" w:styleId="CharChar1CharCharCharChar1CharCharCharCharCharCharCharChar">
    <w:name w:val="Char Char1 Char Char Char Char1 Char Char Char Char Char Char Char Char"/>
    <w:basedOn w:val="Normal"/>
    <w:next w:val="Normal"/>
    <w:uiPriority w:val="99"/>
    <w:qFormat/>
    <w:pPr>
      <w:spacing w:after="160" w:line="240" w:lineRule="exact"/>
    </w:pPr>
    <w:rPr>
      <w:rFonts w:eastAsia="Calibri"/>
      <w:sz w:val="20"/>
      <w:szCs w:val="20"/>
      <w:vertAlign w:val="superscript"/>
    </w:rPr>
  </w:style>
  <w:style w:type="paragraph" w:customStyle="1" w:styleId="Revision1">
    <w:name w:val="Revision1"/>
    <w:hidden/>
    <w:uiPriority w:val="99"/>
    <w:unhideWhenUsed/>
    <w:qFormat/>
    <w:rPr>
      <w:sz w:val="28"/>
      <w:szCs w:val="24"/>
    </w:rPr>
  </w:style>
  <w:style w:type="paragraph" w:styleId="EndnoteText">
    <w:name w:val="endnote text"/>
    <w:basedOn w:val="Normal"/>
    <w:link w:val="EndnoteTextChar"/>
    <w:semiHidden/>
    <w:unhideWhenUsed/>
    <w:rsid w:val="00FE08F6"/>
    <w:rPr>
      <w:sz w:val="20"/>
      <w:szCs w:val="20"/>
    </w:rPr>
  </w:style>
  <w:style w:type="character" w:customStyle="1" w:styleId="EndnoteTextChar">
    <w:name w:val="Endnote Text Char"/>
    <w:basedOn w:val="DefaultParagraphFont"/>
    <w:link w:val="EndnoteText"/>
    <w:semiHidden/>
    <w:rsid w:val="00FE08F6"/>
  </w:style>
  <w:style w:type="character" w:styleId="EndnoteReference">
    <w:name w:val="endnote reference"/>
    <w:basedOn w:val="DefaultParagraphFont"/>
    <w:semiHidden/>
    <w:unhideWhenUsed/>
    <w:rsid w:val="00FE0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27744">
      <w:bodyDiv w:val="1"/>
      <w:marLeft w:val="0"/>
      <w:marRight w:val="0"/>
      <w:marTop w:val="0"/>
      <w:marBottom w:val="0"/>
      <w:divBdr>
        <w:top w:val="none" w:sz="0" w:space="0" w:color="auto"/>
        <w:left w:val="none" w:sz="0" w:space="0" w:color="auto"/>
        <w:bottom w:val="none" w:sz="0" w:space="0" w:color="auto"/>
        <w:right w:val="none" w:sz="0" w:space="0" w:color="auto"/>
      </w:divBdr>
    </w:div>
    <w:div w:id="566576054">
      <w:bodyDiv w:val="1"/>
      <w:marLeft w:val="0"/>
      <w:marRight w:val="0"/>
      <w:marTop w:val="0"/>
      <w:marBottom w:val="0"/>
      <w:divBdr>
        <w:top w:val="none" w:sz="0" w:space="0" w:color="auto"/>
        <w:left w:val="none" w:sz="0" w:space="0" w:color="auto"/>
        <w:bottom w:val="none" w:sz="0" w:space="0" w:color="auto"/>
        <w:right w:val="none" w:sz="0" w:space="0" w:color="auto"/>
      </w:divBdr>
    </w:div>
    <w:div w:id="1365592558">
      <w:bodyDiv w:val="1"/>
      <w:marLeft w:val="0"/>
      <w:marRight w:val="0"/>
      <w:marTop w:val="0"/>
      <w:marBottom w:val="0"/>
      <w:divBdr>
        <w:top w:val="none" w:sz="0" w:space="0" w:color="auto"/>
        <w:left w:val="none" w:sz="0" w:space="0" w:color="auto"/>
        <w:bottom w:val="none" w:sz="0" w:space="0" w:color="auto"/>
        <w:right w:val="none" w:sz="0" w:space="0" w:color="auto"/>
      </w:divBdr>
    </w:div>
    <w:div w:id="194572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fia.mpi.gov.vn/Detail/CatID/f3cb5873-74b1-4a47-a57c-a491e0be4051/NewsID/00689952-458e-417a-bf12-896d853e127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NHANH\Xu%20ly%20cong%20van\Thue%20suat%20toi%20thieu%20toan%20cau-0223\Nghi%20dinh\Lay%20y%20kien%20Bo,%20nganh\FDI%2012.2023%2020.12.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NHANH\Xu%20ly%20cong%20van\Thue%20suat%20toi%20thieu%20toan%20cau-0223\Nghi%20dinh\Lay%20y%20kien%20Bo,%20nganh\FDI%2012.2023%2020.12.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Biểu</a:t>
            </a:r>
            <a:r>
              <a:rPr lang="en-US" sz="1400" b="1" baseline="0"/>
              <a:t> 1. </a:t>
            </a:r>
            <a:r>
              <a:rPr lang="en-US" sz="1400" b="1"/>
              <a:t>Thu hút đầu tư nước ngoài theo quốc</a:t>
            </a:r>
            <a:r>
              <a:rPr lang="en-US" sz="1400" b="1" baseline="0"/>
              <a:t> gia </a:t>
            </a:r>
            <a:r>
              <a:rPr lang="en-US" sz="1400" b="1"/>
              <a:t>năm 2023</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6"/>
          <c:order val="6"/>
          <c:tx>
            <c:strRef>
              <c:f>'Thang 12 2023'!$I$32</c:f>
              <c:strCache>
                <c:ptCount val="1"/>
                <c:pt idx="0">
                  <c:v>Tổng vốn đăng ký (triệu USD)</c:v>
                </c:pt>
              </c:strCache>
            </c:strRef>
          </c:tx>
          <c:spPr>
            <a:solidFill>
              <a:schemeClr val="accent1">
                <a:lumMod val="60000"/>
              </a:schemeClr>
            </a:solidFill>
            <a:ln>
              <a:noFill/>
            </a:ln>
            <a:effectLst/>
          </c:spPr>
          <c:invertIfNegative val="0"/>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2023'!$I$33:$I$42</c:f>
              <c:numCache>
                <c:formatCode>_(* #,##0.00_);_(* \(#,##0.00\);_(* "-"??_);_(@_)</c:formatCode>
                <c:ptCount val="10"/>
                <c:pt idx="0">
                  <c:v>6803.5073834292289</c:v>
                </c:pt>
                <c:pt idx="1">
                  <c:v>6566.0376615868654</c:v>
                </c:pt>
                <c:pt idx="2">
                  <c:v>4684.0390701349997</c:v>
                </c:pt>
                <c:pt idx="3">
                  <c:v>4470.8934081271882</c:v>
                </c:pt>
                <c:pt idx="4">
                  <c:v>4400.9431039239844</c:v>
                </c:pt>
                <c:pt idx="5">
                  <c:v>2883.8173248427343</c:v>
                </c:pt>
                <c:pt idx="6">
                  <c:v>805.76209947000007</c:v>
                </c:pt>
                <c:pt idx="7">
                  <c:v>934.74442699999997</c:v>
                </c:pt>
                <c:pt idx="8">
                  <c:v>879.50328724000008</c:v>
                </c:pt>
                <c:pt idx="9">
                  <c:v>626.32153990999745</c:v>
                </c:pt>
              </c:numCache>
            </c:numRef>
          </c:val>
          <c:extLst>
            <c:ext xmlns:c16="http://schemas.microsoft.com/office/drawing/2014/chart" uri="{C3380CC4-5D6E-409C-BE32-E72D297353CC}">
              <c16:uniqueId val="{00000000-570E-4B46-82BA-2D1F0F939F49}"/>
            </c:ext>
          </c:extLst>
        </c:ser>
        <c:dLbls>
          <c:showLegendKey val="0"/>
          <c:showVal val="0"/>
          <c:showCatName val="0"/>
          <c:showSerName val="0"/>
          <c:showPercent val="0"/>
          <c:showBubbleSize val="0"/>
        </c:dLbls>
        <c:gapWidth val="219"/>
        <c:axId val="544074048"/>
        <c:axId val="544079296"/>
      </c:barChart>
      <c:lineChart>
        <c:grouping val="standard"/>
        <c:varyColors val="0"/>
        <c:ser>
          <c:idx val="0"/>
          <c:order val="0"/>
          <c:tx>
            <c:strRef>
              <c:f>'Thang 12 2023'!$C$32</c:f>
              <c:strCache>
                <c:ptCount val="1"/>
                <c:pt idx="0">
                  <c:v>Số dự án cấp mới</c:v>
                </c:pt>
              </c:strCache>
            </c:strRef>
          </c:tx>
          <c:spPr>
            <a:ln w="28575" cap="rnd">
              <a:solidFill>
                <a:schemeClr val="accent1"/>
              </a:solidFill>
              <a:round/>
            </a:ln>
            <a:effectLst/>
          </c:spPr>
          <c:marker>
            <c:symbol val="none"/>
          </c:marker>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2023'!$C$33:$C$42</c:f>
              <c:numCache>
                <c:formatCode>_(* #,##0_);_(* \(#,##0\);_(* "-"??_);_(@_)</c:formatCode>
                <c:ptCount val="10"/>
                <c:pt idx="0">
                  <c:v>410</c:v>
                </c:pt>
                <c:pt idx="1">
                  <c:v>302</c:v>
                </c:pt>
                <c:pt idx="2">
                  <c:v>315</c:v>
                </c:pt>
                <c:pt idx="3">
                  <c:v>707</c:v>
                </c:pt>
                <c:pt idx="4">
                  <c:v>472</c:v>
                </c:pt>
                <c:pt idx="5">
                  <c:v>210</c:v>
                </c:pt>
                <c:pt idx="6">
                  <c:v>20</c:v>
                </c:pt>
                <c:pt idx="7">
                  <c:v>43</c:v>
                </c:pt>
                <c:pt idx="8">
                  <c:v>57</c:v>
                </c:pt>
                <c:pt idx="9">
                  <c:v>124</c:v>
                </c:pt>
              </c:numCache>
            </c:numRef>
          </c:val>
          <c:smooth val="0"/>
          <c:extLst>
            <c:ext xmlns:c16="http://schemas.microsoft.com/office/drawing/2014/chart" uri="{C3380CC4-5D6E-409C-BE32-E72D297353CC}">
              <c16:uniqueId val="{00000001-570E-4B46-82BA-2D1F0F939F49}"/>
            </c:ext>
          </c:extLst>
        </c:ser>
        <c:ser>
          <c:idx val="1"/>
          <c:order val="1"/>
          <c:tx>
            <c:strRef>
              <c:f>'Thang 12 2023'!$D$32</c:f>
              <c:strCache>
                <c:ptCount val="1"/>
                <c:pt idx="0">
                  <c:v>Vốn đăng ký cấp mới (triệu USD)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2023'!$D$33:$D$42</c:f>
            </c:numRef>
          </c:val>
          <c:smooth val="0"/>
          <c:extLst>
            <c:ext xmlns:c16="http://schemas.microsoft.com/office/drawing/2014/chart" uri="{C3380CC4-5D6E-409C-BE32-E72D297353CC}">
              <c16:uniqueId val="{00000002-570E-4B46-82BA-2D1F0F939F49}"/>
            </c:ext>
          </c:extLst>
        </c:ser>
        <c:ser>
          <c:idx val="2"/>
          <c:order val="2"/>
          <c:tx>
            <c:strRef>
              <c:f>'Thang 12 2023'!$E$32</c:f>
              <c:strCache>
                <c:ptCount val="1"/>
                <c:pt idx="0">
                  <c:v>Số lượt dự án điều chỉnh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2023'!$E$33:$E$42</c:f>
            </c:numRef>
          </c:val>
          <c:smooth val="0"/>
          <c:extLst>
            <c:ext xmlns:c16="http://schemas.microsoft.com/office/drawing/2014/chart" uri="{C3380CC4-5D6E-409C-BE32-E72D297353CC}">
              <c16:uniqueId val="{00000003-570E-4B46-82BA-2D1F0F939F49}"/>
            </c:ext>
          </c:extLst>
        </c:ser>
        <c:ser>
          <c:idx val="3"/>
          <c:order val="3"/>
          <c:tx>
            <c:strRef>
              <c:f>'Thang 12 2023'!$F$32</c:f>
              <c:strCache>
                <c:ptCount val="1"/>
                <c:pt idx="0">
                  <c:v>Vốn đăng ký điều chỉnh
(triệu USD)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2023'!$F$33:$F$42</c:f>
            </c:numRef>
          </c:val>
          <c:smooth val="0"/>
          <c:extLst>
            <c:ext xmlns:c16="http://schemas.microsoft.com/office/drawing/2014/chart" uri="{C3380CC4-5D6E-409C-BE32-E72D297353CC}">
              <c16:uniqueId val="{00000004-570E-4B46-82BA-2D1F0F939F49}"/>
            </c:ext>
          </c:extLst>
        </c:ser>
        <c:ser>
          <c:idx val="4"/>
          <c:order val="4"/>
          <c:tx>
            <c:strRef>
              <c:f>'Thang 12 2023'!$G$32</c:f>
              <c:strCache>
                <c:ptCount val="1"/>
                <c:pt idx="0">
                  <c:v>Số lượt góp vốn mua cổ phần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2023'!$G$33:$G$42</c:f>
            </c:numRef>
          </c:val>
          <c:smooth val="0"/>
          <c:extLst>
            <c:ext xmlns:c16="http://schemas.microsoft.com/office/drawing/2014/chart" uri="{C3380CC4-5D6E-409C-BE32-E72D297353CC}">
              <c16:uniqueId val="{00000005-570E-4B46-82BA-2D1F0F939F49}"/>
            </c:ext>
          </c:extLst>
        </c:ser>
        <c:ser>
          <c:idx val="5"/>
          <c:order val="5"/>
          <c:tx>
            <c:strRef>
              <c:f>'Thang 12 2023'!$H$32</c:f>
              <c:strCache>
                <c:ptCount val="1"/>
                <c:pt idx="0">
                  <c:v>Giá trị góp vốn, mua cổ phần 
(triệu USD)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'Thang 12 2023'!$B$33:$B$42</c:f>
              <c:strCache>
                <c:ptCount val="10"/>
                <c:pt idx="0">
                  <c:v>Singapore</c:v>
                </c:pt>
                <c:pt idx="1">
                  <c:v>Nhật Bản</c:v>
                </c:pt>
                <c:pt idx="2">
                  <c:v>Hồng Kông</c:v>
                </c:pt>
                <c:pt idx="3">
                  <c:v>Trung Quốc</c:v>
                </c:pt>
                <c:pt idx="4">
                  <c:v>Hàn Quốc</c:v>
                </c:pt>
                <c:pt idx="5">
                  <c:v>Đài Loan</c:v>
                </c:pt>
                <c:pt idx="6">
                  <c:v>Hà Lan</c:v>
                </c:pt>
                <c:pt idx="7">
                  <c:v>Samoa</c:v>
                </c:pt>
                <c:pt idx="8">
                  <c:v>Thái Lan</c:v>
                </c:pt>
                <c:pt idx="9">
                  <c:v>Hoa Kỳ</c:v>
                </c:pt>
              </c:strCache>
            </c:strRef>
          </c:cat>
          <c:val>
            <c:numRef>
              <c:f>'Thang 12 2023'!$H$33:$H$42</c:f>
            </c:numRef>
          </c:val>
          <c:smooth val="0"/>
          <c:extLst>
            <c:ext xmlns:c16="http://schemas.microsoft.com/office/drawing/2014/chart" uri="{C3380CC4-5D6E-409C-BE32-E72D297353CC}">
              <c16:uniqueId val="{00000006-570E-4B46-82BA-2D1F0F939F49}"/>
            </c:ext>
          </c:extLst>
        </c:ser>
        <c:dLbls>
          <c:showLegendKey val="0"/>
          <c:showVal val="0"/>
          <c:showCatName val="0"/>
          <c:showSerName val="0"/>
          <c:showPercent val="0"/>
          <c:showBubbleSize val="0"/>
        </c:dLbls>
        <c:marker val="1"/>
        <c:smooth val="0"/>
        <c:axId val="544079624"/>
        <c:axId val="544080608"/>
      </c:lineChart>
      <c:catAx>
        <c:axId val="54407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4080608"/>
        <c:crosses val="autoZero"/>
        <c:auto val="1"/>
        <c:lblAlgn val="ctr"/>
        <c:lblOffset val="100"/>
        <c:noMultiLvlLbl val="0"/>
      </c:catAx>
      <c:valAx>
        <c:axId val="5440806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4079624"/>
        <c:crosses val="autoZero"/>
        <c:crossBetween val="between"/>
      </c:valAx>
      <c:valAx>
        <c:axId val="544079296"/>
        <c:scaling>
          <c:orientation val="minMax"/>
        </c:scaling>
        <c:delete val="0"/>
        <c:axPos val="r"/>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4074048"/>
        <c:crosses val="max"/>
        <c:crossBetween val="between"/>
      </c:valAx>
      <c:catAx>
        <c:axId val="544074048"/>
        <c:scaling>
          <c:orientation val="minMax"/>
        </c:scaling>
        <c:delete val="1"/>
        <c:axPos val="b"/>
        <c:numFmt formatCode="General" sourceLinked="1"/>
        <c:majorTickMark val="out"/>
        <c:minorTickMark val="none"/>
        <c:tickLblPos val="nextTo"/>
        <c:crossAx val="544079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Biểu</a:t>
            </a:r>
            <a:r>
              <a:rPr lang="en-US" sz="1400" b="1" baseline="0"/>
              <a:t> 2. </a:t>
            </a:r>
            <a:r>
              <a:rPr lang="en-US" sz="1400" b="1"/>
              <a:t>Đầu tư nước ngoài tại Việt Nam theo quốc gia</a:t>
            </a:r>
          </a:p>
          <a:p>
            <a:pPr>
              <a:defRPr sz="1400"/>
            </a:pPr>
            <a:r>
              <a:rPr lang="en-US" sz="1400" i="1"/>
              <a:t>(Lũy kế tính đến ngày 20/12/2023)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1"/>
          <c:tx>
            <c:strRef>
              <c:f>'Luy ke T12 2023'!$D$37</c:f>
              <c:strCache>
                <c:ptCount val="1"/>
                <c:pt idx="0">
                  <c:v> Tổng vốn đầu tư đăng ký
(Triệu USD) </c:v>
                </c:pt>
              </c:strCache>
            </c:strRef>
          </c:tx>
          <c:spPr>
            <a:solidFill>
              <a:schemeClr val="accent2"/>
            </a:solidFill>
            <a:ln>
              <a:noFill/>
            </a:ln>
            <a:effectLst/>
          </c:spPr>
          <c:invertIfNegative val="0"/>
          <c:cat>
            <c:multiLvlStrRef>
              <c:f>'Luy ke T12 2023'!$A$38:$B$48</c:f>
              <c:multiLvlStrCache>
                <c:ptCount val="11"/>
                <c:lvl>
                  <c:pt idx="0">
                    <c:v>Hàn Quốc</c:v>
                  </c:pt>
                  <c:pt idx="1">
                    <c:v>Singapore</c:v>
                  </c:pt>
                  <c:pt idx="2">
                    <c:v>Nhật Bản</c:v>
                  </c:pt>
                  <c:pt idx="3">
                    <c:v>Đài Loan</c:v>
                  </c:pt>
                  <c:pt idx="4">
                    <c:v>Hồng Kông</c:v>
                  </c:pt>
                  <c:pt idx="5">
                    <c:v>Trung Quốc</c:v>
                  </c:pt>
                  <c:pt idx="6">
                    <c:v>BritishVirginIslands</c:v>
                  </c:pt>
                  <c:pt idx="7">
                    <c:v>Hà Lan</c:v>
                  </c:pt>
                  <c:pt idx="8">
                    <c:v>Thái Lan</c:v>
                  </c:pt>
                  <c:pt idx="9">
                    <c:v>Malaysia</c:v>
                  </c:pt>
                  <c:pt idx="10">
                    <c:v>Hoa Kỳ</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'Luy ke T12 2023'!$D$38:$D$48</c:f>
              <c:numCache>
                <c:formatCode>_(* #,##0.00_);_(* \(#,##0.00\);_(* "-"??_);_(@_)</c:formatCode>
                <c:ptCount val="11"/>
                <c:pt idx="0">
                  <c:v>85865.799195400003</c:v>
                </c:pt>
                <c:pt idx="1">
                  <c:v>74519.368040410001</c:v>
                </c:pt>
                <c:pt idx="2">
                  <c:v>73962.938191460009</c:v>
                </c:pt>
                <c:pt idx="3">
                  <c:v>39315.86064354</c:v>
                </c:pt>
                <c:pt idx="4">
                  <c:v>34124.019429369997</c:v>
                </c:pt>
                <c:pt idx="5">
                  <c:v>27479.061664410001</c:v>
                </c:pt>
                <c:pt idx="6">
                  <c:v>22724.020930360002</c:v>
                </c:pt>
                <c:pt idx="7">
                  <c:v>14205.693650679998</c:v>
                </c:pt>
                <c:pt idx="8">
                  <c:v>14054.608059539994</c:v>
                </c:pt>
                <c:pt idx="9">
                  <c:v>13106.89332945</c:v>
                </c:pt>
                <c:pt idx="10">
                  <c:v>11826.727688070001</c:v>
                </c:pt>
              </c:numCache>
            </c:numRef>
          </c:val>
          <c:extLst>
            <c:ext xmlns:c16="http://schemas.microsoft.com/office/drawing/2014/chart" uri="{C3380CC4-5D6E-409C-BE32-E72D297353CC}">
              <c16:uniqueId val="{00000000-DC6F-4A52-A5D3-071870A9E38F}"/>
            </c:ext>
          </c:extLst>
        </c:ser>
        <c:dLbls>
          <c:showLegendKey val="0"/>
          <c:showVal val="0"/>
          <c:showCatName val="0"/>
          <c:showSerName val="0"/>
          <c:showPercent val="0"/>
          <c:showBubbleSize val="0"/>
        </c:dLbls>
        <c:gapWidth val="219"/>
        <c:axId val="401520064"/>
        <c:axId val="401516456"/>
      </c:barChart>
      <c:lineChart>
        <c:grouping val="standard"/>
        <c:varyColors val="0"/>
        <c:ser>
          <c:idx val="0"/>
          <c:order val="0"/>
          <c:tx>
            <c:strRef>
              <c:f>'Luy ke T12 2023'!$C$37</c:f>
              <c:strCache>
                <c:ptCount val="1"/>
                <c:pt idx="0">
                  <c:v> Số dự án </c:v>
                </c:pt>
              </c:strCache>
            </c:strRef>
          </c:tx>
          <c:spPr>
            <a:ln w="28575" cap="rnd">
              <a:solidFill>
                <a:schemeClr val="accent1"/>
              </a:solidFill>
              <a:round/>
            </a:ln>
            <a:effectLst/>
          </c:spPr>
          <c:marker>
            <c:symbol val="none"/>
          </c:marker>
          <c:cat>
            <c:strRef>
              <c:f>'Luy ke T12 2023'!$B$38:$B$48</c:f>
              <c:strCache>
                <c:ptCount val="11"/>
                <c:pt idx="0">
                  <c:v>Hàn Quốc</c:v>
                </c:pt>
                <c:pt idx="1">
                  <c:v>Singapore</c:v>
                </c:pt>
                <c:pt idx="2">
                  <c:v>Nhật Bản</c:v>
                </c:pt>
                <c:pt idx="3">
                  <c:v>Đài Loan</c:v>
                </c:pt>
                <c:pt idx="4">
                  <c:v>Hồng Kông</c:v>
                </c:pt>
                <c:pt idx="5">
                  <c:v>Trung Quốc</c:v>
                </c:pt>
                <c:pt idx="6">
                  <c:v>BritishVirginIslands</c:v>
                </c:pt>
                <c:pt idx="7">
                  <c:v>Hà Lan</c:v>
                </c:pt>
                <c:pt idx="8">
                  <c:v>Thái Lan</c:v>
                </c:pt>
                <c:pt idx="9">
                  <c:v>Malaysia</c:v>
                </c:pt>
                <c:pt idx="10">
                  <c:v>Hoa Kỳ</c:v>
                </c:pt>
              </c:strCache>
            </c:strRef>
          </c:cat>
          <c:val>
            <c:numRef>
              <c:f>'Luy ke T12 2023'!$C$38:$C$48</c:f>
              <c:numCache>
                <c:formatCode>_(* #,##0_);_(* \(#,##0\);_(* "-"??_);_(@_)</c:formatCode>
                <c:ptCount val="11"/>
                <c:pt idx="0">
                  <c:v>9863</c:v>
                </c:pt>
                <c:pt idx="1">
                  <c:v>3494</c:v>
                </c:pt>
                <c:pt idx="2">
                  <c:v>5264</c:v>
                </c:pt>
                <c:pt idx="3">
                  <c:v>3104</c:v>
                </c:pt>
                <c:pt idx="4">
                  <c:v>2458</c:v>
                </c:pt>
                <c:pt idx="5">
                  <c:v>4230</c:v>
                </c:pt>
                <c:pt idx="6">
                  <c:v>910</c:v>
                </c:pt>
                <c:pt idx="7">
                  <c:v>432</c:v>
                </c:pt>
                <c:pt idx="8">
                  <c:v>735</c:v>
                </c:pt>
                <c:pt idx="9">
                  <c:v>733</c:v>
                </c:pt>
                <c:pt idx="10">
                  <c:v>1336</c:v>
                </c:pt>
              </c:numCache>
            </c:numRef>
          </c:val>
          <c:smooth val="0"/>
          <c:extLst>
            <c:ext xmlns:c16="http://schemas.microsoft.com/office/drawing/2014/chart" uri="{C3380CC4-5D6E-409C-BE32-E72D297353CC}">
              <c16:uniqueId val="{00000001-DC6F-4A52-A5D3-071870A9E38F}"/>
            </c:ext>
          </c:extLst>
        </c:ser>
        <c:dLbls>
          <c:showLegendKey val="0"/>
          <c:showVal val="0"/>
          <c:showCatName val="0"/>
          <c:showSerName val="0"/>
          <c:showPercent val="0"/>
          <c:showBubbleSize val="0"/>
        </c:dLbls>
        <c:marker val="1"/>
        <c:smooth val="0"/>
        <c:axId val="401543024"/>
        <c:axId val="401542696"/>
      </c:lineChart>
      <c:valAx>
        <c:axId val="40154269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543024"/>
        <c:crosses val="autoZero"/>
        <c:crossBetween val="between"/>
      </c:valAx>
      <c:catAx>
        <c:axId val="40154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542696"/>
        <c:crosses val="autoZero"/>
        <c:auto val="1"/>
        <c:lblAlgn val="ctr"/>
        <c:lblOffset val="100"/>
        <c:noMultiLvlLbl val="0"/>
      </c:catAx>
      <c:valAx>
        <c:axId val="401516456"/>
        <c:scaling>
          <c:orientation val="minMax"/>
        </c:scaling>
        <c:delete val="0"/>
        <c:axPos val="r"/>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520064"/>
        <c:crosses val="max"/>
        <c:crossBetween val="between"/>
      </c:valAx>
      <c:catAx>
        <c:axId val="401520064"/>
        <c:scaling>
          <c:orientation val="minMax"/>
        </c:scaling>
        <c:delete val="1"/>
        <c:axPos val="b"/>
        <c:numFmt formatCode="General" sourceLinked="1"/>
        <c:majorTickMark val="none"/>
        <c:minorTickMark val="none"/>
        <c:tickLblPos val="nextTo"/>
        <c:crossAx val="401516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98034-0915-49BA-B6F3-860594E1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6041</TotalTime>
  <Pages>15</Pages>
  <Words>5172</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BỘ TÀI CHÍNH</vt:lpstr>
    </vt:vector>
  </TitlesOfParts>
  <Company>Hewlett-Packard Company</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Nguyen Thu Thuy2</dc:creator>
  <cp:keywords/>
  <dc:description/>
  <cp:lastModifiedBy>Ha, Pham Phuong Ha (CS-TCT)</cp:lastModifiedBy>
  <cp:revision>50</cp:revision>
  <cp:lastPrinted>2024-07-10T08:48:00Z</cp:lastPrinted>
  <dcterms:created xsi:type="dcterms:W3CDTF">2023-07-31T02:02:00Z</dcterms:created>
  <dcterms:modified xsi:type="dcterms:W3CDTF">2024-11-08T10:12:00Z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475F6D29CF38474FA796ADF6B50F9933</vt:lpwstr>
  </property>
</Properties>
</file>