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9BF7F" w14:textId="77777777" w:rsidR="005C482A" w:rsidRPr="004F6BAE" w:rsidRDefault="001B6934">
      <w:pPr>
        <w:jc w:val="center"/>
        <w:rPr>
          <w:rFonts w:ascii="Times New Roman" w:hAnsi="Times New Roman" w:cs="Times New Roman"/>
          <w:b/>
          <w:color w:val="000000" w:themeColor="text1"/>
          <w:sz w:val="28"/>
          <w:szCs w:val="28"/>
        </w:rPr>
      </w:pPr>
      <w:r w:rsidRPr="004F6BAE">
        <w:rPr>
          <w:rFonts w:ascii="Times New Roman" w:hAnsi="Times New Roman" w:cs="Times New Roman"/>
          <w:b/>
          <w:color w:val="000000" w:themeColor="text1"/>
          <w:sz w:val="28"/>
          <w:szCs w:val="28"/>
        </w:rPr>
        <w:t>PHỤ LỤC I</w:t>
      </w:r>
    </w:p>
    <w:p w14:paraId="73616D3E" w14:textId="77777777" w:rsidR="005C482A" w:rsidRPr="004F6BAE" w:rsidRDefault="001B6934">
      <w:pPr>
        <w:jc w:val="center"/>
        <w:rPr>
          <w:rFonts w:ascii="Times New Roman" w:hAnsi="Times New Roman" w:cs="Times New Roman"/>
          <w:b/>
          <w:caps/>
          <w:color w:val="000000" w:themeColor="text1"/>
          <w:sz w:val="28"/>
          <w:szCs w:val="28"/>
        </w:rPr>
      </w:pPr>
      <w:r w:rsidRPr="004F6BAE">
        <w:rPr>
          <w:rFonts w:ascii="Times New Roman" w:hAnsi="Times New Roman" w:cs="Times New Roman"/>
          <w:b/>
          <w:color w:val="000000" w:themeColor="text1"/>
          <w:sz w:val="28"/>
          <w:szCs w:val="28"/>
        </w:rPr>
        <w:t xml:space="preserve">MỘT SỐ THUẬT NGỮ THEO </w:t>
      </w:r>
      <w:r w:rsidRPr="004F6BAE">
        <w:rPr>
          <w:rFonts w:ascii="Times New Roman" w:hAnsi="Times New Roman" w:cs="Times New Roman"/>
          <w:b/>
          <w:caps/>
          <w:color w:val="000000" w:themeColor="text1"/>
          <w:sz w:val="28"/>
          <w:szCs w:val="28"/>
        </w:rPr>
        <w:t xml:space="preserve">bộ quy định </w:t>
      </w:r>
    </w:p>
    <w:p w14:paraId="0B0B966B" w14:textId="77777777" w:rsidR="005C482A" w:rsidRPr="004F6BAE" w:rsidRDefault="001B6934">
      <w:pPr>
        <w:jc w:val="center"/>
        <w:rPr>
          <w:rFonts w:ascii="Times New Roman" w:hAnsi="Times New Roman" w:cs="Times New Roman"/>
          <w:b/>
          <w:caps/>
          <w:color w:val="000000" w:themeColor="text1"/>
          <w:sz w:val="28"/>
          <w:szCs w:val="28"/>
        </w:rPr>
      </w:pPr>
      <w:r w:rsidRPr="004F6BAE">
        <w:rPr>
          <w:rFonts w:ascii="Times New Roman" w:hAnsi="Times New Roman" w:cs="Times New Roman"/>
          <w:b/>
          <w:caps/>
          <w:color w:val="000000" w:themeColor="text1"/>
          <w:sz w:val="28"/>
          <w:szCs w:val="28"/>
        </w:rPr>
        <w:t xml:space="preserve">về thuế tối thiểu toàn cầu của Diễn đàn hợp tác chung về chống xói mòn cơ sở thuế và </w:t>
      </w:r>
    </w:p>
    <w:p w14:paraId="5393F9DD" w14:textId="77777777" w:rsidR="005C482A" w:rsidRPr="004F6BAE" w:rsidRDefault="001B6934">
      <w:pPr>
        <w:jc w:val="center"/>
        <w:rPr>
          <w:rFonts w:ascii="Times New Roman" w:hAnsi="Times New Roman" w:cs="Times New Roman"/>
          <w:b/>
          <w:caps/>
          <w:color w:val="000000" w:themeColor="text1"/>
          <w:sz w:val="28"/>
          <w:szCs w:val="28"/>
        </w:rPr>
      </w:pPr>
      <w:r w:rsidRPr="004F6BAE">
        <w:rPr>
          <w:rFonts w:ascii="Times New Roman" w:hAnsi="Times New Roman" w:cs="Times New Roman"/>
          <w:b/>
          <w:caps/>
          <w:color w:val="000000" w:themeColor="text1"/>
          <w:sz w:val="28"/>
          <w:szCs w:val="28"/>
        </w:rPr>
        <w:t xml:space="preserve">chuyển lợi nhuận toàn cầu </w:t>
      </w:r>
      <w:r w:rsidRPr="004F6BAE">
        <w:rPr>
          <w:rFonts w:ascii="Times New Roman" w:hAnsi="Times New Roman" w:cs="Times New Roman"/>
          <w:b/>
          <w:color w:val="000000" w:themeColor="text1"/>
          <w:sz w:val="28"/>
          <w:szCs w:val="28"/>
        </w:rPr>
        <w:t xml:space="preserve">ĐƯỢC SỬ DỤNG TẠI </w:t>
      </w:r>
    </w:p>
    <w:p w14:paraId="280FDAC9" w14:textId="77777777" w:rsidR="005C482A" w:rsidRPr="004F6BAE" w:rsidRDefault="001B6934">
      <w:pPr>
        <w:jc w:val="center"/>
        <w:rPr>
          <w:rFonts w:ascii="Times New Roman" w:hAnsi="Times New Roman" w:cs="Times New Roman"/>
          <w:b/>
          <w:color w:val="000000" w:themeColor="text1"/>
          <w:sz w:val="28"/>
          <w:szCs w:val="28"/>
        </w:rPr>
      </w:pPr>
      <w:r w:rsidRPr="004F6BAE">
        <w:rPr>
          <w:rFonts w:ascii="Times New Roman" w:hAnsi="Times New Roman" w:cs="Times New Roman"/>
          <w:b/>
          <w:color w:val="000000" w:themeColor="text1"/>
          <w:sz w:val="28"/>
          <w:szCs w:val="28"/>
        </w:rPr>
        <w:t xml:space="preserve">NGHỊ ĐỊNH SỐ     /NĐ-CP NGÀY     </w:t>
      </w:r>
    </w:p>
    <w:p w14:paraId="15D02894" w14:textId="77777777" w:rsidR="005C482A" w:rsidRPr="004F6BAE" w:rsidRDefault="005C482A">
      <w:pPr>
        <w:jc w:val="center"/>
        <w:rPr>
          <w:rFonts w:ascii="Times New Roman" w:hAnsi="Times New Roman" w:cs="Times New Roman"/>
          <w:b/>
          <w:color w:val="000000" w:themeColor="text1"/>
          <w:sz w:val="28"/>
          <w:szCs w:val="28"/>
        </w:rPr>
      </w:pPr>
    </w:p>
    <w:p w14:paraId="343D1579" w14:textId="77777777" w:rsidR="005C482A" w:rsidRPr="004F6BAE" w:rsidRDefault="001B6934">
      <w:pPr>
        <w:widowControl w:val="0"/>
        <w:spacing w:before="120" w:after="120"/>
        <w:ind w:firstLine="700"/>
        <w:jc w:val="both"/>
        <w:rPr>
          <w:rFonts w:ascii="Times New Roman" w:eastAsia="Times New Roman" w:hAnsi="Times New Roman" w:cs="Times New Roman"/>
          <w:b/>
          <w:color w:val="000000" w:themeColor="text1"/>
          <w:sz w:val="28"/>
          <w:szCs w:val="28"/>
        </w:rPr>
      </w:pPr>
      <w:r w:rsidRPr="004F6BAE">
        <w:rPr>
          <w:rFonts w:ascii="Times New Roman" w:eastAsia="Times New Roman" w:hAnsi="Times New Roman" w:cs="Times New Roman"/>
          <w:color w:val="000000" w:themeColor="text1"/>
          <w:sz w:val="28"/>
          <w:szCs w:val="28"/>
        </w:rPr>
        <w:t>1.</w:t>
      </w:r>
      <w:r w:rsidRPr="004F6BAE">
        <w:rPr>
          <w:rFonts w:ascii="Times New Roman" w:eastAsia="Times New Roman" w:hAnsi="Times New Roman" w:cs="Times New Roman"/>
          <w:i/>
          <w:color w:val="000000" w:themeColor="text1"/>
          <w:sz w:val="28"/>
          <w:szCs w:val="28"/>
        </w:rPr>
        <w:t xml:space="preserve"> Công ty mẹ</w:t>
      </w:r>
      <w:r w:rsidRPr="004F6BAE">
        <w:rPr>
          <w:rFonts w:ascii="Times New Roman" w:eastAsia="Times New Roman" w:hAnsi="Times New Roman" w:cs="Times New Roman"/>
          <w:color w:val="000000" w:themeColor="text1"/>
          <w:sz w:val="28"/>
          <w:szCs w:val="28"/>
        </w:rPr>
        <w:t xml:space="preserve"> gồm công ty mẹ tối cao (không phải là các đơn vị bị loại trừ theo quy định tại khoản 1 Điều 2 Nghị quyết số 107/2023/QH15), công ty mẹ trung gian hoặc công ty mẹ bị sở hữu một phần.</w:t>
      </w:r>
    </w:p>
    <w:p w14:paraId="15525CBC" w14:textId="77777777" w:rsidR="005C482A" w:rsidRPr="004F6BAE" w:rsidRDefault="001B6934">
      <w:pPr>
        <w:widowControl w:val="0"/>
        <w:spacing w:before="120" w:after="120"/>
        <w:ind w:firstLine="700"/>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2. </w:t>
      </w:r>
      <w:r w:rsidRPr="004F6BAE">
        <w:rPr>
          <w:rFonts w:ascii="Times New Roman" w:eastAsia="Times New Roman" w:hAnsi="Times New Roman" w:cs="Times New Roman"/>
          <w:i/>
          <w:iCs/>
          <w:color w:val="000000" w:themeColor="text1"/>
          <w:sz w:val="28"/>
          <w:szCs w:val="28"/>
        </w:rPr>
        <w:t>Công ty chính</w:t>
      </w:r>
      <w:r w:rsidRPr="004F6BAE">
        <w:rPr>
          <w:rFonts w:ascii="Times New Roman" w:eastAsia="Times New Roman" w:hAnsi="Times New Roman" w:cs="Times New Roman"/>
          <w:color w:val="000000" w:themeColor="text1"/>
          <w:sz w:val="28"/>
          <w:szCs w:val="28"/>
        </w:rPr>
        <w:t xml:space="preserve"> là công ty có cơ sở thường trú và thu nhập hoặc lỗ ròng tại Báo cáo tài chính của cơ sở thường trú được hợp nhất trong Báo cáo tài chính của công ty chính đó. Trường hợp công ty chính thỏa mãn điều kiện là tập đoàn được quy định tại điểm b khoản 2 Điều 3 Nghị quyết số 107/2023/QH15 thì công ty chính (trong mối quan hệ với cơ sở thường trú) là công ty mẹ tối cao.</w:t>
      </w:r>
    </w:p>
    <w:p w14:paraId="4F34A857" w14:textId="77777777" w:rsidR="005C482A" w:rsidRPr="004F6BAE" w:rsidRDefault="001B6934">
      <w:pPr>
        <w:widowControl w:val="0"/>
        <w:spacing w:before="120" w:after="120"/>
        <w:ind w:left="700"/>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3.</w:t>
      </w:r>
      <w:r w:rsidRPr="004F6BAE">
        <w:rPr>
          <w:rFonts w:ascii="Times New Roman" w:eastAsia="Times New Roman" w:hAnsi="Times New Roman" w:cs="Times New Roman"/>
          <w:i/>
          <w:color w:val="000000" w:themeColor="text1"/>
          <w:sz w:val="28"/>
          <w:szCs w:val="28"/>
        </w:rPr>
        <w:t xml:space="preserve"> Cơ sở thường trú</w:t>
      </w:r>
      <w:r w:rsidRPr="004F6BAE">
        <w:rPr>
          <w:rFonts w:ascii="Times New Roman" w:eastAsia="Times New Roman" w:hAnsi="Times New Roman" w:cs="Times New Roman"/>
          <w:color w:val="000000" w:themeColor="text1"/>
          <w:sz w:val="28"/>
          <w:szCs w:val="28"/>
        </w:rPr>
        <w:t xml:space="preserve">: </w:t>
      </w:r>
    </w:p>
    <w:p w14:paraId="5053196A" w14:textId="77777777" w:rsidR="005C482A" w:rsidRPr="004F6BAE" w:rsidRDefault="001B6934">
      <w:pPr>
        <w:widowControl w:val="0"/>
        <w:spacing w:before="120" w:after="120"/>
        <w:ind w:firstLine="720"/>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3.1. Cơ sở thường trú là địa điểm kinh doanh (bao gồm cả cơ sở được coi là địa điểm kinh doanh) nằm tại một nước và được coi là cơ sở thường trú theo Hiệp định thuế có hiệu lực được áp dụng với điều kiện là nước đó đánh thuế thu nhập được phân bổ cho cơ sở thường trú đó theo quy định tương tự như Điều 7 của Mẫu hiệp định thuế đối với thu nhập và tài sản của Tổ chức Hợp tác và Phát triển Kinh tế hoặc của Liên Hợp Quốc; </w:t>
      </w:r>
    </w:p>
    <w:p w14:paraId="090E968C" w14:textId="77777777" w:rsidR="005C482A" w:rsidRPr="004F6BAE" w:rsidRDefault="001B6934">
      <w:pPr>
        <w:widowControl w:val="0"/>
        <w:spacing w:before="120" w:after="120"/>
        <w:ind w:firstLine="720"/>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3.2. Trường hợp không có Hiệp định thuế có hiệu lực nào được áp dụng, cơ sở thường trú là địa điểm kinh doanh (bao gồm cả cơ sở được coi là địa điểm kinh doanh) mà theo luật thuế của một nước địa điểm kinh doanh đó sẽ phải nộp thuế đối với thu nhập ròng thuộc về địa điểm kinh doanh đó tương tự như các đối tượng cư trú phải nộp thuế thu nhập tại nước đó; </w:t>
      </w:r>
    </w:p>
    <w:p w14:paraId="6A0E3614" w14:textId="77777777" w:rsidR="005C482A" w:rsidRPr="004F6BAE" w:rsidRDefault="001B6934">
      <w:pPr>
        <w:widowControl w:val="0"/>
        <w:spacing w:before="120" w:after="120"/>
        <w:ind w:firstLine="720"/>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3.3. Trường hợp một nước không có quy định thuế thu nhập doanh nghiệp, địa điểm kinh doanh (bao gồm cả cơ sở được coi là địa điểm kinh doanh) nằm tại nước đó sẽ được coi là cơ sở thường trú theo Mẫu hiệp định thuế đối với thu nhập và tài sản của Tổ chức Hợp tác và Phát triển Kinh tế với điều kiện là nước đó có quyền đánh thuế đối với thu nhập được phân bổ cho cơ sở thường trú đó theo Điều 7 của Mẫu hiệp định liên quan; </w:t>
      </w:r>
    </w:p>
    <w:p w14:paraId="032A4436" w14:textId="60ABBBC5" w:rsidR="005C482A" w:rsidRPr="004F6BAE" w:rsidRDefault="001B6934">
      <w:pPr>
        <w:widowControl w:val="0"/>
        <w:spacing w:before="120" w:after="120"/>
        <w:ind w:firstLine="720"/>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3.4. Một địa điểm kinh doanh (hoặc một cơ sở được coi là địa điểm kinh doanh) không thuộc các trường hợp quy định tại các </w:t>
      </w:r>
      <w:r w:rsidR="0004474F" w:rsidRPr="004F6BAE">
        <w:rPr>
          <w:rFonts w:ascii="Times New Roman" w:eastAsia="Times New Roman" w:hAnsi="Times New Roman" w:cs="Times New Roman"/>
          <w:color w:val="000000" w:themeColor="text1"/>
          <w:sz w:val="28"/>
          <w:szCs w:val="28"/>
        </w:rPr>
        <w:t>khoản 3</w:t>
      </w:r>
      <w:r w:rsidRPr="004F6BAE">
        <w:rPr>
          <w:rFonts w:ascii="Times New Roman" w:eastAsia="Times New Roman" w:hAnsi="Times New Roman" w:cs="Times New Roman"/>
          <w:color w:val="000000" w:themeColor="text1"/>
          <w:sz w:val="28"/>
          <w:szCs w:val="28"/>
        </w:rPr>
        <w:t xml:space="preserve">.1,  </w:t>
      </w:r>
      <w:r w:rsidR="0004474F" w:rsidRPr="004F6BAE">
        <w:rPr>
          <w:rFonts w:ascii="Times New Roman" w:eastAsia="Times New Roman" w:hAnsi="Times New Roman" w:cs="Times New Roman"/>
          <w:color w:val="000000" w:themeColor="text1"/>
          <w:sz w:val="28"/>
          <w:szCs w:val="28"/>
        </w:rPr>
        <w:t>3</w:t>
      </w:r>
      <w:r w:rsidRPr="004F6BAE">
        <w:rPr>
          <w:rFonts w:ascii="Times New Roman" w:eastAsia="Times New Roman" w:hAnsi="Times New Roman" w:cs="Times New Roman"/>
          <w:color w:val="000000" w:themeColor="text1"/>
          <w:sz w:val="28"/>
          <w:szCs w:val="28"/>
        </w:rPr>
        <w:t xml:space="preserve">.2 và </w:t>
      </w:r>
      <w:r w:rsidR="0004474F" w:rsidRPr="004F6BAE">
        <w:rPr>
          <w:rFonts w:ascii="Times New Roman" w:eastAsia="Times New Roman" w:hAnsi="Times New Roman" w:cs="Times New Roman"/>
          <w:color w:val="000000" w:themeColor="text1"/>
          <w:sz w:val="28"/>
          <w:szCs w:val="28"/>
        </w:rPr>
        <w:t>3</w:t>
      </w:r>
      <w:r w:rsidRPr="004F6BAE">
        <w:rPr>
          <w:rFonts w:ascii="Times New Roman" w:eastAsia="Times New Roman" w:hAnsi="Times New Roman" w:cs="Times New Roman"/>
          <w:color w:val="000000" w:themeColor="text1"/>
          <w:sz w:val="28"/>
          <w:szCs w:val="28"/>
        </w:rPr>
        <w:t xml:space="preserve">.3 </w:t>
      </w:r>
      <w:r w:rsidR="0004474F" w:rsidRPr="004F6BAE">
        <w:rPr>
          <w:rFonts w:ascii="Times New Roman" w:eastAsia="Times New Roman" w:hAnsi="Times New Roman" w:cs="Times New Roman"/>
          <w:color w:val="000000" w:themeColor="text1"/>
          <w:sz w:val="28"/>
          <w:szCs w:val="28"/>
        </w:rPr>
        <w:t xml:space="preserve">Phụ lục </w:t>
      </w:r>
      <w:r w:rsidRPr="004F6BAE">
        <w:rPr>
          <w:rFonts w:ascii="Times New Roman" w:eastAsia="Times New Roman" w:hAnsi="Times New Roman" w:cs="Times New Roman"/>
          <w:color w:val="000000" w:themeColor="text1"/>
          <w:sz w:val="28"/>
          <w:szCs w:val="28"/>
        </w:rPr>
        <w:t>này sẽ là cơ sở thường trú nếu thông qua địa điểm kinh doanh này một đơn vị thực hiện các hoạt động kinh doanh bên ngoài nước nơi đơn vị này cư trú và nước đó miễn thuế đối với thu nhập từ các hoạt động trên.</w:t>
      </w:r>
    </w:p>
    <w:p w14:paraId="517252F0" w14:textId="77777777" w:rsidR="005C482A" w:rsidRPr="004F6BAE" w:rsidRDefault="001B6934">
      <w:pPr>
        <w:widowControl w:val="0"/>
        <w:ind w:firstLine="720"/>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3.5. Trường hợp cơ sở thường trú là một đơn vị hợp thành thì cơ sở thường trú đó sẽ được xác định là một đơn vị độc lập với công ty chính và độc lập với bất </w:t>
      </w:r>
      <w:r w:rsidRPr="004F6BAE">
        <w:rPr>
          <w:rFonts w:ascii="Times New Roman" w:eastAsia="Times New Roman" w:hAnsi="Times New Roman" w:cs="Times New Roman"/>
          <w:color w:val="000000" w:themeColor="text1"/>
          <w:sz w:val="28"/>
          <w:szCs w:val="28"/>
        </w:rPr>
        <w:lastRenderedPageBreak/>
        <w:t>kỳ cơ sở thường trú nào khác của công ty chính đó.</w:t>
      </w:r>
    </w:p>
    <w:p w14:paraId="066F877F" w14:textId="77777777" w:rsidR="005C482A" w:rsidRPr="004F6BAE" w:rsidRDefault="001B6934">
      <w:pPr>
        <w:widowControl w:val="0"/>
        <w:spacing w:before="120" w:after="120"/>
        <w:ind w:firstLine="720"/>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4.</w:t>
      </w:r>
      <w:r w:rsidRPr="004F6BAE">
        <w:rPr>
          <w:rFonts w:ascii="Times New Roman" w:eastAsia="Times New Roman" w:hAnsi="Times New Roman" w:cs="Times New Roman"/>
          <w:i/>
          <w:color w:val="000000" w:themeColor="text1"/>
          <w:sz w:val="28"/>
          <w:szCs w:val="28"/>
        </w:rPr>
        <w:t xml:space="preserve"> Đơn vị </w:t>
      </w:r>
      <w:r w:rsidRPr="004F6BAE">
        <w:rPr>
          <w:rFonts w:ascii="Times New Roman" w:eastAsia="Times New Roman" w:hAnsi="Times New Roman" w:cs="Times New Roman"/>
          <w:color w:val="000000" w:themeColor="text1"/>
          <w:sz w:val="28"/>
          <w:szCs w:val="28"/>
        </w:rPr>
        <w:t>là pháp nhân hoặc tổ chức được hình thành trên cơ sở thỏa thuận mà Báo cáo tài chính được lập riêng, ví dụ như tổ chức hợp danh hoặc quỹ tín thác. Đơn vị không bao gồm chính quyền các cấp, các cơ quan quản lý hoặc văn phòng đại diện thực hiện các chức năng của chính quyền.</w:t>
      </w:r>
    </w:p>
    <w:p w14:paraId="36CA7304"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5. </w:t>
      </w:r>
      <w:r w:rsidRPr="004F6BAE">
        <w:rPr>
          <w:rFonts w:ascii="Times New Roman" w:eastAsia="Times New Roman" w:hAnsi="Times New Roman" w:cs="Times New Roman"/>
          <w:i/>
          <w:color w:val="000000" w:themeColor="text1"/>
          <w:sz w:val="28"/>
          <w:szCs w:val="28"/>
        </w:rPr>
        <w:t xml:space="preserve">Đơn vị hợp thành chịu trách nhiệm kê khai </w:t>
      </w:r>
      <w:r w:rsidRPr="004F6BAE">
        <w:rPr>
          <w:rFonts w:ascii="Times New Roman" w:eastAsia="Times New Roman" w:hAnsi="Times New Roman" w:cs="Times New Roman"/>
          <w:color w:val="000000" w:themeColor="text1"/>
          <w:sz w:val="28"/>
          <w:szCs w:val="28"/>
        </w:rPr>
        <w:t>là đơn vị hợp thành có nghĩa vụ đăng ký thuế, nộp hồ sơ khai thuế và nộp thuế thu nhập doanh nghiệp bổ sung theo Quy định về thuế tối thiểu toàn cầu.</w:t>
      </w:r>
    </w:p>
    <w:p w14:paraId="194C2373"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6.</w:t>
      </w:r>
      <w:r w:rsidRPr="004F6BAE">
        <w:rPr>
          <w:rFonts w:ascii="Times New Roman" w:eastAsia="Times New Roman" w:hAnsi="Times New Roman" w:cs="Times New Roman"/>
          <w:i/>
          <w:color w:val="000000" w:themeColor="text1"/>
          <w:sz w:val="28"/>
          <w:szCs w:val="28"/>
        </w:rPr>
        <w:t xml:space="preserve"> Hiệp định thuế</w:t>
      </w:r>
      <w:r w:rsidRPr="004F6BAE">
        <w:rPr>
          <w:rFonts w:ascii="Times New Roman" w:eastAsia="Times New Roman" w:hAnsi="Times New Roman" w:cs="Times New Roman"/>
          <w:color w:val="000000" w:themeColor="text1"/>
          <w:sz w:val="28"/>
          <w:szCs w:val="28"/>
        </w:rPr>
        <w:t xml:space="preserve"> là thuật ngữ rút gọn của Hiệp định tránh đánh thuế hai lần và ngăn ngừa việc trốn lậu thuế đối với các loại thuế đánh vào thu nhập hoặc tài sản</w:t>
      </w:r>
    </w:p>
    <w:p w14:paraId="10D3007B" w14:textId="77777777" w:rsidR="005C482A" w:rsidRPr="004F6BAE" w:rsidRDefault="001B6934">
      <w:pPr>
        <w:widowControl w:val="0"/>
        <w:spacing w:before="120" w:after="120"/>
        <w:ind w:left="14" w:firstLine="686"/>
        <w:jc w:val="both"/>
        <w:rPr>
          <w:rFonts w:ascii="Times New Roman" w:eastAsia="Times New Roman" w:hAnsi="Times New Roman" w:cs="Times New Roman"/>
          <w:b/>
          <w:color w:val="000000" w:themeColor="text1"/>
          <w:sz w:val="28"/>
          <w:szCs w:val="28"/>
          <w:lang w:val="vi-VN"/>
        </w:rPr>
      </w:pPr>
      <w:r w:rsidRPr="004F6BAE">
        <w:rPr>
          <w:rFonts w:ascii="Times New Roman" w:eastAsia="Times New Roman" w:hAnsi="Times New Roman" w:cs="Times New Roman"/>
          <w:bCs/>
          <w:color w:val="000000" w:themeColor="text1"/>
          <w:sz w:val="28"/>
          <w:szCs w:val="28"/>
        </w:rPr>
        <w:t>7</w:t>
      </w:r>
      <w:r w:rsidRPr="004F6BAE">
        <w:rPr>
          <w:rFonts w:ascii="Times New Roman" w:eastAsia="Times New Roman" w:hAnsi="Times New Roman" w:cs="Times New Roman"/>
          <w:bCs/>
          <w:color w:val="000000" w:themeColor="text1"/>
          <w:sz w:val="28"/>
          <w:szCs w:val="28"/>
          <w:lang w:val="vi-VN"/>
        </w:rPr>
        <w:t xml:space="preserve">. </w:t>
      </w:r>
      <w:r w:rsidRPr="004F6BAE">
        <w:rPr>
          <w:rFonts w:ascii="Times New Roman" w:eastAsia="Times New Roman" w:hAnsi="Times New Roman" w:cs="Times New Roman"/>
          <w:bCs/>
          <w:i/>
          <w:iCs/>
          <w:color w:val="000000" w:themeColor="text1"/>
          <w:sz w:val="28"/>
          <w:szCs w:val="28"/>
          <w:lang w:val="vi-VN"/>
        </w:rPr>
        <w:t>Khác biệt trọng yếu</w:t>
      </w:r>
      <w:r w:rsidRPr="004F6BAE">
        <w:rPr>
          <w:rFonts w:ascii="Times New Roman" w:eastAsia="Times New Roman" w:hAnsi="Times New Roman" w:cs="Times New Roman"/>
          <w:bCs/>
          <w:color w:val="000000" w:themeColor="text1"/>
          <w:sz w:val="28"/>
          <w:szCs w:val="28"/>
          <w:lang w:val="vi-VN"/>
        </w:rPr>
        <w:t xml:space="preserve"> là khác biệt do việc áp dụng một nguyên tắc hoặc một thủ tục cụ thể theo tập hợp các nguyên tắc kế toán được chấp nhận chung mà dẫn đến tổng các khoản chênh lệch lớn hơn 75 triệu EUR trong một năm tài chính so với giá trị được xác định khi áp dụng nguyên tắc hoặc thủ tục theo Chuẩn mực Báo cáo tài chính quốc tế (IFRS) tương ứng. </w:t>
      </w:r>
      <w:r w:rsidRPr="004F6BAE">
        <w:rPr>
          <w:rFonts w:ascii="Times New Roman" w:eastAsia="Times New Roman" w:hAnsi="Times New Roman" w:cs="Times New Roman"/>
          <w:color w:val="000000" w:themeColor="text1"/>
          <w:sz w:val="28"/>
          <w:szCs w:val="28"/>
          <w:lang w:val="vi-VN"/>
        </w:rPr>
        <w:t xml:space="preserve">Trong trường hợp việc áp dụng nguyên tắc </w:t>
      </w:r>
      <w:r w:rsidRPr="004F6BAE">
        <w:rPr>
          <w:rFonts w:ascii="Times New Roman" w:eastAsia="Times New Roman" w:hAnsi="Times New Roman" w:cs="Times New Roman"/>
          <w:color w:val="000000" w:themeColor="text1"/>
          <w:sz w:val="28"/>
          <w:szCs w:val="28"/>
        </w:rPr>
        <w:t>hoặc</w:t>
      </w:r>
      <w:r w:rsidRPr="004F6BAE">
        <w:rPr>
          <w:rFonts w:ascii="Times New Roman" w:eastAsia="Times New Roman" w:hAnsi="Times New Roman" w:cs="Times New Roman"/>
          <w:color w:val="000000" w:themeColor="text1"/>
          <w:sz w:val="28"/>
          <w:szCs w:val="28"/>
          <w:lang w:val="vi-VN"/>
        </w:rPr>
        <w:t xml:space="preserve"> thủ tục cụ thể </w:t>
      </w:r>
      <w:r w:rsidRPr="004F6BAE">
        <w:rPr>
          <w:rFonts w:ascii="Times New Roman" w:eastAsia="Times New Roman" w:hAnsi="Times New Roman" w:cs="Times New Roman"/>
          <w:color w:val="000000" w:themeColor="text1"/>
          <w:sz w:val="28"/>
          <w:szCs w:val="28"/>
        </w:rPr>
        <w:t xml:space="preserve">đối với các khoản mục hoặc giao dịch mà </w:t>
      </w:r>
      <w:r w:rsidRPr="004F6BAE">
        <w:rPr>
          <w:rFonts w:ascii="Times New Roman" w:eastAsia="Times New Roman" w:hAnsi="Times New Roman" w:cs="Times New Roman"/>
          <w:color w:val="000000" w:themeColor="text1"/>
          <w:sz w:val="28"/>
          <w:szCs w:val="28"/>
          <w:lang w:val="vi-VN"/>
        </w:rPr>
        <w:t xml:space="preserve">dẫn đến Khác biệt trọng yếu thì phải điều chỉnh lại theo cách xử lý phù hợp </w:t>
      </w:r>
      <w:r w:rsidRPr="004F6BAE">
        <w:rPr>
          <w:rFonts w:ascii="Times New Roman" w:eastAsia="Times New Roman" w:hAnsi="Times New Roman" w:cs="Times New Roman"/>
          <w:color w:val="000000" w:themeColor="text1"/>
          <w:sz w:val="28"/>
          <w:szCs w:val="28"/>
        </w:rPr>
        <w:t>với</w:t>
      </w:r>
      <w:r w:rsidRPr="004F6BAE">
        <w:rPr>
          <w:rFonts w:ascii="Times New Roman" w:eastAsia="Times New Roman" w:hAnsi="Times New Roman" w:cs="Times New Roman"/>
          <w:color w:val="000000" w:themeColor="text1"/>
          <w:sz w:val="28"/>
          <w:szCs w:val="28"/>
          <w:lang w:val="vi-VN"/>
        </w:rPr>
        <w:t xml:space="preserve"> IFRS</w:t>
      </w:r>
      <w:r w:rsidRPr="004F6BAE">
        <w:rPr>
          <w:rFonts w:ascii="Times New Roman" w:eastAsia="Times New Roman" w:hAnsi="Times New Roman" w:cs="Times New Roman"/>
          <w:color w:val="000000" w:themeColor="text1"/>
          <w:sz w:val="28"/>
          <w:szCs w:val="28"/>
        </w:rPr>
        <w:t xml:space="preserve"> và hướng dẫn hành chính thống nhất</w:t>
      </w:r>
      <w:r w:rsidRPr="004F6BAE">
        <w:rPr>
          <w:rFonts w:ascii="Times New Roman" w:eastAsia="Times New Roman" w:hAnsi="Times New Roman" w:cs="Times New Roman"/>
          <w:color w:val="000000" w:themeColor="text1"/>
          <w:sz w:val="28"/>
          <w:szCs w:val="28"/>
          <w:lang w:val="vi-VN"/>
        </w:rPr>
        <w:t>.</w:t>
      </w:r>
    </w:p>
    <w:p w14:paraId="07FB46C7"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lang w:val="vi-VN"/>
        </w:rPr>
      </w:pPr>
      <w:r w:rsidRPr="004F6BAE">
        <w:rPr>
          <w:rFonts w:ascii="Times New Roman" w:eastAsia="Times New Roman" w:hAnsi="Times New Roman" w:cs="Times New Roman"/>
          <w:color w:val="000000" w:themeColor="text1"/>
          <w:sz w:val="28"/>
          <w:szCs w:val="28"/>
        </w:rPr>
        <w:t>8</w:t>
      </w:r>
      <w:r w:rsidRPr="004F6BAE">
        <w:rPr>
          <w:rFonts w:ascii="Times New Roman" w:eastAsia="Times New Roman" w:hAnsi="Times New Roman" w:cs="Times New Roman"/>
          <w:color w:val="000000" w:themeColor="text1"/>
          <w:sz w:val="28"/>
          <w:szCs w:val="28"/>
          <w:lang w:val="vi-VN"/>
        </w:rPr>
        <w:t>.</w:t>
      </w:r>
      <w:r w:rsidRPr="004F6BAE">
        <w:rPr>
          <w:rFonts w:ascii="Times New Roman" w:eastAsia="Times New Roman" w:hAnsi="Times New Roman" w:cs="Times New Roman"/>
          <w:color w:val="000000" w:themeColor="text1"/>
          <w:sz w:val="28"/>
          <w:szCs w:val="28"/>
        </w:rPr>
        <w:t xml:space="preserve"> </w:t>
      </w:r>
      <w:r w:rsidRPr="004F6BAE">
        <w:rPr>
          <w:rFonts w:ascii="Times New Roman" w:eastAsia="Times New Roman" w:hAnsi="Times New Roman" w:cs="Times New Roman"/>
          <w:i/>
          <w:color w:val="000000" w:themeColor="text1"/>
          <w:sz w:val="28"/>
          <w:szCs w:val="28"/>
          <w:lang w:val="vi-VN"/>
        </w:rPr>
        <w:t xml:space="preserve">Lựa chọn hằng năm </w:t>
      </w:r>
      <w:r w:rsidRPr="004F6BAE">
        <w:rPr>
          <w:rFonts w:ascii="Times New Roman" w:eastAsia="Times New Roman" w:hAnsi="Times New Roman" w:cs="Times New Roman"/>
          <w:color w:val="000000" w:themeColor="text1"/>
          <w:sz w:val="28"/>
          <w:szCs w:val="28"/>
          <w:lang w:val="vi-VN"/>
        </w:rPr>
        <w:t>là việc lựa chọn do đơn vị hợp thành chịu trách nhiệm kê khai thực hiện và chỉ áp dụng cho năm tài chính mà việc lựa chọn được thực hiện</w:t>
      </w:r>
      <w:r w:rsidRPr="004F6BAE">
        <w:rPr>
          <w:rFonts w:ascii="Times New Roman" w:eastAsia="Times New Roman" w:hAnsi="Times New Roman" w:cs="Times New Roman"/>
          <w:color w:val="000000" w:themeColor="text1"/>
          <w:sz w:val="28"/>
          <w:szCs w:val="28"/>
        </w:rPr>
        <w:t xml:space="preserve"> (cập nhật)</w:t>
      </w:r>
      <w:r w:rsidRPr="004F6BAE">
        <w:rPr>
          <w:rFonts w:ascii="Times New Roman" w:eastAsia="Times New Roman" w:hAnsi="Times New Roman" w:cs="Times New Roman"/>
          <w:color w:val="000000" w:themeColor="text1"/>
          <w:sz w:val="28"/>
          <w:szCs w:val="28"/>
          <w:lang w:val="vi-VN"/>
        </w:rPr>
        <w:t xml:space="preserve">. </w:t>
      </w:r>
    </w:p>
    <w:p w14:paraId="0F0B6EEC" w14:textId="77777777" w:rsidR="005C482A" w:rsidRPr="004F6BAE" w:rsidRDefault="001B6934">
      <w:pPr>
        <w:widowControl w:val="0"/>
        <w:ind w:firstLine="709"/>
        <w:jc w:val="both"/>
        <w:rPr>
          <w:rFonts w:ascii="Times New Roman" w:eastAsia="Times New Roman" w:hAnsi="Times New Roman" w:cs="Times New Roman"/>
          <w:color w:val="000000" w:themeColor="text1"/>
          <w:sz w:val="28"/>
          <w:szCs w:val="28"/>
          <w:lang w:val="vi-VN"/>
        </w:rPr>
      </w:pPr>
      <w:r w:rsidRPr="004F6BAE">
        <w:rPr>
          <w:rFonts w:ascii="Times New Roman" w:eastAsia="Times New Roman" w:hAnsi="Times New Roman" w:cs="Times New Roman"/>
          <w:color w:val="000000" w:themeColor="text1"/>
          <w:sz w:val="28"/>
          <w:szCs w:val="28"/>
        </w:rPr>
        <w:t>9</w:t>
      </w:r>
      <w:r w:rsidRPr="004F6BAE">
        <w:rPr>
          <w:rFonts w:ascii="Times New Roman" w:eastAsia="Times New Roman" w:hAnsi="Times New Roman" w:cs="Times New Roman"/>
          <w:i/>
          <w:color w:val="000000" w:themeColor="text1"/>
          <w:sz w:val="28"/>
          <w:szCs w:val="28"/>
        </w:rPr>
        <w:t xml:space="preserve">. </w:t>
      </w:r>
      <w:r w:rsidRPr="004F6BAE">
        <w:rPr>
          <w:rFonts w:ascii="Times New Roman" w:eastAsia="Times New Roman" w:hAnsi="Times New Roman" w:cs="Times New Roman"/>
          <w:i/>
          <w:color w:val="000000" w:themeColor="text1"/>
          <w:sz w:val="28"/>
          <w:szCs w:val="28"/>
          <w:lang w:val="vi-VN"/>
        </w:rPr>
        <w:t>Lựa chọn 5 năm</w:t>
      </w:r>
      <w:r w:rsidRPr="004F6BAE">
        <w:rPr>
          <w:rFonts w:ascii="Times New Roman" w:eastAsia="Times New Roman" w:hAnsi="Times New Roman" w:cs="Times New Roman"/>
          <w:color w:val="000000" w:themeColor="text1"/>
          <w:sz w:val="28"/>
          <w:szCs w:val="28"/>
          <w:lang w:val="vi-VN"/>
        </w:rPr>
        <w:t xml:space="preserve"> là việc lựa chọn do đơn vị hợp thành chịu trách nhiệm kê khai thực hiện trong năm tài chính (năm lựa chọn) theo đó phải áp dụng đối với năm lựa chọn và bốn (04) năm tài chính tiếp theo. Sau khi kết thúc giai đoạn lựa chọn năm năm, nếu đơn vị hợp thành chấm dứt việc lựa chọn năm năm thì việc lựa chọn chấm dứt này phải được thực hiện từ năm tài chính chấm dứt lựa chọn và bốn năm tài chính tiếp theo. </w:t>
      </w:r>
      <w:r w:rsidRPr="004F6BAE">
        <w:rPr>
          <w:rFonts w:ascii="Times New Roman" w:eastAsia="Times New Roman" w:hAnsi="Times New Roman" w:cs="Times New Roman"/>
          <w:color w:val="000000" w:themeColor="text1"/>
          <w:sz w:val="28"/>
          <w:szCs w:val="28"/>
        </w:rPr>
        <w:t>(cập nhật)</w:t>
      </w:r>
      <w:r w:rsidRPr="004F6BAE">
        <w:rPr>
          <w:rFonts w:ascii="Times New Roman" w:eastAsia="Times New Roman" w:hAnsi="Times New Roman" w:cs="Times New Roman"/>
          <w:color w:val="000000" w:themeColor="text1"/>
          <w:sz w:val="28"/>
          <w:szCs w:val="28"/>
          <w:lang w:val="vi-VN"/>
        </w:rPr>
        <w:t>.</w:t>
      </w:r>
    </w:p>
    <w:p w14:paraId="7E24D694"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lang w:val="vi-VN"/>
        </w:rPr>
      </w:pPr>
      <w:r w:rsidRPr="004F6BAE">
        <w:rPr>
          <w:rFonts w:ascii="Times New Roman" w:eastAsia="Times New Roman" w:hAnsi="Times New Roman" w:cs="Times New Roman"/>
          <w:color w:val="000000" w:themeColor="text1"/>
          <w:sz w:val="28"/>
          <w:szCs w:val="28"/>
          <w:lang w:val="vi-VN"/>
        </w:rPr>
        <w:t>1</w:t>
      </w:r>
      <w:r w:rsidRPr="004F6BAE">
        <w:rPr>
          <w:rFonts w:ascii="Times New Roman" w:eastAsia="Times New Roman" w:hAnsi="Times New Roman" w:cs="Times New Roman"/>
          <w:color w:val="000000" w:themeColor="text1"/>
          <w:sz w:val="28"/>
          <w:szCs w:val="28"/>
        </w:rPr>
        <w:t>0</w:t>
      </w:r>
      <w:r w:rsidRPr="004F6BAE">
        <w:rPr>
          <w:rFonts w:ascii="Times New Roman" w:eastAsia="Times New Roman" w:hAnsi="Times New Roman" w:cs="Times New Roman"/>
          <w:color w:val="000000" w:themeColor="text1"/>
          <w:sz w:val="28"/>
          <w:szCs w:val="28"/>
          <w:lang w:val="vi-VN"/>
        </w:rPr>
        <w:t>.</w:t>
      </w:r>
      <w:r w:rsidRPr="004F6BAE">
        <w:rPr>
          <w:rFonts w:ascii="Times New Roman" w:eastAsia="Times New Roman" w:hAnsi="Times New Roman" w:cs="Times New Roman"/>
          <w:i/>
          <w:color w:val="000000" w:themeColor="text1"/>
          <w:sz w:val="28"/>
          <w:szCs w:val="28"/>
          <w:lang w:val="vi-VN"/>
        </w:rPr>
        <w:t xml:space="preserve"> Năm tài chính</w:t>
      </w:r>
      <w:r w:rsidRPr="004F6BAE">
        <w:rPr>
          <w:rFonts w:ascii="Times New Roman" w:eastAsia="Times New Roman" w:hAnsi="Times New Roman" w:cs="Times New Roman"/>
          <w:i/>
          <w:color w:val="000000" w:themeColor="text1"/>
          <w:sz w:val="28"/>
          <w:szCs w:val="28"/>
        </w:rPr>
        <w:t xml:space="preserve"> </w:t>
      </w:r>
      <w:r w:rsidRPr="004F6BAE">
        <w:rPr>
          <w:rFonts w:ascii="Times New Roman" w:eastAsia="Times New Roman" w:hAnsi="Times New Roman" w:cs="Times New Roman"/>
          <w:color w:val="000000" w:themeColor="text1"/>
          <w:sz w:val="28"/>
          <w:szCs w:val="28"/>
          <w:lang w:val="vi-VN"/>
        </w:rPr>
        <w:t xml:space="preserve">là kỳ kế toán năm mà </w:t>
      </w:r>
      <w:r w:rsidRPr="004F6BAE">
        <w:rPr>
          <w:rFonts w:ascii="Times New Roman" w:eastAsia="Times New Roman" w:hAnsi="Times New Roman" w:cs="Times New Roman"/>
          <w:color w:val="000000" w:themeColor="text1"/>
          <w:sz w:val="28"/>
          <w:szCs w:val="28"/>
        </w:rPr>
        <w:t>c</w:t>
      </w:r>
      <w:r w:rsidRPr="004F6BAE">
        <w:rPr>
          <w:rFonts w:ascii="Times New Roman" w:eastAsia="Times New Roman" w:hAnsi="Times New Roman" w:cs="Times New Roman"/>
          <w:color w:val="000000" w:themeColor="text1"/>
          <w:sz w:val="28"/>
          <w:szCs w:val="28"/>
          <w:lang w:val="vi-VN"/>
        </w:rPr>
        <w:t xml:space="preserve">ông ty mẹ tối cao của </w:t>
      </w:r>
      <w:r w:rsidRPr="004F6BAE">
        <w:rPr>
          <w:rFonts w:ascii="Times New Roman" w:eastAsia="Times New Roman" w:hAnsi="Times New Roman" w:cs="Times New Roman"/>
          <w:color w:val="000000" w:themeColor="text1"/>
          <w:sz w:val="28"/>
          <w:szCs w:val="28"/>
        </w:rPr>
        <w:t>t</w:t>
      </w:r>
      <w:r w:rsidRPr="004F6BAE">
        <w:rPr>
          <w:rFonts w:ascii="Times New Roman" w:eastAsia="Times New Roman" w:hAnsi="Times New Roman" w:cs="Times New Roman"/>
          <w:color w:val="000000" w:themeColor="text1"/>
          <w:sz w:val="28"/>
          <w:szCs w:val="28"/>
          <w:lang w:val="vi-VN"/>
        </w:rPr>
        <w:t xml:space="preserve">ập đoàn đa quốc gia lập Báo cáo tài chính hợp nhất. Đối với Báo cáo tài chính hợp nhất được lập theo quy định tại điểm d khoản 10 Điều 3 Nghị quyết số 107/2023/QH15 thì năm tài chính là năm dương lịch. </w:t>
      </w:r>
    </w:p>
    <w:p w14:paraId="2E480107" w14:textId="77777777" w:rsidR="005C482A" w:rsidRPr="004F6BAE" w:rsidRDefault="001B6934">
      <w:pPr>
        <w:widowControl w:val="0"/>
        <w:spacing w:before="120" w:after="120"/>
        <w:ind w:firstLine="720"/>
        <w:jc w:val="both"/>
        <w:rPr>
          <w:rFonts w:ascii="Times New Roman" w:eastAsia="Times New Roman" w:hAnsi="Times New Roman" w:cs="Times New Roman"/>
          <w:color w:val="000000" w:themeColor="text1"/>
          <w:sz w:val="28"/>
          <w:szCs w:val="28"/>
          <w:lang w:val="vi-VN"/>
        </w:rPr>
      </w:pPr>
      <w:r w:rsidRPr="004F6BAE">
        <w:rPr>
          <w:rFonts w:ascii="Times New Roman" w:eastAsia="Times New Roman" w:hAnsi="Times New Roman" w:cs="Times New Roman"/>
          <w:color w:val="000000" w:themeColor="text1"/>
          <w:sz w:val="28"/>
          <w:szCs w:val="28"/>
          <w:lang w:val="vi-VN"/>
        </w:rPr>
        <w:t>1</w:t>
      </w:r>
      <w:r w:rsidRPr="004F6BAE">
        <w:rPr>
          <w:rFonts w:ascii="Times New Roman" w:eastAsia="Times New Roman" w:hAnsi="Times New Roman" w:cs="Times New Roman"/>
          <w:color w:val="000000" w:themeColor="text1"/>
          <w:sz w:val="28"/>
          <w:szCs w:val="28"/>
        </w:rPr>
        <w:t>1</w:t>
      </w:r>
      <w:r w:rsidRPr="004F6BAE">
        <w:rPr>
          <w:rFonts w:ascii="Times New Roman" w:eastAsia="Times New Roman" w:hAnsi="Times New Roman" w:cs="Times New Roman"/>
          <w:color w:val="000000" w:themeColor="text1"/>
          <w:sz w:val="28"/>
          <w:szCs w:val="28"/>
          <w:lang w:val="vi-VN"/>
        </w:rPr>
        <w:t>.</w:t>
      </w:r>
      <w:r w:rsidRPr="004F6BAE">
        <w:rPr>
          <w:rFonts w:ascii="Times New Roman" w:eastAsia="Times New Roman" w:hAnsi="Times New Roman" w:cs="Times New Roman"/>
          <w:i/>
          <w:color w:val="000000" w:themeColor="text1"/>
          <w:sz w:val="28"/>
          <w:szCs w:val="28"/>
          <w:lang w:val="vi-VN"/>
        </w:rPr>
        <w:t xml:space="preserve"> Năm tài chính báo cáo</w:t>
      </w:r>
      <w:r w:rsidRPr="004F6BAE">
        <w:rPr>
          <w:rFonts w:ascii="Times New Roman" w:eastAsia="Times New Roman" w:hAnsi="Times New Roman" w:cs="Times New Roman"/>
          <w:color w:val="000000" w:themeColor="text1"/>
          <w:sz w:val="28"/>
          <w:szCs w:val="28"/>
          <w:lang w:val="vi-VN"/>
        </w:rPr>
        <w:t xml:space="preserve"> là năm tài chính được khai báo trên Tờ khai thông tin theo Quy định về thuế tối thiểu toàn cầu.</w:t>
      </w:r>
    </w:p>
    <w:p w14:paraId="2C641424"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lang w:val="vi-VN"/>
        </w:rPr>
      </w:pPr>
      <w:r w:rsidRPr="004F6BAE">
        <w:rPr>
          <w:rFonts w:ascii="Times New Roman" w:eastAsia="Times New Roman" w:hAnsi="Times New Roman" w:cs="Times New Roman"/>
          <w:color w:val="000000" w:themeColor="text1"/>
          <w:sz w:val="28"/>
          <w:szCs w:val="28"/>
          <w:lang w:val="vi-VN"/>
        </w:rPr>
        <w:t>1</w:t>
      </w:r>
      <w:r w:rsidRPr="004F6BAE">
        <w:rPr>
          <w:rFonts w:ascii="Times New Roman" w:eastAsia="Times New Roman" w:hAnsi="Times New Roman" w:cs="Times New Roman"/>
          <w:color w:val="000000" w:themeColor="text1"/>
          <w:sz w:val="28"/>
          <w:szCs w:val="28"/>
        </w:rPr>
        <w:t>2</w:t>
      </w:r>
      <w:r w:rsidRPr="004F6BAE">
        <w:rPr>
          <w:rFonts w:ascii="Times New Roman" w:eastAsia="Times New Roman" w:hAnsi="Times New Roman" w:cs="Times New Roman"/>
          <w:color w:val="000000" w:themeColor="text1"/>
          <w:sz w:val="28"/>
          <w:szCs w:val="28"/>
          <w:lang w:val="vi-VN"/>
        </w:rPr>
        <w:t>.</w:t>
      </w:r>
      <w:r w:rsidRPr="004F6BAE">
        <w:rPr>
          <w:rFonts w:ascii="Times New Roman" w:eastAsia="Times New Roman" w:hAnsi="Times New Roman" w:cs="Times New Roman"/>
          <w:i/>
          <w:color w:val="000000" w:themeColor="text1"/>
          <w:sz w:val="28"/>
          <w:szCs w:val="28"/>
          <w:lang w:val="vi-VN"/>
        </w:rPr>
        <w:t xml:space="preserve"> Mẫu hiệp định thuế đối với thu nhập và tài sản của Tổ chức Hợp tác và Phát triển Kinh tế</w:t>
      </w:r>
      <w:r w:rsidRPr="004F6BAE">
        <w:rPr>
          <w:rFonts w:ascii="Times New Roman" w:eastAsia="Times New Roman" w:hAnsi="Times New Roman" w:cs="Times New Roman"/>
          <w:i/>
          <w:color w:val="000000" w:themeColor="text1"/>
          <w:sz w:val="28"/>
          <w:szCs w:val="28"/>
        </w:rPr>
        <w:t xml:space="preserve"> </w:t>
      </w:r>
      <w:r w:rsidRPr="004F6BAE">
        <w:rPr>
          <w:rFonts w:ascii="Times New Roman" w:eastAsia="Times New Roman" w:hAnsi="Times New Roman" w:cs="Times New Roman"/>
          <w:color w:val="000000" w:themeColor="text1"/>
          <w:sz w:val="28"/>
          <w:szCs w:val="28"/>
          <w:lang w:val="vi-VN"/>
        </w:rPr>
        <w:t>là</w:t>
      </w:r>
      <w:r w:rsidRPr="004F6BAE">
        <w:rPr>
          <w:rFonts w:ascii="Times New Roman" w:eastAsia="Times New Roman" w:hAnsi="Times New Roman" w:cs="Times New Roman"/>
          <w:color w:val="000000" w:themeColor="text1"/>
          <w:sz w:val="28"/>
          <w:szCs w:val="28"/>
        </w:rPr>
        <w:t xml:space="preserve"> </w:t>
      </w:r>
      <w:r w:rsidRPr="004F6BAE">
        <w:rPr>
          <w:rFonts w:ascii="Times New Roman" w:eastAsia="Times New Roman" w:hAnsi="Times New Roman" w:cs="Times New Roman"/>
          <w:color w:val="000000" w:themeColor="text1"/>
          <w:sz w:val="28"/>
          <w:szCs w:val="28"/>
          <w:lang w:val="vi-VN"/>
        </w:rPr>
        <w:t xml:space="preserve">Phiên bản hợp nhất năm 2017, Nhà xuất bản OECD, Paris, </w:t>
      </w:r>
      <w:hyperlink r:id="rId7">
        <w:r w:rsidRPr="004F6BAE">
          <w:rPr>
            <w:rFonts w:ascii="Times New Roman" w:eastAsia="Times New Roman" w:hAnsi="Times New Roman" w:cs="Times New Roman"/>
            <w:color w:val="000000" w:themeColor="text1"/>
            <w:sz w:val="28"/>
            <w:szCs w:val="28"/>
            <w:lang w:val="vi-VN"/>
          </w:rPr>
          <w:t>https://doi.org/10.1787/mtc_cond-2017-en</w:t>
        </w:r>
      </w:hyperlink>
      <w:r w:rsidRPr="004F6BAE">
        <w:rPr>
          <w:rFonts w:ascii="Times New Roman" w:eastAsia="Times New Roman" w:hAnsi="Times New Roman" w:cs="Times New Roman"/>
          <w:color w:val="000000" w:themeColor="text1"/>
          <w:sz w:val="28"/>
          <w:szCs w:val="28"/>
          <w:lang w:val="vi-VN"/>
        </w:rPr>
        <w:t>.</w:t>
      </w:r>
    </w:p>
    <w:p w14:paraId="17BFA059"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lang w:val="vi-VN"/>
        </w:rPr>
      </w:pPr>
      <w:r w:rsidRPr="004F6BAE">
        <w:rPr>
          <w:rFonts w:ascii="Times New Roman" w:eastAsia="Times New Roman" w:hAnsi="Times New Roman" w:cs="Times New Roman"/>
          <w:color w:val="000000" w:themeColor="text1"/>
          <w:sz w:val="28"/>
          <w:szCs w:val="28"/>
          <w:lang w:val="vi-VN"/>
        </w:rPr>
        <w:t>1</w:t>
      </w:r>
      <w:r w:rsidRPr="004F6BAE">
        <w:rPr>
          <w:rFonts w:ascii="Times New Roman" w:eastAsia="Times New Roman" w:hAnsi="Times New Roman" w:cs="Times New Roman"/>
          <w:color w:val="000000" w:themeColor="text1"/>
          <w:sz w:val="28"/>
          <w:szCs w:val="28"/>
        </w:rPr>
        <w:t>3</w:t>
      </w:r>
      <w:r w:rsidRPr="004F6BAE">
        <w:rPr>
          <w:rFonts w:ascii="Times New Roman" w:eastAsia="Times New Roman" w:hAnsi="Times New Roman" w:cs="Times New Roman"/>
          <w:color w:val="000000" w:themeColor="text1"/>
          <w:sz w:val="28"/>
          <w:szCs w:val="28"/>
          <w:lang w:val="vi-VN"/>
        </w:rPr>
        <w:t>.</w:t>
      </w:r>
      <w:r w:rsidRPr="004F6BAE">
        <w:rPr>
          <w:rFonts w:ascii="Times New Roman" w:eastAsia="Times New Roman" w:hAnsi="Times New Roman" w:cs="Times New Roman"/>
          <w:i/>
          <w:color w:val="000000" w:themeColor="text1"/>
          <w:sz w:val="28"/>
          <w:szCs w:val="28"/>
          <w:lang w:val="vi-VN"/>
        </w:rPr>
        <w:t xml:space="preserve"> Hiệp định giữa nhà chức trách có thẩm quyền về trao đổi thông tin theo quy định thuế tối thiểu toàn cầu </w:t>
      </w:r>
      <w:r w:rsidRPr="004F6BAE">
        <w:rPr>
          <w:rFonts w:ascii="Times New Roman" w:eastAsia="Times New Roman" w:hAnsi="Times New Roman" w:cs="Times New Roman"/>
          <w:color w:val="000000" w:themeColor="text1"/>
          <w:sz w:val="28"/>
          <w:szCs w:val="28"/>
          <w:lang w:val="vi-VN"/>
        </w:rPr>
        <w:t xml:space="preserve">là một thỏa thuận đa phương giữa các cơ quan có </w:t>
      </w:r>
      <w:r w:rsidRPr="004F6BAE">
        <w:rPr>
          <w:rFonts w:ascii="Times New Roman" w:eastAsia="Times New Roman" w:hAnsi="Times New Roman" w:cs="Times New Roman"/>
          <w:color w:val="000000" w:themeColor="text1"/>
          <w:sz w:val="28"/>
          <w:szCs w:val="28"/>
          <w:lang w:val="vi-VN"/>
        </w:rPr>
        <w:lastRenderedPageBreak/>
        <w:t>thẩm quyền</w:t>
      </w:r>
      <w:r w:rsidRPr="004F6BAE">
        <w:rPr>
          <w:rFonts w:ascii="Times New Roman" w:eastAsia="Times New Roman" w:hAnsi="Times New Roman" w:cs="Times New Roman"/>
          <w:color w:val="000000" w:themeColor="text1"/>
          <w:sz w:val="28"/>
          <w:szCs w:val="28"/>
        </w:rPr>
        <w:t xml:space="preserve"> </w:t>
      </w:r>
      <w:r w:rsidRPr="004F6BAE">
        <w:rPr>
          <w:rFonts w:ascii="Times New Roman" w:eastAsia="Times New Roman" w:hAnsi="Times New Roman" w:cs="Times New Roman"/>
          <w:color w:val="000000" w:themeColor="text1"/>
          <w:sz w:val="28"/>
          <w:szCs w:val="28"/>
          <w:lang w:val="vi-VN"/>
        </w:rPr>
        <w:t>quy định việc trao đổi thông tin tự động theo các Tờ khai thông tin theo Quy định về thuế tối thiểu toàn cầu hằng năm.</w:t>
      </w:r>
    </w:p>
    <w:p w14:paraId="7A9823E5"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rPr>
      </w:pPr>
      <w:bookmarkStart w:id="0" w:name="_tyjcwt" w:colFirst="0" w:colLast="0"/>
      <w:bookmarkEnd w:id="0"/>
      <w:r w:rsidRPr="004F6BAE">
        <w:rPr>
          <w:rFonts w:ascii="Times New Roman" w:eastAsia="Times New Roman" w:hAnsi="Times New Roman" w:cs="Times New Roman"/>
          <w:color w:val="000000" w:themeColor="text1"/>
          <w:sz w:val="28"/>
          <w:szCs w:val="28"/>
        </w:rPr>
        <w:t xml:space="preserve">14. </w:t>
      </w:r>
      <w:r w:rsidRPr="004F6BAE">
        <w:rPr>
          <w:rFonts w:ascii="Times New Roman" w:eastAsia="Times New Roman" w:hAnsi="Times New Roman" w:cs="Times New Roman"/>
          <w:i/>
          <w:color w:val="000000" w:themeColor="text1"/>
          <w:sz w:val="28"/>
          <w:szCs w:val="28"/>
        </w:rPr>
        <w:t>Đơn vị trung chuyển</w:t>
      </w:r>
      <w:r w:rsidRPr="004F6BAE">
        <w:rPr>
          <w:rFonts w:ascii="Times New Roman" w:eastAsia="Times New Roman" w:hAnsi="Times New Roman" w:cs="Times New Roman"/>
          <w:color w:val="000000" w:themeColor="text1"/>
          <w:sz w:val="28"/>
          <w:szCs w:val="28"/>
        </w:rPr>
        <w:t xml:space="preserve"> là đơn vị mà các khoản thu nhập, chi phí, lợi nhuận hoặc lỗ của đơn vị này, theo pháp luật của nước nơi đơn vị này được thành lập, quy định là thu nhập, chi phí, lãi hoặc lỗ của chủ sở hữu trực tiếp đơn vị này tương ứng với tỷ lệ sở hữu trong đơn vị này, trừ trường hợp đơn vị này là đối tượng cư trú thuế và chịu thuế thuộc phạm vi áp dụng đối với thu nhập hoặc lợi nhuận của đơn vị này ở một nước khác. Đơn vị trung chuyển bao gồm đơn vị không chịu thuế thu nhập và đơn vị lưỡng tính nghịch. Trong đó:</w:t>
      </w:r>
    </w:p>
    <w:p w14:paraId="2AE4815D"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14.1. </w:t>
      </w:r>
      <w:r w:rsidRPr="004F6BAE">
        <w:rPr>
          <w:rFonts w:ascii="Times New Roman" w:eastAsia="Times New Roman" w:hAnsi="Times New Roman" w:cs="Times New Roman"/>
          <w:i/>
          <w:color w:val="000000" w:themeColor="text1"/>
          <w:sz w:val="28"/>
          <w:szCs w:val="28"/>
        </w:rPr>
        <w:t xml:space="preserve">Đơn vị không chịu thuế thu nhập </w:t>
      </w:r>
      <w:r w:rsidRPr="004F6BAE">
        <w:rPr>
          <w:rFonts w:ascii="Times New Roman" w:eastAsia="Times New Roman" w:hAnsi="Times New Roman" w:cs="Times New Roman"/>
          <w:iCs/>
          <w:color w:val="000000" w:themeColor="text1"/>
          <w:sz w:val="28"/>
          <w:szCs w:val="28"/>
        </w:rPr>
        <w:t>là đơn vị trung chuyển mà</w:t>
      </w:r>
      <w:r w:rsidRPr="004F6BAE">
        <w:rPr>
          <w:rFonts w:ascii="Times New Roman" w:eastAsia="Times New Roman" w:hAnsi="Times New Roman" w:cs="Times New Roman"/>
          <w:color w:val="000000" w:themeColor="text1"/>
          <w:sz w:val="28"/>
          <w:szCs w:val="28"/>
        </w:rPr>
        <w:t xml:space="preserve"> các khoản thu nhập, chi phí, lãi hoặc lỗ của đơn vị này theo pháp luật của nước nơi chủ sở hữu đó cư trú quy định là thu nhập, chi phí, lãi hoặc lỗ của chủ sở hữu trực tiếp đơn vị này tương ứng với tỷ lệ sở hữu trong đơn vị này.</w:t>
      </w:r>
    </w:p>
    <w:p w14:paraId="6940437A" w14:textId="77777777" w:rsidR="005C482A" w:rsidRPr="004F6BAE" w:rsidRDefault="001B6934">
      <w:pPr>
        <w:widowControl w:val="0"/>
        <w:spacing w:before="120" w:after="120"/>
        <w:ind w:left="14" w:right="42"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14.2. </w:t>
      </w:r>
      <w:r w:rsidRPr="004F6BAE">
        <w:rPr>
          <w:rFonts w:ascii="Times New Roman" w:eastAsia="Times New Roman" w:hAnsi="Times New Roman" w:cs="Times New Roman"/>
          <w:i/>
          <w:color w:val="000000" w:themeColor="text1"/>
          <w:sz w:val="28"/>
          <w:szCs w:val="28"/>
        </w:rPr>
        <w:t>Đơn vị lưỡng tính nghịch</w:t>
      </w:r>
      <w:r w:rsidRPr="004F6BAE">
        <w:rPr>
          <w:rFonts w:ascii="Times New Roman" w:eastAsia="Times New Roman" w:hAnsi="Times New Roman" w:cs="Times New Roman"/>
          <w:color w:val="000000" w:themeColor="text1"/>
          <w:sz w:val="28"/>
          <w:szCs w:val="28"/>
        </w:rPr>
        <w:t xml:space="preserve"> là đơn vị trung chuyển mà các khoản thu nhập, chi phí, lãi hoặc lỗ của đơn vị này theo pháp luật của nước nơi chủ sở hữu cư trú quy định không phải là thu nhập, chi phí, lãi hoặc lỗ của chủ sở hữu trực tiếp đơn vị này tương ứng với tỷ lệ sở hữu trong đơn vị này cho đến khi đơn vị này phân phối lợi nhuận hoặc được coi là phân phối lợi nhuận cho chủ sở hữu.</w:t>
      </w:r>
    </w:p>
    <w:p w14:paraId="38B11B34" w14:textId="77777777" w:rsidR="005C482A" w:rsidRPr="004F6BAE" w:rsidRDefault="001B6934">
      <w:pPr>
        <w:widowControl w:val="0"/>
        <w:spacing w:before="120" w:after="120"/>
        <w:ind w:right="42" w:firstLine="700"/>
        <w:jc w:val="both"/>
        <w:rPr>
          <w:rFonts w:ascii="Times New Roman" w:hAnsi="Times New Roman"/>
          <w:color w:val="000000" w:themeColor="text1"/>
          <w:sz w:val="28"/>
          <w:lang w:val="vi-VN"/>
        </w:rPr>
      </w:pPr>
      <w:r w:rsidRPr="004F6BAE">
        <w:rPr>
          <w:rFonts w:ascii="Times New Roman" w:eastAsia="Times New Roman" w:hAnsi="Times New Roman" w:cs="Times New Roman"/>
          <w:color w:val="000000" w:themeColor="text1"/>
          <w:sz w:val="28"/>
          <w:szCs w:val="28"/>
        </w:rPr>
        <w:t xml:space="preserve">15. </w:t>
      </w:r>
      <w:r w:rsidRPr="004F6BAE">
        <w:rPr>
          <w:rFonts w:ascii="Times New Roman" w:eastAsia="Times New Roman" w:hAnsi="Times New Roman" w:cs="Times New Roman"/>
          <w:i/>
          <w:color w:val="000000" w:themeColor="text1"/>
          <w:sz w:val="28"/>
          <w:szCs w:val="28"/>
          <w:lang w:val="vi-VN"/>
        </w:rPr>
        <w:t>Đơn vị</w:t>
      </w:r>
      <w:r w:rsidRPr="004F6BAE">
        <w:rPr>
          <w:rFonts w:ascii="Times New Roman" w:hAnsi="Times New Roman"/>
          <w:i/>
          <w:color w:val="000000" w:themeColor="text1"/>
          <w:sz w:val="28"/>
          <w:lang w:val="vi-VN"/>
        </w:rPr>
        <w:t xml:space="preserve"> lưỡng tính</w:t>
      </w:r>
      <w:r w:rsidRPr="004F6BAE">
        <w:rPr>
          <w:rFonts w:ascii="Times New Roman" w:hAnsi="Times New Roman"/>
          <w:color w:val="000000" w:themeColor="text1"/>
          <w:sz w:val="28"/>
          <w:lang w:val="vi-VN"/>
        </w:rPr>
        <w:t xml:space="preserve"> là </w:t>
      </w:r>
      <w:r w:rsidRPr="004F6BAE">
        <w:rPr>
          <w:rFonts w:ascii="Times New Roman" w:eastAsia="Times New Roman" w:hAnsi="Times New Roman" w:cs="Times New Roman"/>
          <w:color w:val="000000" w:themeColor="text1"/>
          <w:sz w:val="28"/>
          <w:szCs w:val="28"/>
          <w:lang w:val="vi-VN"/>
        </w:rPr>
        <w:t>đơn vị</w:t>
      </w:r>
      <w:r w:rsidRPr="004F6BAE">
        <w:rPr>
          <w:rFonts w:ascii="Times New Roman" w:hAnsi="Times New Roman"/>
          <w:color w:val="000000" w:themeColor="text1"/>
          <w:sz w:val="28"/>
          <w:lang w:val="vi-VN"/>
        </w:rPr>
        <w:t xml:space="preserve"> được xác định là một đối tượng chịu thuế </w:t>
      </w:r>
      <w:r w:rsidRPr="004F6BAE">
        <w:rPr>
          <w:rFonts w:ascii="Times New Roman" w:eastAsia="Times New Roman" w:hAnsi="Times New Roman" w:cs="Times New Roman"/>
          <w:color w:val="000000" w:themeColor="text1"/>
          <w:sz w:val="28"/>
          <w:szCs w:val="28"/>
          <w:lang w:val="vi-VN"/>
        </w:rPr>
        <w:t xml:space="preserve">thu nhập </w:t>
      </w:r>
      <w:r w:rsidRPr="004F6BAE">
        <w:rPr>
          <w:rFonts w:ascii="Times New Roman" w:hAnsi="Times New Roman"/>
          <w:color w:val="000000" w:themeColor="text1"/>
          <w:sz w:val="28"/>
          <w:lang w:val="vi-VN"/>
        </w:rPr>
        <w:t>riêng biệt đối với thu nhập</w:t>
      </w:r>
      <w:r w:rsidRPr="004F6BAE">
        <w:rPr>
          <w:rFonts w:ascii="Times New Roman" w:eastAsia="Times New Roman" w:hAnsi="Times New Roman" w:cs="Times New Roman"/>
          <w:color w:val="000000" w:themeColor="text1"/>
          <w:sz w:val="28"/>
          <w:szCs w:val="28"/>
          <w:lang w:val="vi-VN"/>
        </w:rPr>
        <w:t xml:space="preserve"> </w:t>
      </w:r>
      <w:r w:rsidRPr="004F6BAE">
        <w:rPr>
          <w:rFonts w:ascii="Times New Roman" w:eastAsia="Times New Roman" w:hAnsi="Times New Roman" w:cs="Times New Roman"/>
          <w:color w:val="000000" w:themeColor="text1"/>
          <w:sz w:val="28"/>
          <w:szCs w:val="28"/>
        </w:rPr>
        <w:t xml:space="preserve">của đơn vị này </w:t>
      </w:r>
      <w:r w:rsidRPr="004F6BAE">
        <w:rPr>
          <w:rFonts w:ascii="Times New Roman" w:eastAsia="Times New Roman" w:hAnsi="Times New Roman" w:cs="Times New Roman"/>
          <w:color w:val="000000" w:themeColor="text1"/>
          <w:sz w:val="28"/>
          <w:szCs w:val="28"/>
          <w:lang w:val="vi-VN"/>
        </w:rPr>
        <w:t xml:space="preserve">tại nước nơi </w:t>
      </w:r>
      <w:r w:rsidRPr="004F6BAE">
        <w:rPr>
          <w:rFonts w:ascii="Times New Roman" w:eastAsia="Times New Roman" w:hAnsi="Times New Roman" w:cs="Times New Roman"/>
          <w:color w:val="000000" w:themeColor="text1"/>
          <w:sz w:val="28"/>
          <w:szCs w:val="28"/>
        </w:rPr>
        <w:t>đơn vị</w:t>
      </w:r>
      <w:r w:rsidRPr="004F6BAE">
        <w:rPr>
          <w:rFonts w:ascii="Times New Roman" w:eastAsia="Times New Roman" w:hAnsi="Times New Roman" w:cs="Times New Roman"/>
          <w:color w:val="000000" w:themeColor="text1"/>
          <w:sz w:val="28"/>
          <w:szCs w:val="28"/>
          <w:lang w:val="vi-VN"/>
        </w:rPr>
        <w:t xml:space="preserve"> cư trú</w:t>
      </w:r>
      <w:r w:rsidRPr="004F6BAE">
        <w:rPr>
          <w:rFonts w:ascii="Times New Roman" w:eastAsia="Times New Roman" w:hAnsi="Times New Roman" w:cs="Times New Roman"/>
          <w:color w:val="000000" w:themeColor="text1"/>
          <w:sz w:val="28"/>
          <w:szCs w:val="28"/>
        </w:rPr>
        <w:t>,</w:t>
      </w:r>
      <w:r w:rsidRPr="004F6BAE">
        <w:rPr>
          <w:rFonts w:ascii="Times New Roman" w:eastAsia="Times New Roman" w:hAnsi="Times New Roman" w:cs="Times New Roman"/>
          <w:color w:val="000000" w:themeColor="text1"/>
          <w:sz w:val="28"/>
          <w:szCs w:val="28"/>
          <w:lang w:val="vi-VN"/>
        </w:rPr>
        <w:t xml:space="preserve"> </w:t>
      </w:r>
      <w:r w:rsidRPr="004F6BAE">
        <w:rPr>
          <w:rFonts w:ascii="Times New Roman" w:eastAsia="Times New Roman" w:hAnsi="Times New Roman" w:cs="Times New Roman"/>
          <w:color w:val="000000" w:themeColor="text1"/>
          <w:sz w:val="28"/>
          <w:szCs w:val="28"/>
        </w:rPr>
        <w:t>đ</w:t>
      </w:r>
      <w:r w:rsidRPr="004F6BAE">
        <w:rPr>
          <w:rFonts w:ascii="Times New Roman" w:eastAsia="Times New Roman" w:hAnsi="Times New Roman" w:cs="Times New Roman"/>
          <w:color w:val="000000" w:themeColor="text1"/>
          <w:sz w:val="28"/>
          <w:szCs w:val="28"/>
          <w:lang w:val="vi-VN"/>
        </w:rPr>
        <w:t xml:space="preserve">ồng thời, thu nhập, chi phí, lãi hoặc lỗ của đơn vị </w:t>
      </w:r>
      <w:r w:rsidRPr="004F6BAE">
        <w:rPr>
          <w:rFonts w:ascii="Times New Roman" w:eastAsia="Times New Roman" w:hAnsi="Times New Roman" w:cs="Times New Roman"/>
          <w:color w:val="000000" w:themeColor="text1"/>
          <w:sz w:val="28"/>
          <w:szCs w:val="28"/>
        </w:rPr>
        <w:t>này</w:t>
      </w:r>
      <w:r w:rsidRPr="004F6BAE">
        <w:rPr>
          <w:rFonts w:ascii="Times New Roman" w:eastAsia="Times New Roman" w:hAnsi="Times New Roman" w:cs="Times New Roman"/>
          <w:color w:val="000000" w:themeColor="text1"/>
          <w:sz w:val="28"/>
          <w:szCs w:val="28"/>
          <w:lang w:val="vi-VN"/>
        </w:rPr>
        <w:t xml:space="preserve"> được xác định là thu nhập</w:t>
      </w:r>
      <w:r w:rsidRPr="004F6BAE">
        <w:rPr>
          <w:rFonts w:ascii="Times New Roman" w:hAnsi="Times New Roman"/>
          <w:color w:val="000000" w:themeColor="text1"/>
          <w:sz w:val="28"/>
          <w:lang w:val="vi-VN"/>
        </w:rPr>
        <w:t xml:space="preserve">, chi phí, lãi hoặc lỗ của </w:t>
      </w:r>
      <w:r w:rsidRPr="004F6BAE">
        <w:rPr>
          <w:rFonts w:ascii="Times New Roman" w:eastAsia="Times New Roman" w:hAnsi="Times New Roman" w:cs="Times New Roman"/>
          <w:color w:val="000000" w:themeColor="text1"/>
          <w:sz w:val="28"/>
          <w:szCs w:val="28"/>
          <w:lang w:val="vi-VN"/>
        </w:rPr>
        <w:t xml:space="preserve">chủ sở hữu </w:t>
      </w:r>
      <w:r w:rsidRPr="004F6BAE">
        <w:rPr>
          <w:rFonts w:ascii="Times New Roman" w:eastAsia="Times New Roman" w:hAnsi="Times New Roman" w:cs="Times New Roman"/>
          <w:color w:val="000000" w:themeColor="text1"/>
          <w:sz w:val="28"/>
          <w:szCs w:val="28"/>
        </w:rPr>
        <w:t>trực tiếp</w:t>
      </w:r>
      <w:r w:rsidRPr="004F6BAE">
        <w:rPr>
          <w:rFonts w:ascii="Times New Roman" w:eastAsia="Times New Roman" w:hAnsi="Times New Roman" w:cs="Times New Roman"/>
          <w:color w:val="000000" w:themeColor="text1"/>
          <w:sz w:val="28"/>
          <w:szCs w:val="28"/>
          <w:lang w:val="vi-VN"/>
        </w:rPr>
        <w:t xml:space="preserve"> </w:t>
      </w:r>
      <w:r w:rsidRPr="004F6BAE">
        <w:rPr>
          <w:rFonts w:ascii="Times New Roman" w:eastAsia="Times New Roman" w:hAnsi="Times New Roman" w:cs="Times New Roman"/>
          <w:color w:val="000000" w:themeColor="text1"/>
          <w:sz w:val="28"/>
          <w:szCs w:val="28"/>
        </w:rPr>
        <w:t>đơn vị này tương ứng với tỷ lệ sở hữu trong đơn vị này tại</w:t>
      </w:r>
      <w:r w:rsidRPr="004F6BAE">
        <w:rPr>
          <w:rFonts w:ascii="Times New Roman" w:hAnsi="Times New Roman"/>
          <w:color w:val="000000" w:themeColor="text1"/>
          <w:sz w:val="28"/>
          <w:lang w:val="vi-VN"/>
        </w:rPr>
        <w:t xml:space="preserve"> nước nơi chủ sở hữu </w:t>
      </w:r>
      <w:r w:rsidRPr="004F6BAE">
        <w:rPr>
          <w:rFonts w:ascii="Times New Roman" w:eastAsia="Times New Roman" w:hAnsi="Times New Roman" w:cs="Times New Roman"/>
          <w:color w:val="000000" w:themeColor="text1"/>
          <w:sz w:val="28"/>
          <w:szCs w:val="28"/>
        </w:rPr>
        <w:t>cư trú</w:t>
      </w:r>
      <w:r w:rsidRPr="004F6BAE">
        <w:rPr>
          <w:rFonts w:ascii="Times New Roman" w:hAnsi="Times New Roman"/>
          <w:color w:val="000000" w:themeColor="text1"/>
          <w:sz w:val="28"/>
          <w:lang w:val="vi-VN"/>
        </w:rPr>
        <w:t>.</w:t>
      </w:r>
    </w:p>
    <w:p w14:paraId="383014DE" w14:textId="77777777" w:rsidR="005C482A" w:rsidRPr="004F6BAE" w:rsidRDefault="001B6934">
      <w:pPr>
        <w:widowControl w:val="0"/>
        <w:spacing w:before="120" w:after="120"/>
        <w:ind w:left="14" w:right="42"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16. Một đơn vị hợp thành được xác định không phải là đối tượng cư trú  thuế và không phải chịu thuế thuộc phạm vi áp dụng hoặc thuế bổ sung tối thiểu nội địa đạt chuẩn theo nơi quản lý, nơi thành lập hoặc các tiêu chí tương tự sẽ được coi là đơn vị trung chuyển và đơn vị không chịu thuế thu nhập đối với các khoản thu nhập, chi phí, lợi nhuận hoặc lỗ khi đáp ứng đồng thời các điều kiện: </w:t>
      </w:r>
    </w:p>
    <w:p w14:paraId="0473DC59" w14:textId="77777777" w:rsidR="005C482A" w:rsidRPr="004F6BAE" w:rsidRDefault="001B6934">
      <w:pPr>
        <w:widowControl w:val="0"/>
        <w:spacing w:before="120" w:after="120"/>
        <w:ind w:left="14" w:right="42"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16.1. Chủ sở hữu của đơn vị này cư trú tại một nước có quy định thu nhập, chi phí, lợi nhuận hoặc lỗ của đơn vị này là thu nhập, chi phí, lợi nhuận hoặc lỗ của chủ sở hữu trực tiếp đơn vị</w:t>
      </w:r>
      <w:r w:rsidRPr="004F6BAE">
        <w:rPr>
          <w:rFonts w:ascii="Times New Roman" w:eastAsia="Times New Roman" w:hAnsi="Times New Roman" w:cs="Times New Roman"/>
          <w:color w:val="000000" w:themeColor="text1"/>
          <w:sz w:val="28"/>
          <w:szCs w:val="28"/>
          <w:lang w:val="vi-VN"/>
        </w:rPr>
        <w:t xml:space="preserve"> </w:t>
      </w:r>
      <w:r w:rsidRPr="004F6BAE">
        <w:rPr>
          <w:rFonts w:ascii="Times New Roman" w:eastAsia="Times New Roman" w:hAnsi="Times New Roman" w:cs="Times New Roman"/>
          <w:color w:val="000000" w:themeColor="text1"/>
          <w:sz w:val="28"/>
          <w:szCs w:val="28"/>
        </w:rPr>
        <w:t>này tương ứng với tỷ lệ sở hữu trong đơn vị này;</w:t>
      </w:r>
    </w:p>
    <w:p w14:paraId="1E2C4432" w14:textId="77777777" w:rsidR="005C482A" w:rsidRPr="004F6BAE" w:rsidRDefault="001B6934">
      <w:pPr>
        <w:widowControl w:val="0"/>
        <w:spacing w:before="120" w:after="120"/>
        <w:ind w:left="14" w:right="42"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16.2. Đơn vị này không có địa điểm kinh doanh tại nước nơi đơn vị này được thành lập; </w:t>
      </w:r>
    </w:p>
    <w:p w14:paraId="0AE0FCFA" w14:textId="77777777" w:rsidR="005C482A" w:rsidRPr="004F6BAE" w:rsidRDefault="001B6934">
      <w:pPr>
        <w:widowControl w:val="0"/>
        <w:spacing w:before="120" w:after="120"/>
        <w:ind w:left="14" w:right="42"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16.3. Thu nhập, chi phí, lãi, hoặc lỗ không thuộc một cơ sở thường trú nào.</w:t>
      </w:r>
    </w:p>
    <w:p w14:paraId="36E158D4" w14:textId="77777777" w:rsidR="005C482A" w:rsidRPr="004F6BAE" w:rsidRDefault="001B6934">
      <w:pPr>
        <w:widowControl w:val="0"/>
        <w:numPr>
          <w:ilvl w:val="0"/>
          <w:numId w:val="1"/>
        </w:numPr>
        <w:spacing w:before="120" w:after="120"/>
        <w:ind w:left="14" w:right="42"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i/>
          <w:color w:val="000000" w:themeColor="text1"/>
          <w:sz w:val="28"/>
          <w:szCs w:val="28"/>
        </w:rPr>
        <w:t>Quyền sở hữu trong một đơn vị hoặc một cơ sở thường trú</w:t>
      </w:r>
      <w:r w:rsidRPr="004F6BAE">
        <w:rPr>
          <w:rFonts w:ascii="Times New Roman" w:eastAsia="Times New Roman" w:hAnsi="Times New Roman" w:cs="Times New Roman"/>
          <w:color w:val="000000" w:themeColor="text1"/>
          <w:sz w:val="28"/>
          <w:szCs w:val="28"/>
        </w:rPr>
        <w:t xml:space="preserve"> là đơn vị hợp thành  được xác định là nắm giữ thông qua một hệ thống không chịu thuế thu nhập khi quyền sở hữu này được nắm giữ gián tiếp thông qua một tập hợp các đơn vị không chịu thuế thu nhập.</w:t>
      </w:r>
    </w:p>
    <w:p w14:paraId="4D5CD836" w14:textId="5402A4DC"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18. </w:t>
      </w:r>
      <w:r w:rsidRPr="004F6BAE">
        <w:rPr>
          <w:rFonts w:ascii="Times New Roman" w:eastAsia="Times New Roman" w:hAnsi="Times New Roman" w:cs="Times New Roman"/>
          <w:i/>
          <w:color w:val="000000" w:themeColor="text1"/>
          <w:sz w:val="28"/>
          <w:szCs w:val="28"/>
        </w:rPr>
        <w:t>Quyền kiểm soát</w:t>
      </w:r>
      <w:bookmarkStart w:id="1" w:name="_GoBack"/>
      <w:bookmarkEnd w:id="1"/>
      <w:r w:rsidRPr="004F6BAE">
        <w:rPr>
          <w:rFonts w:ascii="Times New Roman" w:eastAsia="Times New Roman" w:hAnsi="Times New Roman" w:cs="Times New Roman"/>
          <w:color w:val="000000" w:themeColor="text1"/>
          <w:sz w:val="28"/>
          <w:szCs w:val="28"/>
          <w:lang w:val="vi-VN"/>
        </w:rPr>
        <w:t xml:space="preserve"> </w:t>
      </w:r>
      <w:r w:rsidRPr="004F6BAE">
        <w:rPr>
          <w:rFonts w:ascii="Times New Roman" w:eastAsia="Times New Roman" w:hAnsi="Times New Roman" w:cs="Times New Roman"/>
          <w:color w:val="000000" w:themeColor="text1"/>
          <w:sz w:val="28"/>
          <w:szCs w:val="28"/>
        </w:rPr>
        <w:t xml:space="preserve">là quyền sở hữu trong một đơn vị, theo đó bên nắm </w:t>
      </w:r>
      <w:r w:rsidRPr="004F6BAE">
        <w:rPr>
          <w:rFonts w:ascii="Times New Roman" w:eastAsia="Times New Roman" w:hAnsi="Times New Roman" w:cs="Times New Roman"/>
          <w:color w:val="000000" w:themeColor="text1"/>
          <w:sz w:val="28"/>
          <w:szCs w:val="28"/>
        </w:rPr>
        <w:lastRenderedPageBreak/>
        <w:t xml:space="preserve">giữ quyền này: </w:t>
      </w:r>
    </w:p>
    <w:p w14:paraId="7DDF70A5"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a) Phải hợp nhất các khoản mục tài sản, nợ phải trả, thu nhập, chi phí và dòng tiền của đơn vị bị kiểm soát theo từng chỉ tiêu</w:t>
      </w:r>
      <w:r w:rsidRPr="004F6BAE">
        <w:rPr>
          <w:rFonts w:ascii="Times New Roman" w:eastAsia="Times New Roman" w:hAnsi="Times New Roman" w:cs="Times New Roman"/>
          <w:color w:val="000000" w:themeColor="text1"/>
          <w:sz w:val="28"/>
          <w:szCs w:val="28"/>
          <w:lang w:val="vi-VN"/>
        </w:rPr>
        <w:t xml:space="preserve"> của Báo cáo tài chính</w:t>
      </w:r>
      <w:r w:rsidRPr="004F6BAE">
        <w:rPr>
          <w:rFonts w:ascii="Times New Roman" w:eastAsia="Times New Roman" w:hAnsi="Times New Roman" w:cs="Times New Roman"/>
          <w:color w:val="000000" w:themeColor="text1"/>
          <w:sz w:val="28"/>
          <w:szCs w:val="28"/>
        </w:rPr>
        <w:t xml:space="preserve"> theo chuẩn mực Báo cáo tài chính được chấp nhận vào Báo cáo tài chính của mình; </w:t>
      </w:r>
    </w:p>
    <w:p w14:paraId="7FF172C2"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b) Trường hợp không có quy định bắt buộc nhưng nếu lập Báo cáo tài chính hợp nhất, thì phải hợp nhất các khoản mục tài sản, nợ phải trả, thu nhập, chi phí và dòng tiền của đơn vị bị kiểm soát theo từng chỉ tiêu</w:t>
      </w:r>
      <w:r w:rsidRPr="004F6BAE">
        <w:rPr>
          <w:rFonts w:ascii="Times New Roman" w:eastAsia="Times New Roman" w:hAnsi="Times New Roman" w:cs="Times New Roman"/>
          <w:color w:val="000000" w:themeColor="text1"/>
          <w:sz w:val="28"/>
          <w:szCs w:val="28"/>
          <w:lang w:val="vi-VN"/>
        </w:rPr>
        <w:t xml:space="preserve"> của Báo cáo tài chính</w:t>
      </w:r>
      <w:r w:rsidRPr="004F6BAE">
        <w:rPr>
          <w:rFonts w:ascii="Times New Roman" w:eastAsia="Times New Roman" w:hAnsi="Times New Roman" w:cs="Times New Roman"/>
          <w:color w:val="000000" w:themeColor="text1"/>
          <w:sz w:val="28"/>
          <w:szCs w:val="28"/>
        </w:rPr>
        <w:t xml:space="preserve">. </w:t>
      </w:r>
    </w:p>
    <w:p w14:paraId="6CCC7063" w14:textId="77777777" w:rsidR="005C482A" w:rsidRPr="004F6BAE" w:rsidRDefault="001B6934">
      <w:pPr>
        <w:widowControl w:val="0"/>
        <w:spacing w:before="120" w:after="120"/>
        <w:ind w:left="14" w:firstLine="686"/>
        <w:jc w:val="both"/>
        <w:rPr>
          <w:rFonts w:ascii="Times New Roman" w:eastAsia="Times New Roman" w:hAnsi="Times New Roman" w:cs="Times New Roman"/>
          <w:color w:val="000000" w:themeColor="text1"/>
          <w:sz w:val="28"/>
          <w:szCs w:val="28"/>
        </w:rPr>
      </w:pPr>
      <w:r w:rsidRPr="004F6BAE">
        <w:rPr>
          <w:rFonts w:ascii="Times New Roman" w:eastAsia="Times New Roman" w:hAnsi="Times New Roman" w:cs="Times New Roman"/>
          <w:color w:val="000000" w:themeColor="text1"/>
          <w:sz w:val="28"/>
          <w:szCs w:val="28"/>
        </w:rPr>
        <w:t xml:space="preserve"> Một công ty chính sẽ được xác định là có quyền kiểm soát đối với các cơ sở thường trú của công ty này.</w:t>
      </w:r>
    </w:p>
    <w:p w14:paraId="7A00862A" w14:textId="77777777" w:rsidR="005C482A" w:rsidRPr="004F6BAE" w:rsidRDefault="001B6934">
      <w:pPr>
        <w:widowControl w:val="0"/>
        <w:spacing w:before="120" w:after="120"/>
        <w:ind w:left="14" w:firstLine="686"/>
        <w:jc w:val="both"/>
        <w:rPr>
          <w:rFonts w:ascii="Times New Roman" w:eastAsia="Times New Roman" w:hAnsi="Times New Roman" w:cs="Times New Roman"/>
          <w:i/>
          <w:color w:val="000000" w:themeColor="text1"/>
          <w:sz w:val="28"/>
          <w:szCs w:val="28"/>
        </w:rPr>
      </w:pPr>
      <w:r w:rsidRPr="004F6BAE">
        <w:rPr>
          <w:rFonts w:ascii="Times New Roman" w:eastAsia="Times New Roman" w:hAnsi="Times New Roman" w:cs="Times New Roman"/>
          <w:color w:val="000000" w:themeColor="text1"/>
          <w:sz w:val="28"/>
          <w:szCs w:val="28"/>
        </w:rPr>
        <w:t xml:space="preserve"> Đơn vị đầu tư không có quyền kiểm soát đối với các đơn vị nếu đơn vị đầu tư đó không phải hợp nhất các khoản đầu tư trong các đơn vị theo chuẩn mực kế toán tài chính được chấp nhận hoặc chuẩn mực kế toán tài chính được phép áp dụng.</w:t>
      </w:r>
    </w:p>
    <w:p w14:paraId="2340E366" w14:textId="77777777" w:rsidR="005C482A" w:rsidRPr="004F6BAE" w:rsidRDefault="005C482A">
      <w:pPr>
        <w:widowControl w:val="0"/>
        <w:numPr>
          <w:ilvl w:val="255"/>
          <w:numId w:val="0"/>
        </w:numPr>
        <w:spacing w:before="120" w:after="120"/>
        <w:ind w:right="42"/>
        <w:jc w:val="both"/>
        <w:rPr>
          <w:rFonts w:ascii="Times New Roman" w:eastAsia="Times New Roman" w:hAnsi="Times New Roman" w:cs="Times New Roman"/>
          <w:color w:val="000000" w:themeColor="text1"/>
          <w:sz w:val="28"/>
          <w:szCs w:val="28"/>
        </w:rPr>
      </w:pPr>
    </w:p>
    <w:p w14:paraId="68541BDB" w14:textId="77777777" w:rsidR="005C482A" w:rsidRPr="004F6BAE" w:rsidRDefault="005C482A">
      <w:pPr>
        <w:jc w:val="center"/>
        <w:rPr>
          <w:color w:val="000000" w:themeColor="text1"/>
        </w:rPr>
      </w:pPr>
    </w:p>
    <w:sectPr w:rsidR="005C482A" w:rsidRPr="004F6BAE">
      <w:footerReference w:type="default" r:id="rId8"/>
      <w:pgSz w:w="11906" w:h="16838"/>
      <w:pgMar w:top="1440" w:right="1274" w:bottom="1440"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09B6B" w14:textId="77777777" w:rsidR="00A548F6" w:rsidRDefault="00A548F6">
      <w:r>
        <w:separator/>
      </w:r>
    </w:p>
  </w:endnote>
  <w:endnote w:type="continuationSeparator" w:id="0">
    <w:p w14:paraId="5E1FF67D" w14:textId="77777777" w:rsidR="00A548F6" w:rsidRDefault="00A5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646459"/>
    </w:sdtPr>
    <w:sdtEndPr>
      <w:rPr>
        <w:rFonts w:ascii="Times New Roman" w:hAnsi="Times New Roman" w:cs="Times New Roman"/>
        <w:sz w:val="24"/>
        <w:szCs w:val="24"/>
      </w:rPr>
    </w:sdtEndPr>
    <w:sdtContent>
      <w:p w14:paraId="6279B412" w14:textId="2D8A62FD" w:rsidR="005C482A" w:rsidRDefault="001B6934">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E6E6C">
          <w:rPr>
            <w:rFonts w:ascii="Times New Roman" w:hAnsi="Times New Roman" w:cs="Times New Roman"/>
            <w:noProof/>
            <w:sz w:val="24"/>
            <w:szCs w:val="24"/>
          </w:rPr>
          <w:t>4</w:t>
        </w:r>
        <w:r>
          <w:rPr>
            <w:rFonts w:ascii="Times New Roman" w:hAnsi="Times New Roman" w:cs="Times New Roman"/>
            <w:sz w:val="24"/>
            <w:szCs w:val="24"/>
          </w:rPr>
          <w:fldChar w:fldCharType="end"/>
        </w:r>
      </w:p>
    </w:sdtContent>
  </w:sdt>
  <w:p w14:paraId="17DEF41B" w14:textId="77777777" w:rsidR="005C482A" w:rsidRDefault="005C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EBD3" w14:textId="77777777" w:rsidR="00A548F6" w:rsidRDefault="00A548F6">
      <w:r>
        <w:separator/>
      </w:r>
    </w:p>
  </w:footnote>
  <w:footnote w:type="continuationSeparator" w:id="0">
    <w:p w14:paraId="36D77DA2" w14:textId="77777777" w:rsidR="00A548F6" w:rsidRDefault="00A54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76948"/>
    <w:multiLevelType w:val="singleLevel"/>
    <w:tmpl w:val="42F76948"/>
    <w:lvl w:ilvl="0">
      <w:start w:val="1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trackRevisions/>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B40597"/>
    <w:rsid w:val="0004474F"/>
    <w:rsid w:val="00057A1A"/>
    <w:rsid w:val="00071901"/>
    <w:rsid w:val="000A3472"/>
    <w:rsid w:val="000D32C1"/>
    <w:rsid w:val="000D51BB"/>
    <w:rsid w:val="0011195A"/>
    <w:rsid w:val="001359D6"/>
    <w:rsid w:val="00136F1B"/>
    <w:rsid w:val="00173785"/>
    <w:rsid w:val="00181D64"/>
    <w:rsid w:val="0019362A"/>
    <w:rsid w:val="001B6934"/>
    <w:rsid w:val="00224CD7"/>
    <w:rsid w:val="002370F4"/>
    <w:rsid w:val="002F7842"/>
    <w:rsid w:val="003942C2"/>
    <w:rsid w:val="00414F86"/>
    <w:rsid w:val="00417D23"/>
    <w:rsid w:val="004E484C"/>
    <w:rsid w:val="004F6BAE"/>
    <w:rsid w:val="005561F9"/>
    <w:rsid w:val="0056628C"/>
    <w:rsid w:val="005B35FB"/>
    <w:rsid w:val="005C482A"/>
    <w:rsid w:val="00613520"/>
    <w:rsid w:val="0065391A"/>
    <w:rsid w:val="00697758"/>
    <w:rsid w:val="006C1AA7"/>
    <w:rsid w:val="006C6B73"/>
    <w:rsid w:val="006F7C5A"/>
    <w:rsid w:val="00840C2B"/>
    <w:rsid w:val="00846723"/>
    <w:rsid w:val="00953A8D"/>
    <w:rsid w:val="00997B46"/>
    <w:rsid w:val="00A548F6"/>
    <w:rsid w:val="00A63A38"/>
    <w:rsid w:val="00AF07E9"/>
    <w:rsid w:val="00BD0122"/>
    <w:rsid w:val="00BD354E"/>
    <w:rsid w:val="00BE6E6C"/>
    <w:rsid w:val="00C11203"/>
    <w:rsid w:val="00C70DCD"/>
    <w:rsid w:val="00D63EBD"/>
    <w:rsid w:val="00DA4840"/>
    <w:rsid w:val="00E158E1"/>
    <w:rsid w:val="00E461BE"/>
    <w:rsid w:val="00EA0844"/>
    <w:rsid w:val="00EE5D42"/>
    <w:rsid w:val="00F64A85"/>
    <w:rsid w:val="0ED965ED"/>
    <w:rsid w:val="0FF872E9"/>
    <w:rsid w:val="151A11AA"/>
    <w:rsid w:val="15664C22"/>
    <w:rsid w:val="22A72B65"/>
    <w:rsid w:val="29591C9B"/>
    <w:rsid w:val="2A995DDB"/>
    <w:rsid w:val="36B237F6"/>
    <w:rsid w:val="3A936203"/>
    <w:rsid w:val="44827F2C"/>
    <w:rsid w:val="49C35B10"/>
    <w:rsid w:val="4B8C6CA8"/>
    <w:rsid w:val="4EB40597"/>
    <w:rsid w:val="535477E7"/>
    <w:rsid w:val="66A80066"/>
    <w:rsid w:val="78D15447"/>
    <w:rsid w:val="7ABD3B85"/>
    <w:rsid w:val="7B93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DC197"/>
  <w15:docId w15:val="{87B3E366-593A-4BEE-AAEC-CFCEE0DB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pPr>
      <w:tabs>
        <w:tab w:val="center" w:pos="4680"/>
        <w:tab w:val="right" w:pos="9360"/>
      </w:tabs>
    </w:pPr>
  </w:style>
  <w:style w:type="character" w:customStyle="1" w:styleId="BalloonTextChar">
    <w:name w:val="Balloon Text Char"/>
    <w:basedOn w:val="DefaultParagraphFont"/>
    <w:link w:val="BalloonText"/>
    <w:qFormat/>
    <w:rPr>
      <w:rFonts w:ascii="Segoe UI" w:hAnsi="Segoe UI" w:cs="Segoe UI"/>
      <w:sz w:val="18"/>
      <w:szCs w:val="18"/>
      <w:lang w:eastAsia="zh-CN"/>
    </w:rPr>
  </w:style>
  <w:style w:type="character" w:customStyle="1" w:styleId="HeaderChar">
    <w:name w:val="Header Char"/>
    <w:basedOn w:val="DefaultParagraphFont"/>
    <w:link w:val="Header"/>
    <w:rPr>
      <w:lang w:eastAsia="zh-CN"/>
    </w:rPr>
  </w:style>
  <w:style w:type="character" w:customStyle="1" w:styleId="FooterChar">
    <w:name w:val="Footer Char"/>
    <w:basedOn w:val="DefaultParagraphFont"/>
    <w:link w:val="Footer"/>
    <w:uiPriority w:val="99"/>
    <w:qFormat/>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787/mtc_cond-2017-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WPS_1704468752</dc:creator>
  <cp:lastModifiedBy>Ha, Pham Phuong Ha (CS-TCT)</cp:lastModifiedBy>
  <cp:revision>6</cp:revision>
  <cp:lastPrinted>2024-09-30T01:41:00Z</cp:lastPrinted>
  <dcterms:created xsi:type="dcterms:W3CDTF">2024-10-31T01:38:00Z</dcterms:created>
  <dcterms:modified xsi:type="dcterms:W3CDTF">2024-11-08T10:10:00Z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5DA917F03D8E4DFC8A602EE82596D631_13</vt:lpwstr>
  </property>
</Properties>
</file>