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5609" w:rsidRPr="00A95609" w:rsidRDefault="00A95609" w:rsidP="00A95609">
      <w:pPr>
        <w:snapToGrid w:val="0"/>
        <w:spacing w:before="40" w:after="120" w:line="312" w:lineRule="auto"/>
        <w:jc w:val="center"/>
        <w:rPr>
          <w:rFonts w:ascii="Times New Roman" w:hAnsi="Times New Roman"/>
          <w:b/>
          <w:bCs/>
          <w:sz w:val="27"/>
          <w:szCs w:val="27"/>
          <w:lang w:val="vi-VN"/>
        </w:rPr>
      </w:pPr>
      <w:r w:rsidRPr="00A95609">
        <w:rPr>
          <w:rFonts w:ascii="Times New Roman" w:hAnsi="Times New Roman"/>
          <w:b/>
          <w:bCs/>
          <w:sz w:val="27"/>
          <w:szCs w:val="27"/>
        </w:rPr>
        <w:t>HỘI</w:t>
      </w:r>
      <w:r w:rsidRPr="00A95609">
        <w:rPr>
          <w:rFonts w:ascii="Times New Roman" w:hAnsi="Times New Roman"/>
          <w:b/>
          <w:bCs/>
          <w:sz w:val="27"/>
          <w:szCs w:val="27"/>
          <w:lang w:val="vi-VN"/>
        </w:rPr>
        <w:t xml:space="preserve"> THẢO</w:t>
      </w:r>
    </w:p>
    <w:p w:rsidR="00A95609" w:rsidRPr="00A95609" w:rsidRDefault="00A95609" w:rsidP="00A95609">
      <w:pPr>
        <w:snapToGrid w:val="0"/>
        <w:spacing w:before="40" w:after="120" w:line="312" w:lineRule="auto"/>
        <w:jc w:val="center"/>
        <w:rPr>
          <w:rFonts w:ascii="Times New Roman" w:hAnsi="Times New Roman"/>
          <w:sz w:val="27"/>
          <w:szCs w:val="27"/>
          <w:lang w:val="vi-VN"/>
        </w:rPr>
      </w:pPr>
      <w:r w:rsidRPr="00A95609">
        <w:rPr>
          <w:rFonts w:ascii="Times New Roman" w:hAnsi="Times New Roman"/>
          <w:sz w:val="27"/>
          <w:szCs w:val="27"/>
          <w:lang w:val="vi-VN"/>
        </w:rPr>
        <w:t xml:space="preserve">LẤY Ý KIẾN DOANH NGHIỆP DỰ THẢO LUẬT SỬA ĐỔI </w:t>
      </w:r>
    </w:p>
    <w:p w:rsidR="00A95609" w:rsidRPr="00A95609" w:rsidRDefault="00A95609" w:rsidP="00A95609">
      <w:pPr>
        <w:snapToGrid w:val="0"/>
        <w:spacing w:before="40" w:after="120" w:line="312" w:lineRule="auto"/>
        <w:jc w:val="center"/>
        <w:rPr>
          <w:rFonts w:ascii="Times New Roman" w:hAnsi="Times New Roman"/>
          <w:sz w:val="27"/>
          <w:szCs w:val="27"/>
          <w:lang w:val="vi-VN"/>
        </w:rPr>
      </w:pPr>
      <w:r w:rsidRPr="00A95609">
        <w:rPr>
          <w:rFonts w:ascii="Times New Roman" w:hAnsi="Times New Roman"/>
          <w:sz w:val="27"/>
          <w:szCs w:val="27"/>
        </w:rPr>
        <w:t>LUẬT CHỨNG KHOÁN; LUẬT KẾ TOÁN; LUẬT KIỂM TOÁN ĐỘC LẬP</w:t>
      </w:r>
      <w:r w:rsidRPr="00A95609">
        <w:rPr>
          <w:rFonts w:ascii="Times New Roman" w:hAnsi="Times New Roman"/>
          <w:sz w:val="27"/>
          <w:szCs w:val="27"/>
          <w:lang w:val="vi-VN"/>
        </w:rPr>
        <w:t xml:space="preserve"> </w:t>
      </w:r>
    </w:p>
    <w:p w:rsidR="00A95609" w:rsidRPr="00A95609" w:rsidRDefault="00A95609" w:rsidP="00A95609">
      <w:pPr>
        <w:snapToGrid w:val="0"/>
        <w:spacing w:before="40" w:after="120" w:line="312" w:lineRule="auto"/>
        <w:jc w:val="center"/>
        <w:rPr>
          <w:rFonts w:ascii="Times New Roman" w:hAnsi="Times New Roman"/>
          <w:sz w:val="27"/>
          <w:szCs w:val="27"/>
        </w:rPr>
      </w:pPr>
      <w:r w:rsidRPr="00A95609">
        <w:rPr>
          <w:rFonts w:ascii="Times New Roman" w:hAnsi="Times New Roman"/>
          <w:sz w:val="27"/>
          <w:szCs w:val="27"/>
          <w:lang w:val="vi-VN"/>
        </w:rPr>
        <w:t xml:space="preserve">VÀ </w:t>
      </w:r>
      <w:r w:rsidRPr="00A95609">
        <w:rPr>
          <w:rFonts w:ascii="Times New Roman" w:hAnsi="Times New Roman"/>
          <w:sz w:val="27"/>
          <w:szCs w:val="27"/>
        </w:rPr>
        <w:t>LUẬT QUẢN LÝ THUẾ</w:t>
      </w:r>
    </w:p>
    <w:p w:rsidR="00A95609" w:rsidRPr="00A95609" w:rsidRDefault="00A95609" w:rsidP="00A95609">
      <w:pPr>
        <w:snapToGrid w:val="0"/>
        <w:spacing w:before="40" w:after="120" w:line="312" w:lineRule="auto"/>
        <w:jc w:val="center"/>
        <w:rPr>
          <w:rFonts w:ascii="Times New Roman" w:hAnsi="Times New Roman"/>
          <w:b/>
          <w:bCs/>
          <w:sz w:val="27"/>
          <w:szCs w:val="27"/>
          <w:u w:val="single"/>
          <w:lang w:val="vi-VN"/>
        </w:rPr>
      </w:pPr>
      <w:r w:rsidRPr="00A95609">
        <w:rPr>
          <w:rFonts w:ascii="Times New Roman" w:hAnsi="Times New Roman"/>
          <w:b/>
          <w:bCs/>
          <w:sz w:val="27"/>
          <w:szCs w:val="27"/>
          <w:u w:val="single"/>
        </w:rPr>
        <w:t>NỘI</w:t>
      </w:r>
      <w:r w:rsidRPr="00A95609">
        <w:rPr>
          <w:rFonts w:ascii="Times New Roman" w:hAnsi="Times New Roman"/>
          <w:b/>
          <w:bCs/>
          <w:sz w:val="27"/>
          <w:szCs w:val="27"/>
          <w:u w:val="single"/>
          <w:lang w:val="vi-VN"/>
        </w:rPr>
        <w:t xml:space="preserve"> DUNG THAM LUẬN</w:t>
      </w:r>
    </w:p>
    <w:p w:rsidR="00083440" w:rsidRPr="00A95609" w:rsidRDefault="00A67B18" w:rsidP="00A95609">
      <w:pPr>
        <w:snapToGrid w:val="0"/>
        <w:spacing w:before="40" w:after="120" w:line="312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A95609">
        <w:rPr>
          <w:rFonts w:ascii="Times New Roman" w:eastAsia="Times New Roman" w:hAnsi="Times New Roman"/>
          <w:b/>
          <w:sz w:val="27"/>
          <w:szCs w:val="27"/>
        </w:rPr>
        <w:t>NỘI DUNG GÓP Ý CHO DỰ THẢO LUẬT QUẢN LÝ THUẾ SỬA ĐỔI</w:t>
      </w:r>
    </w:p>
    <w:p w:rsidR="00A95609" w:rsidRPr="00A95609" w:rsidRDefault="00A95609" w:rsidP="00A95609">
      <w:pPr>
        <w:snapToGrid w:val="0"/>
        <w:spacing w:before="40" w:after="120" w:line="312" w:lineRule="auto"/>
        <w:jc w:val="right"/>
        <w:rPr>
          <w:rFonts w:ascii="Times New Roman" w:eastAsia="Times New Roman" w:hAnsi="Times New Roman"/>
          <w:b/>
          <w:i/>
          <w:iCs/>
          <w:sz w:val="27"/>
          <w:szCs w:val="27"/>
          <w:lang w:val="vi-VN"/>
        </w:rPr>
      </w:pPr>
      <w:proofErr w:type="spellStart"/>
      <w:r w:rsidRPr="00A95609">
        <w:rPr>
          <w:rFonts w:ascii="Times New Roman" w:eastAsia="Times New Roman" w:hAnsi="Times New Roman"/>
          <w:b/>
          <w:i/>
          <w:iCs/>
          <w:sz w:val="27"/>
          <w:szCs w:val="27"/>
        </w:rPr>
        <w:t>Ông</w:t>
      </w:r>
      <w:proofErr w:type="spellEnd"/>
      <w:r w:rsidRPr="00A95609">
        <w:rPr>
          <w:rFonts w:ascii="Times New Roman" w:eastAsia="Times New Roman" w:hAnsi="Times New Roman"/>
          <w:b/>
          <w:i/>
          <w:iCs/>
          <w:sz w:val="27"/>
          <w:szCs w:val="27"/>
          <w:lang w:val="vi-VN"/>
        </w:rPr>
        <w:t xml:space="preserve"> Nguyễn Thanh Hà</w:t>
      </w:r>
    </w:p>
    <w:p w:rsidR="00A95609" w:rsidRPr="00A95609" w:rsidRDefault="00A95609" w:rsidP="00A95609">
      <w:pPr>
        <w:snapToGrid w:val="0"/>
        <w:spacing w:before="40" w:after="120" w:line="312" w:lineRule="auto"/>
        <w:jc w:val="right"/>
        <w:rPr>
          <w:rFonts w:ascii="Times New Roman" w:eastAsia="Times New Roman" w:hAnsi="Times New Roman"/>
          <w:bCs/>
          <w:i/>
          <w:iCs/>
          <w:sz w:val="27"/>
          <w:szCs w:val="27"/>
          <w:lang w:val="vi-VN"/>
        </w:rPr>
      </w:pPr>
      <w:r w:rsidRPr="00A95609">
        <w:rPr>
          <w:rFonts w:ascii="Times New Roman" w:eastAsia="Times New Roman" w:hAnsi="Times New Roman"/>
          <w:bCs/>
          <w:i/>
          <w:iCs/>
          <w:sz w:val="27"/>
          <w:szCs w:val="27"/>
          <w:lang w:val="vi-VN"/>
        </w:rPr>
        <w:t>Chủ tịch Công ty Luật SBLAW</w:t>
      </w:r>
    </w:p>
    <w:p w:rsidR="00083440" w:rsidRPr="00A95609" w:rsidRDefault="00083440" w:rsidP="00A95609">
      <w:pPr>
        <w:snapToGrid w:val="0"/>
        <w:spacing w:before="40" w:after="120" w:line="312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083440" w:rsidRPr="00A95609" w:rsidRDefault="00A67B18" w:rsidP="00A95609">
      <w:pPr>
        <w:snapToGrid w:val="0"/>
        <w:spacing w:before="40" w:after="120" w:line="312" w:lineRule="auto"/>
        <w:jc w:val="both"/>
        <w:rPr>
          <w:rFonts w:ascii="Times New Roman" w:eastAsia="Times New Roman" w:hAnsi="Times New Roman"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Khoản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5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6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Dự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thảo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: </w:t>
      </w:r>
    </w:p>
    <w:p w:rsidR="00083440" w:rsidRPr="00A95609" w:rsidRDefault="00A67B18" w:rsidP="00A95609">
      <w:pPr>
        <w:snapToGrid w:val="0"/>
        <w:spacing w:before="40" w:after="120" w:line="312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Điều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6.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Sửa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đổi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bổ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sung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một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số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điều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Quản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lý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thuế</w:t>
      </w:r>
      <w:proofErr w:type="spellEnd"/>
    </w:p>
    <w:p w:rsidR="00083440" w:rsidRPr="00A95609" w:rsidRDefault="00A67B18" w:rsidP="00A95609">
      <w:pPr>
        <w:snapToGrid w:val="0"/>
        <w:spacing w:before="40" w:after="120" w:line="312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5.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Sửa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đổi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khoản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4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Điều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42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như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sau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>:</w:t>
      </w:r>
    </w:p>
    <w:p w:rsidR="00083440" w:rsidRPr="00A95609" w:rsidRDefault="00A67B18" w:rsidP="00A95609">
      <w:pPr>
        <w:snapToGrid w:val="0"/>
        <w:spacing w:before="40" w:after="120" w:line="312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“4.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Đối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hoạt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động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thương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mại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điện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tử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dựa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nền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tảng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số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dịch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vụ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khác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được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thực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hiện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bởi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nhà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cung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cấp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ở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nước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ngoài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thì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nhà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cung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cấp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ở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nước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ngoài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nghĩa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vụ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trực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tiếp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hoặc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uỷ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quyền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thực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hiện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đăng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ký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khai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tại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Việt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Nam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theo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Bộ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trưởng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Bộ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Tài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chính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>.</w:t>
      </w:r>
    </w:p>
    <w:p w:rsidR="00083440" w:rsidRPr="00A95609" w:rsidRDefault="00A67B18" w:rsidP="00A95609">
      <w:pPr>
        <w:snapToGrid w:val="0"/>
        <w:spacing w:before="40" w:after="120" w:line="312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Đối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hoạt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động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thương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mại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điện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tử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dựa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nền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tảng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số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hộ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cá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nhân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thông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qua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giao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dịch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thương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mại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điện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tử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hoặc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nền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tảng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số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thì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tổ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chức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nhà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quản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lý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giao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dịch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thương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mại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điện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tử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chức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năng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đặt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hàng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trực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tuyến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(bao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gồm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cả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tổ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chức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nước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nước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ngoài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)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hoặc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tổ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chức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khác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trách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nhiệm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khai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hộ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cá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nhân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.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Trường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hợp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hộ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cá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nhân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thương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mại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điện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tử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dựa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nền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tảng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số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không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thuộc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đối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tượng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được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khai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thì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nghĩa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vụ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trực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tiếp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đăng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ký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khai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.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Bộ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trưởng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Bộ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Tài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chính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về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đối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tượng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hồ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sơ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thủ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tục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khai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đối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hoạt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động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thương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mại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điện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tử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dựa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nền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tảng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i/>
          <w:sz w:val="27"/>
          <w:szCs w:val="27"/>
        </w:rPr>
        <w:t>số</w:t>
      </w:r>
      <w:proofErr w:type="spellEnd"/>
      <w:r w:rsidRPr="00A95609">
        <w:rPr>
          <w:rFonts w:ascii="Times New Roman" w:eastAsia="Times New Roman" w:hAnsi="Times New Roman"/>
          <w:i/>
          <w:sz w:val="27"/>
          <w:szCs w:val="27"/>
        </w:rPr>
        <w:t>.”</w:t>
      </w:r>
    </w:p>
    <w:p w:rsidR="00083440" w:rsidRDefault="00A67B18" w:rsidP="00A95609">
      <w:pPr>
        <w:snapToGrid w:val="0"/>
        <w:spacing w:before="40" w:after="120" w:line="312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A95609">
        <w:rPr>
          <w:rFonts w:ascii="Times New Roman" w:eastAsia="Times New Roman" w:hAnsi="Times New Roman"/>
          <w:sz w:val="27"/>
          <w:szCs w:val="27"/>
        </w:rPr>
        <w:t xml:space="preserve">Theo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giao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dịch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thương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điện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tử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(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sau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đây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gọi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tắt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“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TMĐT”)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khai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hộ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nhân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như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hợp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lý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cần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được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loại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bỏ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hoặc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sửa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đổi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vì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lý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do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sau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>:</w:t>
      </w:r>
    </w:p>
    <w:p w:rsidR="00A95609" w:rsidRPr="00A95609" w:rsidRDefault="00A95609" w:rsidP="00A95609">
      <w:pPr>
        <w:snapToGrid w:val="0"/>
        <w:spacing w:before="40" w:after="120" w:line="312" w:lineRule="auto"/>
        <w:jc w:val="both"/>
        <w:rPr>
          <w:rFonts w:ascii="Times New Roman" w:eastAsia="Times New Roman" w:hAnsi="Times New Roman"/>
          <w:sz w:val="27"/>
          <w:szCs w:val="27"/>
        </w:rPr>
      </w:pPr>
      <w:bookmarkStart w:id="0" w:name="_GoBack"/>
      <w:bookmarkEnd w:id="0"/>
    </w:p>
    <w:p w:rsidR="00083440" w:rsidRPr="00A95609" w:rsidRDefault="00A67B18" w:rsidP="00A95609">
      <w:pPr>
        <w:numPr>
          <w:ilvl w:val="0"/>
          <w:numId w:val="3"/>
        </w:numPr>
        <w:snapToGrid w:val="0"/>
        <w:spacing w:before="40" w:after="120" w:line="312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lastRenderedPageBreak/>
        <w:t>Đối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khai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thay</w:t>
      </w:r>
      <w:proofErr w:type="spellEnd"/>
    </w:p>
    <w:p w:rsidR="00083440" w:rsidRPr="00A95609" w:rsidRDefault="00A67B18" w:rsidP="00A95609">
      <w:pPr>
        <w:numPr>
          <w:ilvl w:val="1"/>
          <w:numId w:val="3"/>
        </w:numPr>
        <w:snapToGrid w:val="0"/>
        <w:spacing w:before="40" w:after="120" w:line="312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Trái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nguyên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tắc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cơ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bản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pháp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về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thuế</w:t>
      </w:r>
      <w:proofErr w:type="spellEnd"/>
    </w:p>
    <w:p w:rsidR="00083440" w:rsidRPr="00A95609" w:rsidRDefault="00A67B18" w:rsidP="00A95609">
      <w:pPr>
        <w:numPr>
          <w:ilvl w:val="0"/>
          <w:numId w:val="4"/>
        </w:numPr>
        <w:snapToGrid w:val="0"/>
        <w:spacing w:before="40" w:after="120" w:line="312" w:lineRule="auto"/>
        <w:ind w:left="0" w:firstLine="360"/>
        <w:jc w:val="both"/>
        <w:rPr>
          <w:rFonts w:ascii="Times New Roman" w:eastAsia="Times New Roman" w:hAnsi="Times New Roman"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Nghĩa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khai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từng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chủ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thể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vấn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đề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cốt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lõi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đối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từng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sắc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cần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được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ở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chuyên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ngành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tương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ứng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thể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được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tùy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tiện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về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kê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khai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mọi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loại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một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chủ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thể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như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Dự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thảo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>;</w:t>
      </w:r>
    </w:p>
    <w:p w:rsidR="00083440" w:rsidRPr="00A95609" w:rsidRDefault="00A67B18" w:rsidP="00A95609">
      <w:pPr>
        <w:numPr>
          <w:ilvl w:val="0"/>
          <w:numId w:val="4"/>
        </w:numPr>
        <w:snapToGrid w:val="0"/>
        <w:spacing w:before="40" w:after="120" w:line="312" w:lineRule="auto"/>
        <w:ind w:left="0" w:firstLine="360"/>
        <w:jc w:val="both"/>
        <w:rPr>
          <w:rFonts w:ascii="Times New Roman" w:eastAsia="Times New Roman" w:hAnsi="Times New Roman"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Khoản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2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17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lý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Trách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nhiệm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khai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chính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xác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trung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đầy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đủ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hồ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đúng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;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chịu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trách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nhiệm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trước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pháp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về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tính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chính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xác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trung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đầy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đủ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hồ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</w:t>
      </w:r>
    </w:p>
    <w:p w:rsidR="00083440" w:rsidRPr="00A95609" w:rsidRDefault="00A67B18" w:rsidP="00A95609">
      <w:pPr>
        <w:numPr>
          <w:ilvl w:val="0"/>
          <w:numId w:val="4"/>
        </w:numPr>
        <w:snapToGrid w:val="0"/>
        <w:spacing w:before="40" w:after="120" w:line="312" w:lineRule="auto"/>
        <w:ind w:left="0" w:firstLine="360"/>
        <w:jc w:val="both"/>
        <w:rPr>
          <w:rFonts w:ascii="Times New Roman" w:eastAsia="Times New Roman" w:hAnsi="Times New Roman"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trị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tăng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(GTGT)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rõ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GTGT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tổ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chức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nhân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xuất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hóa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dịch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chịu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trị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tăng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tổ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chức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nhân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nhập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khẩu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hóa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chịu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trị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tăng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(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4).</w:t>
      </w:r>
    </w:p>
    <w:p w:rsidR="00083440" w:rsidRPr="00A95609" w:rsidRDefault="00A67B18" w:rsidP="00A95609">
      <w:pPr>
        <w:numPr>
          <w:ilvl w:val="0"/>
          <w:numId w:val="4"/>
        </w:numPr>
        <w:snapToGrid w:val="0"/>
        <w:spacing w:before="40" w:after="120" w:line="312" w:lineRule="auto"/>
        <w:ind w:left="0" w:firstLine="360"/>
        <w:jc w:val="both"/>
        <w:rPr>
          <w:rFonts w:ascii="Times New Roman" w:eastAsia="Times New Roman" w:hAnsi="Times New Roman"/>
          <w:sz w:val="27"/>
          <w:szCs w:val="27"/>
        </w:rPr>
      </w:pPr>
      <w:r w:rsidRPr="00A95609">
        <w:rPr>
          <w:rFonts w:ascii="Times New Roman" w:eastAsia="Times New Roman" w:hAnsi="Times New Roman"/>
          <w:sz w:val="27"/>
          <w:szCs w:val="27"/>
        </w:rPr>
        <w:t xml:space="preserve">Theo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Nghị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52/2013/NĐ-CP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Chính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phủ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“website/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ứng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dụng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thương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điện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tử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phép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thương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nhân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tổ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chức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nhân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chủ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sở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hữu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website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thể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tiến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một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phần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hoặc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toàn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bộ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trình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mua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hóa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dịch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”. Do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khoản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5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6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Dự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thảo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trái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thu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nhập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cá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nhân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Pr="00A95609">
        <w:rPr>
          <w:rFonts w:ascii="Times New Roman" w:eastAsia="Times New Roman" w:hAnsi="Times New Roman"/>
          <w:sz w:val="27"/>
          <w:szCs w:val="27"/>
        </w:rPr>
        <w:t xml:space="preserve">(TNCN), do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đối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tượng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thuộc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05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trường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hợp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tổ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chức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nhân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chi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nhập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nhân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11,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12,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15,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16,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17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TNCN.</w:t>
      </w:r>
      <w:r w:rsidRPr="00A95609">
        <w:rPr>
          <w:rFonts w:ascii="Times New Roman" w:eastAsia="Times New Roman" w:hAnsi="Times New Roman"/>
          <w:sz w:val="27"/>
          <w:szCs w:val="27"/>
          <w:vertAlign w:val="superscript"/>
        </w:rPr>
        <w:footnoteReference w:id="1"/>
      </w:r>
      <w:r w:rsidRPr="00A95609">
        <w:rPr>
          <w:rFonts w:ascii="Times New Roman" w:eastAsia="Times New Roman" w:hAnsi="Times New Roman"/>
          <w:sz w:val="27"/>
          <w:szCs w:val="27"/>
        </w:rPr>
        <w:t xml:space="preserve"> Do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buộc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trách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nhiệm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kê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khai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phù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hợp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24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TNCN,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theo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tổ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chức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chi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nhập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dựa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sở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khấu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trừ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nhập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họ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đối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tượng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hoàn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toàn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về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chất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kê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khai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>.</w:t>
      </w:r>
    </w:p>
    <w:p w:rsidR="00083440" w:rsidRPr="00A95609" w:rsidRDefault="00A67B18" w:rsidP="00A95609">
      <w:pPr>
        <w:numPr>
          <w:ilvl w:val="0"/>
          <w:numId w:val="4"/>
        </w:numPr>
        <w:snapToGrid w:val="0"/>
        <w:spacing w:before="40" w:after="120" w:line="312" w:lineRule="auto"/>
        <w:ind w:left="0" w:firstLine="360"/>
        <w:jc w:val="both"/>
        <w:rPr>
          <w:rFonts w:ascii="Times New Roman" w:eastAsia="Times New Roman" w:hAnsi="Times New Roman"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Ngoại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trừ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trường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hợp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nêu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về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về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khai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chủ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thể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quan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hệ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nhập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nhận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nhập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>.</w:t>
      </w:r>
      <w:r w:rsidRPr="00A95609">
        <w:rPr>
          <w:rFonts w:ascii="Times New Roman" w:eastAsia="Times New Roman" w:hAnsi="Times New Roman"/>
          <w:sz w:val="27"/>
          <w:szCs w:val="27"/>
          <w:vertAlign w:val="superscript"/>
        </w:rPr>
        <w:footnoteReference w:id="2"/>
      </w:r>
    </w:p>
    <w:p w:rsidR="00083440" w:rsidRPr="00A95609" w:rsidRDefault="00A67B18" w:rsidP="00A95609">
      <w:pPr>
        <w:numPr>
          <w:ilvl w:val="1"/>
          <w:numId w:val="3"/>
        </w:numPr>
        <w:snapToGrid w:val="0"/>
        <w:spacing w:before="40" w:after="120" w:line="312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Không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phù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hợp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thực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tế</w:t>
      </w:r>
      <w:proofErr w:type="spellEnd"/>
    </w:p>
    <w:p w:rsidR="00083440" w:rsidRPr="00A95609" w:rsidRDefault="00A67B18" w:rsidP="00A95609">
      <w:pPr>
        <w:snapToGrid w:val="0"/>
        <w:spacing w:before="40" w:after="120" w:line="312" w:lineRule="auto"/>
        <w:jc w:val="both"/>
        <w:rPr>
          <w:rFonts w:ascii="Times New Roman" w:eastAsia="Times New Roman" w:hAnsi="Times New Roman"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lastRenderedPageBreak/>
        <w:t>Phần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lớn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hiện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nay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sử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dụng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đồng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hình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thức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kết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hợp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giữa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tiếp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trang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xã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hội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cũng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như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hoạt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động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đồng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TMĐT. Do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một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thể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đầy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đủ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tin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về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toàn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bộ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hoạt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động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cũng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như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toàn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bộ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giao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dịch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nhập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Vì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vậy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yêu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cầu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kê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khai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hợp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lý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>.</w:t>
      </w:r>
    </w:p>
    <w:p w:rsidR="00083440" w:rsidRPr="00A95609" w:rsidRDefault="00A67B18" w:rsidP="00A95609">
      <w:pPr>
        <w:numPr>
          <w:ilvl w:val="1"/>
          <w:numId w:val="3"/>
        </w:numPr>
        <w:snapToGrid w:val="0"/>
        <w:spacing w:before="40" w:after="120" w:line="312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Trái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thông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lệ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quốc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tế</w:t>
      </w:r>
      <w:proofErr w:type="spellEnd"/>
    </w:p>
    <w:p w:rsidR="00083440" w:rsidRPr="00A95609" w:rsidRDefault="00A67B18" w:rsidP="00A95609">
      <w:pPr>
        <w:snapToGrid w:val="0"/>
        <w:spacing w:before="40" w:after="120" w:line="312" w:lineRule="auto"/>
        <w:jc w:val="both"/>
        <w:rPr>
          <w:rFonts w:ascii="Times New Roman" w:eastAsia="Times New Roman" w:hAnsi="Times New Roman"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yêu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cầu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kê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khai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TNCN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chưa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tiền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lệ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toàn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giới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Mặc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dù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trường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hợp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quốc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(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Lan, Indonesia, Singapore, Malaysia, Philippines), hay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nước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như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Trung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Quốc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Hoa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Đài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Loan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yêu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cầu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kê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khai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TNCN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tự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chịu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trách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nhiệm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đối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nghĩa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về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nhập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mình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>.</w:t>
      </w:r>
    </w:p>
    <w:p w:rsidR="00083440" w:rsidRPr="00A95609" w:rsidRDefault="00A67B18" w:rsidP="00A95609">
      <w:pPr>
        <w:numPr>
          <w:ilvl w:val="0"/>
          <w:numId w:val="3"/>
        </w:numPr>
        <w:snapToGrid w:val="0"/>
        <w:spacing w:before="40" w:after="120" w:line="312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Đối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thay</w:t>
      </w:r>
      <w:proofErr w:type="spellEnd"/>
    </w:p>
    <w:p w:rsidR="00083440" w:rsidRPr="00A95609" w:rsidRDefault="00A67B18" w:rsidP="00A95609">
      <w:pPr>
        <w:numPr>
          <w:ilvl w:val="1"/>
          <w:numId w:val="3"/>
        </w:numPr>
        <w:snapToGrid w:val="0"/>
        <w:spacing w:before="40" w:after="120" w:line="312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Không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phù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hợp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thực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tế</w:t>
      </w:r>
      <w:proofErr w:type="spellEnd"/>
    </w:p>
    <w:p w:rsidR="00083440" w:rsidRPr="00A95609" w:rsidRDefault="00A67B18" w:rsidP="00A95609">
      <w:pPr>
        <w:numPr>
          <w:ilvl w:val="0"/>
          <w:numId w:val="5"/>
        </w:numPr>
        <w:snapToGrid w:val="0"/>
        <w:spacing w:before="40" w:after="120" w:line="312" w:lineRule="auto"/>
        <w:ind w:left="0" w:firstLine="360"/>
        <w:jc w:val="both"/>
        <w:rPr>
          <w:rFonts w:ascii="Times New Roman" w:eastAsia="Times New Roman" w:hAnsi="Times New Roman"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Pháp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Nam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tương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đối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phức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tạp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mức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suất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nhau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áp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dụng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nhóm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phẩm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dịch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nhau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xác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mức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suất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từng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mặt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dựa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kê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khai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chủ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thể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đối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tượng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(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),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còn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thể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tự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động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xác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áp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dụng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Hiện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3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mức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suất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nhau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>:</w:t>
      </w:r>
    </w:p>
    <w:p w:rsidR="00083440" w:rsidRPr="00A95609" w:rsidRDefault="00A67B18" w:rsidP="00A95609">
      <w:pPr>
        <w:numPr>
          <w:ilvl w:val="1"/>
          <w:numId w:val="5"/>
        </w:numPr>
        <w:snapToGrid w:val="0"/>
        <w:spacing w:before="40" w:after="120" w:line="312" w:lineRule="auto"/>
        <w:jc w:val="both"/>
        <w:rPr>
          <w:rFonts w:ascii="Times New Roman" w:eastAsia="Times New Roman" w:hAnsi="Times New Roman"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Đối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hóa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chịu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GTGT (GTGT 1%, TNCN 0.5%): 1.5%</w:t>
      </w:r>
    </w:p>
    <w:p w:rsidR="00083440" w:rsidRPr="00A95609" w:rsidRDefault="00A67B18" w:rsidP="00A95609">
      <w:pPr>
        <w:numPr>
          <w:ilvl w:val="1"/>
          <w:numId w:val="5"/>
        </w:numPr>
        <w:snapToGrid w:val="0"/>
        <w:spacing w:before="40" w:after="120" w:line="312" w:lineRule="auto"/>
        <w:jc w:val="both"/>
        <w:rPr>
          <w:rFonts w:ascii="Times New Roman" w:eastAsia="Times New Roman" w:hAnsi="Times New Roman"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Đối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hóa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chịu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GTGT (TNCN 0.5%): 0.5% (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ví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sách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chính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trị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giáo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khoa,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muối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phần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mềm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hạt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giống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cây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trồng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>...)</w:t>
      </w:r>
    </w:p>
    <w:p w:rsidR="00083440" w:rsidRPr="00A95609" w:rsidRDefault="00A67B18" w:rsidP="00A95609">
      <w:pPr>
        <w:numPr>
          <w:ilvl w:val="1"/>
          <w:numId w:val="5"/>
        </w:numPr>
        <w:snapToGrid w:val="0"/>
        <w:spacing w:before="40" w:after="120" w:line="312" w:lineRule="auto"/>
        <w:jc w:val="both"/>
        <w:rPr>
          <w:rFonts w:ascii="Times New Roman" w:eastAsia="Times New Roman" w:hAnsi="Times New Roman"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Dịch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bao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thầu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nguyên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liệu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(GTGT 5%, TNCN 2%): 7% (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ví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dịch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ăn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uống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dịch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thú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y, lao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động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giúp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>, v.v.)</w:t>
      </w:r>
    </w:p>
    <w:p w:rsidR="00083440" w:rsidRPr="00A95609" w:rsidRDefault="00A67B18" w:rsidP="00A95609">
      <w:pPr>
        <w:numPr>
          <w:ilvl w:val="0"/>
          <w:numId w:val="5"/>
        </w:numPr>
        <w:snapToGrid w:val="0"/>
        <w:spacing w:before="40" w:after="120" w:line="312" w:lineRule="auto"/>
        <w:ind w:left="0" w:firstLine="360"/>
        <w:jc w:val="both"/>
        <w:rPr>
          <w:rFonts w:ascii="Times New Roman" w:eastAsia="Times New Roman" w:hAnsi="Times New Roman"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phần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sẽ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thuộc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mức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suất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nhóm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1.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nhiên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vẫn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trường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hợp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mặt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thuộc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nhóm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(2)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(3). </w:t>
      </w:r>
    </w:p>
    <w:p w:rsidR="00083440" w:rsidRPr="00A95609" w:rsidRDefault="00A67B18" w:rsidP="00A95609">
      <w:pPr>
        <w:numPr>
          <w:ilvl w:val="0"/>
          <w:numId w:val="5"/>
        </w:numPr>
        <w:snapToGrid w:val="0"/>
        <w:spacing w:before="40" w:after="120" w:line="312" w:lineRule="auto"/>
        <w:ind w:left="0" w:firstLine="360"/>
        <w:jc w:val="both"/>
        <w:rPr>
          <w:rFonts w:ascii="Times New Roman" w:eastAsia="Times New Roman" w:hAnsi="Times New Roman"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Ngoài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ra: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Cùng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một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chiếc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ví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nếu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tự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xuất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thì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áp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dụng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mức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suất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GTGT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3%,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TNCN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1,5%;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nhiên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nếu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chỉ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phân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phối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thì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áp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dụng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mức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suất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GTGT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1%,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TNCN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0,5%.</w:t>
      </w:r>
    </w:p>
    <w:p w:rsidR="00083440" w:rsidRPr="00A95609" w:rsidRDefault="00A67B18" w:rsidP="00A95609">
      <w:pPr>
        <w:numPr>
          <w:ilvl w:val="0"/>
          <w:numId w:val="5"/>
        </w:numPr>
        <w:snapToGrid w:val="0"/>
        <w:spacing w:before="40" w:after="120" w:line="312" w:lineRule="auto"/>
        <w:ind w:left="0" w:firstLine="360"/>
        <w:jc w:val="both"/>
        <w:rPr>
          <w:rFonts w:ascii="Times New Roman" w:eastAsia="Times New Roman" w:hAnsi="Times New Roman"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lastRenderedPageBreak/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GTGT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chưa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phép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áp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dụng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khấu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trừ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quyết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toán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hoàn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GTGT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đối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hộ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nhân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Như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vậy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như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Dự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thảo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đặc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biệt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sẽ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dẫn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đến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thiệt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thòi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hộ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nhân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trường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hợp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thừa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Cần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lưu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ý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rằng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này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thể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tạo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ra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những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bất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bình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đẳng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gánh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nặng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hộ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nhân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vốn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những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đối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tượng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yếu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dễ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tổn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thương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nền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>.</w:t>
      </w:r>
    </w:p>
    <w:p w:rsidR="00083440" w:rsidRPr="00A95609" w:rsidRDefault="00A67B18" w:rsidP="00A95609">
      <w:pPr>
        <w:numPr>
          <w:ilvl w:val="0"/>
          <w:numId w:val="5"/>
        </w:numPr>
        <w:snapToGrid w:val="0"/>
        <w:spacing w:before="40" w:after="120" w:line="312" w:lineRule="auto"/>
        <w:ind w:left="0" w:firstLine="360"/>
        <w:jc w:val="both"/>
        <w:rPr>
          <w:rFonts w:ascii="Times New Roman" w:eastAsia="Times New Roman" w:hAnsi="Times New Roman"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Ngoài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ra,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theo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hiện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nay,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hộ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nhân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năm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từ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100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triệu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đồng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trở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xuống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thì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GTGT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TNCN (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khoản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2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4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tư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40/2021/TT-BTC).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Phần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lớn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hiện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nay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sử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dụng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đồng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hình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thức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kết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hợp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giữa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tiếp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trang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xã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hội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cũng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như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hoạt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động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đồng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TMĐT. Do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một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thể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xác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được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điểm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vượt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100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triệu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đồng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để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bắt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đầu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tính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khấu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trừ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>.</w:t>
      </w:r>
    </w:p>
    <w:p w:rsidR="00083440" w:rsidRPr="00A95609" w:rsidRDefault="00A67B18" w:rsidP="00A95609">
      <w:pPr>
        <w:numPr>
          <w:ilvl w:val="0"/>
          <w:numId w:val="5"/>
        </w:numPr>
        <w:snapToGrid w:val="0"/>
        <w:spacing w:before="40" w:after="120" w:line="312" w:lineRule="auto"/>
        <w:ind w:left="0" w:firstLine="360"/>
        <w:jc w:val="both"/>
        <w:rPr>
          <w:rFonts w:ascii="Times New Roman" w:eastAsia="Times New Roman" w:hAnsi="Times New Roman"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cạnh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khoản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1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45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lý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“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hồ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khai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quan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lý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tiếp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”, do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vậy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hộ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đình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nhân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sẽ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kê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khai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quan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họ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đặt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điểm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thể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điểm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ở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tỉnh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(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thường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Thành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phố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Hồ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Chí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Minh).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Vậy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yêu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cầu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kê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khai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nhân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sẽ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dẫn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đến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mâu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thuẫn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hiện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trường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hợp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nhân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sở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tỉnh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này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cũng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gây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ra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khăn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vướng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mắc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nhân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chứng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quan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về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số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khấu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trừ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quan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phương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>.</w:t>
      </w:r>
    </w:p>
    <w:p w:rsidR="00083440" w:rsidRPr="00A95609" w:rsidRDefault="00A67B18" w:rsidP="00A95609">
      <w:pPr>
        <w:numPr>
          <w:ilvl w:val="1"/>
          <w:numId w:val="3"/>
        </w:numPr>
        <w:snapToGrid w:val="0"/>
        <w:spacing w:before="40" w:after="120" w:line="312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Trái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thông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lệ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quốc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tế</w:t>
      </w:r>
      <w:proofErr w:type="spellEnd"/>
    </w:p>
    <w:p w:rsidR="00083440" w:rsidRPr="00A95609" w:rsidRDefault="00A67B18" w:rsidP="00A95609">
      <w:pPr>
        <w:snapToGrid w:val="0"/>
        <w:spacing w:before="40" w:after="120" w:line="312" w:lineRule="auto"/>
        <w:jc w:val="both"/>
        <w:rPr>
          <w:rFonts w:ascii="Times New Roman" w:eastAsia="Times New Roman" w:hAnsi="Times New Roman"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yêu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cầu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kê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khai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TNCN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chưa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tiền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lệ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ở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nước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cũng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như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toàn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giới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</w:t>
      </w:r>
    </w:p>
    <w:p w:rsidR="00083440" w:rsidRPr="00A95609" w:rsidRDefault="00A67B18" w:rsidP="00A95609">
      <w:pPr>
        <w:numPr>
          <w:ilvl w:val="0"/>
          <w:numId w:val="5"/>
        </w:numPr>
        <w:snapToGrid w:val="0"/>
        <w:spacing w:before="40" w:after="120" w:line="312" w:lineRule="auto"/>
        <w:ind w:left="0" w:firstLine="360"/>
        <w:jc w:val="both"/>
        <w:rPr>
          <w:rFonts w:ascii="Times New Roman" w:eastAsia="Times New Roman" w:hAnsi="Times New Roman"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Tại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Trung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Quốc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>:</w:t>
      </w:r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Trung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Quốc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(ban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ngày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03/08/2018)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>:</w:t>
      </w:r>
    </w:p>
    <w:p w:rsidR="00083440" w:rsidRPr="00A95609" w:rsidRDefault="00A67B18" w:rsidP="00A95609">
      <w:pPr>
        <w:numPr>
          <w:ilvl w:val="1"/>
          <w:numId w:val="5"/>
        </w:numPr>
        <w:snapToGrid w:val="0"/>
        <w:spacing w:before="40" w:after="120" w:line="312" w:lineRule="auto"/>
        <w:jc w:val="both"/>
        <w:rPr>
          <w:rFonts w:ascii="Times New Roman" w:eastAsia="Times New Roman" w:hAnsi="Times New Roman"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11: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hiện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nghĩa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theo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pháp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được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hưởng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ưu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về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theo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pháp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>;</w:t>
      </w:r>
    </w:p>
    <w:p w:rsidR="00083440" w:rsidRPr="00A95609" w:rsidRDefault="00A67B18" w:rsidP="00A95609">
      <w:pPr>
        <w:numPr>
          <w:ilvl w:val="1"/>
          <w:numId w:val="5"/>
        </w:numPr>
        <w:snapToGrid w:val="0"/>
        <w:spacing w:before="40" w:after="120" w:line="312" w:lineRule="auto"/>
        <w:jc w:val="both"/>
        <w:rPr>
          <w:rFonts w:ascii="Times New Roman" w:eastAsia="Times New Roman" w:hAnsi="Times New Roman"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lastRenderedPageBreak/>
        <w:t>Điều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14: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phát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hóa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giấy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hoặc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hóa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điện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tử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chứng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từ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mua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chứng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từ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dịch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theo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pháp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>;</w:t>
      </w:r>
    </w:p>
    <w:p w:rsidR="00083440" w:rsidRPr="00A95609" w:rsidRDefault="00A67B18" w:rsidP="00A95609">
      <w:pPr>
        <w:numPr>
          <w:ilvl w:val="0"/>
          <w:numId w:val="5"/>
        </w:numPr>
        <w:snapToGrid w:val="0"/>
        <w:spacing w:before="40" w:after="120" w:line="312" w:lineRule="auto"/>
        <w:ind w:left="0" w:firstLine="360"/>
        <w:jc w:val="both"/>
        <w:rPr>
          <w:rFonts w:ascii="Times New Roman" w:eastAsia="Times New Roman" w:hAnsi="Times New Roman"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Tại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Mỹ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: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trang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web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dành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Amazon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cũng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tuyên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bố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rõ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ràng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>: “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chịu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trách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nhiệm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xác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nghĩa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mình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cùng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tính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về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tất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loại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thuộc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nghĩa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mình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bất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kể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Dịch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Tính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Amazon hay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”.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“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Dịch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Tính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Amazon”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dịch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dành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“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Chuyên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nghiệp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” (Professional Sellers),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nghĩa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tính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toán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loại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mình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Dịch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này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phí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đăng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ký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Amazon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cũng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tuyên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bố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: “Amazon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hay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hộ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loại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bất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cứ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chính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phủ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nào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chịu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trách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nhiệm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kể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hiện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nghĩa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hay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liên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quan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đến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phần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Khấu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trừ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Thị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trường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hay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Dịch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Tính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Amazon”.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>, “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Khấu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trừ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Thị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trường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”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“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hóa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dịch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” (GST) hay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GTGT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áp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dụng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một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số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thị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trường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đối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hóa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nhập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khẩu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>.</w:t>
      </w:r>
    </w:p>
    <w:p w:rsidR="00083440" w:rsidRPr="00A95609" w:rsidRDefault="00A67B18" w:rsidP="00A95609">
      <w:pPr>
        <w:numPr>
          <w:ilvl w:val="0"/>
          <w:numId w:val="5"/>
        </w:numPr>
        <w:snapToGrid w:val="0"/>
        <w:spacing w:before="40" w:after="120" w:line="312" w:lineRule="auto"/>
        <w:ind w:left="0" w:firstLine="360"/>
        <w:jc w:val="both"/>
        <w:rPr>
          <w:rFonts w:ascii="Times New Roman" w:eastAsia="Times New Roman" w:hAnsi="Times New Roman"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Tại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Đông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Nam Á:</w:t>
      </w:r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nước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Lan, Indonesia, Singapore, Malaysia, Philippines,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Đài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Loan: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yêu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cầu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thứ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kê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khai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tự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chịu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trách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nhiệm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đối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nghĩa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về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Một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số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nước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yêu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cầu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nền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tảng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khấu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trừ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quan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số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VAT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nước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ngoài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dịch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số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(digital services).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Những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này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Nam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cũng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80/2021/TT-BTC. </w:t>
      </w:r>
    </w:p>
    <w:p w:rsidR="00083440" w:rsidRPr="00A95609" w:rsidRDefault="00A67B18" w:rsidP="00A95609">
      <w:pPr>
        <w:numPr>
          <w:ilvl w:val="0"/>
          <w:numId w:val="5"/>
        </w:numPr>
        <w:snapToGrid w:val="0"/>
        <w:spacing w:before="40" w:after="120" w:line="312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A95609">
        <w:rPr>
          <w:rFonts w:ascii="Times New Roman" w:eastAsia="Times New Roman" w:hAnsi="Times New Roman"/>
          <w:sz w:val="27"/>
          <w:szCs w:val="27"/>
        </w:rPr>
        <w:t xml:space="preserve">Do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như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Dự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thảo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đi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ngược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thông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lệ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quốc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>.</w:t>
      </w:r>
    </w:p>
    <w:p w:rsidR="00083440" w:rsidRPr="00A95609" w:rsidRDefault="00A67B18" w:rsidP="00A95609">
      <w:pPr>
        <w:numPr>
          <w:ilvl w:val="0"/>
          <w:numId w:val="3"/>
        </w:numPr>
        <w:snapToGrid w:val="0"/>
        <w:spacing w:before="40" w:after="120" w:line="312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Về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trình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soạn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thảo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, ban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hành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</w:p>
    <w:p w:rsidR="00083440" w:rsidRPr="00A95609" w:rsidRDefault="00A67B18" w:rsidP="00A95609">
      <w:pPr>
        <w:numPr>
          <w:ilvl w:val="0"/>
          <w:numId w:val="1"/>
        </w:numPr>
        <w:snapToGrid w:val="0"/>
        <w:spacing w:before="40" w:after="120" w:line="312" w:lineRule="auto"/>
        <w:ind w:left="0" w:firstLine="360"/>
        <w:jc w:val="both"/>
        <w:rPr>
          <w:rFonts w:ascii="Times New Roman" w:eastAsia="Times New Roman" w:hAnsi="Times New Roman"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sở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pháp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lý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xây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dựng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Dự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thảo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Nghị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quyết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số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93/NQ-CP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Chính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phủ</w:t>
      </w:r>
      <w:proofErr w:type="spellEnd"/>
      <w:r w:rsidRPr="00A95609">
        <w:rPr>
          <w:rFonts w:ascii="Times New Roman" w:eastAsia="Times New Roman" w:hAnsi="Times New Roman"/>
          <w:sz w:val="27"/>
          <w:szCs w:val="27"/>
          <w:vertAlign w:val="superscript"/>
        </w:rPr>
        <w:footnoteReference w:id="3"/>
      </w:r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giao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Bộ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quan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phương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khẩn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trương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rà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soát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văn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pháp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nhất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nhằm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tập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trung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hoàn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thiện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thể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pháp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chính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sách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để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“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tháo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gỡ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ngay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khó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khăn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vướng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mắc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giải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phóng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nguồn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lực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thúc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đẩy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phát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triển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tế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-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xã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hội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>”</w:t>
      </w:r>
      <w:r w:rsidRPr="00A95609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Thông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báo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số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386/TB-VPCP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về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“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Kết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luận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Thủ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tướng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Chính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phủ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Phạm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Minh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Chính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tại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phiên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họp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thứ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hai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Ban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chỉ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đạo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rà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soát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xử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lý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vướng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mắc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hệ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thống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văn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bản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phạm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pháp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”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cũng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nêu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sz w:val="27"/>
          <w:szCs w:val="27"/>
        </w:rPr>
        <w:t>rõ</w:t>
      </w:r>
      <w:proofErr w:type="spellEnd"/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: </w:t>
      </w:r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“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nguyên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tắc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rà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soát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,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xử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lý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,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cần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tập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trung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vào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những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vấn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đề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cấp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bách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,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thực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sự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cần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thiết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,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tạo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sự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đột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phá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có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tính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kế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thừa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và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phát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triển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đã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được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nghiên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cứu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kỹ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lưỡng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,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đánh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lastRenderedPageBreak/>
        <w:t>giá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tác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động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để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bảo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đảm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khả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thi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,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hiệu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quả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,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công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tâm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,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khách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quan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.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Nội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dung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sửa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đổi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,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bổ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sung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tập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trung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vào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việc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đẩy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mạnh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phân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cấp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,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phân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quyền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đi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đôi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với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phân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bổ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nguồn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lực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,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nâng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cao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năng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lực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thực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thi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gắn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với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thiết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kế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công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cụ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để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tăng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cường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thanh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tra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,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kiểm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tra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;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cắt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giảm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,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đơn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giản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hóa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thủ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tục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hành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chính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;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xóa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bỏ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cơ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chế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xin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-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cho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;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chống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phiền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hà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,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sách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nhiễu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cho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người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dân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và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doanh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nghiệp</w:t>
      </w:r>
      <w:proofErr w:type="spellEnd"/>
      <w:r w:rsidR="000871FF" w:rsidRPr="00A95609">
        <w:rPr>
          <w:rFonts w:ascii="Times New Roman" w:eastAsia="Times New Roman" w:hAnsi="Times New Roman"/>
          <w:i/>
          <w:sz w:val="27"/>
          <w:szCs w:val="27"/>
        </w:rPr>
        <w:t>”.</w:t>
      </w:r>
      <w:r w:rsidR="000871FF"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nhiên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vấn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đề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như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đang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được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đưa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Dự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thảo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một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vấn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đề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khăn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vướng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mắc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cấp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đối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nghiệp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ngược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sẽ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tạo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thêm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gánh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nặng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nghiệp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gây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ra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vướng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mắc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khăn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trình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triển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khai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do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khai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một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vấn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đề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rất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phức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tạp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nặng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tính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chuyên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môn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tầm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ảnh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hưởng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sâu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rộng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đến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nhóm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đối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tượng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nhau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xã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hội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Do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sửa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khoản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4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42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khoản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lý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đi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ngược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lại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tinh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thần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tháo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gỡ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khó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khăn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vướng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mắc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Nghị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quyết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93/NQ-CP</w:t>
      </w:r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được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bao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gồm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lần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sửa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đổi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lý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này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>.</w:t>
      </w:r>
    </w:p>
    <w:p w:rsidR="00083440" w:rsidRPr="00A95609" w:rsidRDefault="00A67B18" w:rsidP="00A95609">
      <w:pPr>
        <w:numPr>
          <w:ilvl w:val="0"/>
          <w:numId w:val="1"/>
        </w:numPr>
        <w:snapToGrid w:val="0"/>
        <w:spacing w:before="40" w:after="120" w:line="312" w:lineRule="auto"/>
        <w:ind w:left="0" w:firstLine="360"/>
        <w:jc w:val="both"/>
        <w:rPr>
          <w:rFonts w:ascii="Times New Roman" w:eastAsia="Times New Roman" w:hAnsi="Times New Roman"/>
          <w:sz w:val="27"/>
          <w:szCs w:val="27"/>
        </w:rPr>
      </w:pPr>
      <w:r w:rsidRPr="00A95609">
        <w:rPr>
          <w:rFonts w:ascii="Times New Roman" w:eastAsia="Times New Roman" w:hAnsi="Times New Roman"/>
          <w:sz w:val="27"/>
          <w:szCs w:val="27"/>
        </w:rPr>
        <w:t xml:space="preserve">Theo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ban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văn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phạm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pháp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để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đảm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bảo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tính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văn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áp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dụng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tiễn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văn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phạm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pháp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cần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được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tổ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chức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lấy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ý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kiến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đóng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góp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liên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quan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đặc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biệt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đối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tượng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tiếp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chịu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ảnh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hưởng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chính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sách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trường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hợp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Dự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thảo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những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đối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tượng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này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bao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gồm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hộ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đình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nhân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giao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dịch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giao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dịch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“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Tổ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chức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Nam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đối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cung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cấp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nền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tảng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số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ở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nước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ngoài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”.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Riêng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giao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dịch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hiện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rất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loại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hình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nhau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như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: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giao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dịch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hóa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mua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rao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vặt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du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lịch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tuyến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giao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dịch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mua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bất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động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gọi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đồ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ăn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giao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>, vv...</w:t>
      </w:r>
    </w:p>
    <w:p w:rsidR="00083440" w:rsidRPr="00A95609" w:rsidRDefault="00A67B18" w:rsidP="00A95609">
      <w:pPr>
        <w:numPr>
          <w:ilvl w:val="0"/>
          <w:numId w:val="1"/>
        </w:numPr>
        <w:snapToGrid w:val="0"/>
        <w:spacing w:before="40" w:after="120" w:line="312" w:lineRule="auto"/>
        <w:ind w:left="0" w:firstLine="360"/>
        <w:jc w:val="both"/>
        <w:rPr>
          <w:rFonts w:ascii="Times New Roman" w:eastAsia="Times New Roman" w:hAnsi="Times New Roman"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Dự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thảo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ảnh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hưởng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lớn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đến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quyền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nghĩa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ích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liên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quan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đến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ngành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nghề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(TMĐT, khoa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học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nghệ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ngân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dung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số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lẻ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.),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tổ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chức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nhân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bị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ảnh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hưởng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bởi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Dự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thảo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được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lấy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ý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kiến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động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sửa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khoản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4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42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lý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cần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được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đánh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một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kỹ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càng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tổng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thể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đảm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bảo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quyền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nghĩa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ích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tất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vì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vậy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sửa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khoản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4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42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lý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được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bao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gồm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lần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sửa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đổi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lý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này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>.</w:t>
      </w:r>
    </w:p>
    <w:p w:rsidR="00083440" w:rsidRPr="00A95609" w:rsidRDefault="00A67B18" w:rsidP="00A95609">
      <w:pPr>
        <w:numPr>
          <w:ilvl w:val="0"/>
          <w:numId w:val="3"/>
        </w:numPr>
        <w:snapToGrid w:val="0"/>
        <w:spacing w:before="40" w:after="120" w:line="312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Đối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tác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động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định</w:t>
      </w:r>
      <w:proofErr w:type="spellEnd"/>
    </w:p>
    <w:p w:rsidR="00083440" w:rsidRPr="00A95609" w:rsidRDefault="00A67B18" w:rsidP="00A95609">
      <w:pPr>
        <w:numPr>
          <w:ilvl w:val="1"/>
          <w:numId w:val="3"/>
        </w:numPr>
        <w:snapToGrid w:val="0"/>
        <w:spacing w:before="40" w:after="120" w:line="312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Tác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động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đối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nghiệp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nước</w:t>
      </w:r>
      <w:proofErr w:type="spellEnd"/>
    </w:p>
    <w:p w:rsidR="00083440" w:rsidRPr="00A95609" w:rsidRDefault="00A67B18" w:rsidP="00A95609">
      <w:pPr>
        <w:numPr>
          <w:ilvl w:val="0"/>
          <w:numId w:val="6"/>
        </w:numPr>
        <w:snapToGrid w:val="0"/>
        <w:spacing w:before="40" w:after="120" w:line="312" w:lineRule="auto"/>
        <w:ind w:left="0" w:firstLine="360"/>
        <w:jc w:val="both"/>
        <w:rPr>
          <w:rFonts w:ascii="Times New Roman" w:eastAsia="Times New Roman" w:hAnsi="Times New Roman"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Về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mặt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vận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kê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khai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về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chất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chính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quan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Đây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vấn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đề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nằm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ngoài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chuyên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môn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lĩnh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hoạt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lastRenderedPageBreak/>
        <w:t>động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chính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sẽ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tạo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gánh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nặng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rất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lớn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đầu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tư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vận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Theo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một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khảo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sát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Liên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đoàn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Thương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nghiệp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Nam (VCCI)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năm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2022,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dự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kiến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kê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khai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này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đòi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hỏi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đầu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tư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chi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phí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đến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chục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tỷ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đồng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mỗi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năm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Khoản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chi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phí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này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đến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từ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yêu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cầu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về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vận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bao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gồm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bổ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sung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nhân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sự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chuyên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môn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đổi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cấu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trúc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tổ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chức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vận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đầu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tư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xây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dựng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nâng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cấp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hệ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thống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nghệ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sở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dữ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liệu</w:t>
      </w:r>
      <w:proofErr w:type="spellEnd"/>
      <w:r w:rsidRPr="00A95609">
        <w:rPr>
          <w:rFonts w:ascii="Times New Roman" w:eastAsia="Times New Roman" w:hAnsi="Times New Roman"/>
          <w:sz w:val="27"/>
          <w:szCs w:val="27"/>
          <w:vertAlign w:val="superscript"/>
        </w:rPr>
        <w:footnoteReference w:id="4"/>
      </w:r>
      <w:r w:rsidRPr="00A95609">
        <w:rPr>
          <w:rFonts w:ascii="Times New Roman" w:eastAsia="Times New Roman" w:hAnsi="Times New Roman"/>
          <w:sz w:val="27"/>
          <w:szCs w:val="27"/>
        </w:rPr>
        <w:t xml:space="preserve">...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nhằm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phục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hiện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trách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nhiệm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kê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khai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vì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tập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trung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nguồn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đầu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tư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phát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triển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</w:t>
      </w:r>
    </w:p>
    <w:p w:rsidR="00083440" w:rsidRPr="00A95609" w:rsidRDefault="00A67B18" w:rsidP="00A95609">
      <w:pPr>
        <w:numPr>
          <w:ilvl w:val="0"/>
          <w:numId w:val="6"/>
        </w:numPr>
        <w:snapToGrid w:val="0"/>
        <w:spacing w:before="40" w:after="120" w:line="312" w:lineRule="auto"/>
        <w:ind w:left="0" w:firstLine="360"/>
        <w:jc w:val="both"/>
        <w:rPr>
          <w:rFonts w:ascii="Times New Roman" w:eastAsia="Times New Roman" w:hAnsi="Times New Roman"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Những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hoạt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động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thị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trường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giới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thường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sẽ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đến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mức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thấp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nhất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đổi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chỉnh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sửa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ứng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dụng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theo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yêu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cầu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riêng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từng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quốc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vì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mỗi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đổi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như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vậy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năng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ảnh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hưởng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tới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tính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năng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trình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vận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ứng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dụng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chung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ảnh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hưởng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tới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hiệu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sử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dụng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ở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quốc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Cùng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độ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phức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tạp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pháp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thiết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phẩm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cũng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lớn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yêu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cầu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kê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khai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đặc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biệt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nhập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nhân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qua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chưa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tiền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lệ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ở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quốc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do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trở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sẽ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rất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lớn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động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can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thiệp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sâu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về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mặt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kỹ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đến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nền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tảng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mang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tính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quốc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>.</w:t>
      </w:r>
    </w:p>
    <w:p w:rsidR="00083440" w:rsidRPr="00A95609" w:rsidRDefault="00A67B18" w:rsidP="00A95609">
      <w:pPr>
        <w:numPr>
          <w:ilvl w:val="1"/>
          <w:numId w:val="3"/>
        </w:numPr>
        <w:snapToGrid w:val="0"/>
        <w:spacing w:before="40" w:after="120" w:line="312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Tác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động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đến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môi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trường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bình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đẳng</w:t>
      </w:r>
      <w:proofErr w:type="spellEnd"/>
    </w:p>
    <w:p w:rsidR="00083440" w:rsidRPr="00A95609" w:rsidRDefault="00A67B18" w:rsidP="00A95609">
      <w:pPr>
        <w:numPr>
          <w:ilvl w:val="0"/>
          <w:numId w:val="2"/>
        </w:numPr>
        <w:snapToGrid w:val="0"/>
        <w:spacing w:before="40" w:after="120" w:line="312" w:lineRule="auto"/>
        <w:ind w:left="0" w:firstLine="360"/>
        <w:jc w:val="both"/>
        <w:rPr>
          <w:rFonts w:ascii="Times New Roman" w:eastAsia="Times New Roman" w:hAnsi="Times New Roman"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Hiện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nay,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ngoài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buôn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thương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nhân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hộ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nhân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còn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hiện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hoạt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động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thương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nền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tảng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tuyến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ví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như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nền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tảng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xã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hội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như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Facebook,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Zalo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Do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lý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hoạt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động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nền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tảng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xã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hội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vẫn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còn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gặp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bất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cập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quan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gần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như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hoàn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toàn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chưa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thể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hiện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đối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hoạt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động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những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nền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tảng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như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này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>.</w:t>
      </w:r>
    </w:p>
    <w:p w:rsidR="00083440" w:rsidRPr="00A95609" w:rsidRDefault="00A67B18" w:rsidP="00A95609">
      <w:pPr>
        <w:numPr>
          <w:ilvl w:val="0"/>
          <w:numId w:val="2"/>
        </w:numPr>
        <w:snapToGrid w:val="0"/>
        <w:spacing w:before="40" w:after="120" w:line="312" w:lineRule="auto"/>
        <w:ind w:left="0" w:firstLine="360"/>
        <w:jc w:val="both"/>
        <w:rPr>
          <w:rFonts w:ascii="Times New Roman" w:eastAsia="Times New Roman" w:hAnsi="Times New Roman"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yêu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cầu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chức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năng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đặt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tuyến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(bao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gồm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tổ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chức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nước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nước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ngoài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)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hoặc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tổ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chức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trách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nhiệm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khai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hộ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nhân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sẽ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khiến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hộ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nhân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dần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rời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bỏ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chuyển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sang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nền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tảng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xã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hội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do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họ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đóng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họ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bị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nền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tảng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xã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hội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lastRenderedPageBreak/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sẽ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chịu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sự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bất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bình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đẳng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cạnh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hút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thương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nhân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mình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vì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xã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hội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này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cũng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sẽ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khiến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quan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nắm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được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tin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về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những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hộ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nhân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lựa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chọn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tập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trung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xã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hội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vì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do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hiện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đang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cung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cấp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tin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về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về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quan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thân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xã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hội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cũng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nắm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được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tin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này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Ngoài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ra,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này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cũng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thể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dẫn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đến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hệ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lụy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xã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hội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do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quan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chức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năng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vẫn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còn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gặp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khăn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kiểm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soát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lậu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cấm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xã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hội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hộ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nhân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lựa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chọn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giao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dịch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xã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hội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cũng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sẽ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tăng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tình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buôn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hóa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rõ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nguồn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gốc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hóa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bị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cấm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dẫn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đến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bất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ổn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xã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hội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Đây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những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động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rất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lớn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đối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dân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xã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hội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cần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được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đánh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kỹ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càng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trước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đưa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ra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như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Dự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thảo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</w:t>
      </w:r>
    </w:p>
    <w:p w:rsidR="00083440" w:rsidRPr="00A95609" w:rsidRDefault="00A67B18" w:rsidP="00A95609">
      <w:pPr>
        <w:numPr>
          <w:ilvl w:val="1"/>
          <w:numId w:val="3"/>
        </w:numPr>
        <w:snapToGrid w:val="0"/>
        <w:spacing w:before="40" w:after="120" w:line="312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Tác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động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đến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thực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hiện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thành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công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chủ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trương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quan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điểm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chỉ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đạo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Đảng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b/>
          <w:sz w:val="27"/>
          <w:szCs w:val="27"/>
        </w:rPr>
        <w:t>về</w:t>
      </w:r>
      <w:proofErr w:type="spellEnd"/>
      <w:r w:rsidRPr="00A95609">
        <w:rPr>
          <w:rFonts w:ascii="Times New Roman" w:eastAsia="Times New Roman" w:hAnsi="Times New Roman"/>
          <w:b/>
          <w:sz w:val="27"/>
          <w:szCs w:val="27"/>
        </w:rPr>
        <w:t xml:space="preserve"> TMĐT</w:t>
      </w:r>
    </w:p>
    <w:p w:rsidR="00083440" w:rsidRPr="00A95609" w:rsidRDefault="00A67B18" w:rsidP="00A95609">
      <w:pPr>
        <w:numPr>
          <w:ilvl w:val="0"/>
          <w:numId w:val="6"/>
        </w:numPr>
        <w:snapToGrid w:val="0"/>
        <w:spacing w:before="40" w:after="120" w:line="312" w:lineRule="auto"/>
        <w:ind w:left="0" w:firstLine="360"/>
        <w:jc w:val="both"/>
        <w:rPr>
          <w:rFonts w:ascii="Times New Roman" w:eastAsia="Times New Roman" w:hAnsi="Times New Roman"/>
          <w:sz w:val="27"/>
          <w:szCs w:val="27"/>
        </w:rPr>
      </w:pPr>
      <w:r w:rsidRPr="00A95609">
        <w:rPr>
          <w:rFonts w:ascii="Times New Roman" w:eastAsia="Times New Roman" w:hAnsi="Times New Roman"/>
          <w:sz w:val="27"/>
          <w:szCs w:val="27"/>
        </w:rPr>
        <w:t xml:space="preserve">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một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những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ngành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quan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điểm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chủ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trương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Đảng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ưu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tiên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chính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sách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phát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triển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nhằm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chủ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động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cuộc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nghiệp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4.0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theo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Nghị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quyết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số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52-NQ/TW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ngày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27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9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năm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2019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Bộ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Chính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trị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về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một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số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chủ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trương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chính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sách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chủ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động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cuộc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nghiệp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lần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thứ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tư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văn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kiện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hội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Đảng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XIII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tiếp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tục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khẳng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đóng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vai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trò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tích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phát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triển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thương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dịch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hoạt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động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bưu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chính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.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hiện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chiếm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khoảng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10%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tổng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mức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lẻ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hoá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dịch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tiêu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dùng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thị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trường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Nam,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mô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đến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25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tỷ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USD.</w:t>
      </w:r>
    </w:p>
    <w:p w:rsidR="00083440" w:rsidRPr="00A95609" w:rsidRDefault="00A67B18" w:rsidP="00A95609">
      <w:pPr>
        <w:numPr>
          <w:ilvl w:val="0"/>
          <w:numId w:val="6"/>
        </w:numPr>
        <w:snapToGrid w:val="0"/>
        <w:spacing w:before="40" w:after="120" w:line="312" w:lineRule="auto"/>
        <w:ind w:left="0" w:firstLine="360"/>
        <w:jc w:val="both"/>
        <w:rPr>
          <w:rFonts w:ascii="Times New Roman" w:eastAsia="Times New Roman" w:hAnsi="Times New Roman"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gian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qua,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Bộ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Thương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vị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thuộc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đang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rất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tích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kêu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gọi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hỗ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nghiệp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dân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phương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nhằm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hỗ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tiêu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mở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rộng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thị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trường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tăng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cường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tiếp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cận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khách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đặc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phương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thủ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mỹ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nghệ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vv...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hướng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tới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hiện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mục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tiêu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đưa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về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thôn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theo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hoạch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tổng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thể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về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phát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triển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quốc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2021-2025 (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Quyết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645/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TTg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/2020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Thủ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tướng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Chính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phủ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>).</w:t>
      </w:r>
    </w:p>
    <w:p w:rsidR="00083440" w:rsidRPr="00A95609" w:rsidRDefault="00A67B18" w:rsidP="00A95609">
      <w:pPr>
        <w:numPr>
          <w:ilvl w:val="0"/>
          <w:numId w:val="6"/>
        </w:numPr>
        <w:snapToGrid w:val="0"/>
        <w:spacing w:before="40" w:after="120" w:line="312" w:lineRule="auto"/>
        <w:ind w:left="0" w:firstLine="360"/>
        <w:jc w:val="both"/>
        <w:rPr>
          <w:rFonts w:ascii="Times New Roman" w:eastAsia="Times New Roman" w:hAnsi="Times New Roman"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mới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Dự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thảo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chủ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sở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hữu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nền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tảng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vì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tập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trung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nguồn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con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tài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chính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hoạt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động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nghiên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cứu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phát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triển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nâng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cao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chất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lượng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dịch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hút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tiêu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dùng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thì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sẽ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đầu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tư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một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nguồn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kể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để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hiện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nghĩa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vụ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về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kê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khai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khấu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trừ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đối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khoản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mình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(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chưa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kể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lượng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thời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gian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kể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sẽ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bỏ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ra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để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giải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quyết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thắc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mắc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khiếu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).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số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nền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tảng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lastRenderedPageBreak/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vẫn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đang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hoạt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động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chưa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nhuận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nay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được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yêu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cầu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đầu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tư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để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hiện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một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số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trách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nhiệm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quan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quản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lý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nước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thì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điều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này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thách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thức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lớn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đối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ngành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TMĐT.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Hệ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quả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sự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lo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lắng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bất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an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từ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đầu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tư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do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những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đổi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chính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sách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diễn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ra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quá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thể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dự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đoán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trước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thể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dẫn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đến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động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tiêu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những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nỗ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thúc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đẩy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phát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triển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số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chuyển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đổi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số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Chính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phủ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bộ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ngành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>.</w:t>
      </w:r>
    </w:p>
    <w:p w:rsidR="00083440" w:rsidRPr="00A95609" w:rsidRDefault="00A67B18" w:rsidP="00A95609">
      <w:pPr>
        <w:numPr>
          <w:ilvl w:val="0"/>
          <w:numId w:val="6"/>
        </w:numPr>
        <w:snapToGrid w:val="0"/>
        <w:spacing w:before="40" w:after="120" w:line="312" w:lineRule="auto"/>
        <w:ind w:left="0" w:firstLine="360"/>
        <w:jc w:val="both"/>
        <w:rPr>
          <w:rFonts w:ascii="Times New Roman" w:eastAsia="Times New Roman" w:hAnsi="Times New Roman"/>
          <w:sz w:val="27"/>
          <w:szCs w:val="27"/>
        </w:rPr>
      </w:pP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bối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cảnh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Đảng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nước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đang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nỗ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thúc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đẩy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phát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triển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số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coi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như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một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những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động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lực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chính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thúc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đẩy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tăng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trưởng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kinh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việc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ban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những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quy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định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gây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khó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khăn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nặng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nề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về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vận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hành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đối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sàn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TMĐT,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buộc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họ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những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trách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nhiệm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không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phải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mình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(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kê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khai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nộp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thuế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thay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)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như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trong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Dự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thảo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Luật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sẽ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làm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doanh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nghiệp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các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đầu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tư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bất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an,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đẩy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lùi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sự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phát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triển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ngược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lại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với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chủ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trương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chỉ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đạo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của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Đảng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và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Nhà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A95609">
        <w:rPr>
          <w:rFonts w:ascii="Times New Roman" w:eastAsia="Times New Roman" w:hAnsi="Times New Roman"/>
          <w:sz w:val="27"/>
          <w:szCs w:val="27"/>
        </w:rPr>
        <w:t>nước</w:t>
      </w:r>
      <w:proofErr w:type="spellEnd"/>
      <w:r w:rsidRPr="00A95609">
        <w:rPr>
          <w:rFonts w:ascii="Times New Roman" w:eastAsia="Times New Roman" w:hAnsi="Times New Roman"/>
          <w:sz w:val="27"/>
          <w:szCs w:val="27"/>
        </w:rPr>
        <w:t>.</w:t>
      </w:r>
    </w:p>
    <w:sectPr w:rsidR="00083440" w:rsidRPr="00A95609" w:rsidSect="00A95609">
      <w:pgSz w:w="11906" w:h="16838"/>
      <w:pgMar w:top="1134" w:right="1134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5C9E" w:rsidRDefault="001F5C9E">
      <w:pPr>
        <w:spacing w:after="0" w:line="240" w:lineRule="auto"/>
      </w:pPr>
      <w:r>
        <w:separator/>
      </w:r>
    </w:p>
  </w:endnote>
  <w:endnote w:type="continuationSeparator" w:id="0">
    <w:p w:rsidR="001F5C9E" w:rsidRDefault="001F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5C9E" w:rsidRDefault="001F5C9E">
      <w:pPr>
        <w:spacing w:after="0" w:line="240" w:lineRule="auto"/>
      </w:pPr>
      <w:r>
        <w:separator/>
      </w:r>
    </w:p>
  </w:footnote>
  <w:footnote w:type="continuationSeparator" w:id="0">
    <w:p w:rsidR="001F5C9E" w:rsidRDefault="001F5C9E">
      <w:pPr>
        <w:spacing w:after="0" w:line="240" w:lineRule="auto"/>
      </w:pPr>
      <w:r>
        <w:continuationSeparator/>
      </w:r>
    </w:p>
  </w:footnote>
  <w:footnote w:id="1">
    <w:p w:rsidR="00083440" w:rsidRDefault="00A67B18">
      <w:pPr>
        <w:spacing w:after="0" w:line="240" w:lineRule="auto"/>
        <w:rPr>
          <w:rFonts w:ascii="Times New Roman" w:eastAsia="Times New Roman" w:hAnsi="Times New Roman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Luật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Thuế</w:t>
      </w:r>
      <w:proofErr w:type="spellEnd"/>
      <w:r>
        <w:rPr>
          <w:rFonts w:ascii="Times New Roman" w:eastAsia="Times New Roman" w:hAnsi="Times New Roman"/>
        </w:rPr>
        <w:t xml:space="preserve"> TNCN </w:t>
      </w:r>
      <w:proofErr w:type="spellStart"/>
      <w:r>
        <w:rPr>
          <w:rFonts w:ascii="Times New Roman" w:eastAsia="Times New Roman" w:hAnsi="Times New Roman"/>
        </w:rPr>
        <w:t>quy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định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các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trường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hợp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cá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nhân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tổ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chức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trả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thu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nhập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cho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đối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tượng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nhận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thu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nhập</w:t>
      </w:r>
      <w:proofErr w:type="spellEnd"/>
      <w:r>
        <w:rPr>
          <w:rFonts w:ascii="Times New Roman" w:eastAsia="Times New Roman" w:hAnsi="Times New Roman"/>
        </w:rPr>
        <w:t xml:space="preserve"> bao </w:t>
      </w:r>
      <w:proofErr w:type="spellStart"/>
      <w:r>
        <w:rPr>
          <w:rFonts w:ascii="Times New Roman" w:eastAsia="Times New Roman" w:hAnsi="Times New Roman"/>
        </w:rPr>
        <w:t>gồm</w:t>
      </w:r>
      <w:proofErr w:type="spellEnd"/>
      <w:r>
        <w:rPr>
          <w:rFonts w:ascii="Times New Roman" w:eastAsia="Times New Roman" w:hAnsi="Times New Roman"/>
        </w:rPr>
        <w:t>:</w:t>
      </w:r>
    </w:p>
    <w:p w:rsidR="00083440" w:rsidRDefault="00A67B1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</w:t>
      </w:r>
      <w:proofErr w:type="spellStart"/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</w:rPr>
        <w:t xml:space="preserve">) </w:t>
      </w:r>
      <w:proofErr w:type="spellStart"/>
      <w:r>
        <w:rPr>
          <w:rFonts w:ascii="Times New Roman" w:eastAsia="Times New Roman" w:hAnsi="Times New Roman"/>
        </w:rPr>
        <w:t>Tổ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chức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cá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nhân</w:t>
      </w:r>
      <w:proofErr w:type="spellEnd"/>
      <w:r>
        <w:rPr>
          <w:rFonts w:ascii="Times New Roman" w:eastAsia="Times New Roman" w:hAnsi="Times New Roman"/>
        </w:rPr>
        <w:t xml:space="preserve"> chi </w:t>
      </w:r>
      <w:proofErr w:type="spellStart"/>
      <w:r>
        <w:rPr>
          <w:rFonts w:ascii="Times New Roman" w:eastAsia="Times New Roman" w:hAnsi="Times New Roman"/>
        </w:rPr>
        <w:t>trả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tiền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lương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tiền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công</w:t>
      </w:r>
      <w:proofErr w:type="spellEnd"/>
      <w:r>
        <w:rPr>
          <w:rFonts w:ascii="Times New Roman" w:eastAsia="Times New Roman" w:hAnsi="Times New Roman"/>
        </w:rPr>
        <w:t xml:space="preserve"> (</w:t>
      </w:r>
      <w:proofErr w:type="spellStart"/>
      <w:r>
        <w:rPr>
          <w:rFonts w:ascii="Times New Roman" w:eastAsia="Times New Roman" w:hAnsi="Times New Roman"/>
        </w:rPr>
        <w:t>Điều</w:t>
      </w:r>
      <w:proofErr w:type="spellEnd"/>
      <w:r>
        <w:rPr>
          <w:rFonts w:ascii="Times New Roman" w:eastAsia="Times New Roman" w:hAnsi="Times New Roman"/>
        </w:rPr>
        <w:t xml:space="preserve"> 11);</w:t>
      </w:r>
    </w:p>
    <w:p w:rsidR="00083440" w:rsidRDefault="00A67B1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(ii) </w:t>
      </w:r>
      <w:proofErr w:type="spellStart"/>
      <w:r>
        <w:rPr>
          <w:rFonts w:ascii="Times New Roman" w:eastAsia="Times New Roman" w:hAnsi="Times New Roman"/>
        </w:rPr>
        <w:t>Tổ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chức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cá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nhân</w:t>
      </w:r>
      <w:proofErr w:type="spellEnd"/>
      <w:r>
        <w:rPr>
          <w:rFonts w:ascii="Times New Roman" w:eastAsia="Times New Roman" w:hAnsi="Times New Roman"/>
        </w:rPr>
        <w:t xml:space="preserve"> chi </w:t>
      </w:r>
      <w:proofErr w:type="spellStart"/>
      <w:r>
        <w:rPr>
          <w:rFonts w:ascii="Times New Roman" w:eastAsia="Times New Roman" w:hAnsi="Times New Roman"/>
        </w:rPr>
        <w:t>trả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thu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nhập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từ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đầu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vốn</w:t>
      </w:r>
      <w:proofErr w:type="spellEnd"/>
      <w:r>
        <w:rPr>
          <w:rFonts w:ascii="Times New Roman" w:eastAsia="Times New Roman" w:hAnsi="Times New Roman"/>
        </w:rPr>
        <w:t xml:space="preserve"> (</w:t>
      </w:r>
      <w:proofErr w:type="spellStart"/>
      <w:r>
        <w:rPr>
          <w:rFonts w:ascii="Times New Roman" w:eastAsia="Times New Roman" w:hAnsi="Times New Roman"/>
        </w:rPr>
        <w:t>Điều</w:t>
      </w:r>
      <w:proofErr w:type="spellEnd"/>
      <w:r>
        <w:rPr>
          <w:rFonts w:ascii="Times New Roman" w:eastAsia="Times New Roman" w:hAnsi="Times New Roman"/>
        </w:rPr>
        <w:t xml:space="preserve"> 12);</w:t>
      </w:r>
    </w:p>
    <w:p w:rsidR="00083440" w:rsidRDefault="00A67B1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(iii) </w:t>
      </w:r>
      <w:proofErr w:type="spellStart"/>
      <w:r>
        <w:rPr>
          <w:rFonts w:ascii="Times New Roman" w:eastAsia="Times New Roman" w:hAnsi="Times New Roman"/>
        </w:rPr>
        <w:t>Tổ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chức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cá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nhân</w:t>
      </w:r>
      <w:proofErr w:type="spellEnd"/>
      <w:r>
        <w:rPr>
          <w:rFonts w:ascii="Times New Roman" w:eastAsia="Times New Roman" w:hAnsi="Times New Roman"/>
        </w:rPr>
        <w:t xml:space="preserve"> chi </w:t>
      </w:r>
      <w:proofErr w:type="spellStart"/>
      <w:r>
        <w:rPr>
          <w:rFonts w:ascii="Times New Roman" w:eastAsia="Times New Roman" w:hAnsi="Times New Roman"/>
        </w:rPr>
        <w:t>trả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thu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nhập</w:t>
      </w:r>
      <w:proofErr w:type="spellEnd"/>
      <w:r>
        <w:rPr>
          <w:rFonts w:ascii="Times New Roman" w:eastAsia="Times New Roman" w:hAnsi="Times New Roman"/>
        </w:rPr>
        <w:t xml:space="preserve"> do </w:t>
      </w:r>
      <w:proofErr w:type="spellStart"/>
      <w:r>
        <w:rPr>
          <w:rFonts w:ascii="Times New Roman" w:eastAsia="Times New Roman" w:hAnsi="Times New Roman"/>
        </w:rPr>
        <w:t>trúng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thưởng</w:t>
      </w:r>
      <w:proofErr w:type="spellEnd"/>
      <w:r>
        <w:rPr>
          <w:rFonts w:ascii="Times New Roman" w:eastAsia="Times New Roman" w:hAnsi="Times New Roman"/>
        </w:rPr>
        <w:t xml:space="preserve"> (</w:t>
      </w:r>
      <w:proofErr w:type="spellStart"/>
      <w:r>
        <w:rPr>
          <w:rFonts w:ascii="Times New Roman" w:eastAsia="Times New Roman" w:hAnsi="Times New Roman"/>
        </w:rPr>
        <w:t>Điều</w:t>
      </w:r>
      <w:proofErr w:type="spellEnd"/>
      <w:r>
        <w:rPr>
          <w:rFonts w:ascii="Times New Roman" w:eastAsia="Times New Roman" w:hAnsi="Times New Roman"/>
        </w:rPr>
        <w:t xml:space="preserve"> 15)</w:t>
      </w:r>
    </w:p>
    <w:p w:rsidR="00083440" w:rsidRDefault="00A67B1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(iv) </w:t>
      </w:r>
      <w:proofErr w:type="spellStart"/>
      <w:r>
        <w:rPr>
          <w:rFonts w:ascii="Times New Roman" w:eastAsia="Times New Roman" w:hAnsi="Times New Roman"/>
        </w:rPr>
        <w:t>Tổ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chức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cá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nhân</w:t>
      </w:r>
      <w:proofErr w:type="spellEnd"/>
      <w:r>
        <w:rPr>
          <w:rFonts w:ascii="Times New Roman" w:eastAsia="Times New Roman" w:hAnsi="Times New Roman"/>
        </w:rPr>
        <w:t xml:space="preserve"> chi </w:t>
      </w:r>
      <w:proofErr w:type="spellStart"/>
      <w:r>
        <w:rPr>
          <w:rFonts w:ascii="Times New Roman" w:eastAsia="Times New Roman" w:hAnsi="Times New Roman"/>
        </w:rPr>
        <w:t>trả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thu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nhập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từ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tiền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bản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quyền</w:t>
      </w:r>
      <w:proofErr w:type="spellEnd"/>
      <w:r>
        <w:rPr>
          <w:rFonts w:ascii="Times New Roman" w:eastAsia="Times New Roman" w:hAnsi="Times New Roman"/>
        </w:rPr>
        <w:t xml:space="preserve"> (</w:t>
      </w:r>
      <w:proofErr w:type="spellStart"/>
      <w:r>
        <w:rPr>
          <w:rFonts w:ascii="Times New Roman" w:eastAsia="Times New Roman" w:hAnsi="Times New Roman"/>
        </w:rPr>
        <w:t>Điều</w:t>
      </w:r>
      <w:proofErr w:type="spellEnd"/>
      <w:r>
        <w:rPr>
          <w:rFonts w:ascii="Times New Roman" w:eastAsia="Times New Roman" w:hAnsi="Times New Roman"/>
        </w:rPr>
        <w:t xml:space="preserve"> 16)</w:t>
      </w:r>
    </w:p>
    <w:p w:rsidR="00083440" w:rsidRDefault="00A67B1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(v) </w:t>
      </w:r>
      <w:proofErr w:type="spellStart"/>
      <w:r>
        <w:rPr>
          <w:rFonts w:ascii="Times New Roman" w:eastAsia="Times New Roman" w:hAnsi="Times New Roman"/>
        </w:rPr>
        <w:t>Tổ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chức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cá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nhân</w:t>
      </w:r>
      <w:proofErr w:type="spellEnd"/>
      <w:r>
        <w:rPr>
          <w:rFonts w:ascii="Times New Roman" w:eastAsia="Times New Roman" w:hAnsi="Times New Roman"/>
        </w:rPr>
        <w:t xml:space="preserve"> chi </w:t>
      </w:r>
      <w:proofErr w:type="spellStart"/>
      <w:r>
        <w:rPr>
          <w:rFonts w:ascii="Times New Roman" w:eastAsia="Times New Roman" w:hAnsi="Times New Roman"/>
        </w:rPr>
        <w:t>trả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thu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nhập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từ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hoạt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động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nhượng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quyền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thương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mại</w:t>
      </w:r>
      <w:proofErr w:type="spellEnd"/>
      <w:r>
        <w:rPr>
          <w:rFonts w:ascii="Times New Roman" w:eastAsia="Times New Roman" w:hAnsi="Times New Roman"/>
        </w:rPr>
        <w:t xml:space="preserve"> (</w:t>
      </w:r>
      <w:proofErr w:type="spellStart"/>
      <w:r>
        <w:rPr>
          <w:rFonts w:ascii="Times New Roman" w:eastAsia="Times New Roman" w:hAnsi="Times New Roman"/>
        </w:rPr>
        <w:t>Điều</w:t>
      </w:r>
      <w:proofErr w:type="spellEnd"/>
      <w:r>
        <w:rPr>
          <w:rFonts w:ascii="Times New Roman" w:eastAsia="Times New Roman" w:hAnsi="Times New Roman"/>
        </w:rPr>
        <w:t xml:space="preserve"> 17)</w:t>
      </w:r>
    </w:p>
  </w:footnote>
  <w:footnote w:id="2">
    <w:p w:rsidR="00083440" w:rsidRDefault="00A67B18">
      <w:pPr>
        <w:spacing w:after="0" w:line="240" w:lineRule="auto"/>
        <w:rPr>
          <w:rFonts w:ascii="Times New Roman" w:eastAsia="Times New Roman" w:hAnsi="Times New Roman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Luật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Quản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lý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thuế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chỉ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quy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định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đối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với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trường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hợp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khấu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trừ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nộp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thuế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thay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không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có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quy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định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đối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với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việc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khai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thuế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thay</w:t>
      </w:r>
      <w:proofErr w:type="spellEnd"/>
    </w:p>
  </w:footnote>
  <w:footnote w:id="3">
    <w:p w:rsidR="00083440" w:rsidRDefault="00A67B1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Nghị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quyết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số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93/NQ-CP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ngày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18/6/2024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của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Chính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phủ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về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nhiệm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vụ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giải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pháp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trọng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tâm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để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thúc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đẩy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tăng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trưởng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kiểm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soát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lạm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phát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và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ổn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định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kinh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tế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vĩ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mô</w:t>
      </w:r>
      <w:proofErr w:type="spellEnd"/>
    </w:p>
  </w:footnote>
  <w:footnote w:id="4">
    <w:p w:rsidR="00083440" w:rsidRDefault="00A67B1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Văn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bản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của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Liên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đoàn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Thương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mại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và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Công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nghiệp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Việt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Nam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góp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ý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Dự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thảo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Nghị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định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sửa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đổi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Nghị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định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126/2020/NĐ-CP,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Nghị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định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123/2020/NĐ-CP,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Nghị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định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15/2022/NĐ-CP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về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thuế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hóa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đơn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và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chứng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từ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truy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cập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tại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website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của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Liên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đoàn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Thương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mại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và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Công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nghiệp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Việt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Nam: </w:t>
      </w:r>
      <w:hyperlink r:id="rId1">
        <w:r>
          <w:rPr>
            <w:rFonts w:ascii="Times New Roman" w:eastAsia="Times New Roman" w:hAnsi="Times New Roman"/>
            <w:color w:val="1155CC"/>
            <w:sz w:val="20"/>
            <w:szCs w:val="20"/>
            <w:u w:val="single"/>
          </w:rPr>
          <w:t>https://vibonline.com.vn/bao_cao/vcci_gop-y-du-thao-nghi-dinh-sua-doi-nghi-dinh-126-2020-nd-cp-nghi-dinh-123-2020-nd-cp-nghi-dinh-15-2022-nd-cp-ve-thue-hoa-don-va-chung-tu</w:t>
        </w:r>
      </w:hyperlink>
      <w:r>
        <w:rPr>
          <w:rFonts w:ascii="Times New Roman" w:eastAsia="Times New Roman" w:hAnsi="Times New Roman"/>
          <w:sz w:val="20"/>
          <w:szCs w:val="20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334D"/>
    <w:multiLevelType w:val="multilevel"/>
    <w:tmpl w:val="A4EEDC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B902D6"/>
    <w:multiLevelType w:val="multilevel"/>
    <w:tmpl w:val="DFE4CE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042503"/>
    <w:multiLevelType w:val="multilevel"/>
    <w:tmpl w:val="4AC4C9B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30D070F"/>
    <w:multiLevelType w:val="multilevel"/>
    <w:tmpl w:val="F6D024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907308"/>
    <w:multiLevelType w:val="multilevel"/>
    <w:tmpl w:val="7CC615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E0F2717"/>
    <w:multiLevelType w:val="multilevel"/>
    <w:tmpl w:val="BA8C2A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440"/>
    <w:rsid w:val="00083440"/>
    <w:rsid w:val="000871FF"/>
    <w:rsid w:val="0011479A"/>
    <w:rsid w:val="001F5C9E"/>
    <w:rsid w:val="00A67B18"/>
    <w:rsid w:val="00A9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7FF30"/>
  <w15:docId w15:val="{6DEC154D-20ED-4D08-9B7B-FD33AC5B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F6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D5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D5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DF6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4D5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DF6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4D5DF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5DF6"/>
    <w:rPr>
      <w:rFonts w:ascii="Consolas" w:eastAsia="Calibri" w:hAnsi="Consolas" w:cs="Consolas"/>
      <w:kern w:val="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C5"/>
    <w:rPr>
      <w:rFonts w:ascii="Segoe UI" w:eastAsia="Calibri" w:hAnsi="Segoe UI" w:cs="Segoe UI"/>
      <w:kern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7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9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943"/>
    <w:rPr>
      <w:rFonts w:ascii="Calibri" w:eastAsia="Calibri" w:hAnsi="Calibri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943"/>
    <w:rPr>
      <w:rFonts w:ascii="Calibri" w:eastAsia="Calibri" w:hAnsi="Calibri" w:cs="Times New Roman"/>
      <w:b/>
      <w:bCs/>
      <w:kern w:val="0"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ibonline.com.vn/bao_cao/vcci_gop-y-du-thao-nghi-dinh-sua-doi-nghi-dinh-126-2020-nd-cp-nghi-dinh-123-2020-nd-cp-nghi-dinh-15-2022-nd-cp-ve-thue-hoa-don-va-chung-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rxXPWRCaQeCzSlQ8iZrJbSFRhg==">CgMxLjAaHwoBMBIaChgICVIUChJ0YWJsZS5oZmE1OXIxOXM4Z2k4AGojChRzdWdnZXN0LmM0d2djNjhkaTg5ZhILTmd1eWVuIFR1YW5yITFNd1ZfajdCUmw5dlVRWkRvRUhQN1dsNUMxeW5ucFRPQg==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3835</Words>
  <Characters>14769</Characters>
  <Application>Microsoft Office Word</Application>
  <DocSecurity>0</DocSecurity>
  <Lines>254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A69</dc:creator>
  <cp:lastModifiedBy>Thao Nguyen</cp:lastModifiedBy>
  <cp:revision>4</cp:revision>
  <dcterms:created xsi:type="dcterms:W3CDTF">2024-10-16T09:54:00Z</dcterms:created>
  <dcterms:modified xsi:type="dcterms:W3CDTF">2024-10-16T10:38:00Z</dcterms:modified>
</cp:coreProperties>
</file>