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E220A" w14:textId="77777777" w:rsidR="00943F64" w:rsidRPr="00344643" w:rsidRDefault="00943F64" w:rsidP="00344643">
      <w:pPr>
        <w:snapToGrid w:val="0"/>
        <w:spacing w:before="40" w:after="120" w:line="312" w:lineRule="auto"/>
        <w:rPr>
          <w:rFonts w:ascii="Times New Roman" w:hAnsi="Times New Roman" w:cs="Times New Roman"/>
          <w:b/>
          <w:bCs/>
          <w:caps/>
          <w:noProof/>
          <w:sz w:val="27"/>
          <w:szCs w:val="27"/>
          <w:lang w:val="en-US"/>
        </w:rPr>
      </w:pPr>
    </w:p>
    <w:p w14:paraId="2EDA560F" w14:textId="77777777" w:rsidR="00344643" w:rsidRPr="00344643" w:rsidRDefault="00344643" w:rsidP="00344643">
      <w:pPr>
        <w:snapToGrid w:val="0"/>
        <w:spacing w:before="40" w:after="120" w:line="312" w:lineRule="auto"/>
        <w:jc w:val="center"/>
        <w:rPr>
          <w:rFonts w:ascii="Times New Roman" w:hAnsi="Times New Roman" w:cs="Times New Roman"/>
          <w:b/>
          <w:bCs/>
          <w:sz w:val="27"/>
          <w:szCs w:val="27"/>
        </w:rPr>
      </w:pPr>
      <w:r w:rsidRPr="00344643">
        <w:rPr>
          <w:rFonts w:ascii="Times New Roman" w:hAnsi="Times New Roman" w:cs="Times New Roman"/>
          <w:b/>
          <w:bCs/>
          <w:sz w:val="27"/>
          <w:szCs w:val="27"/>
        </w:rPr>
        <w:t>HỘI THẢO</w:t>
      </w:r>
    </w:p>
    <w:p w14:paraId="092440D0" w14:textId="77777777" w:rsidR="00344643" w:rsidRPr="00344643" w:rsidRDefault="00344643" w:rsidP="00344643">
      <w:pPr>
        <w:snapToGrid w:val="0"/>
        <w:spacing w:before="40" w:after="120" w:line="312" w:lineRule="auto"/>
        <w:jc w:val="center"/>
        <w:rPr>
          <w:rFonts w:ascii="Times New Roman" w:hAnsi="Times New Roman" w:cs="Times New Roman"/>
          <w:sz w:val="27"/>
          <w:szCs w:val="27"/>
        </w:rPr>
      </w:pPr>
      <w:r w:rsidRPr="00344643">
        <w:rPr>
          <w:rFonts w:ascii="Times New Roman" w:hAnsi="Times New Roman" w:cs="Times New Roman"/>
          <w:sz w:val="27"/>
          <w:szCs w:val="27"/>
        </w:rPr>
        <w:t xml:space="preserve">LẤY Ý KIẾN DOANH NGHIỆP DỰ THẢO LUẬT SỬA ĐỔI </w:t>
      </w:r>
    </w:p>
    <w:p w14:paraId="4ED72A5A" w14:textId="77777777" w:rsidR="00344643" w:rsidRPr="00344643" w:rsidRDefault="00344643" w:rsidP="00344643">
      <w:pPr>
        <w:snapToGrid w:val="0"/>
        <w:spacing w:before="40" w:after="120" w:line="312" w:lineRule="auto"/>
        <w:jc w:val="center"/>
        <w:rPr>
          <w:rFonts w:ascii="Times New Roman" w:hAnsi="Times New Roman" w:cs="Times New Roman"/>
          <w:sz w:val="27"/>
          <w:szCs w:val="27"/>
        </w:rPr>
      </w:pPr>
      <w:r w:rsidRPr="00344643">
        <w:rPr>
          <w:rFonts w:ascii="Times New Roman" w:hAnsi="Times New Roman" w:cs="Times New Roman"/>
          <w:sz w:val="27"/>
          <w:szCs w:val="27"/>
        </w:rPr>
        <w:t xml:space="preserve">LUẬT CHỨNG KHOÁN; LUẬT KẾ TOÁN; LUẬT KIỂM TOÁN ĐỘC LẬP </w:t>
      </w:r>
    </w:p>
    <w:p w14:paraId="2F80A0C7" w14:textId="77777777" w:rsidR="00344643" w:rsidRPr="00344643" w:rsidRDefault="00344643" w:rsidP="00344643">
      <w:pPr>
        <w:snapToGrid w:val="0"/>
        <w:spacing w:before="40" w:after="120" w:line="312" w:lineRule="auto"/>
        <w:jc w:val="center"/>
        <w:rPr>
          <w:rFonts w:ascii="Times New Roman" w:hAnsi="Times New Roman" w:cs="Times New Roman"/>
          <w:sz w:val="27"/>
          <w:szCs w:val="27"/>
        </w:rPr>
      </w:pPr>
      <w:r w:rsidRPr="00344643">
        <w:rPr>
          <w:rFonts w:ascii="Times New Roman" w:hAnsi="Times New Roman" w:cs="Times New Roman"/>
          <w:sz w:val="27"/>
          <w:szCs w:val="27"/>
        </w:rPr>
        <w:t>VÀ LUẬT QUẢN LÝ THUẾ</w:t>
      </w:r>
    </w:p>
    <w:p w14:paraId="74A4C336" w14:textId="77777777" w:rsidR="00344643" w:rsidRPr="00344643" w:rsidRDefault="00344643" w:rsidP="00344643">
      <w:pPr>
        <w:snapToGrid w:val="0"/>
        <w:spacing w:before="40" w:after="120" w:line="312" w:lineRule="auto"/>
        <w:jc w:val="center"/>
        <w:rPr>
          <w:rFonts w:ascii="Times New Roman" w:hAnsi="Times New Roman" w:cs="Times New Roman"/>
          <w:b/>
          <w:bCs/>
          <w:sz w:val="27"/>
          <w:szCs w:val="27"/>
          <w:u w:val="single"/>
        </w:rPr>
      </w:pPr>
      <w:r w:rsidRPr="00344643">
        <w:rPr>
          <w:rFonts w:ascii="Times New Roman" w:hAnsi="Times New Roman" w:cs="Times New Roman"/>
          <w:b/>
          <w:bCs/>
          <w:sz w:val="27"/>
          <w:szCs w:val="27"/>
          <w:u w:val="single"/>
        </w:rPr>
        <w:t>NỘI DUNG THAM LUẬN</w:t>
      </w:r>
    </w:p>
    <w:p w14:paraId="64B04DE4" w14:textId="77777777" w:rsidR="00CA3F5C" w:rsidRPr="00344643" w:rsidRDefault="00CA3F5C" w:rsidP="00344643">
      <w:pPr>
        <w:snapToGrid w:val="0"/>
        <w:spacing w:before="40" w:after="120" w:line="312" w:lineRule="auto"/>
        <w:jc w:val="center"/>
        <w:rPr>
          <w:rFonts w:ascii="Times New Roman" w:hAnsi="Times New Roman" w:cs="Times New Roman"/>
          <w:b/>
          <w:bCs/>
          <w:noProof/>
          <w:sz w:val="27"/>
          <w:szCs w:val="27"/>
        </w:rPr>
      </w:pPr>
    </w:p>
    <w:p w14:paraId="340D80F6" w14:textId="77777777" w:rsidR="00344643" w:rsidRPr="00344643" w:rsidRDefault="00344643" w:rsidP="00344643">
      <w:pPr>
        <w:snapToGrid w:val="0"/>
        <w:spacing w:before="40" w:after="120" w:line="312" w:lineRule="auto"/>
        <w:jc w:val="right"/>
        <w:rPr>
          <w:rFonts w:ascii="Times New Roman" w:hAnsi="Times New Roman" w:cs="Times New Roman"/>
          <w:b/>
          <w:bCs/>
          <w:i/>
          <w:iCs/>
          <w:noProof/>
          <w:sz w:val="27"/>
          <w:szCs w:val="27"/>
          <w:lang w:val="en-US"/>
        </w:rPr>
      </w:pPr>
      <w:r w:rsidRPr="00344643">
        <w:rPr>
          <w:rFonts w:ascii="Times New Roman" w:hAnsi="Times New Roman" w:cs="Times New Roman"/>
          <w:b/>
          <w:bCs/>
          <w:i/>
          <w:iCs/>
          <w:noProof/>
          <w:sz w:val="27"/>
          <w:szCs w:val="27"/>
          <w:lang w:val="en-US"/>
        </w:rPr>
        <w:t>Ông</w:t>
      </w:r>
      <w:r w:rsidRPr="00344643">
        <w:rPr>
          <w:rFonts w:ascii="Times New Roman" w:hAnsi="Times New Roman" w:cs="Times New Roman"/>
          <w:b/>
          <w:bCs/>
          <w:i/>
          <w:iCs/>
          <w:noProof/>
          <w:sz w:val="27"/>
          <w:szCs w:val="27"/>
        </w:rPr>
        <w:t xml:space="preserve"> </w:t>
      </w:r>
      <w:r w:rsidR="00D97223" w:rsidRPr="00344643">
        <w:rPr>
          <w:rFonts w:ascii="Times New Roman" w:hAnsi="Times New Roman" w:cs="Times New Roman"/>
          <w:b/>
          <w:bCs/>
          <w:i/>
          <w:iCs/>
          <w:noProof/>
          <w:sz w:val="27"/>
          <w:szCs w:val="27"/>
          <w:lang w:val="en-US"/>
        </w:rPr>
        <w:t xml:space="preserve">Ngô Vĩnh Bạch Dương  </w:t>
      </w:r>
    </w:p>
    <w:p w14:paraId="48141A41" w14:textId="4E692DC3" w:rsidR="00D97223" w:rsidRPr="00344643" w:rsidRDefault="00D97223" w:rsidP="00344643">
      <w:pPr>
        <w:snapToGrid w:val="0"/>
        <w:spacing w:before="40" w:after="120" w:line="312" w:lineRule="auto"/>
        <w:jc w:val="right"/>
        <w:rPr>
          <w:rFonts w:ascii="Times New Roman" w:hAnsi="Times New Roman" w:cs="Times New Roman"/>
          <w:i/>
          <w:iCs/>
          <w:noProof/>
          <w:sz w:val="27"/>
          <w:szCs w:val="27"/>
          <w:lang w:val="en-US"/>
        </w:rPr>
      </w:pPr>
      <w:r w:rsidRPr="00344643">
        <w:rPr>
          <w:rFonts w:ascii="Times New Roman" w:hAnsi="Times New Roman" w:cs="Times New Roman"/>
          <w:i/>
          <w:iCs/>
          <w:noProof/>
          <w:sz w:val="27"/>
          <w:szCs w:val="27"/>
          <w:lang w:val="en-US"/>
        </w:rPr>
        <w:t>Giám đốc Trung tâm Tư vấn pháp lý</w:t>
      </w:r>
    </w:p>
    <w:p w14:paraId="46401943" w14:textId="77777777" w:rsidR="00D97223" w:rsidRPr="00344643" w:rsidRDefault="00D97223" w:rsidP="00344643">
      <w:pPr>
        <w:snapToGrid w:val="0"/>
        <w:spacing w:before="40" w:after="120" w:line="312" w:lineRule="auto"/>
        <w:jc w:val="right"/>
        <w:rPr>
          <w:rFonts w:ascii="Times New Roman" w:hAnsi="Times New Roman" w:cs="Times New Roman"/>
          <w:i/>
          <w:iCs/>
          <w:noProof/>
          <w:sz w:val="27"/>
          <w:szCs w:val="27"/>
          <w:lang w:val="en-US"/>
        </w:rPr>
      </w:pPr>
      <w:r w:rsidRPr="00344643">
        <w:rPr>
          <w:rFonts w:ascii="Times New Roman" w:hAnsi="Times New Roman" w:cs="Times New Roman"/>
          <w:i/>
          <w:iCs/>
          <w:noProof/>
          <w:sz w:val="27"/>
          <w:szCs w:val="27"/>
          <w:lang w:val="en-US"/>
        </w:rPr>
        <w:t>Viện Nhà nước và Pháp luật</w:t>
      </w:r>
    </w:p>
    <w:p w14:paraId="2415FD87" w14:textId="77777777" w:rsidR="00D97223" w:rsidRPr="00344643" w:rsidRDefault="00D97223" w:rsidP="00344643">
      <w:pPr>
        <w:snapToGrid w:val="0"/>
        <w:spacing w:before="40" w:after="120" w:line="312" w:lineRule="auto"/>
        <w:jc w:val="both"/>
        <w:rPr>
          <w:rFonts w:ascii="Times New Roman" w:hAnsi="Times New Roman" w:cs="Times New Roman"/>
          <w:b/>
          <w:noProof/>
          <w:sz w:val="27"/>
          <w:szCs w:val="27"/>
        </w:rPr>
      </w:pPr>
    </w:p>
    <w:p w14:paraId="29A4E514" w14:textId="05191F28" w:rsidR="00060C37" w:rsidRPr="00344643" w:rsidRDefault="00943F64" w:rsidP="00344643">
      <w:pPr>
        <w:snapToGrid w:val="0"/>
        <w:spacing w:before="40" w:after="120" w:line="312" w:lineRule="auto"/>
        <w:rPr>
          <w:rFonts w:ascii="Times New Roman" w:hAnsi="Times New Roman" w:cs="Times New Roman"/>
          <w:noProof/>
          <w:sz w:val="28"/>
          <w:szCs w:val="28"/>
        </w:rPr>
      </w:pPr>
      <w:r w:rsidRPr="00344643">
        <w:rPr>
          <w:rFonts w:ascii="Times New Roman" w:hAnsi="Times New Roman" w:cs="Times New Roman"/>
          <w:b/>
          <w:bCs/>
          <w:caps/>
          <w:noProof/>
          <w:sz w:val="28"/>
          <w:szCs w:val="28"/>
          <w:lang w:val="en-US"/>
        </w:rPr>
        <w:t>TÓM LƯỢC</w:t>
      </w:r>
    </w:p>
    <w:p w14:paraId="554D1FB2" w14:textId="619AFA56" w:rsidR="00A37179" w:rsidRPr="00344643" w:rsidRDefault="00060C37" w:rsidP="00344643">
      <w:pPr>
        <w:snapToGrid w:val="0"/>
        <w:spacing w:before="40" w:after="120" w:line="312" w:lineRule="auto"/>
        <w:jc w:val="both"/>
        <w:rPr>
          <w:rFonts w:ascii="Times New Roman" w:hAnsi="Times New Roman" w:cs="Times New Roman"/>
          <w:b/>
          <w:noProof/>
          <w:sz w:val="27"/>
          <w:szCs w:val="27"/>
          <w:lang w:val="en-US"/>
        </w:rPr>
      </w:pPr>
      <w:r w:rsidRPr="00344643">
        <w:rPr>
          <w:rFonts w:ascii="Times New Roman" w:hAnsi="Times New Roman" w:cs="Times New Roman"/>
          <w:noProof/>
          <w:sz w:val="27"/>
          <w:szCs w:val="27"/>
          <w:lang w:val="en-US"/>
        </w:rPr>
        <w:t>Đ</w:t>
      </w:r>
      <w:r w:rsidR="00943F64" w:rsidRPr="00344643">
        <w:rPr>
          <w:rFonts w:ascii="Times New Roman" w:hAnsi="Times New Roman" w:cs="Times New Roman"/>
          <w:noProof/>
          <w:sz w:val="27"/>
          <w:szCs w:val="27"/>
        </w:rPr>
        <w:t>ối với Dự thảo Luật</w:t>
      </w:r>
      <w:r w:rsidR="00943F64" w:rsidRPr="00344643">
        <w:rPr>
          <w:rFonts w:ascii="Times New Roman" w:hAnsi="Times New Roman" w:cs="Times New Roman"/>
          <w:noProof/>
          <w:sz w:val="27"/>
          <w:szCs w:val="27"/>
          <w:lang w:val="en-US"/>
        </w:rPr>
        <w:t xml:space="preserve"> Quản lý thuế</w:t>
      </w:r>
      <w:r w:rsidR="00943F64" w:rsidRPr="00344643">
        <w:rPr>
          <w:rFonts w:ascii="Times New Roman" w:hAnsi="Times New Roman" w:cs="Times New Roman"/>
          <w:noProof/>
          <w:sz w:val="27"/>
          <w:szCs w:val="27"/>
        </w:rPr>
        <w:t>, đặc biệt về quy định các sàn giao dịch thương mại điện tử phải khai thuế và nộp thuế thay cho hộ kinh doanh, cá nhân kinh doanh</w:t>
      </w:r>
      <w:r w:rsidRPr="00344643">
        <w:rPr>
          <w:rFonts w:ascii="Times New Roman" w:hAnsi="Times New Roman" w:cs="Times New Roman"/>
          <w:noProof/>
          <w:sz w:val="27"/>
          <w:szCs w:val="27"/>
          <w:lang w:val="en-US"/>
        </w:rPr>
        <w:t>, k</w:t>
      </w:r>
      <w:r w:rsidR="00624F61" w:rsidRPr="00344643">
        <w:rPr>
          <w:rFonts w:ascii="Times New Roman" w:hAnsi="Times New Roman" w:cs="Times New Roman"/>
          <w:noProof/>
          <w:sz w:val="27"/>
          <w:szCs w:val="27"/>
        </w:rPr>
        <w:t>inh nghiệm quốc tế cho thấy</w:t>
      </w:r>
      <w:r w:rsidR="00A37179" w:rsidRPr="00344643">
        <w:rPr>
          <w:rFonts w:ascii="Times New Roman" w:hAnsi="Times New Roman" w:cs="Times New Roman"/>
          <w:noProof/>
          <w:sz w:val="27"/>
          <w:szCs w:val="27"/>
          <w:lang w:val="en-US"/>
        </w:rPr>
        <w:t xml:space="preserve"> có </w:t>
      </w:r>
      <w:r w:rsidR="00A37179" w:rsidRPr="00344643">
        <w:rPr>
          <w:rFonts w:ascii="Times New Roman" w:hAnsi="Times New Roman" w:cs="Times New Roman"/>
          <w:b/>
          <w:noProof/>
          <w:sz w:val="27"/>
          <w:szCs w:val="27"/>
          <w:lang w:val="en-US"/>
        </w:rPr>
        <w:t xml:space="preserve">2 </w:t>
      </w:r>
      <w:r w:rsidR="00624F61" w:rsidRPr="00344643">
        <w:rPr>
          <w:rFonts w:ascii="Times New Roman" w:hAnsi="Times New Roman" w:cs="Times New Roman"/>
          <w:b/>
          <w:noProof/>
          <w:sz w:val="27"/>
          <w:szCs w:val="27"/>
        </w:rPr>
        <w:t xml:space="preserve">điều kiện tiên quyết </w:t>
      </w:r>
      <w:r w:rsidR="00A37179" w:rsidRPr="00344643">
        <w:rPr>
          <w:rFonts w:ascii="Times New Roman" w:hAnsi="Times New Roman" w:cs="Times New Roman"/>
          <w:b/>
          <w:noProof/>
          <w:sz w:val="27"/>
          <w:szCs w:val="27"/>
          <w:lang w:val="en-US"/>
        </w:rPr>
        <w:t xml:space="preserve">phải được xét đến đầu tiên </w:t>
      </w:r>
      <w:r w:rsidR="00624F61" w:rsidRPr="00344643">
        <w:rPr>
          <w:rFonts w:ascii="Times New Roman" w:hAnsi="Times New Roman" w:cs="Times New Roman"/>
          <w:b/>
          <w:noProof/>
          <w:sz w:val="27"/>
          <w:szCs w:val="27"/>
        </w:rPr>
        <w:t>để đảm bảo tính hợp lý và khả thi của quy định này</w:t>
      </w:r>
      <w:r w:rsidR="00A37179" w:rsidRPr="00344643">
        <w:rPr>
          <w:rFonts w:ascii="Times New Roman" w:hAnsi="Times New Roman" w:cs="Times New Roman"/>
          <w:noProof/>
          <w:sz w:val="27"/>
          <w:szCs w:val="27"/>
          <w:lang w:val="en-US"/>
        </w:rPr>
        <w:t xml:space="preserve">: </w:t>
      </w:r>
      <w:r w:rsidR="00A37179" w:rsidRPr="00344643">
        <w:rPr>
          <w:rFonts w:ascii="Times New Roman" w:hAnsi="Times New Roman" w:cs="Times New Roman"/>
          <w:b/>
          <w:noProof/>
          <w:sz w:val="27"/>
          <w:szCs w:val="27"/>
          <w:lang w:val="en-US"/>
        </w:rPr>
        <w:t xml:space="preserve">(i) xác định rõ ràng sắc thuế, mức thuế và đối tượng nộp thuế </w:t>
      </w:r>
      <w:r w:rsidR="00252E92" w:rsidRPr="00344643">
        <w:rPr>
          <w:rFonts w:ascii="Times New Roman" w:hAnsi="Times New Roman" w:cs="Times New Roman"/>
          <w:b/>
          <w:noProof/>
          <w:sz w:val="27"/>
          <w:szCs w:val="27"/>
          <w:lang w:val="en-US"/>
        </w:rPr>
        <w:t>khả thi đối với việc các sàn có thể khấu trừ và nộp hộ</w:t>
      </w:r>
      <w:r w:rsidR="00A37179" w:rsidRPr="00344643">
        <w:rPr>
          <w:rFonts w:ascii="Times New Roman" w:hAnsi="Times New Roman" w:cs="Times New Roman"/>
          <w:b/>
          <w:noProof/>
          <w:sz w:val="27"/>
          <w:szCs w:val="27"/>
          <w:lang w:val="en-US"/>
        </w:rPr>
        <w:t>; (ii)</w:t>
      </w:r>
      <w:r w:rsidR="00624F61" w:rsidRPr="00344643">
        <w:rPr>
          <w:rFonts w:ascii="Times New Roman" w:hAnsi="Times New Roman" w:cs="Times New Roman"/>
          <w:b/>
          <w:noProof/>
          <w:sz w:val="27"/>
          <w:szCs w:val="27"/>
        </w:rPr>
        <w:t xml:space="preserve"> xây dựng một hệ thống thuế đơn giản, quản lý tập trung, cùng với phần mềm tự động hóa các nghiệp vụ thuế</w:t>
      </w:r>
      <w:r w:rsidR="00A37179" w:rsidRPr="00344643">
        <w:rPr>
          <w:rFonts w:ascii="Times New Roman" w:hAnsi="Times New Roman" w:cs="Times New Roman"/>
          <w:b/>
          <w:noProof/>
          <w:sz w:val="27"/>
          <w:szCs w:val="27"/>
          <w:lang w:val="en-US"/>
        </w:rPr>
        <w:t>.</w:t>
      </w:r>
    </w:p>
    <w:p w14:paraId="7999564B" w14:textId="597CA19E" w:rsidR="00943F64" w:rsidRPr="00344643" w:rsidRDefault="00624F61"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Nhìn lại hệ thống pháp luật về thuế của Việt Nam, có thể thấy rằng </w:t>
      </w:r>
    </w:p>
    <w:p w14:paraId="4FA89C6F" w14:textId="7A54D96E" w:rsidR="00943F64" w:rsidRPr="00344643" w:rsidRDefault="00060C37" w:rsidP="00344643">
      <w:pPr>
        <w:pStyle w:val="ListParagraph"/>
        <w:numPr>
          <w:ilvl w:val="0"/>
          <w:numId w:val="34"/>
        </w:numPr>
        <w:snapToGrid w:val="0"/>
        <w:spacing w:before="40" w:after="120" w:line="312" w:lineRule="auto"/>
        <w:ind w:left="360"/>
        <w:contextualSpacing w:val="0"/>
        <w:jc w:val="both"/>
        <w:rPr>
          <w:rFonts w:ascii="Times New Roman" w:hAnsi="Times New Roman" w:cs="Times New Roman"/>
          <w:noProof/>
          <w:sz w:val="27"/>
          <w:szCs w:val="27"/>
          <w:lang w:val="en-US"/>
        </w:rPr>
      </w:pPr>
      <w:r w:rsidRPr="00344643">
        <w:rPr>
          <w:rFonts w:ascii="Times New Roman" w:hAnsi="Times New Roman" w:cs="Times New Roman"/>
          <w:b/>
          <w:bCs/>
          <w:noProof/>
          <w:sz w:val="27"/>
          <w:szCs w:val="27"/>
          <w:lang w:val="en-US"/>
        </w:rPr>
        <w:t xml:space="preserve">Việc tính toán mức thuế áp dụng và </w:t>
      </w:r>
      <w:r w:rsidR="00943F64" w:rsidRPr="00344643">
        <w:rPr>
          <w:rFonts w:ascii="Times New Roman" w:hAnsi="Times New Roman" w:cs="Times New Roman"/>
          <w:b/>
          <w:bCs/>
          <w:noProof/>
          <w:sz w:val="27"/>
          <w:szCs w:val="27"/>
          <w:lang w:val="en-US"/>
        </w:rPr>
        <w:t>nghiệp vụ</w:t>
      </w:r>
      <w:r w:rsidR="0055117A" w:rsidRPr="00344643">
        <w:rPr>
          <w:rFonts w:ascii="Times New Roman" w:hAnsi="Times New Roman" w:cs="Times New Roman"/>
          <w:b/>
          <w:bCs/>
          <w:noProof/>
          <w:sz w:val="27"/>
          <w:szCs w:val="27"/>
          <w:lang w:val="en-US"/>
        </w:rPr>
        <w:t xml:space="preserve"> kê</w:t>
      </w:r>
      <w:r w:rsidR="00943F64" w:rsidRPr="00344643">
        <w:rPr>
          <w:rFonts w:ascii="Times New Roman" w:hAnsi="Times New Roman" w:cs="Times New Roman"/>
          <w:b/>
          <w:bCs/>
          <w:noProof/>
          <w:sz w:val="27"/>
          <w:szCs w:val="27"/>
          <w:lang w:val="en-US"/>
        </w:rPr>
        <w:t xml:space="preserve"> khai thuế</w:t>
      </w:r>
      <w:r w:rsidRPr="00344643">
        <w:rPr>
          <w:rFonts w:ascii="Times New Roman" w:hAnsi="Times New Roman" w:cs="Times New Roman"/>
          <w:b/>
          <w:bCs/>
          <w:noProof/>
          <w:sz w:val="27"/>
          <w:szCs w:val="27"/>
          <w:lang w:val="en-US"/>
        </w:rPr>
        <w:t xml:space="preserve"> tương đối phức tạp</w:t>
      </w:r>
      <w:r w:rsidR="00943F64" w:rsidRPr="00344643">
        <w:rPr>
          <w:rFonts w:ascii="Times New Roman" w:hAnsi="Times New Roman" w:cs="Times New Roman"/>
          <w:noProof/>
          <w:sz w:val="27"/>
          <w:szCs w:val="27"/>
          <w:lang w:val="en-US"/>
        </w:rPr>
        <w:t>:</w:t>
      </w:r>
      <w:r w:rsidR="00624F61" w:rsidRPr="00344643">
        <w:rPr>
          <w:rFonts w:ascii="Times New Roman" w:hAnsi="Times New Roman" w:cs="Times New Roman"/>
          <w:noProof/>
          <w:sz w:val="27"/>
          <w:szCs w:val="27"/>
          <w:lang w:val="en-US"/>
        </w:rPr>
        <w:t xml:space="preserve"> </w:t>
      </w:r>
      <w:r w:rsidR="00943F64" w:rsidRPr="00344643">
        <w:rPr>
          <w:rFonts w:ascii="Times New Roman" w:hAnsi="Times New Roman" w:cs="Times New Roman"/>
          <w:noProof/>
          <w:sz w:val="27"/>
          <w:szCs w:val="27"/>
          <w:lang w:val="en-US"/>
        </w:rPr>
        <w:t xml:space="preserve">Thuế thu nhập thường dựa trên lợi nhuận, tức là thu nhập sau khi trừ đi các chi phí hợp lệ. Việc xác định thu nhập chịu thuế phụ thuộc vào việc người bán tự kê khai các khoản chi phí này, </w:t>
      </w:r>
      <w:r w:rsidR="00943F64" w:rsidRPr="00344643">
        <w:rPr>
          <w:rFonts w:ascii="Times New Roman" w:hAnsi="Times New Roman" w:cs="Times New Roman"/>
          <w:noProof/>
          <w:sz w:val="27"/>
          <w:szCs w:val="27"/>
        </w:rPr>
        <w:t>điều</w:t>
      </w:r>
      <w:r w:rsidR="00943F64" w:rsidRPr="00344643">
        <w:rPr>
          <w:rFonts w:ascii="Times New Roman" w:hAnsi="Times New Roman" w:cs="Times New Roman"/>
          <w:noProof/>
          <w:sz w:val="27"/>
          <w:szCs w:val="27"/>
          <w:lang w:val="en-US"/>
        </w:rPr>
        <w:t xml:space="preserve"> mà các sàn thương mại điện tử không có khả năng thực hiện thay. Điều này cho thấy sự khó khăn và thiếu thực tế trong việc yêu cầu các sàn đảm nhận vai trò </w:t>
      </w:r>
      <w:r w:rsidR="00A37179" w:rsidRPr="00344643">
        <w:rPr>
          <w:rFonts w:ascii="Times New Roman" w:hAnsi="Times New Roman" w:cs="Times New Roman"/>
          <w:noProof/>
          <w:sz w:val="27"/>
          <w:szCs w:val="27"/>
          <w:lang w:val="en-US"/>
        </w:rPr>
        <w:t xml:space="preserve">kê </w:t>
      </w:r>
      <w:r w:rsidR="00943F64" w:rsidRPr="00344643">
        <w:rPr>
          <w:rFonts w:ascii="Times New Roman" w:hAnsi="Times New Roman" w:cs="Times New Roman"/>
          <w:noProof/>
          <w:sz w:val="27"/>
          <w:szCs w:val="27"/>
          <w:lang w:val="en-US"/>
        </w:rPr>
        <w:t>khai</w:t>
      </w:r>
      <w:r w:rsidR="00A37179" w:rsidRPr="00344643">
        <w:rPr>
          <w:rFonts w:ascii="Times New Roman" w:hAnsi="Times New Roman" w:cs="Times New Roman"/>
          <w:noProof/>
          <w:sz w:val="27"/>
          <w:szCs w:val="27"/>
          <w:lang w:val="en-US"/>
        </w:rPr>
        <w:t xml:space="preserve"> thay</w:t>
      </w:r>
      <w:r w:rsidR="00943F64" w:rsidRPr="00344643">
        <w:rPr>
          <w:rFonts w:ascii="Times New Roman" w:hAnsi="Times New Roman" w:cs="Times New Roman"/>
          <w:noProof/>
          <w:sz w:val="27"/>
          <w:szCs w:val="27"/>
          <w:lang w:val="en-US"/>
        </w:rPr>
        <w:t xml:space="preserve"> thuế thu nhập cho người bán.</w:t>
      </w:r>
    </w:p>
    <w:p w14:paraId="12864158" w14:textId="3527DF70" w:rsidR="00943F64" w:rsidRPr="00344643" w:rsidRDefault="00A37179" w:rsidP="00344643">
      <w:pPr>
        <w:pStyle w:val="ListParagraph"/>
        <w:numPr>
          <w:ilvl w:val="0"/>
          <w:numId w:val="34"/>
        </w:numPr>
        <w:snapToGrid w:val="0"/>
        <w:spacing w:before="40" w:after="120" w:line="312" w:lineRule="auto"/>
        <w:ind w:left="360"/>
        <w:contextualSpacing w:val="0"/>
        <w:jc w:val="both"/>
        <w:rPr>
          <w:rFonts w:ascii="Times New Roman" w:hAnsi="Times New Roman" w:cs="Times New Roman"/>
          <w:noProof/>
          <w:sz w:val="27"/>
          <w:szCs w:val="27"/>
          <w:lang w:val="en-US"/>
        </w:rPr>
      </w:pPr>
      <w:r w:rsidRPr="00344643">
        <w:rPr>
          <w:rFonts w:ascii="Times New Roman" w:hAnsi="Times New Roman" w:cs="Times New Roman"/>
          <w:b/>
          <w:bCs/>
          <w:noProof/>
          <w:sz w:val="27"/>
          <w:szCs w:val="27"/>
          <w:lang w:val="en-US"/>
        </w:rPr>
        <w:t>V</w:t>
      </w:r>
      <w:r w:rsidR="00943F64" w:rsidRPr="00344643">
        <w:rPr>
          <w:rFonts w:ascii="Times New Roman" w:hAnsi="Times New Roman" w:cs="Times New Roman"/>
          <w:b/>
          <w:bCs/>
          <w:noProof/>
          <w:sz w:val="27"/>
          <w:szCs w:val="27"/>
          <w:lang w:val="en-US"/>
        </w:rPr>
        <w:t>iệc</w:t>
      </w:r>
      <w:r w:rsidR="00252E92" w:rsidRPr="00344643">
        <w:rPr>
          <w:rFonts w:ascii="Times New Roman" w:hAnsi="Times New Roman" w:cs="Times New Roman"/>
          <w:b/>
          <w:bCs/>
          <w:noProof/>
          <w:sz w:val="27"/>
          <w:szCs w:val="27"/>
          <w:lang w:val="en-US"/>
        </w:rPr>
        <w:t xml:space="preserve"> kê</w:t>
      </w:r>
      <w:r w:rsidR="00943F64" w:rsidRPr="00344643">
        <w:rPr>
          <w:rFonts w:ascii="Times New Roman" w:hAnsi="Times New Roman" w:cs="Times New Roman"/>
          <w:b/>
          <w:bCs/>
          <w:noProof/>
          <w:sz w:val="27"/>
          <w:szCs w:val="27"/>
          <w:lang w:val="en-US"/>
        </w:rPr>
        <w:t xml:space="preserve"> khai</w:t>
      </w:r>
      <w:r w:rsidR="00252E92" w:rsidRPr="00344643">
        <w:rPr>
          <w:rFonts w:ascii="Times New Roman" w:hAnsi="Times New Roman" w:cs="Times New Roman"/>
          <w:b/>
          <w:bCs/>
          <w:noProof/>
          <w:sz w:val="27"/>
          <w:szCs w:val="27"/>
          <w:lang w:val="en-US"/>
        </w:rPr>
        <w:t xml:space="preserve"> thay</w:t>
      </w:r>
      <w:r w:rsidR="00943F64" w:rsidRPr="00344643">
        <w:rPr>
          <w:rFonts w:ascii="Times New Roman" w:hAnsi="Times New Roman" w:cs="Times New Roman"/>
          <w:b/>
          <w:bCs/>
          <w:noProof/>
          <w:sz w:val="27"/>
          <w:szCs w:val="27"/>
          <w:lang w:val="en-US"/>
        </w:rPr>
        <w:t xml:space="preserve"> và nộp thuế thay</w:t>
      </w:r>
      <w:r w:rsidRPr="00344643">
        <w:rPr>
          <w:rFonts w:ascii="Times New Roman" w:hAnsi="Times New Roman" w:cs="Times New Roman"/>
          <w:b/>
          <w:bCs/>
          <w:noProof/>
          <w:sz w:val="27"/>
          <w:szCs w:val="27"/>
          <w:lang w:val="en-US"/>
        </w:rPr>
        <w:t xml:space="preserve"> có thể tạo nhiều rủi </w:t>
      </w:r>
      <w:r w:rsidR="0055117A" w:rsidRPr="00344643">
        <w:rPr>
          <w:rFonts w:ascii="Times New Roman" w:hAnsi="Times New Roman" w:cs="Times New Roman"/>
          <w:b/>
          <w:bCs/>
          <w:noProof/>
          <w:sz w:val="27"/>
          <w:szCs w:val="27"/>
          <w:lang w:val="en-US"/>
        </w:rPr>
        <w:t>ro cho bên thứ ba là sàn thương mại điện tử</w:t>
      </w:r>
      <w:r w:rsidR="00943F64" w:rsidRPr="00344643">
        <w:rPr>
          <w:rFonts w:ascii="Times New Roman" w:hAnsi="Times New Roman" w:cs="Times New Roman"/>
          <w:noProof/>
          <w:sz w:val="27"/>
          <w:szCs w:val="27"/>
          <w:lang w:val="en-US"/>
        </w:rPr>
        <w:t>:</w:t>
      </w:r>
      <w:r w:rsidR="00060C37" w:rsidRPr="00344643">
        <w:rPr>
          <w:rFonts w:ascii="Times New Roman" w:hAnsi="Times New Roman" w:cs="Times New Roman"/>
          <w:noProof/>
          <w:sz w:val="27"/>
          <w:szCs w:val="27"/>
          <w:lang w:val="en-US"/>
        </w:rPr>
        <w:t xml:space="preserve"> </w:t>
      </w:r>
      <w:r w:rsidR="00943F64" w:rsidRPr="00344643">
        <w:rPr>
          <w:rFonts w:ascii="Times New Roman" w:hAnsi="Times New Roman" w:cs="Times New Roman"/>
          <w:noProof/>
          <w:sz w:val="27"/>
          <w:szCs w:val="27"/>
          <w:lang w:val="en-US"/>
        </w:rPr>
        <w:t>Việc yêu cầu các sàn thương mại điện tử thực hiện nghĩa vụ khai và nộp thuế thay cho người bán là nghiệp vụ chuyên sâu về thuế, không nằm trong lĩnh vực chuyên môn của c</w:t>
      </w:r>
      <w:bookmarkStart w:id="0" w:name="_GoBack"/>
      <w:bookmarkEnd w:id="0"/>
      <w:r w:rsidR="00943F64" w:rsidRPr="00344643">
        <w:rPr>
          <w:rFonts w:ascii="Times New Roman" w:hAnsi="Times New Roman" w:cs="Times New Roman"/>
          <w:noProof/>
          <w:sz w:val="27"/>
          <w:szCs w:val="27"/>
          <w:lang w:val="en-US"/>
        </w:rPr>
        <w:t xml:space="preserve">ác sàn. Điều này tất yếu dẫn đến sai sót, và </w:t>
      </w:r>
      <w:r w:rsidR="00943F64" w:rsidRPr="00344643">
        <w:rPr>
          <w:rFonts w:ascii="Times New Roman" w:hAnsi="Times New Roman" w:cs="Times New Roman"/>
          <w:noProof/>
          <w:sz w:val="27"/>
          <w:szCs w:val="27"/>
          <w:lang w:val="en-US"/>
        </w:rPr>
        <w:lastRenderedPageBreak/>
        <w:t xml:space="preserve">những sai sót này có thể ảnh hưởng đến tất cả các bên liên quan, từ người bán cho đến cơ quan thuế, </w:t>
      </w:r>
      <w:r w:rsidR="00252E92" w:rsidRPr="00344643">
        <w:rPr>
          <w:rFonts w:ascii="Times New Roman" w:hAnsi="Times New Roman" w:cs="Times New Roman"/>
          <w:noProof/>
          <w:sz w:val="27"/>
          <w:szCs w:val="27"/>
          <w:lang w:val="en-US"/>
        </w:rPr>
        <w:t>và có thể gây nhiều hệ lụy nghiêm trọng</w:t>
      </w:r>
      <w:r w:rsidR="00943F64" w:rsidRPr="00344643">
        <w:rPr>
          <w:rFonts w:ascii="Times New Roman" w:hAnsi="Times New Roman" w:cs="Times New Roman"/>
          <w:noProof/>
          <w:sz w:val="27"/>
          <w:szCs w:val="27"/>
          <w:lang w:val="en-US"/>
        </w:rPr>
        <w:t>.</w:t>
      </w:r>
    </w:p>
    <w:p w14:paraId="4385797A" w14:textId="289A1F6C" w:rsidR="00943F64" w:rsidRPr="00344643" w:rsidRDefault="00060C37" w:rsidP="00344643">
      <w:pPr>
        <w:pStyle w:val="ListParagraph"/>
        <w:numPr>
          <w:ilvl w:val="0"/>
          <w:numId w:val="34"/>
        </w:numPr>
        <w:snapToGrid w:val="0"/>
        <w:spacing w:before="40" w:after="120" w:line="312" w:lineRule="auto"/>
        <w:ind w:left="360"/>
        <w:contextualSpacing w:val="0"/>
        <w:jc w:val="both"/>
        <w:rPr>
          <w:rFonts w:ascii="Times New Roman" w:hAnsi="Times New Roman" w:cs="Times New Roman"/>
          <w:noProof/>
          <w:sz w:val="27"/>
          <w:szCs w:val="27"/>
          <w:lang w:val="en-US"/>
        </w:rPr>
      </w:pPr>
      <w:r w:rsidRPr="00344643">
        <w:rPr>
          <w:rFonts w:ascii="Times New Roman" w:hAnsi="Times New Roman" w:cs="Times New Roman"/>
          <w:b/>
          <w:bCs/>
          <w:noProof/>
          <w:sz w:val="27"/>
          <w:szCs w:val="27"/>
          <w:lang w:val="en-US"/>
        </w:rPr>
        <w:t>Quy định như Dự thảo có nguy cơ ả</w:t>
      </w:r>
      <w:r w:rsidR="00943F64" w:rsidRPr="00344643">
        <w:rPr>
          <w:rFonts w:ascii="Times New Roman" w:hAnsi="Times New Roman" w:cs="Times New Roman"/>
          <w:b/>
          <w:bCs/>
          <w:noProof/>
          <w:sz w:val="27"/>
          <w:szCs w:val="27"/>
          <w:lang w:val="en-US"/>
        </w:rPr>
        <w:t xml:space="preserve">nh hưởng </w:t>
      </w:r>
      <w:r w:rsidR="0055117A" w:rsidRPr="00344643">
        <w:rPr>
          <w:rFonts w:ascii="Times New Roman" w:hAnsi="Times New Roman" w:cs="Times New Roman"/>
          <w:b/>
          <w:bCs/>
          <w:noProof/>
          <w:sz w:val="27"/>
          <w:szCs w:val="27"/>
          <w:lang w:val="en-US"/>
        </w:rPr>
        <w:t xml:space="preserve">tiêu cực </w:t>
      </w:r>
      <w:r w:rsidR="00943F64" w:rsidRPr="00344643">
        <w:rPr>
          <w:rFonts w:ascii="Times New Roman" w:hAnsi="Times New Roman" w:cs="Times New Roman"/>
          <w:b/>
          <w:bCs/>
          <w:noProof/>
          <w:sz w:val="27"/>
          <w:szCs w:val="27"/>
          <w:lang w:val="en-US"/>
        </w:rPr>
        <w:t>đến các cá nhân kinh doanh, hộ kinh doanh nhỏ</w:t>
      </w:r>
      <w:r w:rsidR="00943F64" w:rsidRPr="00344643">
        <w:rPr>
          <w:rFonts w:ascii="Times New Roman" w:hAnsi="Times New Roman" w:cs="Times New Roman"/>
          <w:noProof/>
          <w:sz w:val="27"/>
          <w:szCs w:val="27"/>
          <w:lang w:val="en-US"/>
        </w:rPr>
        <w:t>:</w:t>
      </w:r>
      <w:r w:rsidRPr="00344643">
        <w:rPr>
          <w:rFonts w:ascii="Times New Roman" w:hAnsi="Times New Roman" w:cs="Times New Roman"/>
          <w:noProof/>
          <w:sz w:val="27"/>
          <w:szCs w:val="27"/>
          <w:lang w:val="en-US"/>
        </w:rPr>
        <w:t xml:space="preserve"> </w:t>
      </w:r>
      <w:r w:rsidR="00943F64" w:rsidRPr="00344643">
        <w:rPr>
          <w:rFonts w:ascii="Times New Roman" w:hAnsi="Times New Roman" w:cs="Times New Roman"/>
          <w:noProof/>
          <w:sz w:val="27"/>
          <w:szCs w:val="27"/>
          <w:lang w:val="en-US"/>
        </w:rPr>
        <w:t xml:space="preserve">Quy định yêu cầu sàn thương mại điện tử khai và nộp thuế thay có thể tác động tiêu cực đến nhóm kinh doanh nhỏ, </w:t>
      </w:r>
      <w:r w:rsidR="00943F64" w:rsidRPr="00344643">
        <w:rPr>
          <w:rFonts w:ascii="Times New Roman" w:hAnsi="Times New Roman" w:cs="Times New Roman"/>
          <w:noProof/>
          <w:sz w:val="27"/>
          <w:szCs w:val="27"/>
        </w:rPr>
        <w:t>hộ</w:t>
      </w:r>
      <w:r w:rsidR="00943F64" w:rsidRPr="00344643">
        <w:rPr>
          <w:rFonts w:ascii="Times New Roman" w:hAnsi="Times New Roman" w:cs="Times New Roman"/>
          <w:noProof/>
          <w:sz w:val="27"/>
          <w:szCs w:val="27"/>
          <w:lang w:val="en-US"/>
        </w:rPr>
        <w:t xml:space="preserve"> kinh doanh. Trong nhiều trường hợp, quy định này có thể </w:t>
      </w:r>
      <w:r w:rsidR="00B526A2" w:rsidRPr="00344643">
        <w:rPr>
          <w:rFonts w:ascii="Times New Roman" w:hAnsi="Times New Roman" w:cs="Times New Roman"/>
          <w:noProof/>
          <w:sz w:val="27"/>
          <w:szCs w:val="27"/>
          <w:lang w:val="en-US"/>
        </w:rPr>
        <w:t xml:space="preserve">dẫn đến tình huống người bán hàng nhỏ lẻ có mức doanh thu dưới 100 triệu đồng cũng </w:t>
      </w:r>
      <w:r w:rsidR="0055117A" w:rsidRPr="00344643">
        <w:rPr>
          <w:rFonts w:ascii="Times New Roman" w:hAnsi="Times New Roman" w:cs="Times New Roman"/>
          <w:noProof/>
          <w:sz w:val="27"/>
          <w:szCs w:val="27"/>
          <w:lang w:val="en-US"/>
        </w:rPr>
        <w:t xml:space="preserve">phải </w:t>
      </w:r>
      <w:r w:rsidR="00B526A2" w:rsidRPr="00344643">
        <w:rPr>
          <w:rFonts w:ascii="Times New Roman" w:hAnsi="Times New Roman" w:cs="Times New Roman"/>
          <w:noProof/>
          <w:sz w:val="27"/>
          <w:szCs w:val="27"/>
          <w:lang w:val="en-US"/>
        </w:rPr>
        <w:t>bị trừ thuế</w:t>
      </w:r>
      <w:r w:rsidR="0055117A" w:rsidRPr="00344643">
        <w:rPr>
          <w:rFonts w:ascii="Times New Roman" w:hAnsi="Times New Roman" w:cs="Times New Roman"/>
          <w:noProof/>
          <w:sz w:val="27"/>
          <w:szCs w:val="27"/>
          <w:lang w:val="en-US"/>
        </w:rPr>
        <w:t xml:space="preserve"> trên mỗi giao dịch, </w:t>
      </w:r>
      <w:r w:rsidR="00943F64" w:rsidRPr="00344643">
        <w:rPr>
          <w:rFonts w:ascii="Times New Roman" w:hAnsi="Times New Roman" w:cs="Times New Roman"/>
          <w:noProof/>
          <w:sz w:val="27"/>
          <w:szCs w:val="27"/>
          <w:lang w:val="en-US"/>
        </w:rPr>
        <w:t>ảnh hưởng trực tiếp đến sinh kế của nhóm đối tượng dễ bị tổn thương này. Điều này không phù hợp với mục tiêu chính sách của Nhà nước về việc tháo gỡ khó khăn và thúc đẩy phát triển kinh tế - xã hội.</w:t>
      </w:r>
    </w:p>
    <w:p w14:paraId="4D0B1841" w14:textId="4EE30BAF" w:rsidR="00344643" w:rsidRPr="00344643" w:rsidRDefault="00060C37"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Trong bối cảnh đó, nghiên cứu này cho rằng để có thể đảm bảo tính hợp lý và khả thi của Dự thảo thì nhất thiết phải </w:t>
      </w:r>
      <w:r w:rsidR="00943F64" w:rsidRPr="00344643">
        <w:rPr>
          <w:rFonts w:ascii="Times New Roman" w:hAnsi="Times New Roman" w:cs="Times New Roman"/>
          <w:noProof/>
          <w:sz w:val="27"/>
          <w:szCs w:val="27"/>
          <w:lang w:val="en-US"/>
        </w:rPr>
        <w:t>có sự chuẩn bị</w:t>
      </w:r>
      <w:r w:rsidRPr="00344643">
        <w:rPr>
          <w:rFonts w:ascii="Times New Roman" w:hAnsi="Times New Roman" w:cs="Times New Roman"/>
          <w:noProof/>
          <w:sz w:val="27"/>
          <w:szCs w:val="27"/>
          <w:lang w:val="en-US"/>
        </w:rPr>
        <w:t xml:space="preserve"> sẵn sàng</w:t>
      </w:r>
      <w:r w:rsidR="00943F64" w:rsidRPr="00344643">
        <w:rPr>
          <w:rFonts w:ascii="Times New Roman" w:hAnsi="Times New Roman" w:cs="Times New Roman"/>
          <w:noProof/>
          <w:sz w:val="27"/>
          <w:szCs w:val="27"/>
          <w:lang w:val="en-US"/>
        </w:rPr>
        <w:t xml:space="preserve"> trước khi ban hành quy định</w:t>
      </w:r>
      <w:r w:rsidRPr="00344643">
        <w:rPr>
          <w:rFonts w:ascii="Times New Roman" w:hAnsi="Times New Roman" w:cs="Times New Roman"/>
          <w:noProof/>
          <w:sz w:val="27"/>
          <w:szCs w:val="27"/>
          <w:lang w:val="en-US"/>
        </w:rPr>
        <w:t>.</w:t>
      </w:r>
      <w:r w:rsidR="00943F64" w:rsidRPr="00344643">
        <w:rPr>
          <w:rFonts w:ascii="Times New Roman" w:hAnsi="Times New Roman" w:cs="Times New Roman"/>
          <w:noProof/>
          <w:sz w:val="27"/>
          <w:szCs w:val="27"/>
          <w:lang w:val="en-US"/>
        </w:rPr>
        <w:t xml:space="preserve"> Điều này bao gồm việc</w:t>
      </w:r>
      <w:r w:rsidRPr="00344643">
        <w:rPr>
          <w:rFonts w:ascii="Times New Roman" w:hAnsi="Times New Roman" w:cs="Times New Roman"/>
          <w:noProof/>
          <w:sz w:val="27"/>
          <w:szCs w:val="27"/>
          <w:lang w:val="en-US"/>
        </w:rPr>
        <w:t xml:space="preserve"> rà soát, hoàn thiện hệ thống pháp luật về thuế để đảm bảo tính thống nhất giữa các văn bản cũng như </w:t>
      </w:r>
      <w:r w:rsidR="00B526A2" w:rsidRPr="00344643">
        <w:rPr>
          <w:rFonts w:ascii="Times New Roman" w:hAnsi="Times New Roman" w:cs="Times New Roman"/>
          <w:noProof/>
          <w:sz w:val="27"/>
          <w:szCs w:val="27"/>
          <w:lang w:val="en-US"/>
        </w:rPr>
        <w:t>tính khả thi cho việc</w:t>
      </w:r>
      <w:r w:rsidRPr="00344643">
        <w:rPr>
          <w:rFonts w:ascii="Times New Roman" w:hAnsi="Times New Roman" w:cs="Times New Roman"/>
          <w:noProof/>
          <w:sz w:val="27"/>
          <w:szCs w:val="27"/>
          <w:lang w:val="en-US"/>
        </w:rPr>
        <w:t xml:space="preserve"> tuân thủ. Bên cạnh đó, cũng cần </w:t>
      </w:r>
      <w:r w:rsidR="00943F64" w:rsidRPr="00344643">
        <w:rPr>
          <w:rFonts w:ascii="Times New Roman" w:hAnsi="Times New Roman" w:cs="Times New Roman"/>
          <w:noProof/>
          <w:sz w:val="27"/>
          <w:szCs w:val="27"/>
          <w:lang w:val="en-US"/>
        </w:rPr>
        <w:t xml:space="preserve"> phát triển các công cụ tính toán thuế tự động và dễ dàng, tương tự như các hệ thống tại Liên minh Châu Âu và các quốc gia khác, nhằm đảm bảo </w:t>
      </w:r>
      <w:r w:rsidR="00943F64" w:rsidRPr="00344643">
        <w:rPr>
          <w:rFonts w:ascii="Times New Roman" w:hAnsi="Times New Roman" w:cs="Times New Roman"/>
          <w:noProof/>
          <w:sz w:val="27"/>
          <w:szCs w:val="27"/>
        </w:rPr>
        <w:t>tính</w:t>
      </w:r>
      <w:r w:rsidR="00943F64" w:rsidRPr="00344643">
        <w:rPr>
          <w:rFonts w:ascii="Times New Roman" w:hAnsi="Times New Roman" w:cs="Times New Roman"/>
          <w:noProof/>
          <w:sz w:val="27"/>
          <w:szCs w:val="27"/>
          <w:lang w:val="en-US"/>
        </w:rPr>
        <w:t xml:space="preserve"> hiệu quả và tránh tạo thêm gánh nặng không cần thiết cho các bên liên quan.</w:t>
      </w:r>
    </w:p>
    <w:p w14:paraId="28C3CF9C" w14:textId="77777777" w:rsidR="00344643" w:rsidRDefault="00344643" w:rsidP="00344643">
      <w:pPr>
        <w:snapToGrid w:val="0"/>
        <w:spacing w:before="40" w:after="120" w:line="312" w:lineRule="auto"/>
        <w:rPr>
          <w:rFonts w:ascii="Times New Roman" w:hAnsi="Times New Roman" w:cs="Times New Roman"/>
          <w:b/>
          <w:bCs/>
          <w:caps/>
          <w:noProof/>
          <w:sz w:val="27"/>
          <w:szCs w:val="27"/>
          <w:lang w:val="en-US"/>
        </w:rPr>
      </w:pPr>
    </w:p>
    <w:p w14:paraId="702CBD89" w14:textId="6011DFCE" w:rsidR="00943F64" w:rsidRPr="00344643" w:rsidRDefault="000115FB" w:rsidP="00344643">
      <w:pPr>
        <w:snapToGrid w:val="0"/>
        <w:spacing w:before="40" w:after="120" w:line="312" w:lineRule="auto"/>
        <w:rPr>
          <w:rFonts w:ascii="Times New Roman" w:hAnsi="Times New Roman" w:cs="Times New Roman"/>
          <w:b/>
          <w:bCs/>
          <w:noProof/>
          <w:sz w:val="28"/>
          <w:szCs w:val="28"/>
        </w:rPr>
      </w:pPr>
      <w:r w:rsidRPr="00344643">
        <w:rPr>
          <w:rFonts w:ascii="Times New Roman" w:hAnsi="Times New Roman" w:cs="Times New Roman"/>
          <w:b/>
          <w:bCs/>
          <w:caps/>
          <w:noProof/>
          <w:sz w:val="28"/>
          <w:szCs w:val="28"/>
          <w:lang w:val="en-US"/>
        </w:rPr>
        <w:t xml:space="preserve">NỘI DUNG </w:t>
      </w:r>
      <w:r w:rsidR="00EB5B4E" w:rsidRPr="00344643">
        <w:rPr>
          <w:rFonts w:ascii="Times New Roman" w:hAnsi="Times New Roman" w:cs="Times New Roman"/>
          <w:b/>
          <w:bCs/>
          <w:caps/>
          <w:noProof/>
          <w:sz w:val="28"/>
          <w:szCs w:val="28"/>
          <w:lang w:val="en-US"/>
        </w:rPr>
        <w:t>chi tiết</w:t>
      </w:r>
    </w:p>
    <w:p w14:paraId="2E08576A" w14:textId="3DAE4A95" w:rsidR="00956234" w:rsidRPr="00344643" w:rsidRDefault="003B6E90" w:rsidP="00344643">
      <w:pPr>
        <w:snapToGrid w:val="0"/>
        <w:spacing w:before="40" w:after="120" w:line="312" w:lineRule="auto"/>
        <w:jc w:val="both"/>
        <w:rPr>
          <w:rFonts w:ascii="Times New Roman" w:hAnsi="Times New Roman" w:cs="Times New Roman"/>
          <w:noProof/>
          <w:sz w:val="27"/>
          <w:szCs w:val="27"/>
        </w:rPr>
      </w:pPr>
      <w:r w:rsidRPr="00344643">
        <w:rPr>
          <w:rFonts w:ascii="Times New Roman" w:hAnsi="Times New Roman" w:cs="Times New Roman"/>
          <w:noProof/>
          <w:sz w:val="27"/>
          <w:szCs w:val="27"/>
        </w:rPr>
        <w:t>Dự án Luật</w:t>
      </w:r>
      <w:r w:rsidR="004C000E" w:rsidRPr="00344643">
        <w:rPr>
          <w:rFonts w:ascii="Times New Roman" w:hAnsi="Times New Roman" w:cs="Times New Roman"/>
          <w:noProof/>
          <w:sz w:val="27"/>
          <w:szCs w:val="27"/>
        </w:rPr>
        <w:t xml:space="preserve"> sửa đổi, bổ sung một số điều của Luật Chứng khoán, Luật Kế toán, Luật Kiểm toán độc lập, Luật Ngân sách nhà nước, Luật Quản lý, sử dụng tài sản công, Luật Quản lý thuế, Luật Dự trữ quốc gia</w:t>
      </w:r>
      <w:r w:rsidR="00B92198" w:rsidRPr="00344643">
        <w:rPr>
          <w:rFonts w:ascii="Times New Roman" w:hAnsi="Times New Roman" w:cs="Times New Roman"/>
          <w:noProof/>
          <w:sz w:val="27"/>
          <w:szCs w:val="27"/>
        </w:rPr>
        <w:t xml:space="preserve"> (sau đây gọi tắt là “</w:t>
      </w:r>
      <w:r w:rsidR="00B92198" w:rsidRPr="00344643">
        <w:rPr>
          <w:rFonts w:ascii="Times New Roman" w:hAnsi="Times New Roman" w:cs="Times New Roman"/>
          <w:b/>
          <w:bCs/>
          <w:noProof/>
          <w:sz w:val="27"/>
          <w:szCs w:val="27"/>
        </w:rPr>
        <w:t>Dự thảo</w:t>
      </w:r>
      <w:r w:rsidR="00C27CC7" w:rsidRPr="00344643">
        <w:rPr>
          <w:rFonts w:ascii="Times New Roman" w:hAnsi="Times New Roman" w:cs="Times New Roman"/>
          <w:b/>
          <w:bCs/>
          <w:noProof/>
          <w:sz w:val="27"/>
          <w:szCs w:val="27"/>
        </w:rPr>
        <w:t xml:space="preserve"> Luật</w:t>
      </w:r>
      <w:r w:rsidR="00B92198" w:rsidRPr="00344643">
        <w:rPr>
          <w:rFonts w:ascii="Times New Roman" w:hAnsi="Times New Roman" w:cs="Times New Roman"/>
          <w:noProof/>
          <w:sz w:val="27"/>
          <w:szCs w:val="27"/>
        </w:rPr>
        <w:t>”)</w:t>
      </w:r>
      <w:r w:rsidRPr="00344643">
        <w:rPr>
          <w:rFonts w:ascii="Times New Roman" w:hAnsi="Times New Roman" w:cs="Times New Roman"/>
          <w:noProof/>
          <w:sz w:val="27"/>
          <w:szCs w:val="27"/>
        </w:rPr>
        <w:t xml:space="preserve"> đã được </w:t>
      </w:r>
      <w:r w:rsidR="0091165B" w:rsidRPr="00344643">
        <w:rPr>
          <w:rFonts w:ascii="Times New Roman" w:hAnsi="Times New Roman" w:cs="Times New Roman"/>
          <w:noProof/>
          <w:sz w:val="27"/>
          <w:szCs w:val="27"/>
        </w:rPr>
        <w:t xml:space="preserve">soạn thảo và đang </w:t>
      </w:r>
      <w:r w:rsidR="00074C74" w:rsidRPr="00344643">
        <w:rPr>
          <w:rFonts w:ascii="Times New Roman" w:hAnsi="Times New Roman" w:cs="Times New Roman"/>
          <w:noProof/>
          <w:sz w:val="27"/>
          <w:szCs w:val="27"/>
        </w:rPr>
        <w:t xml:space="preserve">từng bước </w:t>
      </w:r>
      <w:r w:rsidR="0091165B" w:rsidRPr="00344643">
        <w:rPr>
          <w:rFonts w:ascii="Times New Roman" w:hAnsi="Times New Roman" w:cs="Times New Roman"/>
          <w:noProof/>
          <w:sz w:val="27"/>
          <w:szCs w:val="27"/>
        </w:rPr>
        <w:t>hoàn thiện</w:t>
      </w:r>
      <w:r w:rsidR="00FB7D4C" w:rsidRPr="00344643">
        <w:rPr>
          <w:rFonts w:ascii="Times New Roman" w:hAnsi="Times New Roman" w:cs="Times New Roman"/>
          <w:noProof/>
          <w:sz w:val="27"/>
          <w:szCs w:val="27"/>
        </w:rPr>
        <w:t>.</w:t>
      </w:r>
      <w:r w:rsidR="0091165B" w:rsidRPr="00344643">
        <w:rPr>
          <w:rFonts w:ascii="Times New Roman" w:hAnsi="Times New Roman" w:cs="Times New Roman"/>
          <w:noProof/>
          <w:sz w:val="27"/>
          <w:szCs w:val="27"/>
        </w:rPr>
        <w:t xml:space="preserve"> Tham luận này</w:t>
      </w:r>
      <w:r w:rsidR="00806882" w:rsidRPr="00344643">
        <w:rPr>
          <w:rFonts w:ascii="Times New Roman" w:hAnsi="Times New Roman" w:cs="Times New Roman"/>
          <w:noProof/>
          <w:sz w:val="27"/>
          <w:szCs w:val="27"/>
        </w:rPr>
        <w:t xml:space="preserve"> tập trung vào bình luận một số quy định liên quan đến quản lý thuế trong dự thảo từ góc nhìn lý thuyết.</w:t>
      </w:r>
    </w:p>
    <w:p w14:paraId="7BFF1CB9" w14:textId="110E4584" w:rsidR="00CB0520" w:rsidRPr="00344643" w:rsidRDefault="00CB0520" w:rsidP="00344643">
      <w:pPr>
        <w:snapToGrid w:val="0"/>
        <w:spacing w:before="40" w:after="120" w:line="312" w:lineRule="auto"/>
        <w:jc w:val="both"/>
        <w:rPr>
          <w:rFonts w:ascii="Times New Roman" w:hAnsi="Times New Roman" w:cs="Times New Roman"/>
          <w:bCs/>
          <w:noProof/>
          <w:sz w:val="27"/>
          <w:szCs w:val="27"/>
          <w:lang w:val="en-US"/>
        </w:rPr>
      </w:pPr>
      <w:r w:rsidRPr="00344643">
        <w:rPr>
          <w:rFonts w:ascii="Times New Roman" w:hAnsi="Times New Roman" w:cs="Times New Roman"/>
          <w:bCs/>
          <w:noProof/>
          <w:sz w:val="27"/>
          <w:szCs w:val="27"/>
        </w:rPr>
        <w:t>Trong lần sửa đổi này, Ban soạn thảo hướng đến 03 chính sách</w:t>
      </w:r>
      <w:r w:rsidR="00956234" w:rsidRPr="00344643">
        <w:rPr>
          <w:rFonts w:ascii="Times New Roman" w:hAnsi="Times New Roman" w:cs="Times New Roman"/>
          <w:bCs/>
          <w:noProof/>
          <w:sz w:val="27"/>
          <w:szCs w:val="27"/>
          <w:lang w:val="en-US"/>
        </w:rPr>
        <w:t>:</w:t>
      </w:r>
    </w:p>
    <w:p w14:paraId="784DA8C2" w14:textId="25C66EF5" w:rsidR="00CB0520" w:rsidRPr="00344643" w:rsidRDefault="00CB0520" w:rsidP="00344643">
      <w:pPr>
        <w:pStyle w:val="ListParagraph"/>
        <w:numPr>
          <w:ilvl w:val="0"/>
          <w:numId w:val="32"/>
        </w:numPr>
        <w:snapToGrid w:val="0"/>
        <w:spacing w:before="40" w:after="120" w:line="312" w:lineRule="auto"/>
        <w:contextualSpacing w:val="0"/>
        <w:jc w:val="both"/>
        <w:rPr>
          <w:rFonts w:ascii="Times New Roman" w:hAnsi="Times New Roman" w:cs="Times New Roman"/>
          <w:noProof/>
          <w:sz w:val="27"/>
          <w:szCs w:val="27"/>
        </w:rPr>
      </w:pPr>
      <w:r w:rsidRPr="00344643">
        <w:rPr>
          <w:rFonts w:ascii="Times New Roman" w:hAnsi="Times New Roman" w:cs="Times New Roman"/>
          <w:noProof/>
          <w:sz w:val="27"/>
          <w:szCs w:val="27"/>
        </w:rPr>
        <w:t xml:space="preserve">Chính sách 01: </w:t>
      </w:r>
      <w:r w:rsidR="00675289" w:rsidRPr="00344643">
        <w:rPr>
          <w:rFonts w:ascii="Times New Roman" w:hAnsi="Times New Roman" w:cs="Times New Roman"/>
          <w:noProof/>
          <w:sz w:val="27"/>
          <w:szCs w:val="27"/>
          <w:lang w:val="en-US"/>
        </w:rPr>
        <w:t>N</w:t>
      </w:r>
      <w:r w:rsidRPr="00344643">
        <w:rPr>
          <w:rFonts w:ascii="Times New Roman" w:hAnsi="Times New Roman" w:cs="Times New Roman"/>
          <w:noProof/>
          <w:sz w:val="27"/>
          <w:szCs w:val="27"/>
        </w:rPr>
        <w:t>âng cao hiệu lực hiệu quả quản lý thuế, tăng cường trách nhiệm công vụ để đảm bảo công bằng, bình đẳng, minh bạch, thống nhất trong hệ thống văn bản pháp luật.</w:t>
      </w:r>
    </w:p>
    <w:p w14:paraId="781DE610" w14:textId="63E28080" w:rsidR="00CB0520" w:rsidRPr="00344643" w:rsidRDefault="00CB0520" w:rsidP="00344643">
      <w:pPr>
        <w:pStyle w:val="ListParagraph"/>
        <w:numPr>
          <w:ilvl w:val="0"/>
          <w:numId w:val="32"/>
        </w:numPr>
        <w:snapToGrid w:val="0"/>
        <w:spacing w:before="40" w:after="120" w:line="312" w:lineRule="auto"/>
        <w:contextualSpacing w:val="0"/>
        <w:jc w:val="both"/>
        <w:rPr>
          <w:rFonts w:ascii="Times New Roman" w:hAnsi="Times New Roman" w:cs="Times New Roman"/>
          <w:noProof/>
          <w:sz w:val="27"/>
          <w:szCs w:val="27"/>
        </w:rPr>
      </w:pPr>
      <w:r w:rsidRPr="00344643">
        <w:rPr>
          <w:rFonts w:ascii="Times New Roman" w:hAnsi="Times New Roman" w:cs="Times New Roman"/>
          <w:noProof/>
          <w:sz w:val="27"/>
          <w:szCs w:val="27"/>
        </w:rPr>
        <w:t>Chính sách 02: Tạo nguồn lực cho phát triển kinh tế xã hội thông qua mở rộng cơ sở thu, chống thất thu thuế, nhất là hoạt động thương mại điện tử, kinh doanh dựa trên nền tảng số.</w:t>
      </w:r>
    </w:p>
    <w:p w14:paraId="2F86D7A0" w14:textId="242C3A69" w:rsidR="00CB0520" w:rsidRPr="00344643" w:rsidRDefault="00CB0520" w:rsidP="00344643">
      <w:pPr>
        <w:pStyle w:val="ListParagraph"/>
        <w:numPr>
          <w:ilvl w:val="0"/>
          <w:numId w:val="32"/>
        </w:numPr>
        <w:snapToGrid w:val="0"/>
        <w:spacing w:before="40" w:after="120" w:line="312" w:lineRule="auto"/>
        <w:contextualSpacing w:val="0"/>
        <w:rPr>
          <w:rFonts w:ascii="Times New Roman" w:hAnsi="Times New Roman" w:cs="Times New Roman"/>
          <w:noProof/>
          <w:sz w:val="27"/>
          <w:szCs w:val="27"/>
        </w:rPr>
      </w:pPr>
      <w:r w:rsidRPr="00344643">
        <w:rPr>
          <w:rFonts w:ascii="Times New Roman" w:hAnsi="Times New Roman" w:cs="Times New Roman"/>
          <w:noProof/>
          <w:sz w:val="27"/>
          <w:szCs w:val="27"/>
        </w:rPr>
        <w:t>Chính sách 03: hiện đại hóa công tác quản lý thuế, đẩy mạnh triển khai chuyển đổi số, hóa đơn điện tử tạo động lực tăng trưởng kinh tế.</w:t>
      </w:r>
    </w:p>
    <w:p w14:paraId="785D218E" w14:textId="0126B351" w:rsidR="00E74B5C" w:rsidRPr="00344643" w:rsidRDefault="00CB0520"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rPr>
        <w:lastRenderedPageBreak/>
        <w:t>Chúng tôi hoàn toàn nhất trí với các chính sách này từ cách xác định mục tiêu và vấn đề chính sách</w:t>
      </w:r>
      <w:r w:rsidR="00E74B5C" w:rsidRPr="00344643">
        <w:rPr>
          <w:rFonts w:ascii="Times New Roman" w:hAnsi="Times New Roman" w:cs="Times New Roman"/>
          <w:noProof/>
          <w:sz w:val="27"/>
          <w:szCs w:val="27"/>
        </w:rPr>
        <w:t xml:space="preserve">. Tuy nhiên, giải pháp chính sách, căn cứ theo Báo cáo </w:t>
      </w:r>
      <w:r w:rsidR="00E74B5C" w:rsidRPr="00344643">
        <w:rPr>
          <w:rFonts w:ascii="Times New Roman" w:hAnsi="Times New Roman" w:cs="Times New Roman"/>
          <w:i/>
          <w:iCs/>
          <w:noProof/>
          <w:sz w:val="27"/>
          <w:szCs w:val="27"/>
        </w:rPr>
        <w:t>“Đánh giá tác động của chính sách trong đề nghị xây dựng dự án một luật sửa đổi, bổ sung một số điều tại các luật thuộc lĩnh vực quản lý nhà nước của Bộ Tài chính nhằm thúc đẩy tăng trưởng, kiểm soát lạm phát và ổn định kinh tế vĩ mô</w:t>
      </w:r>
      <w:r w:rsidR="00E74B5C" w:rsidRPr="00344643">
        <w:rPr>
          <w:rFonts w:ascii="Times New Roman" w:hAnsi="Times New Roman" w:cs="Times New Roman"/>
          <w:i/>
          <w:iCs/>
          <w:noProof/>
          <w:sz w:val="27"/>
          <w:szCs w:val="27"/>
          <w:lang w:val="en-US"/>
        </w:rPr>
        <w:t>”</w:t>
      </w:r>
      <w:r w:rsidR="00E74B5C" w:rsidRPr="00344643">
        <w:rPr>
          <w:rFonts w:ascii="Times New Roman" w:hAnsi="Times New Roman" w:cs="Times New Roman"/>
          <w:noProof/>
          <w:sz w:val="27"/>
          <w:szCs w:val="27"/>
        </w:rPr>
        <w:t xml:space="preserve"> số: 204/BC-BTC ngày 20 tháng 8 năm 2024 của Bộ Tài chính cũng như Dự thảo, chúng tôi thấy cần thiết phải trao đổi thêm </w:t>
      </w:r>
      <w:r w:rsidR="00BD41B6" w:rsidRPr="00344643">
        <w:rPr>
          <w:rFonts w:ascii="Times New Roman" w:hAnsi="Times New Roman" w:cs="Times New Roman"/>
          <w:noProof/>
          <w:sz w:val="27"/>
          <w:szCs w:val="27"/>
          <w:lang w:val="en-US"/>
        </w:rPr>
        <w:t>một số điểm</w:t>
      </w:r>
      <w:r w:rsidR="008A45DF" w:rsidRPr="00344643">
        <w:rPr>
          <w:rFonts w:ascii="Times New Roman" w:hAnsi="Times New Roman" w:cs="Times New Roman"/>
          <w:noProof/>
          <w:sz w:val="27"/>
          <w:szCs w:val="27"/>
          <w:lang w:val="en-US"/>
        </w:rPr>
        <w:t xml:space="preserve"> liên quan đến trách nhiệm khai thuế thay, nộp thuế thay.</w:t>
      </w:r>
    </w:p>
    <w:p w14:paraId="2A6D7456" w14:textId="27C051F6" w:rsidR="00BD41B6" w:rsidRPr="00344643" w:rsidRDefault="008A45DF"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Nhằm thực hiện chính sách 02, </w:t>
      </w:r>
      <w:r w:rsidR="00BD41B6" w:rsidRPr="00344643">
        <w:rPr>
          <w:rFonts w:ascii="Times New Roman" w:hAnsi="Times New Roman" w:cs="Times New Roman"/>
          <w:noProof/>
          <w:sz w:val="27"/>
          <w:szCs w:val="27"/>
          <w:lang w:val="en-US"/>
        </w:rPr>
        <w:t xml:space="preserve">Dự thảo đề xuất </w:t>
      </w:r>
      <w:r w:rsidR="00BD41B6" w:rsidRPr="00344643">
        <w:rPr>
          <w:rFonts w:ascii="Times New Roman" w:hAnsi="Times New Roman" w:cs="Times New Roman"/>
          <w:noProof/>
          <w:sz w:val="27"/>
          <w:szCs w:val="27"/>
        </w:rPr>
        <w:t xml:space="preserve">sửa đổi, bổ sung khoản 4 Điều 42 Luật Quản lý Thuế quy định </w:t>
      </w:r>
      <w:r w:rsidR="00BD41B6" w:rsidRPr="00344643">
        <w:rPr>
          <w:rFonts w:ascii="Times New Roman" w:hAnsi="Times New Roman" w:cs="Times New Roman"/>
          <w:i/>
          <w:iCs/>
          <w:noProof/>
          <w:sz w:val="27"/>
          <w:szCs w:val="27"/>
        </w:rPr>
        <w:t>các sàn giao dịch thương mại điện tử có trách nhiệm khai thuế thay, nộp thuế thay cho hộ kinh doanh, cá nhân kinh doanh</w:t>
      </w:r>
      <w:r w:rsidR="00675289" w:rsidRPr="00344643">
        <w:rPr>
          <w:rFonts w:ascii="Times New Roman" w:hAnsi="Times New Roman" w:cs="Times New Roman"/>
          <w:i/>
          <w:iCs/>
          <w:noProof/>
          <w:sz w:val="27"/>
          <w:szCs w:val="27"/>
          <w:lang w:val="en-US"/>
        </w:rPr>
        <w:t>.</w:t>
      </w:r>
    </w:p>
    <w:p w14:paraId="11AA9C60" w14:textId="0CE7F3D0" w:rsidR="00F523DB" w:rsidRPr="00344643" w:rsidRDefault="00F523DB"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Đây là câu hỏi được đặt ra từ khá lâu</w:t>
      </w:r>
      <w:r w:rsidR="005142CE" w:rsidRPr="00344643">
        <w:rPr>
          <w:rFonts w:ascii="Times New Roman" w:hAnsi="Times New Roman" w:cs="Times New Roman"/>
          <w:noProof/>
          <w:sz w:val="27"/>
          <w:szCs w:val="27"/>
          <w:lang w:val="en-US"/>
        </w:rPr>
        <w:t>, kể từ khi các hình thức bán hàng từ xa, bán hàng qua thư và đặc biệt từ khi xuất hiện thương mại điện tử. K</w:t>
      </w:r>
      <w:r w:rsidRPr="00344643">
        <w:rPr>
          <w:rFonts w:ascii="Times New Roman" w:hAnsi="Times New Roman" w:cs="Times New Roman"/>
          <w:noProof/>
          <w:sz w:val="27"/>
          <w:szCs w:val="27"/>
          <w:lang w:val="en-US"/>
        </w:rPr>
        <w:t>hông chỉ ở Việt Nam</w:t>
      </w:r>
      <w:r w:rsidR="005142CE" w:rsidRPr="00344643">
        <w:rPr>
          <w:rFonts w:ascii="Times New Roman" w:hAnsi="Times New Roman" w:cs="Times New Roman"/>
          <w:noProof/>
          <w:sz w:val="27"/>
          <w:szCs w:val="27"/>
          <w:lang w:val="en-US"/>
        </w:rPr>
        <w:t>, rất nhiều các quốc gia quan tâm đến câu hỏi này nhằm đề ra n</w:t>
      </w:r>
      <w:r w:rsidRPr="00344643">
        <w:rPr>
          <w:rFonts w:ascii="Times New Roman" w:hAnsi="Times New Roman" w:cs="Times New Roman"/>
          <w:noProof/>
          <w:sz w:val="27"/>
          <w:szCs w:val="27"/>
          <w:lang w:val="en-US"/>
        </w:rPr>
        <w:t xml:space="preserve">hững quy định đảm bảo rằng chính phủ có thể thu thuế một cách hiệu quả hơn từ các hoạt động thương mại điện tử và kinh tế chia sẻ, vốn </w:t>
      </w:r>
      <w:r w:rsidR="005142CE" w:rsidRPr="00344643">
        <w:rPr>
          <w:rFonts w:ascii="Times New Roman" w:hAnsi="Times New Roman" w:cs="Times New Roman"/>
          <w:noProof/>
          <w:sz w:val="27"/>
          <w:szCs w:val="27"/>
          <w:lang w:val="en-US"/>
        </w:rPr>
        <w:t>dĩ rất</w:t>
      </w:r>
      <w:r w:rsidRPr="00344643">
        <w:rPr>
          <w:rFonts w:ascii="Times New Roman" w:hAnsi="Times New Roman" w:cs="Times New Roman"/>
          <w:noProof/>
          <w:sz w:val="27"/>
          <w:szCs w:val="27"/>
          <w:lang w:val="en-US"/>
        </w:rPr>
        <w:t xml:space="preserve"> dễ </w:t>
      </w:r>
      <w:r w:rsidR="0055117A" w:rsidRPr="00344643">
        <w:rPr>
          <w:rFonts w:ascii="Times New Roman" w:hAnsi="Times New Roman" w:cs="Times New Roman"/>
          <w:noProof/>
          <w:sz w:val="27"/>
          <w:szCs w:val="27"/>
          <w:lang w:val="en-US"/>
        </w:rPr>
        <w:t xml:space="preserve">bị lợi dụng để </w:t>
      </w:r>
      <w:r w:rsidRPr="00344643">
        <w:rPr>
          <w:rFonts w:ascii="Times New Roman" w:hAnsi="Times New Roman" w:cs="Times New Roman"/>
          <w:noProof/>
          <w:sz w:val="27"/>
          <w:szCs w:val="27"/>
          <w:lang w:val="en-US"/>
        </w:rPr>
        <w:t>lách thuế do tính phi tập trung của chúng.</w:t>
      </w:r>
    </w:p>
    <w:p w14:paraId="59BF5B97" w14:textId="057965D9" w:rsidR="005142CE" w:rsidRPr="00344643" w:rsidRDefault="005142CE"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Như vậy đặt vấn đề khai thuế thay, nộp thuế thay không hẳn là mới </w:t>
      </w:r>
      <w:r w:rsidR="0055117A" w:rsidRPr="00344643">
        <w:rPr>
          <w:rFonts w:ascii="Times New Roman" w:hAnsi="Times New Roman" w:cs="Times New Roman"/>
          <w:noProof/>
          <w:sz w:val="27"/>
          <w:szCs w:val="27"/>
          <w:lang w:val="en-US"/>
        </w:rPr>
        <w:t>mà rất cần thiết</w:t>
      </w:r>
      <w:r w:rsidRPr="00344643">
        <w:rPr>
          <w:rFonts w:ascii="Times New Roman" w:hAnsi="Times New Roman" w:cs="Times New Roman"/>
          <w:noProof/>
          <w:sz w:val="27"/>
          <w:szCs w:val="27"/>
          <w:lang w:val="en-US"/>
        </w:rPr>
        <w:t xml:space="preserve">. Tuy vậy, </w:t>
      </w:r>
      <w:r w:rsidR="0055117A" w:rsidRPr="00344643">
        <w:rPr>
          <w:rFonts w:ascii="Times New Roman" w:hAnsi="Times New Roman" w:cs="Times New Roman"/>
          <w:noProof/>
          <w:sz w:val="27"/>
          <w:szCs w:val="27"/>
          <w:lang w:val="en-US"/>
        </w:rPr>
        <w:t xml:space="preserve">kê </w:t>
      </w:r>
      <w:r w:rsidRPr="00344643">
        <w:rPr>
          <w:rFonts w:ascii="Times New Roman" w:hAnsi="Times New Roman" w:cs="Times New Roman"/>
          <w:noProof/>
          <w:sz w:val="27"/>
          <w:szCs w:val="27"/>
          <w:lang w:val="en-US"/>
        </w:rPr>
        <w:t>khai thay, nộp thuế thay như thế nào, đối với đối tượng nào, loại thuế nào và cần điều kiện gì thì cần thiết phải</w:t>
      </w:r>
      <w:r w:rsidR="0055117A" w:rsidRPr="00344643">
        <w:rPr>
          <w:rFonts w:ascii="Times New Roman" w:hAnsi="Times New Roman" w:cs="Times New Roman"/>
          <w:noProof/>
          <w:sz w:val="27"/>
          <w:szCs w:val="27"/>
          <w:lang w:val="en-US"/>
        </w:rPr>
        <w:t xml:space="preserve"> xem</w:t>
      </w:r>
      <w:r w:rsidRPr="00344643">
        <w:rPr>
          <w:rFonts w:ascii="Times New Roman" w:hAnsi="Times New Roman" w:cs="Times New Roman"/>
          <w:noProof/>
          <w:sz w:val="27"/>
          <w:szCs w:val="27"/>
          <w:lang w:val="en-US"/>
        </w:rPr>
        <w:t xml:space="preserve"> xét</w:t>
      </w:r>
      <w:r w:rsidR="0055117A" w:rsidRPr="00344643">
        <w:rPr>
          <w:rFonts w:ascii="Times New Roman" w:hAnsi="Times New Roman" w:cs="Times New Roman"/>
          <w:noProof/>
          <w:sz w:val="27"/>
          <w:szCs w:val="27"/>
          <w:lang w:val="en-US"/>
        </w:rPr>
        <w:t xml:space="preserve">, nghiên cứu </w:t>
      </w:r>
      <w:r w:rsidRPr="00344643">
        <w:rPr>
          <w:rFonts w:ascii="Times New Roman" w:hAnsi="Times New Roman" w:cs="Times New Roman"/>
          <w:noProof/>
          <w:sz w:val="27"/>
          <w:szCs w:val="27"/>
          <w:lang w:val="en-US"/>
        </w:rPr>
        <w:t>một cách toàn diện</w:t>
      </w:r>
      <w:r w:rsidR="00F76A58" w:rsidRPr="00344643">
        <w:rPr>
          <w:rFonts w:ascii="Times New Roman" w:hAnsi="Times New Roman" w:cs="Times New Roman"/>
          <w:noProof/>
          <w:sz w:val="27"/>
          <w:szCs w:val="27"/>
          <w:lang w:val="en-US"/>
        </w:rPr>
        <w:t>.</w:t>
      </w:r>
    </w:p>
    <w:p w14:paraId="73F1F63D" w14:textId="2F50B5A2" w:rsidR="00956234" w:rsidRPr="00344643" w:rsidRDefault="00956234" w:rsidP="00344643">
      <w:pPr>
        <w:pStyle w:val="Heading2"/>
        <w:numPr>
          <w:ilvl w:val="0"/>
          <w:numId w:val="30"/>
        </w:numPr>
        <w:snapToGrid w:val="0"/>
        <w:spacing w:before="40" w:after="120" w:line="312" w:lineRule="auto"/>
        <w:rPr>
          <w:sz w:val="27"/>
          <w:szCs w:val="27"/>
        </w:rPr>
      </w:pPr>
      <w:r w:rsidRPr="00344643">
        <w:rPr>
          <w:sz w:val="27"/>
          <w:szCs w:val="27"/>
        </w:rPr>
        <w:t>Kinh nghiệm quốc tế</w:t>
      </w:r>
    </w:p>
    <w:p w14:paraId="0FDE0D1E" w14:textId="10880B8C" w:rsidR="00F76A58" w:rsidRPr="00344643" w:rsidRDefault="00F76A58" w:rsidP="00344643">
      <w:pPr>
        <w:pStyle w:val="ListParagraph"/>
        <w:numPr>
          <w:ilvl w:val="1"/>
          <w:numId w:val="30"/>
        </w:numPr>
        <w:snapToGrid w:val="0"/>
        <w:spacing w:before="40" w:after="120" w:line="312" w:lineRule="auto"/>
        <w:contextualSpacing w:val="0"/>
        <w:jc w:val="both"/>
        <w:rPr>
          <w:rFonts w:ascii="Times New Roman" w:hAnsi="Times New Roman" w:cs="Times New Roman"/>
          <w:b/>
          <w:i/>
          <w:iCs/>
          <w:noProof/>
          <w:sz w:val="27"/>
          <w:szCs w:val="27"/>
          <w:lang w:val="en-US"/>
        </w:rPr>
      </w:pPr>
      <w:r w:rsidRPr="00344643">
        <w:rPr>
          <w:rFonts w:ascii="Times New Roman" w:hAnsi="Times New Roman" w:cs="Times New Roman"/>
          <w:b/>
          <w:i/>
          <w:iCs/>
          <w:noProof/>
          <w:sz w:val="27"/>
          <w:szCs w:val="27"/>
          <w:lang w:val="en-US"/>
        </w:rPr>
        <w:t>Sàn chỉ thu hộ thuế gián thu đối với người bán hàng nước ngoài và khi hàng hóa dịch vụ của họ được tiêu dùng tại quốc gia thu thuế</w:t>
      </w:r>
    </w:p>
    <w:p w14:paraId="01780E35" w14:textId="355437B5" w:rsidR="003D6D44" w:rsidRPr="00344643" w:rsidRDefault="003D6D44"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Trên thế giới, một số quốc gia đã có quy định yêu cầu các sàn thương mại điện tử hoặc các nền tảng kinh tế chia sẻ phải </w:t>
      </w:r>
      <w:r w:rsidR="00675289" w:rsidRPr="00344643">
        <w:rPr>
          <w:rFonts w:ascii="Times New Roman" w:hAnsi="Times New Roman" w:cs="Times New Roman"/>
          <w:noProof/>
          <w:sz w:val="27"/>
          <w:szCs w:val="27"/>
          <w:lang w:val="en-US"/>
        </w:rPr>
        <w:t>khấu trừ thuế đối với các giao dich</w:t>
      </w:r>
      <w:r w:rsidRPr="00344643">
        <w:rPr>
          <w:rFonts w:ascii="Times New Roman" w:hAnsi="Times New Roman" w:cs="Times New Roman"/>
          <w:noProof/>
          <w:sz w:val="27"/>
          <w:szCs w:val="27"/>
          <w:lang w:val="en-US"/>
        </w:rPr>
        <w:t xml:space="preserve"> sử dụng nền tảng</w:t>
      </w:r>
      <w:r w:rsidR="00BD41B6" w:rsidRPr="00344643">
        <w:rPr>
          <w:rFonts w:ascii="Times New Roman" w:hAnsi="Times New Roman" w:cs="Times New Roman"/>
          <w:noProof/>
          <w:sz w:val="27"/>
          <w:szCs w:val="27"/>
          <w:lang w:val="en-US"/>
        </w:rPr>
        <w:t xml:space="preserve"> trung gian để kinh doanh. Chẳng hạn, tại </w:t>
      </w:r>
      <w:r w:rsidRPr="00344643">
        <w:rPr>
          <w:rFonts w:ascii="Times New Roman" w:hAnsi="Times New Roman" w:cs="Times New Roman"/>
          <w:noProof/>
          <w:sz w:val="27"/>
          <w:szCs w:val="27"/>
          <w:lang w:val="en-US"/>
        </w:rPr>
        <w:t xml:space="preserve">Liên minh </w:t>
      </w:r>
      <w:r w:rsidR="00675289" w:rsidRPr="00344643">
        <w:rPr>
          <w:rFonts w:ascii="Times New Roman" w:hAnsi="Times New Roman" w:cs="Times New Roman"/>
          <w:noProof/>
          <w:sz w:val="27"/>
          <w:szCs w:val="27"/>
          <w:lang w:val="en-US"/>
        </w:rPr>
        <w:t xml:space="preserve">Châu </w:t>
      </w:r>
      <w:r w:rsidRPr="00344643">
        <w:rPr>
          <w:rFonts w:ascii="Times New Roman" w:hAnsi="Times New Roman" w:cs="Times New Roman"/>
          <w:noProof/>
          <w:sz w:val="27"/>
          <w:szCs w:val="27"/>
          <w:lang w:val="en-US"/>
        </w:rPr>
        <w:t>Âu</w:t>
      </w:r>
      <w:r w:rsidR="00BD41B6" w:rsidRPr="00344643">
        <w:rPr>
          <w:rFonts w:ascii="Times New Roman" w:hAnsi="Times New Roman" w:cs="Times New Roman"/>
          <w:noProof/>
          <w:sz w:val="27"/>
          <w:szCs w:val="27"/>
          <w:lang w:val="en-US"/>
        </w:rPr>
        <w:t>, t</w:t>
      </w:r>
      <w:r w:rsidRPr="00344643">
        <w:rPr>
          <w:rFonts w:ascii="Times New Roman" w:hAnsi="Times New Roman" w:cs="Times New Roman"/>
          <w:noProof/>
          <w:sz w:val="27"/>
          <w:szCs w:val="27"/>
          <w:lang w:val="en-US"/>
        </w:rPr>
        <w:t xml:space="preserve">ừ ngày 1/7/2021, Liên minh </w:t>
      </w:r>
      <w:r w:rsidR="00675289" w:rsidRPr="00344643">
        <w:rPr>
          <w:rFonts w:ascii="Times New Roman" w:hAnsi="Times New Roman" w:cs="Times New Roman"/>
          <w:noProof/>
          <w:sz w:val="27"/>
          <w:szCs w:val="27"/>
          <w:lang w:val="en-US"/>
        </w:rPr>
        <w:t xml:space="preserve">Châu </w:t>
      </w:r>
      <w:r w:rsidRPr="00344643">
        <w:rPr>
          <w:rFonts w:ascii="Times New Roman" w:hAnsi="Times New Roman" w:cs="Times New Roman"/>
          <w:noProof/>
          <w:sz w:val="27"/>
          <w:szCs w:val="27"/>
          <w:lang w:val="en-US"/>
        </w:rPr>
        <w:t xml:space="preserve">Âu đã áp dụng Cơ chế Một cửa (One Stop Shop - OSS), </w:t>
      </w:r>
      <w:bookmarkStart w:id="1" w:name="_Hlk179904544"/>
      <w:r w:rsidRPr="00344643">
        <w:rPr>
          <w:rFonts w:ascii="Times New Roman" w:hAnsi="Times New Roman" w:cs="Times New Roman"/>
          <w:noProof/>
          <w:sz w:val="27"/>
          <w:szCs w:val="27"/>
          <w:lang w:val="en-US"/>
        </w:rPr>
        <w:t xml:space="preserve">yêu cầu các nền tảng thương mại điện tử </w:t>
      </w:r>
      <w:r w:rsidR="00521A8E" w:rsidRPr="00344643">
        <w:rPr>
          <w:rFonts w:ascii="Times New Roman" w:hAnsi="Times New Roman" w:cs="Times New Roman"/>
          <w:noProof/>
          <w:sz w:val="27"/>
          <w:szCs w:val="27"/>
          <w:lang w:val="en-US"/>
        </w:rPr>
        <w:t>khấu trừ</w:t>
      </w:r>
      <w:r w:rsidRPr="00344643">
        <w:rPr>
          <w:rFonts w:ascii="Times New Roman" w:hAnsi="Times New Roman" w:cs="Times New Roman"/>
          <w:noProof/>
          <w:sz w:val="27"/>
          <w:szCs w:val="27"/>
          <w:lang w:val="en-US"/>
        </w:rPr>
        <w:t xml:space="preserve"> và nộp thuế giá trị gia </w:t>
      </w:r>
      <w:bookmarkEnd w:id="1"/>
      <w:r w:rsidRPr="00344643">
        <w:rPr>
          <w:rFonts w:ascii="Times New Roman" w:hAnsi="Times New Roman" w:cs="Times New Roman"/>
          <w:noProof/>
          <w:sz w:val="27"/>
          <w:szCs w:val="27"/>
          <w:lang w:val="en-US"/>
        </w:rPr>
        <w:t xml:space="preserve">tăng (VAT) </w:t>
      </w:r>
      <w:r w:rsidR="00521A8E" w:rsidRPr="00344643">
        <w:rPr>
          <w:rFonts w:ascii="Times New Roman" w:hAnsi="Times New Roman" w:cs="Times New Roman"/>
          <w:noProof/>
          <w:sz w:val="27"/>
          <w:szCs w:val="27"/>
          <w:lang w:val="en-US"/>
        </w:rPr>
        <w:t xml:space="preserve">đối với các giao </w:t>
      </w:r>
      <w:r w:rsidR="0055117A" w:rsidRPr="00344643">
        <w:rPr>
          <w:rFonts w:ascii="Times New Roman" w:hAnsi="Times New Roman" w:cs="Times New Roman"/>
          <w:noProof/>
          <w:sz w:val="27"/>
          <w:szCs w:val="27"/>
          <w:lang w:val="en-US"/>
        </w:rPr>
        <w:t>dịch</w:t>
      </w:r>
      <w:r w:rsidR="00521A8E" w:rsidRPr="00344643">
        <w:rPr>
          <w:rFonts w:ascii="Times New Roman" w:hAnsi="Times New Roman" w:cs="Times New Roman"/>
          <w:noProof/>
          <w:sz w:val="27"/>
          <w:szCs w:val="27"/>
          <w:lang w:val="en-US"/>
        </w:rPr>
        <w:t xml:space="preserve"> trong đó</w:t>
      </w:r>
      <w:r w:rsidR="0055117A" w:rsidRPr="00344643">
        <w:rPr>
          <w:rFonts w:ascii="Times New Roman" w:hAnsi="Times New Roman" w:cs="Times New Roman"/>
          <w:noProof/>
          <w:sz w:val="27"/>
          <w:szCs w:val="27"/>
          <w:lang w:val="en-US"/>
        </w:rPr>
        <w:t xml:space="preserve"> người bán hàng không có hiện diện ở EU và</w:t>
      </w:r>
      <w:r w:rsidR="00521A8E" w:rsidRPr="00344643">
        <w:rPr>
          <w:rFonts w:ascii="Times New Roman" w:hAnsi="Times New Roman" w:cs="Times New Roman"/>
          <w:noProof/>
          <w:sz w:val="27"/>
          <w:szCs w:val="27"/>
          <w:lang w:val="en-US"/>
        </w:rPr>
        <w:t xml:space="preserve"> </w:t>
      </w:r>
      <w:r w:rsidRPr="00344643">
        <w:rPr>
          <w:rFonts w:ascii="Times New Roman" w:hAnsi="Times New Roman" w:cs="Times New Roman"/>
          <w:noProof/>
          <w:sz w:val="27"/>
          <w:szCs w:val="27"/>
          <w:lang w:val="en-US"/>
        </w:rPr>
        <w:t>hàng hóa được giao cho người tiêu dùng trong EU. Các nền tảng cũng phải thu thập thông tin và đảm bảo việc nộp thuế đúng quy định cho tất cả các giao dịch bán hàng xuyên biên giới.</w:t>
      </w:r>
    </w:p>
    <w:p w14:paraId="6D40DE40" w14:textId="5D576A7B" w:rsidR="003D6D44" w:rsidRPr="00344643" w:rsidRDefault="00BD41B6"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Tại</w:t>
      </w:r>
      <w:r w:rsidR="003D6D44" w:rsidRPr="00344643">
        <w:rPr>
          <w:rFonts w:ascii="Times New Roman" w:hAnsi="Times New Roman" w:cs="Times New Roman"/>
          <w:noProof/>
          <w:sz w:val="27"/>
          <w:szCs w:val="27"/>
          <w:lang w:val="en-US"/>
        </w:rPr>
        <w:t xml:space="preserve"> Hoa Kỳ</w:t>
      </w:r>
      <w:r w:rsidRPr="00344643">
        <w:rPr>
          <w:rFonts w:ascii="Times New Roman" w:hAnsi="Times New Roman" w:cs="Times New Roman"/>
          <w:noProof/>
          <w:sz w:val="27"/>
          <w:szCs w:val="27"/>
          <w:lang w:val="en-US"/>
        </w:rPr>
        <w:t xml:space="preserve">, </w:t>
      </w:r>
      <w:r w:rsidR="003D6D44" w:rsidRPr="00344643">
        <w:rPr>
          <w:rFonts w:ascii="Times New Roman" w:hAnsi="Times New Roman" w:cs="Times New Roman"/>
          <w:noProof/>
          <w:sz w:val="27"/>
          <w:szCs w:val="27"/>
          <w:lang w:val="en-US"/>
        </w:rPr>
        <w:t>một số tiểu bang đã yêu cầu các nền tảng thương mại điện tử lớn như Amazon, eBay, Etsy phải chịu trách nhiệm</w:t>
      </w:r>
      <w:r w:rsidR="00675289" w:rsidRPr="00344643">
        <w:rPr>
          <w:rFonts w:ascii="Times New Roman" w:hAnsi="Times New Roman" w:cs="Times New Roman"/>
          <w:noProof/>
          <w:sz w:val="27"/>
          <w:szCs w:val="27"/>
          <w:lang w:val="en-US"/>
        </w:rPr>
        <w:t xml:space="preserve"> khấu trừ</w:t>
      </w:r>
      <w:r w:rsidR="003D6D44" w:rsidRPr="00344643">
        <w:rPr>
          <w:rFonts w:ascii="Times New Roman" w:hAnsi="Times New Roman" w:cs="Times New Roman"/>
          <w:noProof/>
          <w:sz w:val="27"/>
          <w:szCs w:val="27"/>
          <w:lang w:val="en-US"/>
        </w:rPr>
        <w:t xml:space="preserve"> và nộp thuế doanh thu </w:t>
      </w:r>
      <w:r w:rsidR="00675289" w:rsidRPr="00344643">
        <w:rPr>
          <w:rFonts w:ascii="Times New Roman" w:hAnsi="Times New Roman" w:cs="Times New Roman"/>
          <w:noProof/>
          <w:sz w:val="27"/>
          <w:szCs w:val="27"/>
          <w:lang w:val="en-US"/>
        </w:rPr>
        <w:t xml:space="preserve">đối với </w:t>
      </w:r>
      <w:r w:rsidR="00675289" w:rsidRPr="00344643">
        <w:rPr>
          <w:rFonts w:ascii="Times New Roman" w:hAnsi="Times New Roman" w:cs="Times New Roman"/>
          <w:noProof/>
          <w:sz w:val="27"/>
          <w:szCs w:val="27"/>
          <w:lang w:val="en-US"/>
        </w:rPr>
        <w:lastRenderedPageBreak/>
        <w:t>các giao dịch thực hiện qua</w:t>
      </w:r>
      <w:r w:rsidR="003D6D44" w:rsidRPr="00344643">
        <w:rPr>
          <w:rFonts w:ascii="Times New Roman" w:hAnsi="Times New Roman" w:cs="Times New Roman"/>
          <w:noProof/>
          <w:sz w:val="27"/>
          <w:szCs w:val="27"/>
          <w:lang w:val="en-US"/>
        </w:rPr>
        <w:t xml:space="preserve"> nền tảng</w:t>
      </w:r>
      <w:r w:rsidR="0055117A" w:rsidRPr="00344643">
        <w:rPr>
          <w:rFonts w:ascii="Times New Roman" w:hAnsi="Times New Roman" w:cs="Times New Roman"/>
          <w:noProof/>
          <w:sz w:val="27"/>
          <w:szCs w:val="27"/>
          <w:lang w:val="en-US"/>
        </w:rPr>
        <w:t xml:space="preserve"> mà nhà bán hàng trực tuyến </w:t>
      </w:r>
      <w:r w:rsidR="0055117A" w:rsidRPr="00344643">
        <w:rPr>
          <w:rFonts w:ascii="Times New Roman" w:hAnsi="Times New Roman" w:cs="Times New Roman"/>
          <w:bCs/>
          <w:noProof/>
          <w:sz w:val="27"/>
          <w:szCs w:val="27"/>
          <w:lang w:val="en-US"/>
        </w:rPr>
        <w:t>không có hiện diện vật lý</w:t>
      </w:r>
      <w:r w:rsidR="0055117A" w:rsidRPr="00344643">
        <w:rPr>
          <w:rFonts w:ascii="Times New Roman" w:hAnsi="Times New Roman" w:cs="Times New Roman"/>
          <w:noProof/>
          <w:sz w:val="27"/>
          <w:szCs w:val="27"/>
          <w:lang w:val="en-US"/>
        </w:rPr>
        <w:t xml:space="preserve"> tại bang đó</w:t>
      </w:r>
      <w:r w:rsidR="003D6D44" w:rsidRPr="00344643">
        <w:rPr>
          <w:rFonts w:ascii="Times New Roman" w:hAnsi="Times New Roman" w:cs="Times New Roman"/>
          <w:noProof/>
          <w:sz w:val="27"/>
          <w:szCs w:val="27"/>
          <w:lang w:val="en-US"/>
        </w:rPr>
        <w:t>. Quy định này được thực thi rộng rãi từ sau phán quyết South Dakota v. Wayfair, Inc. năm 2018, cho phép các bang thu thuế từ các nhà bán hàng trực tuyến</w:t>
      </w:r>
      <w:r w:rsidR="0055117A" w:rsidRPr="00344643">
        <w:rPr>
          <w:rFonts w:ascii="Times New Roman" w:hAnsi="Times New Roman" w:cs="Times New Roman"/>
          <w:bCs/>
          <w:noProof/>
          <w:sz w:val="27"/>
          <w:szCs w:val="27"/>
          <w:lang w:val="en-US"/>
        </w:rPr>
        <w:t xml:space="preserve"> không có hiện diện vật lý</w:t>
      </w:r>
      <w:r w:rsidR="0055117A" w:rsidRPr="00344643">
        <w:rPr>
          <w:rFonts w:ascii="Times New Roman" w:hAnsi="Times New Roman" w:cs="Times New Roman"/>
          <w:noProof/>
          <w:sz w:val="27"/>
          <w:szCs w:val="27"/>
          <w:lang w:val="en-US"/>
        </w:rPr>
        <w:t xml:space="preserve"> tại bang đó</w:t>
      </w:r>
      <w:r w:rsidR="003D6D44" w:rsidRPr="00344643">
        <w:rPr>
          <w:rFonts w:ascii="Times New Roman" w:hAnsi="Times New Roman" w:cs="Times New Roman"/>
          <w:noProof/>
          <w:sz w:val="27"/>
          <w:szCs w:val="27"/>
          <w:lang w:val="en-US"/>
        </w:rPr>
        <w:t>.</w:t>
      </w:r>
      <w:r w:rsidRPr="00344643">
        <w:rPr>
          <w:rFonts w:ascii="Times New Roman" w:hAnsi="Times New Roman" w:cs="Times New Roman"/>
          <w:noProof/>
          <w:sz w:val="27"/>
          <w:szCs w:val="27"/>
          <w:lang w:val="en-US"/>
        </w:rPr>
        <w:t xml:space="preserve"> </w:t>
      </w:r>
    </w:p>
    <w:p w14:paraId="78CA4828" w14:textId="148DB84A" w:rsidR="003D6D44" w:rsidRPr="00344643" w:rsidRDefault="00BD41B6"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Tại</w:t>
      </w:r>
      <w:r w:rsidR="003D6D44" w:rsidRPr="00344643">
        <w:rPr>
          <w:rFonts w:ascii="Times New Roman" w:hAnsi="Times New Roman" w:cs="Times New Roman"/>
          <w:noProof/>
          <w:sz w:val="27"/>
          <w:szCs w:val="27"/>
          <w:lang w:val="en-US"/>
        </w:rPr>
        <w:t xml:space="preserve"> Úc</w:t>
      </w:r>
      <w:r w:rsidRPr="00344643">
        <w:rPr>
          <w:rFonts w:ascii="Times New Roman" w:hAnsi="Times New Roman" w:cs="Times New Roman"/>
          <w:noProof/>
          <w:sz w:val="27"/>
          <w:szCs w:val="27"/>
          <w:lang w:val="en-US"/>
        </w:rPr>
        <w:t>, t</w:t>
      </w:r>
      <w:r w:rsidR="003D6D44" w:rsidRPr="00344643">
        <w:rPr>
          <w:rFonts w:ascii="Times New Roman" w:hAnsi="Times New Roman" w:cs="Times New Roman"/>
          <w:noProof/>
          <w:sz w:val="27"/>
          <w:szCs w:val="27"/>
          <w:lang w:val="en-US"/>
        </w:rPr>
        <w:t xml:space="preserve">ừ ngày 1/7/2017, Úc đã yêu cầu các nền tảng thương mại điện tử phải thu thuế hàng hóa và dịch vụ (GST) đối với các </w:t>
      </w:r>
      <w:r w:rsidR="003D6D44" w:rsidRPr="00344643">
        <w:rPr>
          <w:rFonts w:ascii="Times New Roman" w:hAnsi="Times New Roman" w:cs="Times New Roman"/>
          <w:bCs/>
          <w:noProof/>
          <w:sz w:val="27"/>
          <w:szCs w:val="27"/>
          <w:lang w:val="en-US"/>
        </w:rPr>
        <w:t>nhà bán hàng nước ngoài</w:t>
      </w:r>
      <w:r w:rsidR="003D6D44" w:rsidRPr="00344643">
        <w:rPr>
          <w:rFonts w:ascii="Times New Roman" w:hAnsi="Times New Roman" w:cs="Times New Roman"/>
          <w:noProof/>
          <w:sz w:val="27"/>
          <w:szCs w:val="27"/>
          <w:lang w:val="en-US"/>
        </w:rPr>
        <w:t xml:space="preserve"> có tổng doanh thu bán hàng cho khách hàng ở Úc trên 75.000 AUD/năm. </w:t>
      </w:r>
    </w:p>
    <w:p w14:paraId="45E9B6A4" w14:textId="04515A00" w:rsidR="003D6D44" w:rsidRPr="00344643" w:rsidRDefault="00BD41B6"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Tại</w:t>
      </w:r>
      <w:r w:rsidR="003D6D44" w:rsidRPr="00344643">
        <w:rPr>
          <w:rFonts w:ascii="Times New Roman" w:hAnsi="Times New Roman" w:cs="Times New Roman"/>
          <w:noProof/>
          <w:sz w:val="27"/>
          <w:szCs w:val="27"/>
          <w:lang w:val="en-US"/>
        </w:rPr>
        <w:t xml:space="preserve"> Canada</w:t>
      </w:r>
      <w:r w:rsidRPr="00344643">
        <w:rPr>
          <w:rFonts w:ascii="Times New Roman" w:hAnsi="Times New Roman" w:cs="Times New Roman"/>
          <w:noProof/>
          <w:sz w:val="27"/>
          <w:szCs w:val="27"/>
          <w:lang w:val="en-US"/>
        </w:rPr>
        <w:t>, chính phủ nước này đã ban</w:t>
      </w:r>
      <w:r w:rsidR="003D6D44" w:rsidRPr="00344643">
        <w:rPr>
          <w:rFonts w:ascii="Times New Roman" w:hAnsi="Times New Roman" w:cs="Times New Roman"/>
          <w:noProof/>
          <w:sz w:val="27"/>
          <w:szCs w:val="27"/>
          <w:lang w:val="en-US"/>
        </w:rPr>
        <w:t xml:space="preserve"> hành quy định bắt đầu từ năm 2021, yêu cầu các nền tảng kỹ thuật số bao gồm cả thương mại điện tử và kinh tế chia sẻ </w:t>
      </w:r>
      <w:r w:rsidR="00675289" w:rsidRPr="00344643">
        <w:rPr>
          <w:rFonts w:ascii="Times New Roman" w:hAnsi="Times New Roman" w:cs="Times New Roman"/>
          <w:noProof/>
          <w:sz w:val="27"/>
          <w:szCs w:val="27"/>
          <w:lang w:val="en-US"/>
        </w:rPr>
        <w:t xml:space="preserve">khấu trừ </w:t>
      </w:r>
      <w:r w:rsidR="003D6D44" w:rsidRPr="00344643">
        <w:rPr>
          <w:rFonts w:ascii="Times New Roman" w:hAnsi="Times New Roman" w:cs="Times New Roman"/>
          <w:noProof/>
          <w:sz w:val="27"/>
          <w:szCs w:val="27"/>
          <w:lang w:val="en-US"/>
        </w:rPr>
        <w:t xml:space="preserve">thuế giá trị gia tăng (GST/HST) </w:t>
      </w:r>
      <w:r w:rsidR="00675289" w:rsidRPr="00344643">
        <w:rPr>
          <w:rFonts w:ascii="Times New Roman" w:hAnsi="Times New Roman" w:cs="Times New Roman"/>
          <w:noProof/>
          <w:sz w:val="27"/>
          <w:szCs w:val="27"/>
          <w:lang w:val="en-US"/>
        </w:rPr>
        <w:t xml:space="preserve">đối với các giao dịch của </w:t>
      </w:r>
      <w:r w:rsidR="003D6D44" w:rsidRPr="00344643">
        <w:rPr>
          <w:rFonts w:ascii="Times New Roman" w:hAnsi="Times New Roman" w:cs="Times New Roman"/>
          <w:noProof/>
          <w:sz w:val="27"/>
          <w:szCs w:val="27"/>
          <w:lang w:val="en-US"/>
        </w:rPr>
        <w:t>các nhà bán hàng quốc tế khi bán hàng cho khách hàng tại Canada. Điều này đảm bảo rằng các nền tảng không tạo ra sự không công bằng cho các doanh nghiệp trong nước.</w:t>
      </w:r>
    </w:p>
    <w:p w14:paraId="32108E7E" w14:textId="05C4CBAA" w:rsidR="003D6D44" w:rsidRPr="00344643" w:rsidRDefault="00BD41B6" w:rsidP="00344643">
      <w:pPr>
        <w:snapToGrid w:val="0"/>
        <w:spacing w:before="40" w:after="120" w:line="312" w:lineRule="auto"/>
        <w:jc w:val="both"/>
        <w:rPr>
          <w:rFonts w:ascii="Times New Roman" w:hAnsi="Times New Roman" w:cs="Times New Roman"/>
          <w:b/>
          <w:noProof/>
          <w:sz w:val="27"/>
          <w:szCs w:val="27"/>
          <w:lang w:val="en-US"/>
        </w:rPr>
      </w:pPr>
      <w:r w:rsidRPr="00344643">
        <w:rPr>
          <w:rFonts w:ascii="Times New Roman" w:hAnsi="Times New Roman" w:cs="Times New Roman"/>
          <w:noProof/>
          <w:sz w:val="27"/>
          <w:szCs w:val="27"/>
          <w:lang w:val="en-US"/>
        </w:rPr>
        <w:t>Khảo sát các thể chế điển hình ở t</w:t>
      </w:r>
      <w:r w:rsidR="00252E92" w:rsidRPr="00344643">
        <w:rPr>
          <w:rFonts w:ascii="Times New Roman" w:hAnsi="Times New Roman" w:cs="Times New Roman"/>
          <w:noProof/>
          <w:sz w:val="27"/>
          <w:szCs w:val="27"/>
          <w:lang w:val="en-US"/>
        </w:rPr>
        <w:t>r</w:t>
      </w:r>
      <w:r w:rsidRPr="00344643">
        <w:rPr>
          <w:rFonts w:ascii="Times New Roman" w:hAnsi="Times New Roman" w:cs="Times New Roman"/>
          <w:noProof/>
          <w:sz w:val="27"/>
          <w:szCs w:val="27"/>
          <w:lang w:val="en-US"/>
        </w:rPr>
        <w:t xml:space="preserve">ên đối với câu hỏi sàn thương mại điện tử phải làm gì trong hoạt động thu ngân sách. </w:t>
      </w:r>
      <w:r w:rsidRPr="00344643">
        <w:rPr>
          <w:rFonts w:ascii="Times New Roman" w:hAnsi="Times New Roman" w:cs="Times New Roman"/>
          <w:b/>
          <w:noProof/>
          <w:sz w:val="27"/>
          <w:szCs w:val="27"/>
          <w:lang w:val="en-US"/>
        </w:rPr>
        <w:t xml:space="preserve">Câu trả lời chung là </w:t>
      </w:r>
      <w:r w:rsidR="00675289" w:rsidRPr="00344643">
        <w:rPr>
          <w:rFonts w:ascii="Times New Roman" w:hAnsi="Times New Roman" w:cs="Times New Roman"/>
          <w:b/>
          <w:noProof/>
          <w:sz w:val="27"/>
          <w:szCs w:val="27"/>
          <w:lang w:val="en-US"/>
        </w:rPr>
        <w:t>khấu trừ</w:t>
      </w:r>
      <w:r w:rsidRPr="00344643">
        <w:rPr>
          <w:rFonts w:ascii="Times New Roman" w:hAnsi="Times New Roman" w:cs="Times New Roman"/>
          <w:b/>
          <w:noProof/>
          <w:sz w:val="27"/>
          <w:szCs w:val="27"/>
          <w:lang w:val="en-US"/>
        </w:rPr>
        <w:t xml:space="preserve"> hoặc </w:t>
      </w:r>
      <w:r w:rsidR="00675289" w:rsidRPr="00344643">
        <w:rPr>
          <w:rFonts w:ascii="Times New Roman" w:hAnsi="Times New Roman" w:cs="Times New Roman"/>
          <w:b/>
          <w:noProof/>
          <w:sz w:val="27"/>
          <w:szCs w:val="27"/>
          <w:lang w:val="en-US"/>
        </w:rPr>
        <w:t>cung cấp thông tin để cơ quan thuế thực hiện việc thu</w:t>
      </w:r>
      <w:r w:rsidRPr="00344643">
        <w:rPr>
          <w:rFonts w:ascii="Times New Roman" w:hAnsi="Times New Roman" w:cs="Times New Roman"/>
          <w:b/>
          <w:noProof/>
          <w:sz w:val="27"/>
          <w:szCs w:val="27"/>
          <w:lang w:val="en-US"/>
        </w:rPr>
        <w:t xml:space="preserve"> </w:t>
      </w:r>
      <w:r w:rsidRPr="00344643">
        <w:rPr>
          <w:rFonts w:ascii="Times New Roman" w:hAnsi="Times New Roman" w:cs="Times New Roman"/>
          <w:b/>
          <w:i/>
          <w:iCs/>
          <w:noProof/>
          <w:sz w:val="27"/>
          <w:szCs w:val="27"/>
          <w:lang w:val="en-US"/>
        </w:rPr>
        <w:t>thuế gián thu (</w:t>
      </w:r>
      <w:r w:rsidRPr="00344643">
        <w:rPr>
          <w:rFonts w:ascii="Times New Roman" w:hAnsi="Times New Roman" w:cs="Times New Roman"/>
          <w:b/>
          <w:noProof/>
          <w:sz w:val="27"/>
          <w:szCs w:val="27"/>
          <w:lang w:val="en-US"/>
        </w:rPr>
        <w:t>thuế VAT, thuế tiêu dùng, thuế GST</w:t>
      </w:r>
      <w:r w:rsidR="002F53C0" w:rsidRPr="00344643">
        <w:rPr>
          <w:rFonts w:ascii="Times New Roman" w:hAnsi="Times New Roman" w:cs="Times New Roman"/>
          <w:b/>
          <w:noProof/>
          <w:sz w:val="27"/>
          <w:szCs w:val="27"/>
          <w:lang w:val="en-US"/>
        </w:rPr>
        <w:t xml:space="preserve">) đối với </w:t>
      </w:r>
      <w:r w:rsidR="002F53C0" w:rsidRPr="00344643">
        <w:rPr>
          <w:rFonts w:ascii="Times New Roman" w:hAnsi="Times New Roman" w:cs="Times New Roman"/>
          <w:b/>
          <w:bCs/>
          <w:iCs/>
          <w:noProof/>
          <w:sz w:val="27"/>
          <w:szCs w:val="27"/>
          <w:lang w:val="en-US"/>
        </w:rPr>
        <w:t>nhà bán hàng nước ngoài</w:t>
      </w:r>
      <w:r w:rsidR="002F53C0" w:rsidRPr="00344643">
        <w:rPr>
          <w:rFonts w:ascii="Times New Roman" w:hAnsi="Times New Roman" w:cs="Times New Roman"/>
          <w:b/>
          <w:bCs/>
          <w:noProof/>
          <w:sz w:val="27"/>
          <w:szCs w:val="27"/>
          <w:lang w:val="en-US"/>
        </w:rPr>
        <w:t xml:space="preserve"> </w:t>
      </w:r>
      <w:r w:rsidR="002F53C0" w:rsidRPr="00344643">
        <w:rPr>
          <w:rFonts w:ascii="Times New Roman" w:hAnsi="Times New Roman" w:cs="Times New Roman"/>
          <w:b/>
          <w:noProof/>
          <w:sz w:val="27"/>
          <w:szCs w:val="27"/>
          <w:lang w:val="en-US"/>
        </w:rPr>
        <w:t>khi hàng hóa, dịch vụ của họ được tiêu thụ/tiêu dùng tại quốc gia hoặc vùng chủ quyền thu thuế của mình. Đối với nhà bán hàng trong nước, họ phải tự mình khai thuế và nộp thuế, tuy nhiên, họ có thể ủy quyền để sàn khai và nộp thay và phải chịu một khoản phí.</w:t>
      </w:r>
    </w:p>
    <w:p w14:paraId="0925BA96" w14:textId="7CDDC7F7" w:rsidR="00F76A58" w:rsidRPr="00344643" w:rsidRDefault="00F76A58" w:rsidP="00344643">
      <w:pPr>
        <w:pStyle w:val="ListParagraph"/>
        <w:numPr>
          <w:ilvl w:val="1"/>
          <w:numId w:val="30"/>
        </w:numPr>
        <w:snapToGrid w:val="0"/>
        <w:spacing w:before="40" w:after="120" w:line="312" w:lineRule="auto"/>
        <w:contextualSpacing w:val="0"/>
        <w:jc w:val="both"/>
        <w:rPr>
          <w:rFonts w:ascii="Times New Roman" w:hAnsi="Times New Roman" w:cs="Times New Roman"/>
          <w:b/>
          <w:i/>
          <w:iCs/>
          <w:noProof/>
          <w:sz w:val="27"/>
          <w:szCs w:val="27"/>
          <w:lang w:val="en-US"/>
        </w:rPr>
      </w:pPr>
      <w:r w:rsidRPr="00344643">
        <w:rPr>
          <w:rFonts w:ascii="Times New Roman" w:hAnsi="Times New Roman" w:cs="Times New Roman"/>
          <w:b/>
          <w:i/>
          <w:iCs/>
          <w:noProof/>
          <w:sz w:val="27"/>
          <w:szCs w:val="27"/>
          <w:lang w:val="en-US"/>
        </w:rPr>
        <w:t>Khó khăn của sàn khi khai và thu thuế trực thu</w:t>
      </w:r>
    </w:p>
    <w:p w14:paraId="320C71F1" w14:textId="77777777" w:rsidR="00F76A58" w:rsidRPr="00344643" w:rsidRDefault="00F76A58"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Thu thuế thu nhập của người bán hàng thông qua các sàn thương mại điện tử là một vấn đề phức tạp và ít khi được quy định là do các sàn phải trực tiếp thu, do các lý do pháp lý, kỹ thuật, và liên quan đến chủ quyền quốc gia. Dưới đây là những nguyên nhân chính dẫn đến việc các sàn thương mại điện tử ít khi chịu trách nhiệm thu thuế thu nhập thay cho người bán hàng:</w:t>
      </w:r>
    </w:p>
    <w:p w14:paraId="07D023E3" w14:textId="6EC4C169" w:rsidR="00F76A58" w:rsidRPr="00344643" w:rsidRDefault="00F76A58"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Vấn đề về chủ quyền quốc gia</w:t>
      </w:r>
    </w:p>
    <w:p w14:paraId="4E380D8C" w14:textId="69C5E69D" w:rsidR="00F76A58" w:rsidRPr="00344643" w:rsidRDefault="00F76A58"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Chủ quyền quốc gia là một trong những lý do quan trọng khiến các chính phủ không quy định rằng các sàn thương mại điện tử phải thu thuế thu nhập thay cho người bán. Thuế thu nhập thường gắn liền với khái niệm thu nhập cá nhân hoặc thu nhập doanh nghiệp, vốn được quản lý bởi các cơ quan thuế của mỗi quốc gia dựa trên các quy định pháp luật riêng biệt. Việc yêu cầu các sàn thương mại điện tử (nhất là sàn quốc tế) thu thuế thu nhập có thể làm nảy sinh các vấn đề liên quan đến quyền tài phán và </w:t>
      </w:r>
      <w:r w:rsidRPr="00344643">
        <w:rPr>
          <w:rFonts w:ascii="Times New Roman" w:hAnsi="Times New Roman" w:cs="Times New Roman"/>
          <w:noProof/>
          <w:sz w:val="27"/>
          <w:szCs w:val="27"/>
          <w:lang w:val="en-US"/>
        </w:rPr>
        <w:lastRenderedPageBreak/>
        <w:t>sự can thiệp vào chủ quyền thuế của các quốc gia. Các vấn đề chủ yếu bao gồm phạm vi thẩm quyền và những khác biệt trong quy định thuế.</w:t>
      </w:r>
    </w:p>
    <w:p w14:paraId="78E13094" w14:textId="30CF58C5" w:rsidR="00F76A58" w:rsidRPr="00344643" w:rsidRDefault="00F76A58" w:rsidP="00344643">
      <w:pPr>
        <w:snapToGrid w:val="0"/>
        <w:spacing w:before="40" w:after="120" w:line="312" w:lineRule="auto"/>
        <w:jc w:val="both"/>
        <w:rPr>
          <w:rFonts w:ascii="Times New Roman" w:hAnsi="Times New Roman" w:cs="Times New Roman"/>
          <w:noProof/>
          <w:spacing w:val="-2"/>
          <w:sz w:val="27"/>
          <w:szCs w:val="27"/>
          <w:lang w:val="en-US"/>
        </w:rPr>
      </w:pPr>
      <w:r w:rsidRPr="00344643">
        <w:rPr>
          <w:rFonts w:ascii="Times New Roman" w:hAnsi="Times New Roman" w:cs="Times New Roman"/>
          <w:noProof/>
          <w:spacing w:val="-2"/>
          <w:sz w:val="27"/>
          <w:szCs w:val="27"/>
          <w:lang w:val="en-US"/>
        </w:rPr>
        <w:t>Ví dụ: Nếu một sàn thương mại điện tử như Amazon có trụ sở tại Hoa Kỳ, nhưng người bán hàng ở Pháp, việc thu thuế thu nhập của người bán hàng đó phải tuân theo quy định của Pháp. Tuy nhiên, nếu yêu cầu Amazon (một công ty Hoa Kỳ) thu thuế thu nhập cho Pháp, điều này có thể xâm phạm đến chủ quyền pháp lý của cả hai quốc gia và gây ra xung đột giữa các quy định thuế của Hoa Kỳ và Pháp.</w:t>
      </w:r>
    </w:p>
    <w:p w14:paraId="3CC90788" w14:textId="682CF52B" w:rsidR="0098012B" w:rsidRPr="00344643" w:rsidRDefault="00F76A58"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Sự phức tạp trong việc xác định thu nhập chịu thuế. Thuế thu nhập không giống như thuế giá trị gia tăng (VAT) hay các loại thuế gián thu khác, vì thuế thu nhập thường được tính dựa trên lợi nhuận (thu nhập sau khi trừ đi các chi phí hợp lệ). Điều này dẫn đến nhiều thách thức trong việc xác định chính xác số tiền thuế mà người bán phải trả như chi phí khấu trừ, thu nhập từ việc kinh doanh từ sàn khác hoặc cửa hàng trực tiếp; sự khác biệt trong quy định giữa các nước về thuế suất, phạm vi chi phí hợp lệ.</w:t>
      </w:r>
    </w:p>
    <w:p w14:paraId="6A4A7244" w14:textId="48849448" w:rsidR="00F76A58" w:rsidRPr="00344643" w:rsidRDefault="00F76A58"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Việc xác định thu nhập chịu thuế đòi hỏi người bán phải tự kê khai các chi phí này, điều mà các sàn thương mại điện tử không thể làm thay.</w:t>
      </w:r>
    </w:p>
    <w:p w14:paraId="0B1EC9C4" w14:textId="577E48F7" w:rsidR="00F76A58" w:rsidRPr="00344643" w:rsidRDefault="0098012B"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 </w:t>
      </w:r>
      <w:r w:rsidR="00F76A58" w:rsidRPr="00344643">
        <w:rPr>
          <w:rFonts w:ascii="Times New Roman" w:hAnsi="Times New Roman" w:cs="Times New Roman"/>
          <w:noProof/>
          <w:sz w:val="27"/>
          <w:szCs w:val="27"/>
          <w:lang w:val="en-US"/>
        </w:rPr>
        <w:t>Trách nhiệm pháp lý và tính minh bạch</w:t>
      </w:r>
      <w:r w:rsidRPr="00344643">
        <w:rPr>
          <w:rFonts w:ascii="Times New Roman" w:hAnsi="Times New Roman" w:cs="Times New Roman"/>
          <w:noProof/>
          <w:sz w:val="27"/>
          <w:szCs w:val="27"/>
          <w:lang w:val="en-US"/>
        </w:rPr>
        <w:t xml:space="preserve">: </w:t>
      </w:r>
      <w:r w:rsidR="00F76A58" w:rsidRPr="00344643">
        <w:rPr>
          <w:rFonts w:ascii="Times New Roman" w:hAnsi="Times New Roman" w:cs="Times New Roman"/>
          <w:noProof/>
          <w:sz w:val="27"/>
          <w:szCs w:val="27"/>
          <w:lang w:val="en-US"/>
        </w:rPr>
        <w:t>Nếu các sàn thương mại điện tử được yêu cầu</w:t>
      </w:r>
      <w:r w:rsidR="002E2C6F" w:rsidRPr="00344643">
        <w:rPr>
          <w:rFonts w:ascii="Times New Roman" w:hAnsi="Times New Roman" w:cs="Times New Roman"/>
          <w:noProof/>
          <w:sz w:val="27"/>
          <w:szCs w:val="27"/>
          <w:lang w:val="en-US"/>
        </w:rPr>
        <w:t xml:space="preserve"> kê khai và nộp </w:t>
      </w:r>
      <w:r w:rsidR="00F76A58" w:rsidRPr="00344643">
        <w:rPr>
          <w:rFonts w:ascii="Times New Roman" w:hAnsi="Times New Roman" w:cs="Times New Roman"/>
          <w:noProof/>
          <w:sz w:val="27"/>
          <w:szCs w:val="27"/>
          <w:lang w:val="en-US"/>
        </w:rPr>
        <w:t>thuế thu nhập thay cho người bán, họ có thể phải chịu trách nhiệm pháp lý lớn hơn trong trường hợp có sai sót trong quá trình thu thuế. Điều này có thể tạo ra rủi ro tài chính và pháp lý cho các sàn</w:t>
      </w:r>
      <w:r w:rsidR="009C6B55" w:rsidRPr="00344643">
        <w:rPr>
          <w:rFonts w:ascii="Times New Roman" w:hAnsi="Times New Roman" w:cs="Times New Roman"/>
          <w:noProof/>
          <w:sz w:val="27"/>
          <w:szCs w:val="27"/>
          <w:lang w:val="en-US"/>
        </w:rPr>
        <w:t>.</w:t>
      </w:r>
      <w:r w:rsidRPr="00344643">
        <w:rPr>
          <w:rFonts w:ascii="Times New Roman" w:hAnsi="Times New Roman" w:cs="Times New Roman"/>
          <w:noProof/>
          <w:sz w:val="27"/>
          <w:szCs w:val="27"/>
          <w:lang w:val="en-US"/>
        </w:rPr>
        <w:t xml:space="preserve"> Ngoài ra, v</w:t>
      </w:r>
      <w:r w:rsidR="00F76A58" w:rsidRPr="00344643">
        <w:rPr>
          <w:rFonts w:ascii="Times New Roman" w:hAnsi="Times New Roman" w:cs="Times New Roman"/>
          <w:noProof/>
          <w:sz w:val="27"/>
          <w:szCs w:val="27"/>
          <w:lang w:val="en-US"/>
        </w:rPr>
        <w:t xml:space="preserve">iệc các sàn thương mại điện tử </w:t>
      </w:r>
      <w:r w:rsidR="00252E92" w:rsidRPr="00344643">
        <w:rPr>
          <w:rFonts w:ascii="Times New Roman" w:hAnsi="Times New Roman" w:cs="Times New Roman"/>
          <w:noProof/>
          <w:sz w:val="27"/>
          <w:szCs w:val="27"/>
          <w:lang w:val="en-US"/>
        </w:rPr>
        <w:t xml:space="preserve">nộp </w:t>
      </w:r>
      <w:r w:rsidR="00F76A58" w:rsidRPr="00344643">
        <w:rPr>
          <w:rFonts w:ascii="Times New Roman" w:hAnsi="Times New Roman" w:cs="Times New Roman"/>
          <w:noProof/>
          <w:sz w:val="27"/>
          <w:szCs w:val="27"/>
          <w:lang w:val="en-US"/>
        </w:rPr>
        <w:t>thuế thu nhập thay cho người bán có thể gây ra sự thiếu minh bạch trong hệ thống thuế, làm cho việc kiểm tra và giám sát thuế từ phía cơ quan thuế trở nên khó khăn hơn. Các cơ quan thuế có thể gặp khó khăn trong việc đối chiếu thông tin về thu nhập và chi phí của người bán</w:t>
      </w:r>
      <w:r w:rsidR="00252E92" w:rsidRPr="00344643">
        <w:rPr>
          <w:rFonts w:ascii="Times New Roman" w:hAnsi="Times New Roman" w:cs="Times New Roman"/>
          <w:noProof/>
          <w:sz w:val="27"/>
          <w:szCs w:val="27"/>
          <w:lang w:val="en-US"/>
        </w:rPr>
        <w:t>, đặc biệt với những trường hợp các mặt hàng kinh doanh thuộc nhiều mức thuế khác nhau hay người bán kinh doanh cả online và offline..</w:t>
      </w:r>
      <w:r w:rsidR="00F76A58" w:rsidRPr="00344643">
        <w:rPr>
          <w:rFonts w:ascii="Times New Roman" w:hAnsi="Times New Roman" w:cs="Times New Roman"/>
          <w:noProof/>
          <w:sz w:val="27"/>
          <w:szCs w:val="27"/>
          <w:lang w:val="en-US"/>
        </w:rPr>
        <w:t>.</w:t>
      </w:r>
    </w:p>
    <w:p w14:paraId="3E3C12F0" w14:textId="71CA4C35" w:rsidR="00F76A58" w:rsidRPr="00344643" w:rsidRDefault="0098012B"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 </w:t>
      </w:r>
      <w:r w:rsidR="00F76A58" w:rsidRPr="00344643">
        <w:rPr>
          <w:rFonts w:ascii="Times New Roman" w:hAnsi="Times New Roman" w:cs="Times New Roman"/>
          <w:noProof/>
          <w:sz w:val="27"/>
          <w:szCs w:val="27"/>
          <w:lang w:val="en-US"/>
        </w:rPr>
        <w:t>Vai trò của sàn thương mại điện tử và mô hình kinh doanh</w:t>
      </w:r>
      <w:r w:rsidRPr="00344643">
        <w:rPr>
          <w:rFonts w:ascii="Times New Roman" w:hAnsi="Times New Roman" w:cs="Times New Roman"/>
          <w:noProof/>
          <w:sz w:val="27"/>
          <w:szCs w:val="27"/>
          <w:lang w:val="en-US"/>
        </w:rPr>
        <w:t xml:space="preserve">; </w:t>
      </w:r>
      <w:r w:rsidR="00F76A58" w:rsidRPr="00344643">
        <w:rPr>
          <w:rFonts w:ascii="Times New Roman" w:hAnsi="Times New Roman" w:cs="Times New Roman"/>
          <w:noProof/>
          <w:sz w:val="27"/>
          <w:szCs w:val="27"/>
          <w:lang w:val="en-US"/>
        </w:rPr>
        <w:t xml:space="preserve">Các sàn thương mại điện tử đóng vai trò là nền tảng trung gian, không phải là đơn vị chịu trách nhiệm chính về thu nhập hay hoạt động tài chính của người bán. Việc yêu cầu sàn thu thuế thu nhập sẽ thay đổi bản chất của mô hình kinh doanh và có thể làm ảnh hưởng đến vai trò </w:t>
      </w:r>
      <w:r w:rsidRPr="00344643">
        <w:rPr>
          <w:rFonts w:ascii="Times New Roman" w:hAnsi="Times New Roman" w:cs="Times New Roman"/>
          <w:noProof/>
          <w:sz w:val="27"/>
          <w:szCs w:val="27"/>
          <w:lang w:val="en-US"/>
        </w:rPr>
        <w:t xml:space="preserve">trung lập </w:t>
      </w:r>
      <w:r w:rsidR="00F76A58" w:rsidRPr="00344643">
        <w:rPr>
          <w:rFonts w:ascii="Times New Roman" w:hAnsi="Times New Roman" w:cs="Times New Roman"/>
          <w:noProof/>
          <w:sz w:val="27"/>
          <w:szCs w:val="27"/>
          <w:lang w:val="en-US"/>
        </w:rPr>
        <w:t>của họ</w:t>
      </w:r>
      <w:r w:rsidRPr="00344643">
        <w:rPr>
          <w:rFonts w:ascii="Times New Roman" w:hAnsi="Times New Roman" w:cs="Times New Roman"/>
          <w:noProof/>
          <w:sz w:val="27"/>
          <w:szCs w:val="27"/>
          <w:lang w:val="en-US"/>
        </w:rPr>
        <w:t xml:space="preserve"> là </w:t>
      </w:r>
      <w:r w:rsidR="00F76A58" w:rsidRPr="00344643">
        <w:rPr>
          <w:rFonts w:ascii="Times New Roman" w:hAnsi="Times New Roman" w:cs="Times New Roman"/>
          <w:noProof/>
          <w:sz w:val="27"/>
          <w:szCs w:val="27"/>
          <w:lang w:val="en-US"/>
        </w:rPr>
        <w:t>kết nối giữa người bán và người mua</w:t>
      </w:r>
      <w:r w:rsidRPr="00344643">
        <w:rPr>
          <w:rFonts w:ascii="Times New Roman" w:hAnsi="Times New Roman" w:cs="Times New Roman"/>
          <w:noProof/>
          <w:sz w:val="27"/>
          <w:szCs w:val="27"/>
          <w:lang w:val="en-US"/>
        </w:rPr>
        <w:t>.</w:t>
      </w:r>
    </w:p>
    <w:p w14:paraId="53244A25" w14:textId="7CB91002" w:rsidR="00F76A58" w:rsidRPr="00344643" w:rsidRDefault="00956234" w:rsidP="00344643">
      <w:pPr>
        <w:snapToGrid w:val="0"/>
        <w:spacing w:before="40" w:after="120" w:line="312" w:lineRule="auto"/>
        <w:jc w:val="both"/>
        <w:rPr>
          <w:rFonts w:ascii="Times New Roman" w:hAnsi="Times New Roman" w:cs="Times New Roman"/>
          <w:b/>
          <w:i/>
          <w:iCs/>
          <w:noProof/>
          <w:sz w:val="27"/>
          <w:szCs w:val="27"/>
          <w:lang w:val="en-US"/>
        </w:rPr>
      </w:pPr>
      <w:r w:rsidRPr="00344643">
        <w:rPr>
          <w:rFonts w:ascii="Times New Roman" w:hAnsi="Times New Roman" w:cs="Times New Roman"/>
          <w:b/>
          <w:i/>
          <w:iCs/>
          <w:noProof/>
          <w:sz w:val="27"/>
          <w:szCs w:val="27"/>
          <w:lang w:val="en-US"/>
        </w:rPr>
        <w:t>1.3.</w:t>
      </w:r>
      <w:r w:rsidR="00F76A58" w:rsidRPr="00344643">
        <w:rPr>
          <w:rFonts w:ascii="Times New Roman" w:hAnsi="Times New Roman" w:cs="Times New Roman"/>
          <w:b/>
          <w:i/>
          <w:iCs/>
          <w:noProof/>
          <w:sz w:val="27"/>
          <w:szCs w:val="27"/>
          <w:lang w:val="en-US"/>
        </w:rPr>
        <w:t xml:space="preserve"> </w:t>
      </w:r>
      <w:r w:rsidRPr="00344643">
        <w:rPr>
          <w:rFonts w:ascii="Times New Roman" w:hAnsi="Times New Roman" w:cs="Times New Roman"/>
          <w:b/>
          <w:i/>
          <w:iCs/>
          <w:noProof/>
          <w:sz w:val="27"/>
          <w:szCs w:val="27"/>
          <w:lang w:val="en-US"/>
        </w:rPr>
        <w:t>Các g</w:t>
      </w:r>
      <w:r w:rsidR="00F76A58" w:rsidRPr="00344643">
        <w:rPr>
          <w:rFonts w:ascii="Times New Roman" w:hAnsi="Times New Roman" w:cs="Times New Roman"/>
          <w:b/>
          <w:i/>
          <w:iCs/>
          <w:noProof/>
          <w:sz w:val="27"/>
          <w:szCs w:val="27"/>
          <w:lang w:val="en-US"/>
        </w:rPr>
        <w:t>iải pháp</w:t>
      </w:r>
    </w:p>
    <w:p w14:paraId="07BCACB7" w14:textId="580F5C22" w:rsidR="00051CD5" w:rsidRPr="00344643" w:rsidRDefault="009615AE"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lastRenderedPageBreak/>
        <w:t xml:space="preserve">Khi các quốc gia ban hành các quy định yêu cầu các sàn thương mại điện tử hoặc nền tảng kinh tế chia sẻ phải thực hiện việc </w:t>
      </w:r>
      <w:r w:rsidR="00252E92" w:rsidRPr="00344643">
        <w:rPr>
          <w:rFonts w:ascii="Times New Roman" w:hAnsi="Times New Roman" w:cs="Times New Roman"/>
          <w:noProof/>
          <w:sz w:val="27"/>
          <w:szCs w:val="27"/>
          <w:lang w:val="en-US"/>
        </w:rPr>
        <w:t>khấu trừ và nộp hộ thuế</w:t>
      </w:r>
      <w:r w:rsidRPr="00344643">
        <w:rPr>
          <w:rFonts w:ascii="Times New Roman" w:hAnsi="Times New Roman" w:cs="Times New Roman"/>
          <w:noProof/>
          <w:sz w:val="27"/>
          <w:szCs w:val="27"/>
          <w:lang w:val="en-US"/>
        </w:rPr>
        <w:t>, thường xuất hiện các phản đối từ nhiều phía, bao gồm các sàn thương mại điện tử, doanh nghiệp nhỏ, và cả các tổ chức thương mại. Những lập luận không đồng tình việc sàn thu thuế tại nguồn thường tập trung vào những vấn đề như gia tăng gánh nặng hành chính, chi phí vận hành, và sự không công bằng khi các sàn phải thực hiện nhiệm vụ mà lẽ ra thuộc về cơ quan thuế. Đồng thời, những lo ngại về ảnh hưởng đến doanh nghiệp nhỏ</w:t>
      </w:r>
      <w:r w:rsidR="00BF6D2A" w:rsidRPr="00344643">
        <w:rPr>
          <w:rFonts w:ascii="Times New Roman" w:hAnsi="Times New Roman" w:cs="Times New Roman"/>
          <w:noProof/>
          <w:sz w:val="27"/>
          <w:szCs w:val="27"/>
          <w:lang w:val="en-US"/>
        </w:rPr>
        <w:t xml:space="preserve"> khi họ phải trả thêm chi phí khai thuế bên cạnh chiết khấu thuê sàn</w:t>
      </w:r>
      <w:r w:rsidRPr="00344643">
        <w:rPr>
          <w:rFonts w:ascii="Times New Roman" w:hAnsi="Times New Roman" w:cs="Times New Roman"/>
          <w:noProof/>
          <w:sz w:val="27"/>
          <w:szCs w:val="27"/>
          <w:lang w:val="en-US"/>
        </w:rPr>
        <w:t>, người tiêu dùng, và sự phát triển chung của ngành thương mại điện tử cũng là lập luận phổ biến.</w:t>
      </w:r>
    </w:p>
    <w:p w14:paraId="0138BC24" w14:textId="16B6D6E9" w:rsidR="00DE679C" w:rsidRPr="00344643" w:rsidRDefault="00BF6D2A"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Nhà nước</w:t>
      </w:r>
      <w:r w:rsidR="009615AE" w:rsidRPr="00344643">
        <w:rPr>
          <w:rFonts w:ascii="Times New Roman" w:hAnsi="Times New Roman" w:cs="Times New Roman"/>
          <w:noProof/>
          <w:sz w:val="27"/>
          <w:szCs w:val="27"/>
          <w:lang w:val="en-US"/>
        </w:rPr>
        <w:t xml:space="preserve"> khi ban hành các quy định này thường phải đưa ra các biện pháp hỗ trợ hoặc điều chỉnh phù hợp để cân bằng lợi ích và khuyến khích sự hợp tác từ các nền tảng.</w:t>
      </w:r>
      <w:r w:rsidR="00051CD5" w:rsidRPr="00344643">
        <w:rPr>
          <w:rFonts w:ascii="Times New Roman" w:hAnsi="Times New Roman" w:cs="Times New Roman"/>
          <w:noProof/>
          <w:sz w:val="27"/>
          <w:szCs w:val="27"/>
          <w:lang w:val="en-US"/>
        </w:rPr>
        <w:t xml:space="preserve"> Ngoài việc đào tạo nghiệp vụ, đầu tư thiết bị tiếp nhận dữ liệu, nhà nước còn thực hiện những biện pháp vừa khuyến khích hợp tác, vừa bù đắp chi phí cho họ để tạo nên những đầu ra hay kết quả tốt của chính sách này.</w:t>
      </w:r>
    </w:p>
    <w:p w14:paraId="2E538EF3" w14:textId="1233EB7F" w:rsidR="00956234" w:rsidRPr="00344643" w:rsidRDefault="00956234"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a) Báo cáo thu nhập</w:t>
      </w:r>
      <w:r w:rsidR="009615AE" w:rsidRPr="00344643">
        <w:rPr>
          <w:rFonts w:ascii="Times New Roman" w:hAnsi="Times New Roman" w:cs="Times New Roman"/>
          <w:noProof/>
          <w:sz w:val="27"/>
          <w:szCs w:val="27"/>
          <w:lang w:val="en-US"/>
        </w:rPr>
        <w:t xml:space="preserve"> của người bán hàng</w:t>
      </w:r>
      <w:r w:rsidR="00BF6D2A" w:rsidRPr="00344643">
        <w:rPr>
          <w:rFonts w:ascii="Times New Roman" w:hAnsi="Times New Roman" w:cs="Times New Roman"/>
          <w:noProof/>
          <w:sz w:val="27"/>
          <w:szCs w:val="27"/>
          <w:lang w:val="en-US"/>
        </w:rPr>
        <w:t xml:space="preserve"> thay vì kết nối trực tuyến</w:t>
      </w:r>
    </w:p>
    <w:p w14:paraId="34FAEE32" w14:textId="7C2BE813" w:rsidR="00F76A58" w:rsidRPr="00344643" w:rsidRDefault="00F76A58"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Thay vì yêu cầu sàn thương mại điện tử trực tiếp thu thuế thu nhập, một số quốc gia đã lựa chọn các giải pháp thay thế, yêu cầu sàn báo cáo </w:t>
      </w:r>
      <w:r w:rsidR="002E2C6F" w:rsidRPr="00344643">
        <w:rPr>
          <w:rFonts w:ascii="Times New Roman" w:hAnsi="Times New Roman" w:cs="Times New Roman"/>
          <w:noProof/>
          <w:sz w:val="27"/>
          <w:szCs w:val="27"/>
          <w:lang w:val="en-US"/>
        </w:rPr>
        <w:t>các giao dịch</w:t>
      </w:r>
      <w:r w:rsidRPr="00344643">
        <w:rPr>
          <w:rFonts w:ascii="Times New Roman" w:hAnsi="Times New Roman" w:cs="Times New Roman"/>
          <w:noProof/>
          <w:sz w:val="27"/>
          <w:szCs w:val="27"/>
          <w:lang w:val="en-US"/>
        </w:rPr>
        <w:t xml:space="preserve"> của người bán cho cơ quan thuế. Điều này giúp cơ quan thuế có thể tự xác định và thu thuế từ người bán mà không cần phải yêu cầu sàn trực tiếp thu thuế.</w:t>
      </w:r>
      <w:r w:rsidR="0098012B" w:rsidRPr="00344643">
        <w:rPr>
          <w:rFonts w:ascii="Times New Roman" w:hAnsi="Times New Roman" w:cs="Times New Roman"/>
          <w:noProof/>
          <w:sz w:val="27"/>
          <w:szCs w:val="27"/>
          <w:lang w:val="en-US"/>
        </w:rPr>
        <w:t xml:space="preserve"> </w:t>
      </w:r>
      <w:r w:rsidRPr="00344643">
        <w:rPr>
          <w:rFonts w:ascii="Times New Roman" w:hAnsi="Times New Roman" w:cs="Times New Roman"/>
          <w:noProof/>
          <w:sz w:val="27"/>
          <w:szCs w:val="27"/>
          <w:lang w:val="en-US"/>
        </w:rPr>
        <w:t xml:space="preserve">Ví dụ tại Hoa Kỳ: Các sàn thương mại điện tử như Amazon và eBay phải báo cáo </w:t>
      </w:r>
      <w:r w:rsidR="002E2C6F" w:rsidRPr="00344643">
        <w:rPr>
          <w:rFonts w:ascii="Times New Roman" w:hAnsi="Times New Roman" w:cs="Times New Roman"/>
          <w:noProof/>
          <w:sz w:val="27"/>
          <w:szCs w:val="27"/>
          <w:lang w:val="en-US"/>
        </w:rPr>
        <w:t>giao dịch</w:t>
      </w:r>
      <w:r w:rsidRPr="00344643">
        <w:rPr>
          <w:rFonts w:ascii="Times New Roman" w:hAnsi="Times New Roman" w:cs="Times New Roman"/>
          <w:noProof/>
          <w:sz w:val="27"/>
          <w:szCs w:val="27"/>
          <w:lang w:val="en-US"/>
        </w:rPr>
        <w:t xml:space="preserve"> của người bán trên nền tảng của họ nếu người bán </w:t>
      </w:r>
      <w:r w:rsidR="002E2C6F" w:rsidRPr="00344643">
        <w:rPr>
          <w:rFonts w:ascii="Times New Roman" w:hAnsi="Times New Roman" w:cs="Times New Roman"/>
          <w:noProof/>
          <w:sz w:val="27"/>
          <w:szCs w:val="27"/>
          <w:lang w:val="en-US"/>
        </w:rPr>
        <w:t>doanh số bán</w:t>
      </w:r>
      <w:r w:rsidRPr="00344643">
        <w:rPr>
          <w:rFonts w:ascii="Times New Roman" w:hAnsi="Times New Roman" w:cs="Times New Roman"/>
          <w:noProof/>
          <w:sz w:val="27"/>
          <w:szCs w:val="27"/>
          <w:lang w:val="en-US"/>
        </w:rPr>
        <w:t xml:space="preserve"> vượt quá một ngưỡng nhất định. Cơ quan thuế sử dụng thông tin này để kiểm tra và tính thuế thu nhập cá nhân hoặc doanh nghiệp của người bán.</w:t>
      </w:r>
    </w:p>
    <w:p w14:paraId="1EE973A2" w14:textId="5F70213D" w:rsidR="00BF6D2A" w:rsidRPr="00344643" w:rsidRDefault="00BF6D2A"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Việc báo cáo thông tin định kỳ hoặc đột xuất theo yêu cầu được coi là giải pháp an toàn cho cả hai phía vì các lý do an toàn hệ thống, hạn chế rủi ro sập </w:t>
      </w:r>
      <w:r w:rsidR="00051CD5" w:rsidRPr="00344643">
        <w:rPr>
          <w:rFonts w:ascii="Times New Roman" w:hAnsi="Times New Roman" w:cs="Times New Roman"/>
          <w:noProof/>
          <w:sz w:val="27"/>
          <w:szCs w:val="27"/>
          <w:lang w:val="en-US"/>
        </w:rPr>
        <w:t>máy chủ</w:t>
      </w:r>
      <w:r w:rsidRPr="00344643">
        <w:rPr>
          <w:rFonts w:ascii="Times New Roman" w:hAnsi="Times New Roman" w:cs="Times New Roman"/>
          <w:noProof/>
          <w:sz w:val="27"/>
          <w:szCs w:val="27"/>
          <w:lang w:val="en-US"/>
        </w:rPr>
        <w:t>,</w:t>
      </w:r>
      <w:r w:rsidR="00051CD5" w:rsidRPr="00344643">
        <w:rPr>
          <w:rFonts w:ascii="Times New Roman" w:hAnsi="Times New Roman" w:cs="Times New Roman"/>
          <w:noProof/>
          <w:sz w:val="27"/>
          <w:szCs w:val="27"/>
          <w:lang w:val="en-US"/>
        </w:rPr>
        <w:t xml:space="preserve"> nghẽn mạng,</w:t>
      </w:r>
      <w:r w:rsidRPr="00344643">
        <w:rPr>
          <w:rFonts w:ascii="Times New Roman" w:hAnsi="Times New Roman" w:cs="Times New Roman"/>
          <w:noProof/>
          <w:sz w:val="27"/>
          <w:szCs w:val="27"/>
          <w:lang w:val="en-US"/>
        </w:rPr>
        <w:t xml:space="preserve"> mất dữ liệu… đồng thời không cần thiết phải đầu tư lớn chỉ để kết nối trực tuyến với cơ quan thuế.</w:t>
      </w:r>
    </w:p>
    <w:p w14:paraId="648FDD44" w14:textId="36CD484F" w:rsidR="00956234" w:rsidRPr="00344643" w:rsidRDefault="00956234"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b) Hoàn trả chi phí hành chính hoặc cấp các ưu đãi</w:t>
      </w:r>
    </w:p>
    <w:p w14:paraId="2415B569" w14:textId="3B732A06" w:rsidR="00BF6D2A" w:rsidRPr="00344643" w:rsidRDefault="00BF6D2A"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Thông thường những hứa hẹn về giảm thuế thu nhập doanh nghiệp luôn được đưa ra, tuy nhiên, điều này hoàn toàn vô nghĩa vì để hưởng ưu đãi đó, trước tiên doanh nghiệp phải có lãi, và điều này khó khăn hơn khi phải bỏ thêm chi phí cho việc khai hộ, thu hộ. Đồng thời, hưởng ưu đãi luôn đi kèm với các thủ tục hành chính và chúng khá tốn kém về thời gian để thực hiện, rất chặt chẽ tới mức dễ sai sót, doanh nghiệp có thể bị phạt rất nặng trước khi nhận được những </w:t>
      </w:r>
      <w:r w:rsidR="002E2C6F" w:rsidRPr="00344643">
        <w:rPr>
          <w:rFonts w:ascii="Times New Roman" w:hAnsi="Times New Roman" w:cs="Times New Roman"/>
          <w:noProof/>
          <w:sz w:val="27"/>
          <w:szCs w:val="27"/>
          <w:lang w:val="en-US"/>
        </w:rPr>
        <w:t>lợi ích</w:t>
      </w:r>
      <w:r w:rsidRPr="00344643">
        <w:rPr>
          <w:rFonts w:ascii="Times New Roman" w:hAnsi="Times New Roman" w:cs="Times New Roman"/>
          <w:noProof/>
          <w:sz w:val="27"/>
          <w:szCs w:val="27"/>
          <w:lang w:val="en-US"/>
        </w:rPr>
        <w:t xml:space="preserve"> không quá lớn.</w:t>
      </w:r>
      <w:r w:rsidR="00051CD5" w:rsidRPr="00344643">
        <w:rPr>
          <w:rFonts w:ascii="Times New Roman" w:hAnsi="Times New Roman" w:cs="Times New Roman"/>
          <w:noProof/>
          <w:sz w:val="27"/>
          <w:szCs w:val="27"/>
          <w:lang w:val="en-US"/>
        </w:rPr>
        <w:t xml:space="preserve"> Bởi vậy, </w:t>
      </w:r>
      <w:r w:rsidR="00051CD5" w:rsidRPr="00344643">
        <w:rPr>
          <w:rFonts w:ascii="Times New Roman" w:hAnsi="Times New Roman" w:cs="Times New Roman"/>
          <w:noProof/>
          <w:sz w:val="27"/>
          <w:szCs w:val="27"/>
          <w:lang w:val="en-US"/>
        </w:rPr>
        <w:lastRenderedPageBreak/>
        <w:t>một số quốc gia sử dụng cơ chế hoàn trả chi phí hành chính thay vì giảm thuế thu nhập. Theo đó, chính phủ sẽ bồi hoàn trực tiếp các khoản chi phí mà sàn thương mại điện tử phải chịu khi thực hiện nghĩa vụ kê khai và thu thuế thay. Điều này có thể được áp dụng ngay cả khi sàn không có lãi hoặc thuộc trường hợp không phải chịu thuế thu nhập doanh nghiệp.</w:t>
      </w:r>
    </w:p>
    <w:p w14:paraId="3C3A79D2" w14:textId="2F6F912E" w:rsidR="00051CD5" w:rsidRPr="00344643" w:rsidRDefault="00051CD5"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Tại Brazil, một số bang đã thực hiện chính sách hoàn trả chi phí hành chính cho các nền tảng thương mại điện tử khi họ thực hiện nghĩa vụ thu thuế thay cho chính phủ. Theo đó các nền tảng được hoàn lại một khoản tiền nhất định dựa trên khối lượng giao dịch mà họ đã quản lý, bất kể tình hình tài chính của họ là làm ăn có lãi hay không.</w:t>
      </w:r>
    </w:p>
    <w:p w14:paraId="0C5035BD" w14:textId="20D1A304" w:rsidR="00051CD5" w:rsidRPr="00344643" w:rsidRDefault="00051CD5"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Một số quốc gia cho phép các sàn thương mại điện tử giữ lại một phần hoa hồng hoặc chiết khấu từ tổng số tiền thuế thu được thay cho chính phủ. Điều này khuyến khích các sàn hợp tác trong việc thu thuế mà không làm tăng gánh nặng chi phí. Chẳng hạn ở Pháp: Các nền tảng như Airbnb ở Pháp được phép giữ lại một tỷ lệ phần trăm nhỏ trên tổng số tiền thuế du lịch mà họ thu hộ cho chính quyền địa phương, như một phần hoa hồng cho dịch vụ thu thuế.</w:t>
      </w:r>
    </w:p>
    <w:p w14:paraId="4037343E" w14:textId="32526110" w:rsidR="003D6D44" w:rsidRPr="00344643" w:rsidRDefault="00A74E90" w:rsidP="00344643">
      <w:pPr>
        <w:pStyle w:val="Heading2"/>
        <w:numPr>
          <w:ilvl w:val="0"/>
          <w:numId w:val="30"/>
        </w:numPr>
        <w:snapToGrid w:val="0"/>
        <w:spacing w:before="40" w:after="120" w:line="312" w:lineRule="auto"/>
        <w:rPr>
          <w:sz w:val="27"/>
          <w:szCs w:val="27"/>
        </w:rPr>
      </w:pPr>
      <w:r w:rsidRPr="00344643">
        <w:rPr>
          <w:sz w:val="27"/>
          <w:szCs w:val="27"/>
        </w:rPr>
        <w:t xml:space="preserve">Bình luận về quy định mới ở </w:t>
      </w:r>
      <w:r w:rsidR="009C6B55" w:rsidRPr="00344643">
        <w:rPr>
          <w:sz w:val="27"/>
          <w:szCs w:val="27"/>
        </w:rPr>
        <w:t>V</w:t>
      </w:r>
      <w:r w:rsidR="003D6D44" w:rsidRPr="00344643">
        <w:rPr>
          <w:sz w:val="27"/>
          <w:szCs w:val="27"/>
        </w:rPr>
        <w:t>iệt Nam</w:t>
      </w:r>
    </w:p>
    <w:p w14:paraId="359C0C9F" w14:textId="77777777" w:rsidR="00A74E90" w:rsidRPr="00344643" w:rsidRDefault="003D6D44"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Tại Việt Nam, Nghị định 126/2020/NĐ-CP </w:t>
      </w:r>
      <w:r w:rsidR="009C6B55" w:rsidRPr="00344643">
        <w:rPr>
          <w:rFonts w:ascii="Times New Roman" w:hAnsi="Times New Roman" w:cs="Times New Roman"/>
          <w:noProof/>
          <w:sz w:val="27"/>
          <w:szCs w:val="27"/>
          <w:lang w:val="en-US"/>
        </w:rPr>
        <w:t xml:space="preserve">và các văn bản hướng dẫn thi hành </w:t>
      </w:r>
      <w:r w:rsidRPr="00344643">
        <w:rPr>
          <w:rFonts w:ascii="Times New Roman" w:hAnsi="Times New Roman" w:cs="Times New Roman"/>
          <w:noProof/>
          <w:sz w:val="27"/>
          <w:szCs w:val="27"/>
          <w:lang w:val="en-US"/>
        </w:rPr>
        <w:t xml:space="preserve">có quy định yêu cầu các sàn thương mại điện tử phải </w:t>
      </w:r>
      <w:r w:rsidRPr="00344643">
        <w:rPr>
          <w:rFonts w:ascii="Times New Roman" w:hAnsi="Times New Roman" w:cs="Times New Roman"/>
          <w:i/>
          <w:iCs/>
          <w:noProof/>
          <w:sz w:val="27"/>
          <w:szCs w:val="27"/>
          <w:lang w:val="en-US"/>
        </w:rPr>
        <w:t>cung cấp thông tin</w:t>
      </w:r>
      <w:r w:rsidRPr="00344643">
        <w:rPr>
          <w:rFonts w:ascii="Times New Roman" w:hAnsi="Times New Roman" w:cs="Times New Roman"/>
          <w:noProof/>
          <w:sz w:val="27"/>
          <w:szCs w:val="27"/>
          <w:lang w:val="en-US"/>
        </w:rPr>
        <w:t xml:space="preserve"> cho cơ quan thuế về người bán hàng. Điều này nhằm hỗ trợ việc giám sát thuế, và từ năm 2022, Việt Nam đã tăng cường việc yêu cầu các nền tảng kê khai và thu thuế thu nhập cho người bán hàng trên các sàn này. </w:t>
      </w:r>
      <w:r w:rsidR="00632109" w:rsidRPr="00344643">
        <w:rPr>
          <w:rFonts w:ascii="Times New Roman" w:hAnsi="Times New Roman" w:cs="Times New Roman"/>
          <w:noProof/>
          <w:sz w:val="27"/>
          <w:szCs w:val="27"/>
          <w:lang w:val="en-US"/>
        </w:rPr>
        <w:t xml:space="preserve">Thông tư 100/2021/TT-BTC sửa đổi bổ sung Thông tư 40/2021/TT-BTC ngày 01/6/2021 hướng dẫn thuế giá trị gia tăng, thuế thu nhập cá nhân và quản lý thuế đối với hộ kinh doanh, cá nhân kinh doanh quy định </w:t>
      </w:r>
      <w:r w:rsidR="00632109" w:rsidRPr="00344643">
        <w:rPr>
          <w:rFonts w:ascii="Times New Roman" w:hAnsi="Times New Roman" w:cs="Times New Roman"/>
          <w:i/>
          <w:iCs/>
          <w:noProof/>
          <w:sz w:val="27"/>
          <w:szCs w:val="27"/>
          <w:lang w:val="en-US"/>
        </w:rPr>
        <w:t>“Tổ chức bao gồm cả chủ sở hữu Sàn giao dịch thương mại điện tử thực hiện việc khai thuế thay, nộp thuế thay cho cá nhân trên cơ sở ủy quyền theo quy định của pháp luật dân sự”</w:t>
      </w:r>
      <w:r w:rsidR="00632109" w:rsidRPr="00344643">
        <w:rPr>
          <w:rFonts w:ascii="Times New Roman" w:hAnsi="Times New Roman" w:cs="Times New Roman"/>
          <w:noProof/>
          <w:sz w:val="27"/>
          <w:szCs w:val="27"/>
          <w:lang w:val="en-US"/>
        </w:rPr>
        <w:t>.</w:t>
      </w:r>
    </w:p>
    <w:p w14:paraId="59CC27E1" w14:textId="77777777" w:rsidR="00344643" w:rsidRDefault="00A74E90" w:rsidP="00344643">
      <w:pPr>
        <w:snapToGrid w:val="0"/>
        <w:spacing w:before="40" w:after="120" w:line="312" w:lineRule="auto"/>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Trong thời gian qua, các nền tảng cung cấp dịch vụ đồng nhất và với người tham gia chỉ trong lãnh thổ Việt Nam như các ứng dụng gọi xe đã thực hiện khá tốt. </w:t>
      </w:r>
      <w:r w:rsidR="003D6D44" w:rsidRPr="00344643">
        <w:rPr>
          <w:rFonts w:ascii="Times New Roman" w:hAnsi="Times New Roman" w:cs="Times New Roman"/>
          <w:noProof/>
          <w:sz w:val="27"/>
          <w:szCs w:val="27"/>
          <w:lang w:val="en-US"/>
        </w:rPr>
        <w:t xml:space="preserve">Tuy nhiên, việc thực thi </w:t>
      </w:r>
      <w:r w:rsidRPr="00344643">
        <w:rPr>
          <w:rFonts w:ascii="Times New Roman" w:hAnsi="Times New Roman" w:cs="Times New Roman"/>
          <w:noProof/>
          <w:sz w:val="27"/>
          <w:szCs w:val="27"/>
          <w:lang w:val="en-US"/>
        </w:rPr>
        <w:t xml:space="preserve">ở phạm vi rộng hơn, với thành phần đa dạng hơn về chủ thể cũng như chủng loại hàng hóa dịch vụ </w:t>
      </w:r>
      <w:r w:rsidR="003D6D44" w:rsidRPr="00344643">
        <w:rPr>
          <w:rFonts w:ascii="Times New Roman" w:hAnsi="Times New Roman" w:cs="Times New Roman"/>
          <w:noProof/>
          <w:sz w:val="27"/>
          <w:szCs w:val="27"/>
          <w:lang w:val="en-US"/>
        </w:rPr>
        <w:t>vẫn đang ở giai đoạn phát triển</w:t>
      </w:r>
      <w:r w:rsidR="00632109" w:rsidRPr="00344643">
        <w:rPr>
          <w:rFonts w:ascii="Times New Roman" w:hAnsi="Times New Roman" w:cs="Times New Roman"/>
          <w:noProof/>
          <w:sz w:val="27"/>
          <w:szCs w:val="27"/>
          <w:lang w:val="en-US"/>
        </w:rPr>
        <w:t xml:space="preserve"> và hoàn thiện dần</w:t>
      </w:r>
      <w:r w:rsidR="005F734A" w:rsidRPr="00344643">
        <w:rPr>
          <w:rFonts w:ascii="Times New Roman" w:hAnsi="Times New Roman" w:cs="Times New Roman"/>
          <w:noProof/>
          <w:sz w:val="27"/>
          <w:szCs w:val="27"/>
          <w:lang w:val="en-US"/>
        </w:rPr>
        <w:t xml:space="preserve"> và việc soạn thảo quy định mới về nội dung này là một trong những nỗ lực đó.</w:t>
      </w:r>
    </w:p>
    <w:p w14:paraId="6054589A" w14:textId="0BC4EA2A" w:rsidR="00ED0D2C" w:rsidRPr="00344643" w:rsidRDefault="00344643" w:rsidP="00344643">
      <w:pPr>
        <w:snapToGrid w:val="0"/>
        <w:spacing w:before="40" w:after="120" w:line="312" w:lineRule="auto"/>
        <w:jc w:val="both"/>
        <w:rPr>
          <w:rFonts w:ascii="Times New Roman" w:hAnsi="Times New Roman" w:cs="Times New Roman"/>
          <w:noProof/>
          <w:sz w:val="27"/>
          <w:szCs w:val="27"/>
          <w:lang w:val="en-US"/>
        </w:rPr>
      </w:pPr>
      <w:r>
        <w:rPr>
          <w:rFonts w:ascii="Times New Roman" w:hAnsi="Times New Roman" w:cs="Times New Roman"/>
          <w:noProof/>
          <w:sz w:val="27"/>
          <w:szCs w:val="27"/>
        </w:rPr>
        <w:t xml:space="preserve">2.1 </w:t>
      </w:r>
      <w:r w:rsidR="00A74E90" w:rsidRPr="00344643">
        <w:rPr>
          <w:rFonts w:ascii="Times New Roman" w:hAnsi="Times New Roman" w:cs="Times New Roman"/>
          <w:noProof/>
          <w:sz w:val="27"/>
          <w:szCs w:val="27"/>
          <w:lang w:val="en-US"/>
        </w:rPr>
        <w:t xml:space="preserve">Về phạm vi, dường như quy định mới được bổ sung chỉ hướng đến cá nhân và hộ kinh doanh Việt Nam mà không xét đến sự hiện diện của các thương nhân nước </w:t>
      </w:r>
      <w:r w:rsidR="00A74E90" w:rsidRPr="00344643">
        <w:rPr>
          <w:rFonts w:ascii="Times New Roman" w:hAnsi="Times New Roman" w:cs="Times New Roman"/>
          <w:noProof/>
          <w:sz w:val="27"/>
          <w:szCs w:val="27"/>
          <w:lang w:val="en-US"/>
        </w:rPr>
        <w:lastRenderedPageBreak/>
        <w:t xml:space="preserve">ngoài tham gia kinh doanh trên nền tảng của Việt Nam. Không khó để nhận ra các gian hàng quốc tế trên </w:t>
      </w:r>
      <w:r w:rsidR="004A084E" w:rsidRPr="00344643">
        <w:rPr>
          <w:rFonts w:ascii="Times New Roman" w:hAnsi="Times New Roman" w:cs="Times New Roman"/>
          <w:noProof/>
          <w:sz w:val="27"/>
          <w:szCs w:val="27"/>
          <w:lang w:val="en-US"/>
        </w:rPr>
        <w:t>các sàn giao dịch thương mại điện tử lớn như Shopee, Tik Tok, Lazada, Tiki..</w:t>
      </w:r>
      <w:r w:rsidR="00A74E90" w:rsidRPr="00344643">
        <w:rPr>
          <w:rFonts w:ascii="Times New Roman" w:hAnsi="Times New Roman" w:cs="Times New Roman"/>
          <w:noProof/>
          <w:sz w:val="27"/>
          <w:szCs w:val="27"/>
          <w:lang w:val="en-US"/>
        </w:rPr>
        <w:t>. Theo thông lệ quốc tế, đây mới là đối tượng cần quan tâm xem xét việc thu tại nguồn các loại thuế gián thu từ các hàng hóa, dịch vụ của họ được giao đến và tiêu dùng tại Việt Nam.</w:t>
      </w:r>
    </w:p>
    <w:p w14:paraId="11752895" w14:textId="77777777" w:rsidR="00344643" w:rsidRDefault="00BE4EEF" w:rsidP="00344643">
      <w:pPr>
        <w:pStyle w:val="ListParagraph"/>
        <w:snapToGrid w:val="0"/>
        <w:spacing w:before="40" w:after="120" w:line="312" w:lineRule="auto"/>
        <w:ind w:left="360"/>
        <w:contextualSpacing w:val="0"/>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Các trường hợp hàng giao từ nước ngoài hoàn toàn khác với việc nhà phát triển nước ngoài bán app trên CH Play của Google được người dùng Việt mua. Vì CH Play là sàn nước ngoài, không phải sàn Việt Nam.</w:t>
      </w:r>
    </w:p>
    <w:p w14:paraId="23E01807" w14:textId="61BABC77" w:rsidR="00200724" w:rsidRPr="00344643" w:rsidRDefault="00344643" w:rsidP="00344643">
      <w:pPr>
        <w:snapToGrid w:val="0"/>
        <w:spacing w:before="40" w:after="120" w:line="312" w:lineRule="auto"/>
        <w:jc w:val="both"/>
        <w:rPr>
          <w:rFonts w:ascii="Times New Roman" w:hAnsi="Times New Roman" w:cs="Times New Roman"/>
          <w:noProof/>
          <w:sz w:val="27"/>
          <w:szCs w:val="27"/>
          <w:lang w:val="en-US"/>
        </w:rPr>
      </w:pPr>
      <w:r>
        <w:rPr>
          <w:rFonts w:ascii="Times New Roman" w:hAnsi="Times New Roman" w:cs="Times New Roman"/>
          <w:noProof/>
          <w:sz w:val="27"/>
          <w:szCs w:val="27"/>
        </w:rPr>
        <w:t xml:space="preserve">2.2 </w:t>
      </w:r>
      <w:r w:rsidR="00A74E90" w:rsidRPr="00344643">
        <w:rPr>
          <w:rFonts w:ascii="Times New Roman" w:hAnsi="Times New Roman" w:cs="Times New Roman"/>
          <w:noProof/>
          <w:sz w:val="27"/>
          <w:szCs w:val="27"/>
          <w:lang w:val="en-US"/>
        </w:rPr>
        <w:t>Việc kê khai và nộp thuế thay liên quan đến nghiệp vụ của đ</w:t>
      </w:r>
      <w:r w:rsidR="007B1D9A" w:rsidRPr="00344643">
        <w:rPr>
          <w:rFonts w:ascii="Times New Roman" w:hAnsi="Times New Roman" w:cs="Times New Roman"/>
          <w:noProof/>
          <w:sz w:val="27"/>
          <w:szCs w:val="27"/>
        </w:rPr>
        <w:t>ại lý thuế.</w:t>
      </w:r>
      <w:r w:rsidR="00A74E90" w:rsidRPr="00344643">
        <w:rPr>
          <w:rFonts w:ascii="Times New Roman" w:hAnsi="Times New Roman" w:cs="Times New Roman"/>
          <w:noProof/>
          <w:sz w:val="27"/>
          <w:szCs w:val="27"/>
          <w:lang w:val="en-US"/>
        </w:rPr>
        <w:t xml:space="preserve"> Tuy nhiên, song song với quy định về nghĩa vụ mới của sàn thương mại điện tử, Dự thảo không dự liệu gì thêm về </w:t>
      </w:r>
      <w:r w:rsidR="00BE4EEF" w:rsidRPr="00344643">
        <w:rPr>
          <w:rFonts w:ascii="Times New Roman" w:hAnsi="Times New Roman" w:cs="Times New Roman"/>
          <w:noProof/>
          <w:sz w:val="27"/>
          <w:szCs w:val="27"/>
          <w:lang w:val="en-US"/>
        </w:rPr>
        <w:t xml:space="preserve">điều kiện kinh doanh mới của các sàn thương mại điện tử là </w:t>
      </w:r>
      <w:r w:rsidR="00BE4EEF" w:rsidRPr="00344643">
        <w:rPr>
          <w:rFonts w:ascii="Times New Roman" w:hAnsi="Times New Roman" w:cs="Times New Roman"/>
          <w:i/>
          <w:iCs/>
          <w:noProof/>
          <w:sz w:val="27"/>
          <w:szCs w:val="27"/>
          <w:lang w:val="en-US"/>
        </w:rPr>
        <w:t>phải có nhân viên có chứng chỉ hành nghề đại lý thuế</w:t>
      </w:r>
      <w:r w:rsidR="00BE4EEF" w:rsidRPr="00344643">
        <w:rPr>
          <w:rFonts w:ascii="Times New Roman" w:hAnsi="Times New Roman" w:cs="Times New Roman"/>
          <w:noProof/>
          <w:sz w:val="27"/>
          <w:szCs w:val="27"/>
          <w:lang w:val="en-US"/>
        </w:rPr>
        <w:t xml:space="preserve"> thì mới được phép đi vào hoạt động.</w:t>
      </w:r>
    </w:p>
    <w:p w14:paraId="7D6FEB72" w14:textId="77777777" w:rsidR="00344643" w:rsidRDefault="00BE4EEF" w:rsidP="00344643">
      <w:pPr>
        <w:pStyle w:val="ListParagraph"/>
        <w:snapToGrid w:val="0"/>
        <w:spacing w:before="40" w:after="120" w:line="312" w:lineRule="auto"/>
        <w:ind w:left="360"/>
        <w:contextualSpacing w:val="0"/>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Trong trường hợp Dự thảo không có ý định đặt thêm điều kiện kinh doanh đối với sàn thương mại điện tử thì cũng cần thiết sửa đổi cả quy định về đại lý thuế chứ không chỉ thuần túy trao thêm nghĩa vụ cho sàn thương mại điện tử.</w:t>
      </w:r>
    </w:p>
    <w:p w14:paraId="6C951932" w14:textId="369D96B0" w:rsidR="00344643" w:rsidRPr="00344643" w:rsidRDefault="00344643" w:rsidP="00344643">
      <w:pPr>
        <w:snapToGrid w:val="0"/>
        <w:spacing w:before="40" w:after="120" w:line="312" w:lineRule="auto"/>
        <w:jc w:val="both"/>
        <w:rPr>
          <w:rFonts w:ascii="Times New Roman" w:hAnsi="Times New Roman" w:cs="Times New Roman"/>
          <w:noProof/>
          <w:sz w:val="27"/>
          <w:szCs w:val="27"/>
          <w:lang w:val="en-US"/>
        </w:rPr>
      </w:pPr>
      <w:r>
        <w:rPr>
          <w:rFonts w:ascii="Times New Roman" w:hAnsi="Times New Roman" w:cs="Times New Roman"/>
          <w:noProof/>
          <w:sz w:val="27"/>
          <w:szCs w:val="27"/>
        </w:rPr>
        <w:t xml:space="preserve">2.3 </w:t>
      </w:r>
      <w:r w:rsidR="00BE4EEF" w:rsidRPr="00344643">
        <w:rPr>
          <w:rFonts w:ascii="Times New Roman" w:hAnsi="Times New Roman" w:cs="Times New Roman"/>
          <w:noProof/>
          <w:sz w:val="27"/>
          <w:szCs w:val="27"/>
          <w:lang w:val="en-US"/>
        </w:rPr>
        <w:t>Cần nhìn nhận rằng, việc trao nghĩa vụ mới này, dù không được coi là điều kiện kinh doanh mới thì cũng tạo ra một gánh nặng tuân thủ rất lớn đối với các sàn thương mại điện tử.</w:t>
      </w:r>
      <w:r w:rsidR="00862F91" w:rsidRPr="00344643">
        <w:rPr>
          <w:rFonts w:ascii="Times New Roman" w:hAnsi="Times New Roman" w:cs="Times New Roman"/>
          <w:noProof/>
          <w:sz w:val="27"/>
          <w:szCs w:val="27"/>
          <w:lang w:val="en-US"/>
        </w:rPr>
        <w:t xml:space="preserve"> Khối lượng công việc lớn, rất dễ sai sót và có thể phải chịu trách nhiệm pháp lý, các sàn sẽ phải tuyển dụng thêm nhân viên </w:t>
      </w:r>
      <w:r w:rsidR="00421C84" w:rsidRPr="00344643">
        <w:rPr>
          <w:rFonts w:ascii="Times New Roman" w:hAnsi="Times New Roman" w:cs="Times New Roman"/>
          <w:noProof/>
          <w:sz w:val="27"/>
          <w:szCs w:val="27"/>
        </w:rPr>
        <w:t>có kiến thức và chuyên môn về thuế</w:t>
      </w:r>
      <w:r w:rsidR="00640752" w:rsidRPr="00344643">
        <w:rPr>
          <w:rFonts w:ascii="Times New Roman" w:hAnsi="Times New Roman" w:cs="Times New Roman"/>
          <w:noProof/>
          <w:sz w:val="27"/>
          <w:szCs w:val="27"/>
        </w:rPr>
        <w:t xml:space="preserve"> nhằm</w:t>
      </w:r>
      <w:r w:rsidR="00421C84" w:rsidRPr="00344643">
        <w:rPr>
          <w:rFonts w:ascii="Times New Roman" w:hAnsi="Times New Roman" w:cs="Times New Roman"/>
          <w:noProof/>
          <w:sz w:val="27"/>
          <w:szCs w:val="27"/>
        </w:rPr>
        <w:t xml:space="preserve"> giảm </w:t>
      </w:r>
      <w:r w:rsidR="007B1D9A" w:rsidRPr="00344643">
        <w:rPr>
          <w:rFonts w:ascii="Times New Roman" w:hAnsi="Times New Roman" w:cs="Times New Roman"/>
          <w:noProof/>
          <w:sz w:val="27"/>
          <w:szCs w:val="27"/>
        </w:rPr>
        <w:t xml:space="preserve">thiểu </w:t>
      </w:r>
      <w:r w:rsidR="00421C84" w:rsidRPr="00344643">
        <w:rPr>
          <w:rFonts w:ascii="Times New Roman" w:hAnsi="Times New Roman" w:cs="Times New Roman"/>
          <w:noProof/>
          <w:sz w:val="27"/>
          <w:szCs w:val="27"/>
        </w:rPr>
        <w:t xml:space="preserve">rủi ro </w:t>
      </w:r>
      <w:r w:rsidR="00862F91" w:rsidRPr="00344643">
        <w:rPr>
          <w:rFonts w:ascii="Times New Roman" w:hAnsi="Times New Roman" w:cs="Times New Roman"/>
          <w:noProof/>
          <w:sz w:val="27"/>
          <w:szCs w:val="27"/>
          <w:lang w:val="en-US"/>
        </w:rPr>
        <w:t xml:space="preserve">chứ không triệt tiêu được rủi ro </w:t>
      </w:r>
      <w:r w:rsidR="00421C84" w:rsidRPr="00344643">
        <w:rPr>
          <w:rFonts w:ascii="Times New Roman" w:hAnsi="Times New Roman" w:cs="Times New Roman"/>
          <w:noProof/>
          <w:sz w:val="27"/>
          <w:szCs w:val="27"/>
        </w:rPr>
        <w:t>kê khai thuế không chính xác.</w:t>
      </w:r>
      <w:r w:rsidR="00862F91" w:rsidRPr="00344643">
        <w:rPr>
          <w:rFonts w:ascii="Times New Roman" w:hAnsi="Times New Roman" w:cs="Times New Roman"/>
          <w:noProof/>
          <w:sz w:val="27"/>
          <w:szCs w:val="27"/>
          <w:lang w:val="en-US"/>
        </w:rPr>
        <w:t xml:space="preserve"> Chúng tôi cho rằng, Dự thào cần có quy định riêng về vi phạm dạng này khi nhà nước không mua bảo hiểm rủi ro pháp lý cho doanh nghiệp.</w:t>
      </w:r>
      <w:r>
        <w:rPr>
          <w:rFonts w:ascii="Times New Roman" w:hAnsi="Times New Roman" w:cs="Times New Roman"/>
          <w:noProof/>
          <w:sz w:val="27"/>
          <w:szCs w:val="27"/>
          <w:lang w:val="en-US"/>
        </w:rPr>
        <w:br/>
      </w:r>
      <w:r>
        <w:rPr>
          <w:rFonts w:ascii="Times New Roman" w:hAnsi="Times New Roman" w:cs="Times New Roman"/>
          <w:noProof/>
          <w:sz w:val="27"/>
          <w:szCs w:val="27"/>
        </w:rPr>
        <w:t xml:space="preserve">2.4 </w:t>
      </w:r>
      <w:r w:rsidR="00862F91" w:rsidRPr="00344643">
        <w:rPr>
          <w:rFonts w:ascii="Times New Roman" w:hAnsi="Times New Roman" w:cs="Times New Roman"/>
          <w:noProof/>
          <w:sz w:val="27"/>
          <w:szCs w:val="27"/>
          <w:lang w:val="en-US"/>
        </w:rPr>
        <w:t>Các chi phí, có thể nhận thấy sẽ được chuyển vào giá thành dịch vụ của sàn, dễ thấy là hàng hóa giao dịch trên sàn sẽ bị đội chi phí và điều này gây khó khăn cho các nhà bán hàng nhỏ và vừa. Họ phải tăng giá và khó bán hàng hơn. Kết quả này không ủng hộ mục tiêu chính sách đặt ra là</w:t>
      </w:r>
      <w:r w:rsidR="007E42CD" w:rsidRPr="00344643">
        <w:rPr>
          <w:rFonts w:ascii="Times New Roman" w:hAnsi="Times New Roman" w:cs="Times New Roman"/>
          <w:noProof/>
          <w:sz w:val="27"/>
          <w:szCs w:val="27"/>
          <w:lang w:val="en-US"/>
        </w:rPr>
        <w:t xml:space="preserve"> “tháo gỡ ngay các khó khăn, vướng mắc, giải phóng nguồn lực cho thúc đẩy phát triển kinh tế - xã hội”.</w:t>
      </w:r>
    </w:p>
    <w:p w14:paraId="7E2672C9" w14:textId="77777777" w:rsidR="00344643" w:rsidRDefault="007E42CD" w:rsidP="00344643">
      <w:pPr>
        <w:pStyle w:val="ListParagraph"/>
        <w:snapToGrid w:val="0"/>
        <w:spacing w:before="40" w:after="120" w:line="312" w:lineRule="auto"/>
        <w:ind w:left="360"/>
        <w:contextualSpacing w:val="0"/>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 xml:space="preserve">Quy định mới về việc </w:t>
      </w:r>
      <w:r w:rsidR="004A084E" w:rsidRPr="00344643">
        <w:rPr>
          <w:rFonts w:ascii="Times New Roman" w:hAnsi="Times New Roman" w:cs="Times New Roman"/>
          <w:noProof/>
          <w:sz w:val="27"/>
          <w:szCs w:val="27"/>
          <w:lang w:val="en-US"/>
        </w:rPr>
        <w:t>kê khai thay và nộp thuế</w:t>
      </w:r>
      <w:r w:rsidRPr="00344643">
        <w:rPr>
          <w:rFonts w:ascii="Times New Roman" w:hAnsi="Times New Roman" w:cs="Times New Roman"/>
          <w:noProof/>
          <w:sz w:val="27"/>
          <w:szCs w:val="27"/>
          <w:lang w:val="en-US"/>
        </w:rPr>
        <w:t xml:space="preserve"> thuế thay cho cá nhân, hộ gia đình, không có sự phân biệt rõ ràng về loại thuế nào sẽ gây khó khăn cho người </w:t>
      </w:r>
      <w:r w:rsidR="004A084E" w:rsidRPr="00344643">
        <w:rPr>
          <w:rFonts w:ascii="Times New Roman" w:hAnsi="Times New Roman" w:cs="Times New Roman"/>
          <w:noProof/>
          <w:sz w:val="27"/>
          <w:szCs w:val="27"/>
          <w:lang w:val="en-US"/>
        </w:rPr>
        <w:t xml:space="preserve">kê </w:t>
      </w:r>
      <w:r w:rsidRPr="00344643">
        <w:rPr>
          <w:rFonts w:ascii="Times New Roman" w:hAnsi="Times New Roman" w:cs="Times New Roman"/>
          <w:noProof/>
          <w:sz w:val="27"/>
          <w:szCs w:val="27"/>
          <w:lang w:val="en-US"/>
        </w:rPr>
        <w:t xml:space="preserve">khai thuế vì ngoài doanh thu tại sàn, người bán có thể có những nguồn doanh thu khác từ các cửa hàng thực tế hoặc ở sàn, nền tảng khác. Không có cơ sở tính các mức giảm trừ gia cảnh cũng như tổng thu nhập của người bàn hàng. Nếu </w:t>
      </w:r>
      <w:r w:rsidR="004A084E" w:rsidRPr="00344643">
        <w:rPr>
          <w:rFonts w:ascii="Times New Roman" w:hAnsi="Times New Roman" w:cs="Times New Roman"/>
          <w:noProof/>
          <w:sz w:val="27"/>
          <w:szCs w:val="27"/>
          <w:lang w:val="en-US"/>
        </w:rPr>
        <w:t>xảy ra tình trạng kê khai và nộp</w:t>
      </w:r>
      <w:r w:rsidRPr="00344643">
        <w:rPr>
          <w:rFonts w:ascii="Times New Roman" w:hAnsi="Times New Roman" w:cs="Times New Roman"/>
          <w:noProof/>
          <w:sz w:val="27"/>
          <w:szCs w:val="27"/>
          <w:lang w:val="en-US"/>
        </w:rPr>
        <w:t xml:space="preserve"> thiếu </w:t>
      </w:r>
      <w:r w:rsidR="004A084E" w:rsidRPr="00344643">
        <w:rPr>
          <w:rFonts w:ascii="Times New Roman" w:hAnsi="Times New Roman" w:cs="Times New Roman"/>
          <w:noProof/>
          <w:sz w:val="27"/>
          <w:szCs w:val="27"/>
          <w:lang w:val="en-US"/>
        </w:rPr>
        <w:t>sẽ bị coi là</w:t>
      </w:r>
      <w:r w:rsidRPr="00344643">
        <w:rPr>
          <w:rFonts w:ascii="Times New Roman" w:hAnsi="Times New Roman" w:cs="Times New Roman"/>
          <w:noProof/>
          <w:sz w:val="27"/>
          <w:szCs w:val="27"/>
          <w:lang w:val="en-US"/>
        </w:rPr>
        <w:t xml:space="preserve"> vi phạm pháp luật. Không có quy định nào của Dự thảo bảo vệ sàn trong trường hợp này là một thiếu sót lớn.</w:t>
      </w:r>
    </w:p>
    <w:p w14:paraId="3E9C1990" w14:textId="78E26A0A" w:rsidR="0023295D" w:rsidRPr="00344643" w:rsidRDefault="00344643" w:rsidP="00344643">
      <w:pPr>
        <w:snapToGrid w:val="0"/>
        <w:spacing w:before="40" w:after="120" w:line="312" w:lineRule="auto"/>
        <w:jc w:val="both"/>
        <w:rPr>
          <w:rFonts w:ascii="Times New Roman" w:hAnsi="Times New Roman" w:cs="Times New Roman"/>
          <w:noProof/>
          <w:sz w:val="27"/>
          <w:szCs w:val="27"/>
          <w:lang w:val="en-US"/>
        </w:rPr>
      </w:pPr>
      <w:r>
        <w:rPr>
          <w:rFonts w:ascii="Times New Roman" w:hAnsi="Times New Roman" w:cs="Times New Roman"/>
          <w:noProof/>
          <w:sz w:val="27"/>
          <w:szCs w:val="27"/>
        </w:rPr>
        <w:lastRenderedPageBreak/>
        <w:t xml:space="preserve">2.5 </w:t>
      </w:r>
      <w:r w:rsidR="007E42CD" w:rsidRPr="00344643">
        <w:rPr>
          <w:rFonts w:ascii="Times New Roman" w:hAnsi="Times New Roman" w:cs="Times New Roman"/>
          <w:noProof/>
          <w:sz w:val="27"/>
          <w:szCs w:val="27"/>
          <w:lang w:val="en-US"/>
        </w:rPr>
        <w:t xml:space="preserve">Quy định mới không quy định về cách xác định địa điểm nộp thuế theo hình thức nộp thay này. Trong khi </w:t>
      </w:r>
      <w:r w:rsidR="00B57DF1" w:rsidRPr="00344643">
        <w:rPr>
          <w:rFonts w:ascii="Times New Roman" w:hAnsi="Times New Roman" w:cs="Times New Roman"/>
          <w:noProof/>
          <w:sz w:val="27"/>
          <w:szCs w:val="27"/>
        </w:rPr>
        <w:t xml:space="preserve">Điều 32 Luật </w:t>
      </w:r>
      <w:r w:rsidR="007E42CD" w:rsidRPr="00344643">
        <w:rPr>
          <w:rFonts w:ascii="Times New Roman" w:hAnsi="Times New Roman" w:cs="Times New Roman"/>
          <w:noProof/>
          <w:sz w:val="27"/>
          <w:szCs w:val="27"/>
          <w:lang w:val="en-US"/>
        </w:rPr>
        <w:t xml:space="preserve">Quản lý thuế </w:t>
      </w:r>
      <w:r w:rsidR="00827927" w:rsidRPr="00344643">
        <w:rPr>
          <w:rFonts w:ascii="Times New Roman" w:hAnsi="Times New Roman" w:cs="Times New Roman"/>
          <w:noProof/>
          <w:sz w:val="27"/>
          <w:szCs w:val="27"/>
          <w:lang w:val="en-US"/>
        </w:rPr>
        <w:t>hiện hành về nới đăng ký thuế lại không sửa đổi, điều này có thể nảy sinh những bất cập và rủi ro đối với cả sàn thương mại điện tử lẫn người nộp thuế.</w:t>
      </w:r>
    </w:p>
    <w:p w14:paraId="02F64C69" w14:textId="255BEB2B" w:rsidR="00827927" w:rsidRPr="00344643" w:rsidRDefault="00827927" w:rsidP="00344643">
      <w:pPr>
        <w:pStyle w:val="Heading2"/>
        <w:numPr>
          <w:ilvl w:val="0"/>
          <w:numId w:val="30"/>
        </w:numPr>
        <w:snapToGrid w:val="0"/>
        <w:spacing w:before="40" w:after="120" w:line="312" w:lineRule="auto"/>
        <w:rPr>
          <w:sz w:val="27"/>
          <w:szCs w:val="27"/>
          <w:lang w:val="vi-VN"/>
        </w:rPr>
      </w:pPr>
      <w:r w:rsidRPr="00344643">
        <w:rPr>
          <w:sz w:val="27"/>
          <w:szCs w:val="27"/>
        </w:rPr>
        <w:t>Một vài kiến nghị</w:t>
      </w:r>
    </w:p>
    <w:p w14:paraId="697EB23F" w14:textId="3C891518" w:rsidR="00344643" w:rsidRDefault="00344643" w:rsidP="00344643">
      <w:pPr>
        <w:pStyle w:val="ListParagraph"/>
        <w:numPr>
          <w:ilvl w:val="1"/>
          <w:numId w:val="42"/>
        </w:numPr>
        <w:snapToGrid w:val="0"/>
        <w:spacing w:before="40" w:after="120" w:line="312" w:lineRule="auto"/>
        <w:contextualSpacing w:val="0"/>
        <w:jc w:val="both"/>
        <w:rPr>
          <w:rFonts w:ascii="Times New Roman" w:hAnsi="Times New Roman" w:cs="Times New Roman"/>
          <w:noProof/>
          <w:sz w:val="27"/>
          <w:szCs w:val="27"/>
          <w:lang w:val="en-US"/>
        </w:rPr>
      </w:pPr>
      <w:r>
        <w:rPr>
          <w:rFonts w:ascii="Times New Roman" w:hAnsi="Times New Roman" w:cs="Times New Roman"/>
          <w:noProof/>
          <w:sz w:val="27"/>
          <w:szCs w:val="27"/>
        </w:rPr>
        <w:t xml:space="preserve"> </w:t>
      </w:r>
      <w:r w:rsidR="00DC660D" w:rsidRPr="00344643">
        <w:rPr>
          <w:rFonts w:ascii="Times New Roman" w:hAnsi="Times New Roman" w:cs="Times New Roman"/>
          <w:noProof/>
          <w:sz w:val="27"/>
          <w:szCs w:val="27"/>
          <w:lang w:val="en-US"/>
        </w:rPr>
        <w:t xml:space="preserve">Từ kinh nghiệm quốc tế cũng như những nhận định về khó khăn của người khai thuế thay, chúng tôi cho </w:t>
      </w:r>
      <w:r w:rsidR="004A084E" w:rsidRPr="00344643">
        <w:rPr>
          <w:rFonts w:ascii="Times New Roman" w:hAnsi="Times New Roman" w:cs="Times New Roman"/>
          <w:noProof/>
          <w:sz w:val="27"/>
          <w:szCs w:val="27"/>
          <w:lang w:val="en-US"/>
        </w:rPr>
        <w:t>rằng</w:t>
      </w:r>
      <w:r w:rsidR="00DC660D" w:rsidRPr="00344643">
        <w:rPr>
          <w:rFonts w:ascii="Times New Roman" w:hAnsi="Times New Roman" w:cs="Times New Roman"/>
          <w:noProof/>
          <w:sz w:val="27"/>
          <w:szCs w:val="27"/>
          <w:lang w:val="en-US"/>
        </w:rPr>
        <w:t>, Dự thảo cần dứt khoát chỉ rõ chỉ thực hiện đối với các loại thuế gián thu, cụ thể là thuế giá trị gia tăng.</w:t>
      </w:r>
    </w:p>
    <w:p w14:paraId="2F327125" w14:textId="71FB1D5F" w:rsidR="00DC660D" w:rsidRPr="00344643" w:rsidRDefault="00344643" w:rsidP="00344643">
      <w:pPr>
        <w:pStyle w:val="ListParagraph"/>
        <w:numPr>
          <w:ilvl w:val="1"/>
          <w:numId w:val="42"/>
        </w:numPr>
        <w:snapToGrid w:val="0"/>
        <w:spacing w:before="40" w:after="120" w:line="312" w:lineRule="auto"/>
        <w:contextualSpacing w:val="0"/>
        <w:jc w:val="both"/>
        <w:rPr>
          <w:rFonts w:ascii="Times New Roman" w:hAnsi="Times New Roman" w:cs="Times New Roman"/>
          <w:noProof/>
          <w:sz w:val="27"/>
          <w:szCs w:val="27"/>
          <w:lang w:val="en-US"/>
        </w:rPr>
      </w:pPr>
      <w:r>
        <w:rPr>
          <w:rFonts w:ascii="Times New Roman" w:hAnsi="Times New Roman" w:cs="Times New Roman"/>
          <w:noProof/>
          <w:sz w:val="27"/>
          <w:szCs w:val="27"/>
        </w:rPr>
        <w:t xml:space="preserve"> </w:t>
      </w:r>
      <w:r w:rsidR="00DC660D" w:rsidRPr="00344643">
        <w:rPr>
          <w:rFonts w:ascii="Times New Roman" w:hAnsi="Times New Roman" w:cs="Times New Roman"/>
          <w:noProof/>
          <w:sz w:val="27"/>
          <w:szCs w:val="27"/>
          <w:lang w:val="en-US"/>
        </w:rPr>
        <w:t>Đồng thời, cần thiết phải bù đắp chi phi hành chính cho doanh nghiệp bằng chính nguồn thu hộ. Hạn chế việc tính thêm giá chiết khấu đối với người bán hàng nhỏ lẻ cho chi phí khai thay, nộp thay. Thực tế, đây là biện pháp trục xuất họ khỏi sàn.</w:t>
      </w:r>
    </w:p>
    <w:p w14:paraId="7A4C3F59" w14:textId="77777777" w:rsidR="00344643" w:rsidRDefault="00DC660D" w:rsidP="00344643">
      <w:pPr>
        <w:pStyle w:val="ListParagraph"/>
        <w:snapToGrid w:val="0"/>
        <w:spacing w:before="40" w:after="120" w:line="312" w:lineRule="auto"/>
        <w:ind w:left="360"/>
        <w:contextualSpacing w:val="0"/>
        <w:jc w:val="both"/>
        <w:rPr>
          <w:rFonts w:ascii="Times New Roman" w:hAnsi="Times New Roman" w:cs="Times New Roman"/>
          <w:noProof/>
          <w:sz w:val="27"/>
          <w:szCs w:val="27"/>
          <w:lang w:val="en-US"/>
        </w:rPr>
      </w:pPr>
      <w:r w:rsidRPr="00344643">
        <w:rPr>
          <w:rFonts w:ascii="Times New Roman" w:hAnsi="Times New Roman" w:cs="Times New Roman"/>
          <w:noProof/>
          <w:sz w:val="27"/>
          <w:szCs w:val="27"/>
          <w:lang w:val="en-US"/>
        </w:rPr>
        <w:t>Liên quan đến mức thu khoán đối với người bán đăng ký theo hình thức hộ kinh doanh. Chúng tôi nhận thấy, mức thu khoán có thể không hợp lý bởi nó tạo ra sự mất công bằng thuế theo chiều ngang giữa các người bán sản phẩm cùng loại trên cùng một sàn. Các mức khoán chỉ nên áp dụng đối với cửa hàng thực tế, riêng biệt, không nên áp dụng khi chúng cùng được bán trên một sàn vì lợi thế cạnh tranh là rất đáng kể. Đồng thời, việc thu thuế tại nguồn, nếu dự thảo được thông qua, sẽ khó áp dụng hơn vì không thể quản lý theo mã mặt hàng để tính thuế thống nhất</w:t>
      </w:r>
      <w:r w:rsidR="00464C2B" w:rsidRPr="00344643">
        <w:rPr>
          <w:rFonts w:ascii="Times New Roman" w:hAnsi="Times New Roman" w:cs="Times New Roman"/>
          <w:noProof/>
          <w:sz w:val="27"/>
          <w:szCs w:val="27"/>
          <w:lang w:val="en-US"/>
        </w:rPr>
        <w:t>.</w:t>
      </w:r>
    </w:p>
    <w:p w14:paraId="13F34DEC" w14:textId="7B004B1E" w:rsidR="00344643" w:rsidRPr="00344643" w:rsidRDefault="00344643" w:rsidP="00344643">
      <w:pPr>
        <w:pStyle w:val="ListParagraph"/>
        <w:numPr>
          <w:ilvl w:val="1"/>
          <w:numId w:val="42"/>
        </w:numPr>
        <w:snapToGrid w:val="0"/>
        <w:spacing w:before="40" w:after="120" w:line="312" w:lineRule="auto"/>
        <w:contextualSpacing w:val="0"/>
        <w:jc w:val="both"/>
        <w:rPr>
          <w:rFonts w:ascii="Times New Roman" w:hAnsi="Times New Roman" w:cs="Times New Roman"/>
          <w:noProof/>
          <w:sz w:val="27"/>
          <w:szCs w:val="27"/>
          <w:lang w:val="en-US"/>
        </w:rPr>
      </w:pPr>
      <w:r>
        <w:rPr>
          <w:rFonts w:ascii="Times New Roman" w:hAnsi="Times New Roman" w:cs="Times New Roman"/>
          <w:noProof/>
          <w:sz w:val="27"/>
          <w:szCs w:val="27"/>
        </w:rPr>
        <w:t xml:space="preserve"> </w:t>
      </w:r>
      <w:r w:rsidR="00DC660D" w:rsidRPr="00344643">
        <w:rPr>
          <w:rFonts w:ascii="Times New Roman" w:hAnsi="Times New Roman" w:cs="Times New Roman"/>
          <w:noProof/>
          <w:sz w:val="27"/>
          <w:szCs w:val="27"/>
          <w:lang w:val="en-US"/>
        </w:rPr>
        <w:t>Làm rõ về nghĩa vụ đối với người bán nước ngoài trên sàn Việt Nam</w:t>
      </w:r>
    </w:p>
    <w:p w14:paraId="18296824" w14:textId="554EA79F" w:rsidR="00344643" w:rsidRPr="00344643" w:rsidRDefault="00344643" w:rsidP="00344643">
      <w:pPr>
        <w:pStyle w:val="ListParagraph"/>
        <w:numPr>
          <w:ilvl w:val="1"/>
          <w:numId w:val="42"/>
        </w:numPr>
        <w:snapToGrid w:val="0"/>
        <w:spacing w:before="40" w:after="120" w:line="312" w:lineRule="auto"/>
        <w:contextualSpacing w:val="0"/>
        <w:jc w:val="both"/>
        <w:rPr>
          <w:rFonts w:ascii="Times New Roman" w:hAnsi="Times New Roman" w:cs="Times New Roman"/>
          <w:noProof/>
          <w:sz w:val="27"/>
          <w:szCs w:val="27"/>
          <w:lang w:val="en-US"/>
        </w:rPr>
      </w:pPr>
      <w:r>
        <w:rPr>
          <w:rFonts w:ascii="Times New Roman" w:hAnsi="Times New Roman" w:cs="Times New Roman"/>
          <w:noProof/>
          <w:sz w:val="27"/>
          <w:szCs w:val="27"/>
        </w:rPr>
        <w:t xml:space="preserve"> </w:t>
      </w:r>
      <w:r w:rsidR="00DC660D" w:rsidRPr="00344643">
        <w:rPr>
          <w:rFonts w:ascii="Times New Roman" w:hAnsi="Times New Roman" w:cs="Times New Roman"/>
          <w:noProof/>
          <w:sz w:val="27"/>
          <w:szCs w:val="27"/>
          <w:lang w:val="en-US"/>
        </w:rPr>
        <w:t>Cụ thể hóa các quy định về nghiệp vụ</w:t>
      </w:r>
      <w:r w:rsidR="004A084E" w:rsidRPr="00344643">
        <w:rPr>
          <w:rFonts w:ascii="Times New Roman" w:hAnsi="Times New Roman" w:cs="Times New Roman"/>
          <w:noProof/>
          <w:sz w:val="27"/>
          <w:szCs w:val="27"/>
          <w:lang w:val="en-US"/>
        </w:rPr>
        <w:t xml:space="preserve"> kê</w:t>
      </w:r>
      <w:r w:rsidR="00DC660D" w:rsidRPr="00344643">
        <w:rPr>
          <w:rFonts w:ascii="Times New Roman" w:hAnsi="Times New Roman" w:cs="Times New Roman"/>
          <w:noProof/>
          <w:sz w:val="27"/>
          <w:szCs w:val="27"/>
          <w:lang w:val="en-US"/>
        </w:rPr>
        <w:t xml:space="preserve"> khai thuế thay, nộp thuế thay của các sàn thương mại điện từ có phải là một hình thức đại lý thuế hay không</w:t>
      </w:r>
      <w:r w:rsidR="00C441C0" w:rsidRPr="00344643">
        <w:rPr>
          <w:rFonts w:ascii="Times New Roman" w:hAnsi="Times New Roman" w:cs="Times New Roman"/>
          <w:noProof/>
          <w:sz w:val="27"/>
          <w:szCs w:val="27"/>
          <w:lang w:val="en-US"/>
        </w:rPr>
        <w:t>.</w:t>
      </w:r>
    </w:p>
    <w:p w14:paraId="4E3689FC" w14:textId="458163FD" w:rsidR="00344643" w:rsidRPr="00344643" w:rsidRDefault="00344643" w:rsidP="00344643">
      <w:pPr>
        <w:pStyle w:val="ListParagraph"/>
        <w:numPr>
          <w:ilvl w:val="1"/>
          <w:numId w:val="42"/>
        </w:numPr>
        <w:snapToGrid w:val="0"/>
        <w:spacing w:before="40" w:after="120" w:line="312" w:lineRule="auto"/>
        <w:contextualSpacing w:val="0"/>
        <w:jc w:val="both"/>
        <w:rPr>
          <w:noProof/>
          <w:sz w:val="27"/>
          <w:szCs w:val="27"/>
          <w:lang w:val="en-US"/>
        </w:rPr>
      </w:pPr>
      <w:r>
        <w:rPr>
          <w:rFonts w:ascii="Times New Roman" w:hAnsi="Times New Roman" w:cs="Times New Roman"/>
          <w:noProof/>
          <w:sz w:val="27"/>
          <w:szCs w:val="27"/>
        </w:rPr>
        <w:t xml:space="preserve"> </w:t>
      </w:r>
      <w:r w:rsidR="00DC660D" w:rsidRPr="00344643">
        <w:rPr>
          <w:rFonts w:ascii="Times New Roman" w:hAnsi="Times New Roman" w:cs="Times New Roman"/>
          <w:noProof/>
          <w:sz w:val="27"/>
          <w:szCs w:val="27"/>
          <w:lang w:val="en-US"/>
        </w:rPr>
        <w:t>Các biện pháp nâng cao năng lực</w:t>
      </w:r>
      <w:r w:rsidR="00C441C0" w:rsidRPr="00344643">
        <w:rPr>
          <w:rFonts w:ascii="Times New Roman" w:hAnsi="Times New Roman" w:cs="Times New Roman"/>
          <w:noProof/>
          <w:sz w:val="27"/>
          <w:szCs w:val="27"/>
          <w:lang w:val="en-US"/>
        </w:rPr>
        <w:t>, hiện đại hóa</w:t>
      </w:r>
      <w:r w:rsidR="00DC660D" w:rsidRPr="00344643">
        <w:rPr>
          <w:rFonts w:ascii="Times New Roman" w:hAnsi="Times New Roman" w:cs="Times New Roman"/>
          <w:noProof/>
          <w:sz w:val="27"/>
          <w:szCs w:val="27"/>
          <w:lang w:val="en-US"/>
        </w:rPr>
        <w:t xml:space="preserve"> trong chính sách 03</w:t>
      </w:r>
      <w:r w:rsidR="00C441C0" w:rsidRPr="00344643">
        <w:rPr>
          <w:rFonts w:ascii="Times New Roman" w:hAnsi="Times New Roman" w:cs="Times New Roman"/>
          <w:noProof/>
          <w:sz w:val="27"/>
          <w:szCs w:val="27"/>
          <w:lang w:val="en-US"/>
        </w:rPr>
        <w:t xml:space="preserve"> cần thiết dành một phần kinh phí cho các doanh nghiệp, điều mà dự thảo còn nêu rất mờ nhạt, vì việc hiện đại hóa, chuyển đổi số hoạt động quản lý thuế không chỉ là việc của nhà nước, chưa kể việc khá nhiều hoạt động được chuyển giao cho doanh nghiệp thực hiện, trong đó có dự kiến việc khai thay, nộp thay trong Dự thảo.</w:t>
      </w:r>
    </w:p>
    <w:p w14:paraId="54226C58" w14:textId="0FE5C9F6" w:rsidR="00DC660D" w:rsidRPr="00344643" w:rsidRDefault="00344643" w:rsidP="00344643">
      <w:pPr>
        <w:pStyle w:val="ListParagraph"/>
        <w:numPr>
          <w:ilvl w:val="1"/>
          <w:numId w:val="42"/>
        </w:numPr>
        <w:snapToGrid w:val="0"/>
        <w:spacing w:before="40" w:after="120" w:line="312" w:lineRule="auto"/>
        <w:contextualSpacing w:val="0"/>
        <w:jc w:val="both"/>
        <w:rPr>
          <w:noProof/>
          <w:sz w:val="27"/>
          <w:szCs w:val="27"/>
          <w:lang w:val="en-US"/>
        </w:rPr>
      </w:pPr>
      <w:r>
        <w:rPr>
          <w:rFonts w:ascii="Times New Roman" w:hAnsi="Times New Roman" w:cs="Times New Roman"/>
          <w:noProof/>
          <w:sz w:val="27"/>
          <w:szCs w:val="27"/>
        </w:rPr>
        <w:t xml:space="preserve"> </w:t>
      </w:r>
      <w:r w:rsidR="002E2C6F" w:rsidRPr="00344643">
        <w:rPr>
          <w:rFonts w:ascii="Times New Roman" w:hAnsi="Times New Roman" w:cs="Times New Roman"/>
          <w:noProof/>
          <w:sz w:val="27"/>
          <w:szCs w:val="27"/>
          <w:lang w:val="en-US"/>
        </w:rPr>
        <w:t xml:space="preserve">Khi ban hành các quy định, cơ quan quản lý cần chuẩn bị các điều kiện cần thiết để </w:t>
      </w:r>
      <w:r w:rsidR="00913897" w:rsidRPr="00344643">
        <w:rPr>
          <w:rFonts w:ascii="Times New Roman" w:hAnsi="Times New Roman" w:cs="Times New Roman"/>
          <w:noProof/>
          <w:sz w:val="27"/>
          <w:szCs w:val="27"/>
          <w:lang w:val="en-US"/>
        </w:rPr>
        <w:t>đảm bảo tính khả thi của quy định. Trước khi chưa có sự chuẩn bị sẵn sàng về chính sách thuế, hạ tầng kỹ thuật để phục vụ cho việc tính thuế dễ dàng và tự động thì chúng tôi cho rằng chưa nên vội vàng đưa ra các quy định như trong Dự thảo, bởi có đưa ra thì cũng khó khả thi trong bối cảnh hiện tại.</w:t>
      </w:r>
    </w:p>
    <w:p w14:paraId="122845D0" w14:textId="606B3A55" w:rsidR="00827927" w:rsidRPr="00344643" w:rsidRDefault="00827927" w:rsidP="00344643">
      <w:pPr>
        <w:pStyle w:val="ListParagraph"/>
        <w:snapToGrid w:val="0"/>
        <w:spacing w:before="40" w:after="120" w:line="312" w:lineRule="auto"/>
        <w:ind w:left="360"/>
        <w:contextualSpacing w:val="0"/>
        <w:jc w:val="both"/>
        <w:rPr>
          <w:rFonts w:ascii="Times New Roman" w:hAnsi="Times New Roman" w:cs="Times New Roman"/>
          <w:noProof/>
          <w:sz w:val="27"/>
          <w:szCs w:val="27"/>
          <w:lang w:val="en-US"/>
        </w:rPr>
      </w:pPr>
    </w:p>
    <w:sectPr w:rsidR="00827927" w:rsidRPr="00344643" w:rsidSect="00132E64">
      <w:footerReference w:type="defaul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33E66" w14:textId="77777777" w:rsidR="00D32938" w:rsidRPr="003E2F67" w:rsidRDefault="00D32938" w:rsidP="007E7B30">
      <w:pPr>
        <w:spacing w:after="0" w:line="240" w:lineRule="auto"/>
      </w:pPr>
      <w:r w:rsidRPr="003E2F67">
        <w:separator/>
      </w:r>
    </w:p>
  </w:endnote>
  <w:endnote w:type="continuationSeparator" w:id="0">
    <w:p w14:paraId="00002DF9" w14:textId="77777777" w:rsidR="00D32938" w:rsidRPr="003E2F67" w:rsidRDefault="00D32938" w:rsidP="007E7B30">
      <w:pPr>
        <w:spacing w:after="0" w:line="240" w:lineRule="auto"/>
      </w:pPr>
      <w:r w:rsidRPr="003E2F67">
        <w:continuationSeparator/>
      </w:r>
    </w:p>
  </w:endnote>
  <w:endnote w:type="continuationNotice" w:id="1">
    <w:p w14:paraId="1AABEB36" w14:textId="77777777" w:rsidR="00D32938" w:rsidRDefault="00D32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Aptos Display">
    <w:altName w:val="Calibri"/>
    <w:panose1 w:val="020B06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689B" w14:textId="44F5D13D" w:rsidR="00E6431E" w:rsidRDefault="00E6431E">
    <w:pPr>
      <w:pStyle w:val="Footer"/>
      <w:jc w:val="center"/>
    </w:pPr>
  </w:p>
  <w:p w14:paraId="5A18C402" w14:textId="77777777" w:rsidR="00E6431E" w:rsidRDefault="00E6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408D6" w14:textId="77777777" w:rsidR="00D32938" w:rsidRPr="003E2F67" w:rsidRDefault="00D32938" w:rsidP="007E7B30">
      <w:pPr>
        <w:spacing w:after="0" w:line="240" w:lineRule="auto"/>
      </w:pPr>
      <w:r w:rsidRPr="003E2F67">
        <w:separator/>
      </w:r>
    </w:p>
  </w:footnote>
  <w:footnote w:type="continuationSeparator" w:id="0">
    <w:p w14:paraId="0E3D8DA3" w14:textId="77777777" w:rsidR="00D32938" w:rsidRPr="003E2F67" w:rsidRDefault="00D32938" w:rsidP="007E7B30">
      <w:pPr>
        <w:spacing w:after="0" w:line="240" w:lineRule="auto"/>
      </w:pPr>
      <w:r w:rsidRPr="003E2F67">
        <w:continuationSeparator/>
      </w:r>
    </w:p>
  </w:footnote>
  <w:footnote w:type="continuationNotice" w:id="1">
    <w:p w14:paraId="4D634660" w14:textId="77777777" w:rsidR="00D32938" w:rsidRDefault="00D329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B67"/>
    <w:multiLevelType w:val="hybridMultilevel"/>
    <w:tmpl w:val="71925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A2FD6"/>
    <w:multiLevelType w:val="hybridMultilevel"/>
    <w:tmpl w:val="163EB2F0"/>
    <w:lvl w:ilvl="0" w:tplc="80083EE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A52181E"/>
    <w:multiLevelType w:val="hybridMultilevel"/>
    <w:tmpl w:val="75A4727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C0774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7C7B77"/>
    <w:multiLevelType w:val="hybridMultilevel"/>
    <w:tmpl w:val="16460362"/>
    <w:lvl w:ilvl="0" w:tplc="FB6E5168">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2004650"/>
    <w:multiLevelType w:val="multilevel"/>
    <w:tmpl w:val="4C142D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2B43EB"/>
    <w:multiLevelType w:val="multilevel"/>
    <w:tmpl w:val="05F02620"/>
    <w:lvl w:ilvl="0">
      <w:start w:val="1"/>
      <w:numFmt w:val="decimal"/>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275167B"/>
    <w:multiLevelType w:val="multilevel"/>
    <w:tmpl w:val="24CCF3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F14E90"/>
    <w:multiLevelType w:val="multilevel"/>
    <w:tmpl w:val="77429C52"/>
    <w:lvl w:ilvl="0">
      <w:start w:val="2"/>
      <w:numFmt w:val="decimal"/>
      <w:lvlText w:val="%1"/>
      <w:lvlJc w:val="left"/>
      <w:pPr>
        <w:ind w:left="360" w:hanging="360"/>
      </w:pPr>
      <w:rPr>
        <w:rFonts w:hint="default"/>
        <w:i w:val="0"/>
        <w:u w:val="none"/>
      </w:rPr>
    </w:lvl>
    <w:lvl w:ilvl="1">
      <w:start w:val="5"/>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9" w15:restartNumberingAfterBreak="0">
    <w:nsid w:val="2B7D07DF"/>
    <w:multiLevelType w:val="multilevel"/>
    <w:tmpl w:val="509609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3656CD"/>
    <w:multiLevelType w:val="hybridMultilevel"/>
    <w:tmpl w:val="14267640"/>
    <w:lvl w:ilvl="0" w:tplc="4C20F3F0">
      <w:start w:val="1"/>
      <w:numFmt w:val="lowerRoman"/>
      <w:lvlText w:val="%1."/>
      <w:lvlJc w:val="left"/>
      <w:pPr>
        <w:ind w:left="720" w:hanging="360"/>
      </w:pPr>
      <w:rPr>
        <w:rFonts w:hint="default"/>
      </w:r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F83B94"/>
    <w:multiLevelType w:val="hybridMultilevel"/>
    <w:tmpl w:val="935A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31514"/>
    <w:multiLevelType w:val="hybridMultilevel"/>
    <w:tmpl w:val="8CF044B8"/>
    <w:lvl w:ilvl="0" w:tplc="5CFA53B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64189"/>
    <w:multiLevelType w:val="multilevel"/>
    <w:tmpl w:val="E1B69F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74187F"/>
    <w:multiLevelType w:val="hybridMultilevel"/>
    <w:tmpl w:val="7A5EF706"/>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338C312B"/>
    <w:multiLevelType w:val="multilevel"/>
    <w:tmpl w:val="D2A472F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EE7144"/>
    <w:multiLevelType w:val="hybridMultilevel"/>
    <w:tmpl w:val="B98487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EC66A0"/>
    <w:multiLevelType w:val="hybridMultilevel"/>
    <w:tmpl w:val="7E922386"/>
    <w:lvl w:ilvl="0" w:tplc="1BDAE2E4">
      <w:start w:val="1"/>
      <w:numFmt w:val="lowerRoman"/>
      <w:lvlText w:val="%1."/>
      <w:lvlJc w:val="left"/>
      <w:pPr>
        <w:ind w:left="720" w:hanging="360"/>
      </w:pPr>
      <w:rPr>
        <w:rFonts w:hint="default"/>
        <w:b w:val="0"/>
        <w:bCs/>
      </w:rPr>
    </w:lvl>
    <w:lvl w:ilvl="1" w:tplc="ACCA5C72">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557604"/>
    <w:multiLevelType w:val="hybridMultilevel"/>
    <w:tmpl w:val="FC40B660"/>
    <w:lvl w:ilvl="0" w:tplc="4C20F3F0">
      <w:start w:val="1"/>
      <w:numFmt w:val="lowerRoman"/>
      <w:lvlText w:val="%1."/>
      <w:lvlJc w:val="left"/>
      <w:pPr>
        <w:ind w:left="720" w:hanging="360"/>
      </w:pPr>
      <w:rPr>
        <w:rFonts w:hint="default"/>
      </w:rPr>
    </w:lvl>
    <w:lvl w:ilvl="1" w:tplc="A900DEF2">
      <w:numFmt w:val="bullet"/>
      <w:lvlText w:val=""/>
      <w:lvlJc w:val="left"/>
      <w:pPr>
        <w:ind w:left="1800" w:hanging="720"/>
      </w:pPr>
      <w:rPr>
        <w:rFonts w:ascii="Symbol" w:eastAsiaTheme="minorHAnsi" w:hAnsi="Symbol"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B373DF"/>
    <w:multiLevelType w:val="multilevel"/>
    <w:tmpl w:val="F5B6D4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5C51B4"/>
    <w:multiLevelType w:val="hybridMultilevel"/>
    <w:tmpl w:val="AC56E676"/>
    <w:lvl w:ilvl="0" w:tplc="FD1A892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D3B19E9"/>
    <w:multiLevelType w:val="hybridMultilevel"/>
    <w:tmpl w:val="8D22E254"/>
    <w:lvl w:ilvl="0" w:tplc="FB6E5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337B1"/>
    <w:multiLevelType w:val="hybridMultilevel"/>
    <w:tmpl w:val="4B2A0672"/>
    <w:lvl w:ilvl="0" w:tplc="FFFFFFFF">
      <w:numFmt w:val="bullet"/>
      <w:lvlText w:val="-"/>
      <w:lvlJc w:val="left"/>
      <w:pPr>
        <w:ind w:left="720" w:hanging="360"/>
      </w:pPr>
      <w:rPr>
        <w:rFonts w:ascii="Aptos" w:eastAsiaTheme="minorHAnsi" w:hAnsi="Aptos" w:cstheme="minorBidi" w:hint="default"/>
      </w:r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E10484"/>
    <w:multiLevelType w:val="hybridMultilevel"/>
    <w:tmpl w:val="565EA554"/>
    <w:lvl w:ilvl="0" w:tplc="4C20F3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D5E54"/>
    <w:multiLevelType w:val="hybridMultilevel"/>
    <w:tmpl w:val="EBDCF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042067"/>
    <w:multiLevelType w:val="hybridMultilevel"/>
    <w:tmpl w:val="8E922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DC063C"/>
    <w:multiLevelType w:val="hybridMultilevel"/>
    <w:tmpl w:val="A92CB236"/>
    <w:lvl w:ilvl="0" w:tplc="010EBAC6">
      <w:numFmt w:val="bullet"/>
      <w:lvlText w:val="-"/>
      <w:lvlJc w:val="left"/>
      <w:pPr>
        <w:ind w:left="2520" w:hanging="360"/>
      </w:pPr>
      <w:rPr>
        <w:rFonts w:ascii="Calibri" w:eastAsiaTheme="minorHAnsi" w:hAnsi="Calibri" w:cs="Calibri"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62663079"/>
    <w:multiLevelType w:val="multilevel"/>
    <w:tmpl w:val="98B4B1D4"/>
    <w:lvl w:ilvl="0">
      <w:start w:val="2"/>
      <w:numFmt w:val="decimal"/>
      <w:lvlText w:val="%1"/>
      <w:lvlJc w:val="left"/>
      <w:pPr>
        <w:ind w:left="360" w:hanging="360"/>
      </w:pPr>
      <w:rPr>
        <w:rFonts w:hint="default"/>
        <w:i w:val="0"/>
        <w:u w:val="none"/>
      </w:rPr>
    </w:lvl>
    <w:lvl w:ilvl="1">
      <w:start w:val="5"/>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28" w15:restartNumberingAfterBreak="0">
    <w:nsid w:val="636F5D0E"/>
    <w:multiLevelType w:val="hybridMultilevel"/>
    <w:tmpl w:val="46988886"/>
    <w:lvl w:ilvl="0" w:tplc="FB6E5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A1FB9"/>
    <w:multiLevelType w:val="hybridMultilevel"/>
    <w:tmpl w:val="8D743796"/>
    <w:lvl w:ilvl="0" w:tplc="04090009">
      <w:start w:val="1"/>
      <w:numFmt w:val="bullet"/>
      <w:lvlText w:val=""/>
      <w:lvlJc w:val="left"/>
      <w:pPr>
        <w:ind w:left="1440" w:hanging="360"/>
      </w:pPr>
      <w:rPr>
        <w:rFonts w:ascii="Wingdings" w:hAnsi="Wingdings" w:hint="default"/>
      </w:rPr>
    </w:lvl>
    <w:lvl w:ilvl="1" w:tplc="4C20F3F0">
      <w:start w:val="1"/>
      <w:numFmt w:val="lowerRoman"/>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A5692D"/>
    <w:multiLevelType w:val="hybridMultilevel"/>
    <w:tmpl w:val="CC682E10"/>
    <w:lvl w:ilvl="0" w:tplc="4A46CB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C60BD"/>
    <w:multiLevelType w:val="hybridMultilevel"/>
    <w:tmpl w:val="11D8D426"/>
    <w:lvl w:ilvl="0" w:tplc="FB6E51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02C1F"/>
    <w:multiLevelType w:val="hybridMultilevel"/>
    <w:tmpl w:val="7B249E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AC84454"/>
    <w:multiLevelType w:val="hybridMultilevel"/>
    <w:tmpl w:val="083AD79A"/>
    <w:lvl w:ilvl="0" w:tplc="4C20F3F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228BF"/>
    <w:multiLevelType w:val="multilevel"/>
    <w:tmpl w:val="E4C0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838"/>
    <w:multiLevelType w:val="hybridMultilevel"/>
    <w:tmpl w:val="E57EA8EE"/>
    <w:lvl w:ilvl="0" w:tplc="010EBA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52514"/>
    <w:multiLevelType w:val="hybridMultilevel"/>
    <w:tmpl w:val="5992CBBA"/>
    <w:lvl w:ilvl="0" w:tplc="FFFFFFFF">
      <w:start w:val="1"/>
      <w:numFmt w:val="lowerRoman"/>
      <w:lvlText w:val="%1."/>
      <w:lvlJc w:val="left"/>
      <w:pPr>
        <w:ind w:left="720" w:hanging="360"/>
      </w:pPr>
      <w:rPr>
        <w:rFonts w:hint="default"/>
      </w:rPr>
    </w:lvl>
    <w:lvl w:ilvl="1" w:tplc="26201ABC">
      <w:start w:val="1"/>
      <w:numFmt w:val="lowerRoman"/>
      <w:lvlText w:val="%2."/>
      <w:lvlJc w:val="left"/>
      <w:pPr>
        <w:ind w:left="1440" w:hanging="360"/>
      </w:pPr>
      <w:rPr>
        <w:rFonts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5C69B3"/>
    <w:multiLevelType w:val="hybridMultilevel"/>
    <w:tmpl w:val="9C3AE0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7F44D8"/>
    <w:multiLevelType w:val="hybridMultilevel"/>
    <w:tmpl w:val="A3B4CEFC"/>
    <w:lvl w:ilvl="0" w:tplc="5CFA53B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B6021"/>
    <w:multiLevelType w:val="hybridMultilevel"/>
    <w:tmpl w:val="3468D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094654"/>
    <w:multiLevelType w:val="multilevel"/>
    <w:tmpl w:val="849618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3879CC"/>
    <w:multiLevelType w:val="hybridMultilevel"/>
    <w:tmpl w:val="AF8042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8"/>
  </w:num>
  <w:num w:numId="2">
    <w:abstractNumId w:val="4"/>
  </w:num>
  <w:num w:numId="3">
    <w:abstractNumId w:val="39"/>
  </w:num>
  <w:num w:numId="4">
    <w:abstractNumId w:val="3"/>
  </w:num>
  <w:num w:numId="5">
    <w:abstractNumId w:val="0"/>
  </w:num>
  <w:num w:numId="6">
    <w:abstractNumId w:val="21"/>
  </w:num>
  <w:num w:numId="7">
    <w:abstractNumId w:val="30"/>
  </w:num>
  <w:num w:numId="8">
    <w:abstractNumId w:val="18"/>
  </w:num>
  <w:num w:numId="9">
    <w:abstractNumId w:val="31"/>
  </w:num>
  <w:num w:numId="10">
    <w:abstractNumId w:val="12"/>
  </w:num>
  <w:num w:numId="11">
    <w:abstractNumId w:val="22"/>
  </w:num>
  <w:num w:numId="12">
    <w:abstractNumId w:val="38"/>
  </w:num>
  <w:num w:numId="13">
    <w:abstractNumId w:val="6"/>
  </w:num>
  <w:num w:numId="14">
    <w:abstractNumId w:val="2"/>
  </w:num>
  <w:num w:numId="15">
    <w:abstractNumId w:val="24"/>
  </w:num>
  <w:num w:numId="16">
    <w:abstractNumId w:val="25"/>
  </w:num>
  <w:num w:numId="17">
    <w:abstractNumId w:val="16"/>
  </w:num>
  <w:num w:numId="18">
    <w:abstractNumId w:val="37"/>
  </w:num>
  <w:num w:numId="19">
    <w:abstractNumId w:val="14"/>
  </w:num>
  <w:num w:numId="20">
    <w:abstractNumId w:val="41"/>
  </w:num>
  <w:num w:numId="21">
    <w:abstractNumId w:val="35"/>
  </w:num>
  <w:num w:numId="22">
    <w:abstractNumId w:val="1"/>
  </w:num>
  <w:num w:numId="23">
    <w:abstractNumId w:val="23"/>
  </w:num>
  <w:num w:numId="24">
    <w:abstractNumId w:val="10"/>
  </w:num>
  <w:num w:numId="25">
    <w:abstractNumId w:val="17"/>
  </w:num>
  <w:num w:numId="26">
    <w:abstractNumId w:val="26"/>
  </w:num>
  <w:num w:numId="27">
    <w:abstractNumId w:val="33"/>
  </w:num>
  <w:num w:numId="28">
    <w:abstractNumId w:val="36"/>
  </w:num>
  <w:num w:numId="29">
    <w:abstractNumId w:val="29"/>
  </w:num>
  <w:num w:numId="30">
    <w:abstractNumId w:val="40"/>
  </w:num>
  <w:num w:numId="31">
    <w:abstractNumId w:val="32"/>
  </w:num>
  <w:num w:numId="32">
    <w:abstractNumId w:val="20"/>
  </w:num>
  <w:num w:numId="33">
    <w:abstractNumId w:val="34"/>
  </w:num>
  <w:num w:numId="34">
    <w:abstractNumId w:val="11"/>
  </w:num>
  <w:num w:numId="35">
    <w:abstractNumId w:val="7"/>
  </w:num>
  <w:num w:numId="36">
    <w:abstractNumId w:val="13"/>
  </w:num>
  <w:num w:numId="37">
    <w:abstractNumId w:val="8"/>
  </w:num>
  <w:num w:numId="38">
    <w:abstractNumId w:val="5"/>
  </w:num>
  <w:num w:numId="39">
    <w:abstractNumId w:val="27"/>
  </w:num>
  <w:num w:numId="40">
    <w:abstractNumId w:val="9"/>
  </w:num>
  <w:num w:numId="41">
    <w:abstractNumId w:val="1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D6"/>
    <w:rsid w:val="00000697"/>
    <w:rsid w:val="00003582"/>
    <w:rsid w:val="000036F3"/>
    <w:rsid w:val="00004122"/>
    <w:rsid w:val="000048FC"/>
    <w:rsid w:val="00005E07"/>
    <w:rsid w:val="00010C51"/>
    <w:rsid w:val="000115FB"/>
    <w:rsid w:val="000148B4"/>
    <w:rsid w:val="00021CE4"/>
    <w:rsid w:val="00023755"/>
    <w:rsid w:val="00030047"/>
    <w:rsid w:val="00030C50"/>
    <w:rsid w:val="00034123"/>
    <w:rsid w:val="00037755"/>
    <w:rsid w:val="000457F9"/>
    <w:rsid w:val="00046938"/>
    <w:rsid w:val="00047CC7"/>
    <w:rsid w:val="000503B5"/>
    <w:rsid w:val="00050F43"/>
    <w:rsid w:val="00051CD5"/>
    <w:rsid w:val="00051D4C"/>
    <w:rsid w:val="00054E7A"/>
    <w:rsid w:val="00060C37"/>
    <w:rsid w:val="00062D30"/>
    <w:rsid w:val="00064EBD"/>
    <w:rsid w:val="00070883"/>
    <w:rsid w:val="00074581"/>
    <w:rsid w:val="00074C74"/>
    <w:rsid w:val="00076750"/>
    <w:rsid w:val="00080161"/>
    <w:rsid w:val="0008409C"/>
    <w:rsid w:val="0008455D"/>
    <w:rsid w:val="00090440"/>
    <w:rsid w:val="00090E10"/>
    <w:rsid w:val="00090E21"/>
    <w:rsid w:val="000925BA"/>
    <w:rsid w:val="000955F0"/>
    <w:rsid w:val="00096B76"/>
    <w:rsid w:val="000A0A4B"/>
    <w:rsid w:val="000A63CC"/>
    <w:rsid w:val="000B40A7"/>
    <w:rsid w:val="000B5F38"/>
    <w:rsid w:val="000B6515"/>
    <w:rsid w:val="000C227E"/>
    <w:rsid w:val="000C3FE8"/>
    <w:rsid w:val="000C4F02"/>
    <w:rsid w:val="000D04B5"/>
    <w:rsid w:val="000D077F"/>
    <w:rsid w:val="000D1CA2"/>
    <w:rsid w:val="000D24A2"/>
    <w:rsid w:val="000D33EF"/>
    <w:rsid w:val="000D7197"/>
    <w:rsid w:val="000D7586"/>
    <w:rsid w:val="000E03DB"/>
    <w:rsid w:val="000E0B04"/>
    <w:rsid w:val="000E2F45"/>
    <w:rsid w:val="000E3EFF"/>
    <w:rsid w:val="000F1590"/>
    <w:rsid w:val="000F1E16"/>
    <w:rsid w:val="000F38A1"/>
    <w:rsid w:val="000F3DD9"/>
    <w:rsid w:val="00106F34"/>
    <w:rsid w:val="001124CB"/>
    <w:rsid w:val="001134D8"/>
    <w:rsid w:val="00114909"/>
    <w:rsid w:val="001159A4"/>
    <w:rsid w:val="00115AA3"/>
    <w:rsid w:val="0011659C"/>
    <w:rsid w:val="001222DD"/>
    <w:rsid w:val="00122561"/>
    <w:rsid w:val="001238D8"/>
    <w:rsid w:val="00132836"/>
    <w:rsid w:val="00132E64"/>
    <w:rsid w:val="0013325B"/>
    <w:rsid w:val="001421A6"/>
    <w:rsid w:val="0014322C"/>
    <w:rsid w:val="00143539"/>
    <w:rsid w:val="00147F7D"/>
    <w:rsid w:val="00150E89"/>
    <w:rsid w:val="001566F8"/>
    <w:rsid w:val="00164213"/>
    <w:rsid w:val="00164976"/>
    <w:rsid w:val="0016504E"/>
    <w:rsid w:val="00167603"/>
    <w:rsid w:val="0017051D"/>
    <w:rsid w:val="00171711"/>
    <w:rsid w:val="001911D4"/>
    <w:rsid w:val="001914BB"/>
    <w:rsid w:val="00192E2E"/>
    <w:rsid w:val="00193520"/>
    <w:rsid w:val="0019478D"/>
    <w:rsid w:val="0019508B"/>
    <w:rsid w:val="00195BD1"/>
    <w:rsid w:val="001A3EEF"/>
    <w:rsid w:val="001A5566"/>
    <w:rsid w:val="001A5A05"/>
    <w:rsid w:val="001B1A81"/>
    <w:rsid w:val="001B427D"/>
    <w:rsid w:val="001B4416"/>
    <w:rsid w:val="001B4E56"/>
    <w:rsid w:val="001C2308"/>
    <w:rsid w:val="001C5F9D"/>
    <w:rsid w:val="001D17AC"/>
    <w:rsid w:val="001D2038"/>
    <w:rsid w:val="001D2D5A"/>
    <w:rsid w:val="001D5251"/>
    <w:rsid w:val="001D5A8E"/>
    <w:rsid w:val="001D7A66"/>
    <w:rsid w:val="001E0427"/>
    <w:rsid w:val="001E0E86"/>
    <w:rsid w:val="001E444E"/>
    <w:rsid w:val="001F0AB3"/>
    <w:rsid w:val="0020050B"/>
    <w:rsid w:val="00200724"/>
    <w:rsid w:val="0020123C"/>
    <w:rsid w:val="0020417C"/>
    <w:rsid w:val="002061DD"/>
    <w:rsid w:val="00215BB0"/>
    <w:rsid w:val="00216398"/>
    <w:rsid w:val="00217955"/>
    <w:rsid w:val="0022190E"/>
    <w:rsid w:val="00223471"/>
    <w:rsid w:val="0023054B"/>
    <w:rsid w:val="0023295D"/>
    <w:rsid w:val="00234232"/>
    <w:rsid w:val="00237E81"/>
    <w:rsid w:val="0024088F"/>
    <w:rsid w:val="00245EA7"/>
    <w:rsid w:val="00246D64"/>
    <w:rsid w:val="0024740A"/>
    <w:rsid w:val="00250CC2"/>
    <w:rsid w:val="0025123C"/>
    <w:rsid w:val="0025179A"/>
    <w:rsid w:val="00252E92"/>
    <w:rsid w:val="002541FD"/>
    <w:rsid w:val="0025441B"/>
    <w:rsid w:val="00254C3B"/>
    <w:rsid w:val="00260443"/>
    <w:rsid w:val="002604B7"/>
    <w:rsid w:val="002618FF"/>
    <w:rsid w:val="00263491"/>
    <w:rsid w:val="002650EE"/>
    <w:rsid w:val="00265494"/>
    <w:rsid w:val="002656C4"/>
    <w:rsid w:val="002665A2"/>
    <w:rsid w:val="00267ECD"/>
    <w:rsid w:val="00274DAE"/>
    <w:rsid w:val="00276666"/>
    <w:rsid w:val="00287144"/>
    <w:rsid w:val="00297C96"/>
    <w:rsid w:val="002A2FBB"/>
    <w:rsid w:val="002A5552"/>
    <w:rsid w:val="002A6347"/>
    <w:rsid w:val="002A7F37"/>
    <w:rsid w:val="002B6C32"/>
    <w:rsid w:val="002C03F8"/>
    <w:rsid w:val="002C05E0"/>
    <w:rsid w:val="002C154A"/>
    <w:rsid w:val="002C300C"/>
    <w:rsid w:val="002C417D"/>
    <w:rsid w:val="002D0B82"/>
    <w:rsid w:val="002D2AED"/>
    <w:rsid w:val="002D2E30"/>
    <w:rsid w:val="002D46AF"/>
    <w:rsid w:val="002E0B15"/>
    <w:rsid w:val="002E1113"/>
    <w:rsid w:val="002E1729"/>
    <w:rsid w:val="002E17C0"/>
    <w:rsid w:val="002E2C6F"/>
    <w:rsid w:val="002E46E1"/>
    <w:rsid w:val="002F1387"/>
    <w:rsid w:val="002F15A6"/>
    <w:rsid w:val="002F1EEA"/>
    <w:rsid w:val="002F249C"/>
    <w:rsid w:val="002F53C0"/>
    <w:rsid w:val="002F6233"/>
    <w:rsid w:val="00303D90"/>
    <w:rsid w:val="00307BC3"/>
    <w:rsid w:val="003105EC"/>
    <w:rsid w:val="0031303A"/>
    <w:rsid w:val="00315B10"/>
    <w:rsid w:val="00316017"/>
    <w:rsid w:val="00342414"/>
    <w:rsid w:val="003444E1"/>
    <w:rsid w:val="00344643"/>
    <w:rsid w:val="003453FC"/>
    <w:rsid w:val="003458AB"/>
    <w:rsid w:val="00346DAF"/>
    <w:rsid w:val="00350E2F"/>
    <w:rsid w:val="00352190"/>
    <w:rsid w:val="00352E35"/>
    <w:rsid w:val="00353D1A"/>
    <w:rsid w:val="00354321"/>
    <w:rsid w:val="00356FEB"/>
    <w:rsid w:val="00357A49"/>
    <w:rsid w:val="00364A01"/>
    <w:rsid w:val="0037178C"/>
    <w:rsid w:val="0037303E"/>
    <w:rsid w:val="003759BD"/>
    <w:rsid w:val="00375F39"/>
    <w:rsid w:val="00377F00"/>
    <w:rsid w:val="0038054B"/>
    <w:rsid w:val="003815D3"/>
    <w:rsid w:val="00381CA3"/>
    <w:rsid w:val="003842F6"/>
    <w:rsid w:val="00385033"/>
    <w:rsid w:val="00396E98"/>
    <w:rsid w:val="00397832"/>
    <w:rsid w:val="003A3050"/>
    <w:rsid w:val="003A3805"/>
    <w:rsid w:val="003A711A"/>
    <w:rsid w:val="003B15CE"/>
    <w:rsid w:val="003B24C0"/>
    <w:rsid w:val="003B27EF"/>
    <w:rsid w:val="003B3A0E"/>
    <w:rsid w:val="003B4193"/>
    <w:rsid w:val="003B4E78"/>
    <w:rsid w:val="003B5CAE"/>
    <w:rsid w:val="003B6E90"/>
    <w:rsid w:val="003B7AB2"/>
    <w:rsid w:val="003B7F27"/>
    <w:rsid w:val="003C053A"/>
    <w:rsid w:val="003C1D64"/>
    <w:rsid w:val="003C43B5"/>
    <w:rsid w:val="003C7892"/>
    <w:rsid w:val="003D0B76"/>
    <w:rsid w:val="003D3E89"/>
    <w:rsid w:val="003D6D44"/>
    <w:rsid w:val="003D710B"/>
    <w:rsid w:val="003E068F"/>
    <w:rsid w:val="003E2F67"/>
    <w:rsid w:val="003E3956"/>
    <w:rsid w:val="003E5FE0"/>
    <w:rsid w:val="003E76F0"/>
    <w:rsid w:val="003E7ADA"/>
    <w:rsid w:val="003F1349"/>
    <w:rsid w:val="003F76D9"/>
    <w:rsid w:val="00403296"/>
    <w:rsid w:val="00410D15"/>
    <w:rsid w:val="00412086"/>
    <w:rsid w:val="00413793"/>
    <w:rsid w:val="004166B8"/>
    <w:rsid w:val="004179C3"/>
    <w:rsid w:val="00421AE6"/>
    <w:rsid w:val="00421C84"/>
    <w:rsid w:val="00421D44"/>
    <w:rsid w:val="00427B2B"/>
    <w:rsid w:val="0043550C"/>
    <w:rsid w:val="00442AE7"/>
    <w:rsid w:val="00451632"/>
    <w:rsid w:val="00453279"/>
    <w:rsid w:val="004545C8"/>
    <w:rsid w:val="00456AC9"/>
    <w:rsid w:val="00460D8F"/>
    <w:rsid w:val="00462866"/>
    <w:rsid w:val="00463112"/>
    <w:rsid w:val="00463528"/>
    <w:rsid w:val="00464475"/>
    <w:rsid w:val="00464C2B"/>
    <w:rsid w:val="004654D5"/>
    <w:rsid w:val="00466245"/>
    <w:rsid w:val="00473312"/>
    <w:rsid w:val="00476652"/>
    <w:rsid w:val="0048212B"/>
    <w:rsid w:val="004833C4"/>
    <w:rsid w:val="004846C6"/>
    <w:rsid w:val="00484BC4"/>
    <w:rsid w:val="00494545"/>
    <w:rsid w:val="004A0313"/>
    <w:rsid w:val="004A0438"/>
    <w:rsid w:val="004A0529"/>
    <w:rsid w:val="004A084E"/>
    <w:rsid w:val="004A2BC6"/>
    <w:rsid w:val="004B0252"/>
    <w:rsid w:val="004B28CA"/>
    <w:rsid w:val="004C000E"/>
    <w:rsid w:val="004C1926"/>
    <w:rsid w:val="004C24D2"/>
    <w:rsid w:val="004C2C2A"/>
    <w:rsid w:val="004C2C53"/>
    <w:rsid w:val="004C2DA9"/>
    <w:rsid w:val="004C43F4"/>
    <w:rsid w:val="004D4000"/>
    <w:rsid w:val="004D7457"/>
    <w:rsid w:val="004D7831"/>
    <w:rsid w:val="004E0AB8"/>
    <w:rsid w:val="004E278B"/>
    <w:rsid w:val="004E3CB9"/>
    <w:rsid w:val="004E3FE0"/>
    <w:rsid w:val="004F60A5"/>
    <w:rsid w:val="004F6E6C"/>
    <w:rsid w:val="00500BF0"/>
    <w:rsid w:val="00503197"/>
    <w:rsid w:val="0051286A"/>
    <w:rsid w:val="005142CE"/>
    <w:rsid w:val="00514470"/>
    <w:rsid w:val="005160E5"/>
    <w:rsid w:val="0051641B"/>
    <w:rsid w:val="005204FD"/>
    <w:rsid w:val="0052084B"/>
    <w:rsid w:val="00521A8E"/>
    <w:rsid w:val="00522A60"/>
    <w:rsid w:val="00525DE2"/>
    <w:rsid w:val="00527253"/>
    <w:rsid w:val="00532283"/>
    <w:rsid w:val="00532FC3"/>
    <w:rsid w:val="005350AB"/>
    <w:rsid w:val="005360AA"/>
    <w:rsid w:val="00546A11"/>
    <w:rsid w:val="0055117A"/>
    <w:rsid w:val="00554916"/>
    <w:rsid w:val="00555A26"/>
    <w:rsid w:val="005632AA"/>
    <w:rsid w:val="00564314"/>
    <w:rsid w:val="005662E9"/>
    <w:rsid w:val="00570ECF"/>
    <w:rsid w:val="00571871"/>
    <w:rsid w:val="00573161"/>
    <w:rsid w:val="0057404A"/>
    <w:rsid w:val="00575367"/>
    <w:rsid w:val="0057743C"/>
    <w:rsid w:val="0058195A"/>
    <w:rsid w:val="00582DC8"/>
    <w:rsid w:val="005830D6"/>
    <w:rsid w:val="005847CD"/>
    <w:rsid w:val="005849D9"/>
    <w:rsid w:val="00586AA9"/>
    <w:rsid w:val="00590B41"/>
    <w:rsid w:val="00592BEC"/>
    <w:rsid w:val="00593AB4"/>
    <w:rsid w:val="005956BF"/>
    <w:rsid w:val="00595A9E"/>
    <w:rsid w:val="005A0CC9"/>
    <w:rsid w:val="005A219C"/>
    <w:rsid w:val="005A64E8"/>
    <w:rsid w:val="005B3C95"/>
    <w:rsid w:val="005B643A"/>
    <w:rsid w:val="005C0579"/>
    <w:rsid w:val="005C3819"/>
    <w:rsid w:val="005C4333"/>
    <w:rsid w:val="005C4AA6"/>
    <w:rsid w:val="005C4F72"/>
    <w:rsid w:val="005D0B01"/>
    <w:rsid w:val="005D1B9D"/>
    <w:rsid w:val="005D2D53"/>
    <w:rsid w:val="005D33E7"/>
    <w:rsid w:val="005E0AAB"/>
    <w:rsid w:val="005E3C73"/>
    <w:rsid w:val="005E6AFB"/>
    <w:rsid w:val="005F68C0"/>
    <w:rsid w:val="005F734A"/>
    <w:rsid w:val="00601D05"/>
    <w:rsid w:val="006020A1"/>
    <w:rsid w:val="0060433B"/>
    <w:rsid w:val="006076CE"/>
    <w:rsid w:val="00607EBE"/>
    <w:rsid w:val="006113B6"/>
    <w:rsid w:val="00611F3F"/>
    <w:rsid w:val="00612CF4"/>
    <w:rsid w:val="00615474"/>
    <w:rsid w:val="006155E4"/>
    <w:rsid w:val="00615DB3"/>
    <w:rsid w:val="00616E45"/>
    <w:rsid w:val="00617731"/>
    <w:rsid w:val="006178B2"/>
    <w:rsid w:val="00617A90"/>
    <w:rsid w:val="00620C29"/>
    <w:rsid w:val="00624AD6"/>
    <w:rsid w:val="00624F61"/>
    <w:rsid w:val="00627D55"/>
    <w:rsid w:val="00632109"/>
    <w:rsid w:val="00640752"/>
    <w:rsid w:val="00644A94"/>
    <w:rsid w:val="00645ADF"/>
    <w:rsid w:val="00650D89"/>
    <w:rsid w:val="006531C7"/>
    <w:rsid w:val="00655E51"/>
    <w:rsid w:val="00656B47"/>
    <w:rsid w:val="006612D9"/>
    <w:rsid w:val="006616E9"/>
    <w:rsid w:val="00661DAA"/>
    <w:rsid w:val="00663868"/>
    <w:rsid w:val="00666076"/>
    <w:rsid w:val="00672325"/>
    <w:rsid w:val="0067263E"/>
    <w:rsid w:val="00675289"/>
    <w:rsid w:val="00677944"/>
    <w:rsid w:val="006800AA"/>
    <w:rsid w:val="006809E6"/>
    <w:rsid w:val="00683CD4"/>
    <w:rsid w:val="00683FFF"/>
    <w:rsid w:val="006859C6"/>
    <w:rsid w:val="0069222B"/>
    <w:rsid w:val="0069405B"/>
    <w:rsid w:val="00696BAD"/>
    <w:rsid w:val="006A2010"/>
    <w:rsid w:val="006A558D"/>
    <w:rsid w:val="006A7B73"/>
    <w:rsid w:val="006A7E72"/>
    <w:rsid w:val="006B69DB"/>
    <w:rsid w:val="006C4F53"/>
    <w:rsid w:val="006C77CA"/>
    <w:rsid w:val="006D0D5B"/>
    <w:rsid w:val="006D1388"/>
    <w:rsid w:val="006D1E6E"/>
    <w:rsid w:val="006D3750"/>
    <w:rsid w:val="006D7B3D"/>
    <w:rsid w:val="006E1AD7"/>
    <w:rsid w:val="006E1F31"/>
    <w:rsid w:val="006E3891"/>
    <w:rsid w:val="006E5241"/>
    <w:rsid w:val="006F5DE6"/>
    <w:rsid w:val="006F703C"/>
    <w:rsid w:val="00701598"/>
    <w:rsid w:val="0071167B"/>
    <w:rsid w:val="00712A39"/>
    <w:rsid w:val="00716082"/>
    <w:rsid w:val="00716E1E"/>
    <w:rsid w:val="0071720D"/>
    <w:rsid w:val="00717728"/>
    <w:rsid w:val="00722C87"/>
    <w:rsid w:val="0072536C"/>
    <w:rsid w:val="00727DFE"/>
    <w:rsid w:val="007375B5"/>
    <w:rsid w:val="007410E5"/>
    <w:rsid w:val="0074160F"/>
    <w:rsid w:val="007416B5"/>
    <w:rsid w:val="007439F2"/>
    <w:rsid w:val="00745842"/>
    <w:rsid w:val="007462DB"/>
    <w:rsid w:val="007469BC"/>
    <w:rsid w:val="00747290"/>
    <w:rsid w:val="0075140E"/>
    <w:rsid w:val="0075729B"/>
    <w:rsid w:val="00757D81"/>
    <w:rsid w:val="00760B6F"/>
    <w:rsid w:val="00764D3C"/>
    <w:rsid w:val="00767604"/>
    <w:rsid w:val="00770E9E"/>
    <w:rsid w:val="00771563"/>
    <w:rsid w:val="0077177D"/>
    <w:rsid w:val="00774126"/>
    <w:rsid w:val="00775441"/>
    <w:rsid w:val="007757AA"/>
    <w:rsid w:val="007767B5"/>
    <w:rsid w:val="00777327"/>
    <w:rsid w:val="00780498"/>
    <w:rsid w:val="00782A20"/>
    <w:rsid w:val="00784211"/>
    <w:rsid w:val="00785CBB"/>
    <w:rsid w:val="00794C35"/>
    <w:rsid w:val="00795B35"/>
    <w:rsid w:val="00795D80"/>
    <w:rsid w:val="007A5DEB"/>
    <w:rsid w:val="007A6EFF"/>
    <w:rsid w:val="007B1D9A"/>
    <w:rsid w:val="007B3835"/>
    <w:rsid w:val="007B500A"/>
    <w:rsid w:val="007B7B41"/>
    <w:rsid w:val="007B7C89"/>
    <w:rsid w:val="007B7F66"/>
    <w:rsid w:val="007C6BA6"/>
    <w:rsid w:val="007C7B76"/>
    <w:rsid w:val="007C7FF7"/>
    <w:rsid w:val="007D03D4"/>
    <w:rsid w:val="007D0A2C"/>
    <w:rsid w:val="007D1276"/>
    <w:rsid w:val="007E09BB"/>
    <w:rsid w:val="007E16B5"/>
    <w:rsid w:val="007E3935"/>
    <w:rsid w:val="007E40E0"/>
    <w:rsid w:val="007E42CD"/>
    <w:rsid w:val="007E7B30"/>
    <w:rsid w:val="007F00D8"/>
    <w:rsid w:val="007F245F"/>
    <w:rsid w:val="007F326C"/>
    <w:rsid w:val="00800913"/>
    <w:rsid w:val="00802058"/>
    <w:rsid w:val="008030BC"/>
    <w:rsid w:val="00805B2B"/>
    <w:rsid w:val="00806882"/>
    <w:rsid w:val="008075C2"/>
    <w:rsid w:val="00816787"/>
    <w:rsid w:val="00816E7F"/>
    <w:rsid w:val="00820160"/>
    <w:rsid w:val="0082079D"/>
    <w:rsid w:val="00826E01"/>
    <w:rsid w:val="0082725C"/>
    <w:rsid w:val="00827927"/>
    <w:rsid w:val="008379AF"/>
    <w:rsid w:val="00840C49"/>
    <w:rsid w:val="00841DD2"/>
    <w:rsid w:val="0084266C"/>
    <w:rsid w:val="00843769"/>
    <w:rsid w:val="00844F44"/>
    <w:rsid w:val="00851D53"/>
    <w:rsid w:val="008524C6"/>
    <w:rsid w:val="00853AE6"/>
    <w:rsid w:val="00855BA0"/>
    <w:rsid w:val="008562E3"/>
    <w:rsid w:val="00856CEB"/>
    <w:rsid w:val="00857E00"/>
    <w:rsid w:val="00862F91"/>
    <w:rsid w:val="008637C3"/>
    <w:rsid w:val="00865E8E"/>
    <w:rsid w:val="00870C2A"/>
    <w:rsid w:val="00870ECA"/>
    <w:rsid w:val="008728E9"/>
    <w:rsid w:val="00874674"/>
    <w:rsid w:val="00882297"/>
    <w:rsid w:val="00885DE7"/>
    <w:rsid w:val="0089063A"/>
    <w:rsid w:val="00890D8C"/>
    <w:rsid w:val="00894677"/>
    <w:rsid w:val="008950AE"/>
    <w:rsid w:val="008A29FF"/>
    <w:rsid w:val="008A45DF"/>
    <w:rsid w:val="008A5309"/>
    <w:rsid w:val="008A6F68"/>
    <w:rsid w:val="008A7FF0"/>
    <w:rsid w:val="008B4BBB"/>
    <w:rsid w:val="008B6C72"/>
    <w:rsid w:val="008C5BE6"/>
    <w:rsid w:val="008C5D29"/>
    <w:rsid w:val="008D5932"/>
    <w:rsid w:val="008E11E1"/>
    <w:rsid w:val="008E28B3"/>
    <w:rsid w:val="008E58E8"/>
    <w:rsid w:val="008F13FA"/>
    <w:rsid w:val="008F30C8"/>
    <w:rsid w:val="008F38F0"/>
    <w:rsid w:val="008F4260"/>
    <w:rsid w:val="008F5E1B"/>
    <w:rsid w:val="008F6FB0"/>
    <w:rsid w:val="00901634"/>
    <w:rsid w:val="00901790"/>
    <w:rsid w:val="00901F62"/>
    <w:rsid w:val="00902E74"/>
    <w:rsid w:val="009038C3"/>
    <w:rsid w:val="009055B1"/>
    <w:rsid w:val="0091165B"/>
    <w:rsid w:val="00913897"/>
    <w:rsid w:val="009234ED"/>
    <w:rsid w:val="00925720"/>
    <w:rsid w:val="00925B46"/>
    <w:rsid w:val="00933BC1"/>
    <w:rsid w:val="0093679F"/>
    <w:rsid w:val="00936BE9"/>
    <w:rsid w:val="00941B06"/>
    <w:rsid w:val="00941FDD"/>
    <w:rsid w:val="00942896"/>
    <w:rsid w:val="00942CCD"/>
    <w:rsid w:val="00943877"/>
    <w:rsid w:val="00943F64"/>
    <w:rsid w:val="00946C7C"/>
    <w:rsid w:val="00950F55"/>
    <w:rsid w:val="00952767"/>
    <w:rsid w:val="00956234"/>
    <w:rsid w:val="00960C40"/>
    <w:rsid w:val="009615AE"/>
    <w:rsid w:val="0096333E"/>
    <w:rsid w:val="00972DE8"/>
    <w:rsid w:val="0098012B"/>
    <w:rsid w:val="009843C7"/>
    <w:rsid w:val="009844EE"/>
    <w:rsid w:val="00991516"/>
    <w:rsid w:val="009932D2"/>
    <w:rsid w:val="009953AA"/>
    <w:rsid w:val="00996C31"/>
    <w:rsid w:val="009A10BC"/>
    <w:rsid w:val="009A30B9"/>
    <w:rsid w:val="009B0F12"/>
    <w:rsid w:val="009B0F31"/>
    <w:rsid w:val="009B1DE7"/>
    <w:rsid w:val="009B22D1"/>
    <w:rsid w:val="009B2C08"/>
    <w:rsid w:val="009B7F6F"/>
    <w:rsid w:val="009C1E85"/>
    <w:rsid w:val="009C2451"/>
    <w:rsid w:val="009C31FC"/>
    <w:rsid w:val="009C4A08"/>
    <w:rsid w:val="009C4D4F"/>
    <w:rsid w:val="009C6B55"/>
    <w:rsid w:val="009D1FD1"/>
    <w:rsid w:val="009D3184"/>
    <w:rsid w:val="009E2BE5"/>
    <w:rsid w:val="009E3495"/>
    <w:rsid w:val="009E38BC"/>
    <w:rsid w:val="009F1789"/>
    <w:rsid w:val="009F273E"/>
    <w:rsid w:val="009F2A6A"/>
    <w:rsid w:val="009F6689"/>
    <w:rsid w:val="00A05603"/>
    <w:rsid w:val="00A0784A"/>
    <w:rsid w:val="00A07C04"/>
    <w:rsid w:val="00A15704"/>
    <w:rsid w:val="00A21871"/>
    <w:rsid w:val="00A23B46"/>
    <w:rsid w:val="00A242FA"/>
    <w:rsid w:val="00A24422"/>
    <w:rsid w:val="00A244D6"/>
    <w:rsid w:val="00A24D19"/>
    <w:rsid w:val="00A31B68"/>
    <w:rsid w:val="00A36237"/>
    <w:rsid w:val="00A362AA"/>
    <w:rsid w:val="00A37179"/>
    <w:rsid w:val="00A4046A"/>
    <w:rsid w:val="00A40C3C"/>
    <w:rsid w:val="00A4285A"/>
    <w:rsid w:val="00A42A07"/>
    <w:rsid w:val="00A44856"/>
    <w:rsid w:val="00A52AB2"/>
    <w:rsid w:val="00A61A9E"/>
    <w:rsid w:val="00A662B4"/>
    <w:rsid w:val="00A66B65"/>
    <w:rsid w:val="00A70938"/>
    <w:rsid w:val="00A73B9B"/>
    <w:rsid w:val="00A73E0A"/>
    <w:rsid w:val="00A74410"/>
    <w:rsid w:val="00A74E90"/>
    <w:rsid w:val="00A7529F"/>
    <w:rsid w:val="00A755B4"/>
    <w:rsid w:val="00A75BBD"/>
    <w:rsid w:val="00A8405C"/>
    <w:rsid w:val="00A8453C"/>
    <w:rsid w:val="00A90A0C"/>
    <w:rsid w:val="00A93C07"/>
    <w:rsid w:val="00AA1A10"/>
    <w:rsid w:val="00AA2BCE"/>
    <w:rsid w:val="00AA3544"/>
    <w:rsid w:val="00AA52C8"/>
    <w:rsid w:val="00AA5B30"/>
    <w:rsid w:val="00AA774A"/>
    <w:rsid w:val="00AB03A8"/>
    <w:rsid w:val="00AB3BF8"/>
    <w:rsid w:val="00AB475F"/>
    <w:rsid w:val="00AB6010"/>
    <w:rsid w:val="00AB6219"/>
    <w:rsid w:val="00AB63A3"/>
    <w:rsid w:val="00AC25ED"/>
    <w:rsid w:val="00AC28A5"/>
    <w:rsid w:val="00AC44AC"/>
    <w:rsid w:val="00AC4839"/>
    <w:rsid w:val="00AC4D47"/>
    <w:rsid w:val="00AD3471"/>
    <w:rsid w:val="00AE00A7"/>
    <w:rsid w:val="00AE18BD"/>
    <w:rsid w:val="00AE754C"/>
    <w:rsid w:val="00AE776F"/>
    <w:rsid w:val="00AE7A1A"/>
    <w:rsid w:val="00AE7E81"/>
    <w:rsid w:val="00AF0910"/>
    <w:rsid w:val="00AF0BBE"/>
    <w:rsid w:val="00AF2CCD"/>
    <w:rsid w:val="00AF3FE2"/>
    <w:rsid w:val="00AF5204"/>
    <w:rsid w:val="00B001E5"/>
    <w:rsid w:val="00B00FCA"/>
    <w:rsid w:val="00B018A4"/>
    <w:rsid w:val="00B03A37"/>
    <w:rsid w:val="00B05662"/>
    <w:rsid w:val="00B12728"/>
    <w:rsid w:val="00B22206"/>
    <w:rsid w:val="00B23B86"/>
    <w:rsid w:val="00B274F8"/>
    <w:rsid w:val="00B32B09"/>
    <w:rsid w:val="00B35683"/>
    <w:rsid w:val="00B35A3E"/>
    <w:rsid w:val="00B405C5"/>
    <w:rsid w:val="00B409D0"/>
    <w:rsid w:val="00B43E9B"/>
    <w:rsid w:val="00B44B00"/>
    <w:rsid w:val="00B44B81"/>
    <w:rsid w:val="00B526A2"/>
    <w:rsid w:val="00B53410"/>
    <w:rsid w:val="00B57DF1"/>
    <w:rsid w:val="00B659E1"/>
    <w:rsid w:val="00B65CFA"/>
    <w:rsid w:val="00B662F8"/>
    <w:rsid w:val="00B67CD7"/>
    <w:rsid w:val="00B70904"/>
    <w:rsid w:val="00B729B5"/>
    <w:rsid w:val="00B74CCD"/>
    <w:rsid w:val="00B778E2"/>
    <w:rsid w:val="00B806A0"/>
    <w:rsid w:val="00B826D4"/>
    <w:rsid w:val="00B82E3E"/>
    <w:rsid w:val="00B863C2"/>
    <w:rsid w:val="00B87140"/>
    <w:rsid w:val="00B917B8"/>
    <w:rsid w:val="00B92198"/>
    <w:rsid w:val="00B92326"/>
    <w:rsid w:val="00B92543"/>
    <w:rsid w:val="00B932C2"/>
    <w:rsid w:val="00BA396F"/>
    <w:rsid w:val="00BA4A4B"/>
    <w:rsid w:val="00BB1C6F"/>
    <w:rsid w:val="00BC0EC0"/>
    <w:rsid w:val="00BC37A6"/>
    <w:rsid w:val="00BC7C61"/>
    <w:rsid w:val="00BD1805"/>
    <w:rsid w:val="00BD41B6"/>
    <w:rsid w:val="00BD5B60"/>
    <w:rsid w:val="00BD6BD5"/>
    <w:rsid w:val="00BE10D0"/>
    <w:rsid w:val="00BE2C74"/>
    <w:rsid w:val="00BE3FA1"/>
    <w:rsid w:val="00BE4EEF"/>
    <w:rsid w:val="00BE7BD3"/>
    <w:rsid w:val="00BE7C8B"/>
    <w:rsid w:val="00BF1625"/>
    <w:rsid w:val="00BF1F30"/>
    <w:rsid w:val="00BF3CDD"/>
    <w:rsid w:val="00BF5FD1"/>
    <w:rsid w:val="00BF6398"/>
    <w:rsid w:val="00BF6D2A"/>
    <w:rsid w:val="00BF6F2C"/>
    <w:rsid w:val="00C014EF"/>
    <w:rsid w:val="00C02738"/>
    <w:rsid w:val="00C064E9"/>
    <w:rsid w:val="00C10775"/>
    <w:rsid w:val="00C1257C"/>
    <w:rsid w:val="00C14020"/>
    <w:rsid w:val="00C15D86"/>
    <w:rsid w:val="00C161BE"/>
    <w:rsid w:val="00C16D3A"/>
    <w:rsid w:val="00C17579"/>
    <w:rsid w:val="00C2023B"/>
    <w:rsid w:val="00C27CC7"/>
    <w:rsid w:val="00C35D0E"/>
    <w:rsid w:val="00C42081"/>
    <w:rsid w:val="00C4218F"/>
    <w:rsid w:val="00C4363F"/>
    <w:rsid w:val="00C441C0"/>
    <w:rsid w:val="00C47995"/>
    <w:rsid w:val="00C530EE"/>
    <w:rsid w:val="00C54BAF"/>
    <w:rsid w:val="00C62D7C"/>
    <w:rsid w:val="00C728F1"/>
    <w:rsid w:val="00C72DE0"/>
    <w:rsid w:val="00C7451C"/>
    <w:rsid w:val="00C749FD"/>
    <w:rsid w:val="00C769C1"/>
    <w:rsid w:val="00C76B2D"/>
    <w:rsid w:val="00C77183"/>
    <w:rsid w:val="00C77AA2"/>
    <w:rsid w:val="00C82E38"/>
    <w:rsid w:val="00C90329"/>
    <w:rsid w:val="00C93191"/>
    <w:rsid w:val="00CA05A8"/>
    <w:rsid w:val="00CA3F5C"/>
    <w:rsid w:val="00CA527F"/>
    <w:rsid w:val="00CB0520"/>
    <w:rsid w:val="00CB072E"/>
    <w:rsid w:val="00CB09E8"/>
    <w:rsid w:val="00CB0CDB"/>
    <w:rsid w:val="00CB46B4"/>
    <w:rsid w:val="00CB4D27"/>
    <w:rsid w:val="00CB4EF0"/>
    <w:rsid w:val="00CB65BA"/>
    <w:rsid w:val="00CB7933"/>
    <w:rsid w:val="00CC1363"/>
    <w:rsid w:val="00CC2C75"/>
    <w:rsid w:val="00CC36E8"/>
    <w:rsid w:val="00CC3A00"/>
    <w:rsid w:val="00CD1F58"/>
    <w:rsid w:val="00CD28ED"/>
    <w:rsid w:val="00CD32A0"/>
    <w:rsid w:val="00CD386D"/>
    <w:rsid w:val="00CD5A14"/>
    <w:rsid w:val="00CD6F68"/>
    <w:rsid w:val="00CD75AB"/>
    <w:rsid w:val="00CE0D6D"/>
    <w:rsid w:val="00CE1A19"/>
    <w:rsid w:val="00CE2B5D"/>
    <w:rsid w:val="00CE3303"/>
    <w:rsid w:val="00CE7173"/>
    <w:rsid w:val="00CF19F7"/>
    <w:rsid w:val="00CF75DE"/>
    <w:rsid w:val="00D00A15"/>
    <w:rsid w:val="00D01D4F"/>
    <w:rsid w:val="00D11C15"/>
    <w:rsid w:val="00D14868"/>
    <w:rsid w:val="00D159B2"/>
    <w:rsid w:val="00D16467"/>
    <w:rsid w:val="00D206F2"/>
    <w:rsid w:val="00D20702"/>
    <w:rsid w:val="00D207D6"/>
    <w:rsid w:val="00D215D6"/>
    <w:rsid w:val="00D271BB"/>
    <w:rsid w:val="00D27FA0"/>
    <w:rsid w:val="00D32938"/>
    <w:rsid w:val="00D35B50"/>
    <w:rsid w:val="00D37303"/>
    <w:rsid w:val="00D37ABA"/>
    <w:rsid w:val="00D4039F"/>
    <w:rsid w:val="00D406AA"/>
    <w:rsid w:val="00D40BA2"/>
    <w:rsid w:val="00D410D8"/>
    <w:rsid w:val="00D42B5F"/>
    <w:rsid w:val="00D459B1"/>
    <w:rsid w:val="00D460BF"/>
    <w:rsid w:val="00D50D0F"/>
    <w:rsid w:val="00D51311"/>
    <w:rsid w:val="00D6252F"/>
    <w:rsid w:val="00D633DE"/>
    <w:rsid w:val="00D66131"/>
    <w:rsid w:val="00D6671C"/>
    <w:rsid w:val="00D66B38"/>
    <w:rsid w:val="00D66BFA"/>
    <w:rsid w:val="00D66D4C"/>
    <w:rsid w:val="00D77730"/>
    <w:rsid w:val="00D80118"/>
    <w:rsid w:val="00D8174A"/>
    <w:rsid w:val="00D847FD"/>
    <w:rsid w:val="00D91B9D"/>
    <w:rsid w:val="00D926C8"/>
    <w:rsid w:val="00D96FD7"/>
    <w:rsid w:val="00D97223"/>
    <w:rsid w:val="00DA15F1"/>
    <w:rsid w:val="00DA2C2C"/>
    <w:rsid w:val="00DA3298"/>
    <w:rsid w:val="00DA5890"/>
    <w:rsid w:val="00DA62B0"/>
    <w:rsid w:val="00DB1540"/>
    <w:rsid w:val="00DB4D70"/>
    <w:rsid w:val="00DC23FB"/>
    <w:rsid w:val="00DC2A08"/>
    <w:rsid w:val="00DC660D"/>
    <w:rsid w:val="00DD1020"/>
    <w:rsid w:val="00DD111A"/>
    <w:rsid w:val="00DD19FE"/>
    <w:rsid w:val="00DD1EA7"/>
    <w:rsid w:val="00DD2B8D"/>
    <w:rsid w:val="00DD3FF5"/>
    <w:rsid w:val="00DD6996"/>
    <w:rsid w:val="00DE679C"/>
    <w:rsid w:val="00DF00B2"/>
    <w:rsid w:val="00DF1F7B"/>
    <w:rsid w:val="00DF5355"/>
    <w:rsid w:val="00DF56BE"/>
    <w:rsid w:val="00DF58EB"/>
    <w:rsid w:val="00DF5974"/>
    <w:rsid w:val="00DF7A5E"/>
    <w:rsid w:val="00E00FCA"/>
    <w:rsid w:val="00E03764"/>
    <w:rsid w:val="00E03ECE"/>
    <w:rsid w:val="00E04E50"/>
    <w:rsid w:val="00E059D2"/>
    <w:rsid w:val="00E07F9D"/>
    <w:rsid w:val="00E13BAA"/>
    <w:rsid w:val="00E22B6C"/>
    <w:rsid w:val="00E22C29"/>
    <w:rsid w:val="00E26270"/>
    <w:rsid w:val="00E26C6D"/>
    <w:rsid w:val="00E317D6"/>
    <w:rsid w:val="00E3356D"/>
    <w:rsid w:val="00E37F47"/>
    <w:rsid w:val="00E40B38"/>
    <w:rsid w:val="00E41324"/>
    <w:rsid w:val="00E4270C"/>
    <w:rsid w:val="00E4309A"/>
    <w:rsid w:val="00E45DEE"/>
    <w:rsid w:val="00E45E43"/>
    <w:rsid w:val="00E51CCE"/>
    <w:rsid w:val="00E52576"/>
    <w:rsid w:val="00E60B38"/>
    <w:rsid w:val="00E61532"/>
    <w:rsid w:val="00E6431E"/>
    <w:rsid w:val="00E6625E"/>
    <w:rsid w:val="00E6647B"/>
    <w:rsid w:val="00E7336C"/>
    <w:rsid w:val="00E74B5C"/>
    <w:rsid w:val="00E74E9C"/>
    <w:rsid w:val="00E75F62"/>
    <w:rsid w:val="00E7744F"/>
    <w:rsid w:val="00E80E0A"/>
    <w:rsid w:val="00E92137"/>
    <w:rsid w:val="00E956D0"/>
    <w:rsid w:val="00E957BE"/>
    <w:rsid w:val="00E95980"/>
    <w:rsid w:val="00E959DF"/>
    <w:rsid w:val="00E96543"/>
    <w:rsid w:val="00E97830"/>
    <w:rsid w:val="00EA39F0"/>
    <w:rsid w:val="00EA3A57"/>
    <w:rsid w:val="00EA3C9B"/>
    <w:rsid w:val="00EA4AD9"/>
    <w:rsid w:val="00EA7598"/>
    <w:rsid w:val="00EB35A4"/>
    <w:rsid w:val="00EB5B4E"/>
    <w:rsid w:val="00EB74B1"/>
    <w:rsid w:val="00EC131C"/>
    <w:rsid w:val="00EC4FF3"/>
    <w:rsid w:val="00EC510E"/>
    <w:rsid w:val="00EC7A11"/>
    <w:rsid w:val="00ED03E9"/>
    <w:rsid w:val="00ED0D2C"/>
    <w:rsid w:val="00ED18FA"/>
    <w:rsid w:val="00ED25F0"/>
    <w:rsid w:val="00ED299F"/>
    <w:rsid w:val="00ED37F0"/>
    <w:rsid w:val="00EE117E"/>
    <w:rsid w:val="00EE12E4"/>
    <w:rsid w:val="00EF5651"/>
    <w:rsid w:val="00EF786C"/>
    <w:rsid w:val="00F01EB8"/>
    <w:rsid w:val="00F069D9"/>
    <w:rsid w:val="00F10C25"/>
    <w:rsid w:val="00F14340"/>
    <w:rsid w:val="00F144C3"/>
    <w:rsid w:val="00F14EE3"/>
    <w:rsid w:val="00F20136"/>
    <w:rsid w:val="00F227DF"/>
    <w:rsid w:val="00F260C8"/>
    <w:rsid w:val="00F26B60"/>
    <w:rsid w:val="00F2755C"/>
    <w:rsid w:val="00F30F58"/>
    <w:rsid w:val="00F3187F"/>
    <w:rsid w:val="00F320EA"/>
    <w:rsid w:val="00F321FC"/>
    <w:rsid w:val="00F33A9A"/>
    <w:rsid w:val="00F427A8"/>
    <w:rsid w:val="00F4702B"/>
    <w:rsid w:val="00F4734B"/>
    <w:rsid w:val="00F523DB"/>
    <w:rsid w:val="00F54E95"/>
    <w:rsid w:val="00F55300"/>
    <w:rsid w:val="00F6707C"/>
    <w:rsid w:val="00F700A8"/>
    <w:rsid w:val="00F72DD9"/>
    <w:rsid w:val="00F758AD"/>
    <w:rsid w:val="00F76A58"/>
    <w:rsid w:val="00F815CA"/>
    <w:rsid w:val="00F86727"/>
    <w:rsid w:val="00F93525"/>
    <w:rsid w:val="00F958F9"/>
    <w:rsid w:val="00F97CD0"/>
    <w:rsid w:val="00FA2FB8"/>
    <w:rsid w:val="00FA788C"/>
    <w:rsid w:val="00FA79D3"/>
    <w:rsid w:val="00FB0A22"/>
    <w:rsid w:val="00FB1D20"/>
    <w:rsid w:val="00FB4F83"/>
    <w:rsid w:val="00FB70D9"/>
    <w:rsid w:val="00FB715B"/>
    <w:rsid w:val="00FB7394"/>
    <w:rsid w:val="00FB7D4C"/>
    <w:rsid w:val="00FD02C9"/>
    <w:rsid w:val="00FD587A"/>
    <w:rsid w:val="00FD5931"/>
    <w:rsid w:val="00FE4F8D"/>
    <w:rsid w:val="00FF0021"/>
    <w:rsid w:val="00FF06B1"/>
    <w:rsid w:val="00FF1FD8"/>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53B3"/>
  <w15:chartTrackingRefBased/>
  <w15:docId w15:val="{03370CFE-7784-49D0-91D5-79CCE198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583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6D44"/>
    <w:pPr>
      <w:keepNext/>
      <w:keepLines/>
      <w:spacing w:before="160" w:after="80"/>
      <w:outlineLvl w:val="1"/>
    </w:pPr>
    <w:rPr>
      <w:rFonts w:ascii="Times New Roman" w:eastAsiaTheme="majorEastAsia" w:hAnsi="Times New Roman" w:cs="Times New Roman"/>
      <w:b/>
      <w:bCs/>
      <w:noProof/>
      <w:sz w:val="24"/>
      <w:szCs w:val="24"/>
      <w:lang w:val="en-US"/>
    </w:rPr>
  </w:style>
  <w:style w:type="paragraph" w:styleId="Heading3">
    <w:name w:val="heading 3"/>
    <w:basedOn w:val="Normal"/>
    <w:next w:val="Normal"/>
    <w:link w:val="Heading3Char"/>
    <w:uiPriority w:val="9"/>
    <w:semiHidden/>
    <w:unhideWhenUsed/>
    <w:qFormat/>
    <w:rsid w:val="00583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6D44"/>
    <w:rPr>
      <w:rFonts w:ascii="Times New Roman" w:eastAsiaTheme="majorEastAsia" w:hAnsi="Times New Roman" w:cs="Times New Roman"/>
      <w:b/>
      <w:bCs/>
      <w:noProof/>
      <w:sz w:val="24"/>
      <w:szCs w:val="24"/>
    </w:rPr>
  </w:style>
  <w:style w:type="character" w:customStyle="1" w:styleId="Heading3Char">
    <w:name w:val="Heading 3 Char"/>
    <w:basedOn w:val="DefaultParagraphFont"/>
    <w:link w:val="Heading3"/>
    <w:uiPriority w:val="9"/>
    <w:semiHidden/>
    <w:rsid w:val="00583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0D6"/>
    <w:rPr>
      <w:rFonts w:eastAsiaTheme="majorEastAsia" w:cstheme="majorBidi"/>
      <w:color w:val="272727" w:themeColor="text1" w:themeTint="D8"/>
    </w:rPr>
  </w:style>
  <w:style w:type="paragraph" w:styleId="Title">
    <w:name w:val="Title"/>
    <w:basedOn w:val="Normal"/>
    <w:next w:val="Normal"/>
    <w:link w:val="TitleChar"/>
    <w:uiPriority w:val="10"/>
    <w:qFormat/>
    <w:rsid w:val="00583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0D6"/>
    <w:pPr>
      <w:spacing w:before="160"/>
      <w:jc w:val="center"/>
    </w:pPr>
    <w:rPr>
      <w:i/>
      <w:iCs/>
      <w:color w:val="404040" w:themeColor="text1" w:themeTint="BF"/>
    </w:rPr>
  </w:style>
  <w:style w:type="character" w:customStyle="1" w:styleId="QuoteChar">
    <w:name w:val="Quote Char"/>
    <w:basedOn w:val="DefaultParagraphFont"/>
    <w:link w:val="Quote"/>
    <w:uiPriority w:val="29"/>
    <w:rsid w:val="005830D6"/>
    <w:rPr>
      <w:i/>
      <w:iCs/>
      <w:color w:val="404040" w:themeColor="text1" w:themeTint="BF"/>
    </w:rPr>
  </w:style>
  <w:style w:type="paragraph" w:styleId="ListParagraph">
    <w:name w:val="List Paragraph"/>
    <w:basedOn w:val="Normal"/>
    <w:uiPriority w:val="34"/>
    <w:qFormat/>
    <w:rsid w:val="005830D6"/>
    <w:pPr>
      <w:ind w:left="720"/>
      <w:contextualSpacing/>
    </w:pPr>
  </w:style>
  <w:style w:type="character" w:styleId="IntenseEmphasis">
    <w:name w:val="Intense Emphasis"/>
    <w:basedOn w:val="DefaultParagraphFont"/>
    <w:uiPriority w:val="21"/>
    <w:qFormat/>
    <w:rsid w:val="005830D6"/>
    <w:rPr>
      <w:i/>
      <w:iCs/>
      <w:color w:val="0F4761" w:themeColor="accent1" w:themeShade="BF"/>
    </w:rPr>
  </w:style>
  <w:style w:type="paragraph" w:styleId="IntenseQuote">
    <w:name w:val="Intense Quote"/>
    <w:basedOn w:val="Normal"/>
    <w:next w:val="Normal"/>
    <w:link w:val="IntenseQuoteChar"/>
    <w:uiPriority w:val="30"/>
    <w:qFormat/>
    <w:rsid w:val="00583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0D6"/>
    <w:rPr>
      <w:i/>
      <w:iCs/>
      <w:color w:val="0F4761" w:themeColor="accent1" w:themeShade="BF"/>
    </w:rPr>
  </w:style>
  <w:style w:type="character" w:styleId="IntenseReference">
    <w:name w:val="Intense Reference"/>
    <w:basedOn w:val="DefaultParagraphFont"/>
    <w:uiPriority w:val="32"/>
    <w:qFormat/>
    <w:rsid w:val="005830D6"/>
    <w:rPr>
      <w:b/>
      <w:bCs/>
      <w:smallCaps/>
      <w:color w:val="0F4761" w:themeColor="accent1" w:themeShade="BF"/>
      <w:spacing w:val="5"/>
    </w:rPr>
  </w:style>
  <w:style w:type="character" w:styleId="Hyperlink">
    <w:name w:val="Hyperlink"/>
    <w:basedOn w:val="DefaultParagraphFont"/>
    <w:uiPriority w:val="99"/>
    <w:unhideWhenUsed/>
    <w:rsid w:val="00254C3B"/>
    <w:rPr>
      <w:color w:val="467886" w:themeColor="hyperlink"/>
      <w:u w:val="single"/>
    </w:rPr>
  </w:style>
  <w:style w:type="character" w:styleId="UnresolvedMention">
    <w:name w:val="Unresolved Mention"/>
    <w:basedOn w:val="DefaultParagraphFont"/>
    <w:uiPriority w:val="99"/>
    <w:semiHidden/>
    <w:unhideWhenUsed/>
    <w:rsid w:val="00254C3B"/>
    <w:rPr>
      <w:color w:val="605E5C"/>
      <w:shd w:val="clear" w:color="auto" w:fill="E1DFDD"/>
    </w:rPr>
  </w:style>
  <w:style w:type="paragraph" w:styleId="FootnoteText">
    <w:name w:val="footnote text"/>
    <w:basedOn w:val="Normal"/>
    <w:link w:val="FootnoteTextChar"/>
    <w:uiPriority w:val="99"/>
    <w:unhideWhenUsed/>
    <w:rsid w:val="007E7B30"/>
    <w:pPr>
      <w:spacing w:after="0" w:line="240" w:lineRule="auto"/>
    </w:pPr>
    <w:rPr>
      <w:sz w:val="20"/>
      <w:szCs w:val="20"/>
    </w:rPr>
  </w:style>
  <w:style w:type="character" w:customStyle="1" w:styleId="FootnoteTextChar">
    <w:name w:val="Footnote Text Char"/>
    <w:basedOn w:val="DefaultParagraphFont"/>
    <w:link w:val="FootnoteText"/>
    <w:uiPriority w:val="99"/>
    <w:rsid w:val="007E7B30"/>
    <w:rPr>
      <w:sz w:val="20"/>
      <w:szCs w:val="20"/>
    </w:rPr>
  </w:style>
  <w:style w:type="character" w:styleId="FootnoteReference">
    <w:name w:val="footnote reference"/>
    <w:basedOn w:val="DefaultParagraphFont"/>
    <w:uiPriority w:val="99"/>
    <w:semiHidden/>
    <w:unhideWhenUsed/>
    <w:rsid w:val="007E7B30"/>
    <w:rPr>
      <w:vertAlign w:val="superscript"/>
    </w:rPr>
  </w:style>
  <w:style w:type="character" w:styleId="FollowedHyperlink">
    <w:name w:val="FollowedHyperlink"/>
    <w:basedOn w:val="DefaultParagraphFont"/>
    <w:uiPriority w:val="99"/>
    <w:semiHidden/>
    <w:unhideWhenUsed/>
    <w:rsid w:val="00FF0021"/>
    <w:rPr>
      <w:color w:val="96607D" w:themeColor="followedHyperlink"/>
      <w:u w:val="single"/>
    </w:rPr>
  </w:style>
  <w:style w:type="paragraph" w:styleId="Revision">
    <w:name w:val="Revision"/>
    <w:hidden/>
    <w:uiPriority w:val="99"/>
    <w:semiHidden/>
    <w:rsid w:val="003E2F67"/>
    <w:pPr>
      <w:spacing w:after="0" w:line="240" w:lineRule="auto"/>
    </w:pPr>
    <w:rPr>
      <w:lang w:val="vi-VN"/>
    </w:rPr>
  </w:style>
  <w:style w:type="paragraph" w:styleId="Header">
    <w:name w:val="header"/>
    <w:basedOn w:val="Normal"/>
    <w:link w:val="HeaderChar"/>
    <w:uiPriority w:val="99"/>
    <w:unhideWhenUsed/>
    <w:rsid w:val="00844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F44"/>
    <w:rPr>
      <w:lang w:val="vi-VN"/>
    </w:rPr>
  </w:style>
  <w:style w:type="paragraph" w:styleId="Footer">
    <w:name w:val="footer"/>
    <w:basedOn w:val="Normal"/>
    <w:link w:val="FooterChar"/>
    <w:uiPriority w:val="99"/>
    <w:unhideWhenUsed/>
    <w:rsid w:val="00844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F44"/>
    <w:rPr>
      <w:lang w:val="vi-VN"/>
    </w:rPr>
  </w:style>
  <w:style w:type="paragraph" w:styleId="NormalWeb">
    <w:name w:val="Normal (Web)"/>
    <w:basedOn w:val="Normal"/>
    <w:uiPriority w:val="99"/>
    <w:unhideWhenUsed/>
    <w:rsid w:val="00627D5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476652"/>
    <w:rPr>
      <w:sz w:val="16"/>
      <w:szCs w:val="16"/>
    </w:rPr>
  </w:style>
  <w:style w:type="paragraph" w:styleId="CommentText">
    <w:name w:val="annotation text"/>
    <w:basedOn w:val="Normal"/>
    <w:link w:val="CommentTextChar"/>
    <w:uiPriority w:val="99"/>
    <w:unhideWhenUsed/>
    <w:rsid w:val="00476652"/>
    <w:pPr>
      <w:spacing w:line="240" w:lineRule="auto"/>
    </w:pPr>
    <w:rPr>
      <w:sz w:val="20"/>
      <w:szCs w:val="20"/>
    </w:rPr>
  </w:style>
  <w:style w:type="character" w:customStyle="1" w:styleId="CommentTextChar">
    <w:name w:val="Comment Text Char"/>
    <w:basedOn w:val="DefaultParagraphFont"/>
    <w:link w:val="CommentText"/>
    <w:uiPriority w:val="99"/>
    <w:rsid w:val="00476652"/>
    <w:rPr>
      <w:sz w:val="20"/>
      <w:szCs w:val="20"/>
      <w:lang w:val="vi-VN"/>
    </w:rPr>
  </w:style>
  <w:style w:type="paragraph" w:styleId="CommentSubject">
    <w:name w:val="annotation subject"/>
    <w:basedOn w:val="CommentText"/>
    <w:next w:val="CommentText"/>
    <w:link w:val="CommentSubjectChar"/>
    <w:uiPriority w:val="99"/>
    <w:semiHidden/>
    <w:unhideWhenUsed/>
    <w:rsid w:val="00476652"/>
    <w:rPr>
      <w:b/>
      <w:bCs/>
    </w:rPr>
  </w:style>
  <w:style w:type="character" w:customStyle="1" w:styleId="CommentSubjectChar">
    <w:name w:val="Comment Subject Char"/>
    <w:basedOn w:val="CommentTextChar"/>
    <w:link w:val="CommentSubject"/>
    <w:uiPriority w:val="99"/>
    <w:semiHidden/>
    <w:rsid w:val="00476652"/>
    <w:rPr>
      <w:b/>
      <w:bCs/>
      <w:sz w:val="20"/>
      <w:szCs w:val="20"/>
      <w:lang w:val="vi-VN"/>
    </w:rPr>
  </w:style>
  <w:style w:type="paragraph" w:styleId="BalloonText">
    <w:name w:val="Balloon Text"/>
    <w:basedOn w:val="Normal"/>
    <w:link w:val="BalloonTextChar"/>
    <w:uiPriority w:val="99"/>
    <w:semiHidden/>
    <w:unhideWhenUsed/>
    <w:rsid w:val="00482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2B"/>
    <w:rPr>
      <w:rFonts w:ascii="Segoe UI" w:hAnsi="Segoe UI" w:cs="Segoe UI"/>
      <w:sz w:val="18"/>
      <w:szCs w:val="18"/>
      <w:lang w:val="vi-VN"/>
    </w:rPr>
  </w:style>
  <w:style w:type="character" w:styleId="PlaceholderText">
    <w:name w:val="Placeholder Text"/>
    <w:basedOn w:val="DefaultParagraphFont"/>
    <w:uiPriority w:val="99"/>
    <w:semiHidden/>
    <w:rsid w:val="007439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6071">
      <w:bodyDiv w:val="1"/>
      <w:marLeft w:val="0"/>
      <w:marRight w:val="0"/>
      <w:marTop w:val="0"/>
      <w:marBottom w:val="0"/>
      <w:divBdr>
        <w:top w:val="none" w:sz="0" w:space="0" w:color="auto"/>
        <w:left w:val="none" w:sz="0" w:space="0" w:color="auto"/>
        <w:bottom w:val="none" w:sz="0" w:space="0" w:color="auto"/>
        <w:right w:val="none" w:sz="0" w:space="0" w:color="auto"/>
      </w:divBdr>
    </w:div>
    <w:div w:id="185365972">
      <w:bodyDiv w:val="1"/>
      <w:marLeft w:val="0"/>
      <w:marRight w:val="0"/>
      <w:marTop w:val="0"/>
      <w:marBottom w:val="0"/>
      <w:divBdr>
        <w:top w:val="none" w:sz="0" w:space="0" w:color="auto"/>
        <w:left w:val="none" w:sz="0" w:space="0" w:color="auto"/>
        <w:bottom w:val="none" w:sz="0" w:space="0" w:color="auto"/>
        <w:right w:val="none" w:sz="0" w:space="0" w:color="auto"/>
      </w:divBdr>
    </w:div>
    <w:div w:id="210969431">
      <w:bodyDiv w:val="1"/>
      <w:marLeft w:val="0"/>
      <w:marRight w:val="0"/>
      <w:marTop w:val="0"/>
      <w:marBottom w:val="0"/>
      <w:divBdr>
        <w:top w:val="none" w:sz="0" w:space="0" w:color="auto"/>
        <w:left w:val="none" w:sz="0" w:space="0" w:color="auto"/>
        <w:bottom w:val="none" w:sz="0" w:space="0" w:color="auto"/>
        <w:right w:val="none" w:sz="0" w:space="0" w:color="auto"/>
      </w:divBdr>
    </w:div>
    <w:div w:id="218825418">
      <w:bodyDiv w:val="1"/>
      <w:marLeft w:val="0"/>
      <w:marRight w:val="0"/>
      <w:marTop w:val="0"/>
      <w:marBottom w:val="0"/>
      <w:divBdr>
        <w:top w:val="none" w:sz="0" w:space="0" w:color="auto"/>
        <w:left w:val="none" w:sz="0" w:space="0" w:color="auto"/>
        <w:bottom w:val="none" w:sz="0" w:space="0" w:color="auto"/>
        <w:right w:val="none" w:sz="0" w:space="0" w:color="auto"/>
      </w:divBdr>
    </w:div>
    <w:div w:id="235018030">
      <w:bodyDiv w:val="1"/>
      <w:marLeft w:val="0"/>
      <w:marRight w:val="0"/>
      <w:marTop w:val="0"/>
      <w:marBottom w:val="0"/>
      <w:divBdr>
        <w:top w:val="none" w:sz="0" w:space="0" w:color="auto"/>
        <w:left w:val="none" w:sz="0" w:space="0" w:color="auto"/>
        <w:bottom w:val="none" w:sz="0" w:space="0" w:color="auto"/>
        <w:right w:val="none" w:sz="0" w:space="0" w:color="auto"/>
      </w:divBdr>
    </w:div>
    <w:div w:id="261692912">
      <w:bodyDiv w:val="1"/>
      <w:marLeft w:val="0"/>
      <w:marRight w:val="0"/>
      <w:marTop w:val="0"/>
      <w:marBottom w:val="0"/>
      <w:divBdr>
        <w:top w:val="none" w:sz="0" w:space="0" w:color="auto"/>
        <w:left w:val="none" w:sz="0" w:space="0" w:color="auto"/>
        <w:bottom w:val="none" w:sz="0" w:space="0" w:color="auto"/>
        <w:right w:val="none" w:sz="0" w:space="0" w:color="auto"/>
      </w:divBdr>
    </w:div>
    <w:div w:id="269162101">
      <w:bodyDiv w:val="1"/>
      <w:marLeft w:val="0"/>
      <w:marRight w:val="0"/>
      <w:marTop w:val="0"/>
      <w:marBottom w:val="0"/>
      <w:divBdr>
        <w:top w:val="none" w:sz="0" w:space="0" w:color="auto"/>
        <w:left w:val="none" w:sz="0" w:space="0" w:color="auto"/>
        <w:bottom w:val="none" w:sz="0" w:space="0" w:color="auto"/>
        <w:right w:val="none" w:sz="0" w:space="0" w:color="auto"/>
      </w:divBdr>
    </w:div>
    <w:div w:id="297272770">
      <w:bodyDiv w:val="1"/>
      <w:marLeft w:val="0"/>
      <w:marRight w:val="0"/>
      <w:marTop w:val="0"/>
      <w:marBottom w:val="0"/>
      <w:divBdr>
        <w:top w:val="none" w:sz="0" w:space="0" w:color="auto"/>
        <w:left w:val="none" w:sz="0" w:space="0" w:color="auto"/>
        <w:bottom w:val="none" w:sz="0" w:space="0" w:color="auto"/>
        <w:right w:val="none" w:sz="0" w:space="0" w:color="auto"/>
      </w:divBdr>
    </w:div>
    <w:div w:id="427390823">
      <w:bodyDiv w:val="1"/>
      <w:marLeft w:val="0"/>
      <w:marRight w:val="0"/>
      <w:marTop w:val="0"/>
      <w:marBottom w:val="0"/>
      <w:divBdr>
        <w:top w:val="none" w:sz="0" w:space="0" w:color="auto"/>
        <w:left w:val="none" w:sz="0" w:space="0" w:color="auto"/>
        <w:bottom w:val="none" w:sz="0" w:space="0" w:color="auto"/>
        <w:right w:val="none" w:sz="0" w:space="0" w:color="auto"/>
      </w:divBdr>
    </w:div>
    <w:div w:id="494341178">
      <w:bodyDiv w:val="1"/>
      <w:marLeft w:val="0"/>
      <w:marRight w:val="0"/>
      <w:marTop w:val="0"/>
      <w:marBottom w:val="0"/>
      <w:divBdr>
        <w:top w:val="none" w:sz="0" w:space="0" w:color="auto"/>
        <w:left w:val="none" w:sz="0" w:space="0" w:color="auto"/>
        <w:bottom w:val="none" w:sz="0" w:space="0" w:color="auto"/>
        <w:right w:val="none" w:sz="0" w:space="0" w:color="auto"/>
      </w:divBdr>
    </w:div>
    <w:div w:id="620840801">
      <w:bodyDiv w:val="1"/>
      <w:marLeft w:val="0"/>
      <w:marRight w:val="0"/>
      <w:marTop w:val="0"/>
      <w:marBottom w:val="0"/>
      <w:divBdr>
        <w:top w:val="none" w:sz="0" w:space="0" w:color="auto"/>
        <w:left w:val="none" w:sz="0" w:space="0" w:color="auto"/>
        <w:bottom w:val="none" w:sz="0" w:space="0" w:color="auto"/>
        <w:right w:val="none" w:sz="0" w:space="0" w:color="auto"/>
      </w:divBdr>
    </w:div>
    <w:div w:id="642737298">
      <w:bodyDiv w:val="1"/>
      <w:marLeft w:val="0"/>
      <w:marRight w:val="0"/>
      <w:marTop w:val="0"/>
      <w:marBottom w:val="0"/>
      <w:divBdr>
        <w:top w:val="none" w:sz="0" w:space="0" w:color="auto"/>
        <w:left w:val="none" w:sz="0" w:space="0" w:color="auto"/>
        <w:bottom w:val="none" w:sz="0" w:space="0" w:color="auto"/>
        <w:right w:val="none" w:sz="0" w:space="0" w:color="auto"/>
      </w:divBdr>
    </w:div>
    <w:div w:id="749888416">
      <w:bodyDiv w:val="1"/>
      <w:marLeft w:val="0"/>
      <w:marRight w:val="0"/>
      <w:marTop w:val="0"/>
      <w:marBottom w:val="0"/>
      <w:divBdr>
        <w:top w:val="none" w:sz="0" w:space="0" w:color="auto"/>
        <w:left w:val="none" w:sz="0" w:space="0" w:color="auto"/>
        <w:bottom w:val="none" w:sz="0" w:space="0" w:color="auto"/>
        <w:right w:val="none" w:sz="0" w:space="0" w:color="auto"/>
      </w:divBdr>
      <w:divsChild>
        <w:div w:id="1915970711">
          <w:blockQuote w:val="1"/>
          <w:marLeft w:val="720"/>
          <w:marRight w:val="720"/>
          <w:marTop w:val="100"/>
          <w:marBottom w:val="100"/>
          <w:divBdr>
            <w:top w:val="none" w:sz="0" w:space="0" w:color="auto"/>
            <w:left w:val="none" w:sz="0" w:space="30" w:color="auto"/>
            <w:bottom w:val="none" w:sz="0" w:space="0" w:color="auto"/>
            <w:right w:val="none" w:sz="0" w:space="0" w:color="auto"/>
          </w:divBdr>
        </w:div>
      </w:divsChild>
    </w:div>
    <w:div w:id="951744459">
      <w:bodyDiv w:val="1"/>
      <w:marLeft w:val="0"/>
      <w:marRight w:val="0"/>
      <w:marTop w:val="0"/>
      <w:marBottom w:val="0"/>
      <w:divBdr>
        <w:top w:val="none" w:sz="0" w:space="0" w:color="auto"/>
        <w:left w:val="none" w:sz="0" w:space="0" w:color="auto"/>
        <w:bottom w:val="none" w:sz="0" w:space="0" w:color="auto"/>
        <w:right w:val="none" w:sz="0" w:space="0" w:color="auto"/>
      </w:divBdr>
    </w:div>
    <w:div w:id="981159858">
      <w:bodyDiv w:val="1"/>
      <w:marLeft w:val="0"/>
      <w:marRight w:val="0"/>
      <w:marTop w:val="0"/>
      <w:marBottom w:val="0"/>
      <w:divBdr>
        <w:top w:val="none" w:sz="0" w:space="0" w:color="auto"/>
        <w:left w:val="none" w:sz="0" w:space="0" w:color="auto"/>
        <w:bottom w:val="none" w:sz="0" w:space="0" w:color="auto"/>
        <w:right w:val="none" w:sz="0" w:space="0" w:color="auto"/>
      </w:divBdr>
    </w:div>
    <w:div w:id="982586785">
      <w:bodyDiv w:val="1"/>
      <w:marLeft w:val="0"/>
      <w:marRight w:val="0"/>
      <w:marTop w:val="0"/>
      <w:marBottom w:val="0"/>
      <w:divBdr>
        <w:top w:val="none" w:sz="0" w:space="0" w:color="auto"/>
        <w:left w:val="none" w:sz="0" w:space="0" w:color="auto"/>
        <w:bottom w:val="none" w:sz="0" w:space="0" w:color="auto"/>
        <w:right w:val="none" w:sz="0" w:space="0" w:color="auto"/>
      </w:divBdr>
    </w:div>
    <w:div w:id="1033649672">
      <w:bodyDiv w:val="1"/>
      <w:marLeft w:val="0"/>
      <w:marRight w:val="0"/>
      <w:marTop w:val="0"/>
      <w:marBottom w:val="0"/>
      <w:divBdr>
        <w:top w:val="none" w:sz="0" w:space="0" w:color="auto"/>
        <w:left w:val="none" w:sz="0" w:space="0" w:color="auto"/>
        <w:bottom w:val="none" w:sz="0" w:space="0" w:color="auto"/>
        <w:right w:val="none" w:sz="0" w:space="0" w:color="auto"/>
      </w:divBdr>
    </w:div>
    <w:div w:id="1057625391">
      <w:bodyDiv w:val="1"/>
      <w:marLeft w:val="0"/>
      <w:marRight w:val="0"/>
      <w:marTop w:val="0"/>
      <w:marBottom w:val="0"/>
      <w:divBdr>
        <w:top w:val="none" w:sz="0" w:space="0" w:color="auto"/>
        <w:left w:val="none" w:sz="0" w:space="0" w:color="auto"/>
        <w:bottom w:val="none" w:sz="0" w:space="0" w:color="auto"/>
        <w:right w:val="none" w:sz="0" w:space="0" w:color="auto"/>
      </w:divBdr>
    </w:div>
    <w:div w:id="1133521254">
      <w:bodyDiv w:val="1"/>
      <w:marLeft w:val="0"/>
      <w:marRight w:val="0"/>
      <w:marTop w:val="0"/>
      <w:marBottom w:val="0"/>
      <w:divBdr>
        <w:top w:val="none" w:sz="0" w:space="0" w:color="auto"/>
        <w:left w:val="none" w:sz="0" w:space="0" w:color="auto"/>
        <w:bottom w:val="none" w:sz="0" w:space="0" w:color="auto"/>
        <w:right w:val="none" w:sz="0" w:space="0" w:color="auto"/>
      </w:divBdr>
    </w:div>
    <w:div w:id="1179462066">
      <w:bodyDiv w:val="1"/>
      <w:marLeft w:val="0"/>
      <w:marRight w:val="0"/>
      <w:marTop w:val="0"/>
      <w:marBottom w:val="0"/>
      <w:divBdr>
        <w:top w:val="none" w:sz="0" w:space="0" w:color="auto"/>
        <w:left w:val="none" w:sz="0" w:space="0" w:color="auto"/>
        <w:bottom w:val="none" w:sz="0" w:space="0" w:color="auto"/>
        <w:right w:val="none" w:sz="0" w:space="0" w:color="auto"/>
      </w:divBdr>
    </w:div>
    <w:div w:id="1250654693">
      <w:bodyDiv w:val="1"/>
      <w:marLeft w:val="0"/>
      <w:marRight w:val="0"/>
      <w:marTop w:val="0"/>
      <w:marBottom w:val="0"/>
      <w:divBdr>
        <w:top w:val="none" w:sz="0" w:space="0" w:color="auto"/>
        <w:left w:val="none" w:sz="0" w:space="0" w:color="auto"/>
        <w:bottom w:val="none" w:sz="0" w:space="0" w:color="auto"/>
        <w:right w:val="none" w:sz="0" w:space="0" w:color="auto"/>
      </w:divBdr>
    </w:div>
    <w:div w:id="1265764901">
      <w:bodyDiv w:val="1"/>
      <w:marLeft w:val="0"/>
      <w:marRight w:val="0"/>
      <w:marTop w:val="0"/>
      <w:marBottom w:val="0"/>
      <w:divBdr>
        <w:top w:val="none" w:sz="0" w:space="0" w:color="auto"/>
        <w:left w:val="none" w:sz="0" w:space="0" w:color="auto"/>
        <w:bottom w:val="none" w:sz="0" w:space="0" w:color="auto"/>
        <w:right w:val="none" w:sz="0" w:space="0" w:color="auto"/>
      </w:divBdr>
    </w:div>
    <w:div w:id="1404526163">
      <w:bodyDiv w:val="1"/>
      <w:marLeft w:val="0"/>
      <w:marRight w:val="0"/>
      <w:marTop w:val="0"/>
      <w:marBottom w:val="0"/>
      <w:divBdr>
        <w:top w:val="none" w:sz="0" w:space="0" w:color="auto"/>
        <w:left w:val="none" w:sz="0" w:space="0" w:color="auto"/>
        <w:bottom w:val="none" w:sz="0" w:space="0" w:color="auto"/>
        <w:right w:val="none" w:sz="0" w:space="0" w:color="auto"/>
      </w:divBdr>
    </w:div>
    <w:div w:id="1426346405">
      <w:bodyDiv w:val="1"/>
      <w:marLeft w:val="0"/>
      <w:marRight w:val="0"/>
      <w:marTop w:val="0"/>
      <w:marBottom w:val="0"/>
      <w:divBdr>
        <w:top w:val="none" w:sz="0" w:space="0" w:color="auto"/>
        <w:left w:val="none" w:sz="0" w:space="0" w:color="auto"/>
        <w:bottom w:val="none" w:sz="0" w:space="0" w:color="auto"/>
        <w:right w:val="none" w:sz="0" w:space="0" w:color="auto"/>
      </w:divBdr>
    </w:div>
    <w:div w:id="1574467145">
      <w:bodyDiv w:val="1"/>
      <w:marLeft w:val="0"/>
      <w:marRight w:val="0"/>
      <w:marTop w:val="0"/>
      <w:marBottom w:val="0"/>
      <w:divBdr>
        <w:top w:val="none" w:sz="0" w:space="0" w:color="auto"/>
        <w:left w:val="none" w:sz="0" w:space="0" w:color="auto"/>
        <w:bottom w:val="none" w:sz="0" w:space="0" w:color="auto"/>
        <w:right w:val="none" w:sz="0" w:space="0" w:color="auto"/>
      </w:divBdr>
    </w:div>
    <w:div w:id="1648972845">
      <w:bodyDiv w:val="1"/>
      <w:marLeft w:val="0"/>
      <w:marRight w:val="0"/>
      <w:marTop w:val="0"/>
      <w:marBottom w:val="0"/>
      <w:divBdr>
        <w:top w:val="none" w:sz="0" w:space="0" w:color="auto"/>
        <w:left w:val="none" w:sz="0" w:space="0" w:color="auto"/>
        <w:bottom w:val="none" w:sz="0" w:space="0" w:color="auto"/>
        <w:right w:val="none" w:sz="0" w:space="0" w:color="auto"/>
      </w:divBdr>
    </w:div>
    <w:div w:id="1687248461">
      <w:bodyDiv w:val="1"/>
      <w:marLeft w:val="0"/>
      <w:marRight w:val="0"/>
      <w:marTop w:val="0"/>
      <w:marBottom w:val="0"/>
      <w:divBdr>
        <w:top w:val="none" w:sz="0" w:space="0" w:color="auto"/>
        <w:left w:val="none" w:sz="0" w:space="0" w:color="auto"/>
        <w:bottom w:val="none" w:sz="0" w:space="0" w:color="auto"/>
        <w:right w:val="none" w:sz="0" w:space="0" w:color="auto"/>
      </w:divBdr>
    </w:div>
    <w:div w:id="1789618063">
      <w:bodyDiv w:val="1"/>
      <w:marLeft w:val="0"/>
      <w:marRight w:val="0"/>
      <w:marTop w:val="0"/>
      <w:marBottom w:val="0"/>
      <w:divBdr>
        <w:top w:val="none" w:sz="0" w:space="0" w:color="auto"/>
        <w:left w:val="none" w:sz="0" w:space="0" w:color="auto"/>
        <w:bottom w:val="none" w:sz="0" w:space="0" w:color="auto"/>
        <w:right w:val="none" w:sz="0" w:space="0" w:color="auto"/>
      </w:divBdr>
    </w:div>
    <w:div w:id="1832452289">
      <w:bodyDiv w:val="1"/>
      <w:marLeft w:val="0"/>
      <w:marRight w:val="0"/>
      <w:marTop w:val="0"/>
      <w:marBottom w:val="0"/>
      <w:divBdr>
        <w:top w:val="none" w:sz="0" w:space="0" w:color="auto"/>
        <w:left w:val="none" w:sz="0" w:space="0" w:color="auto"/>
        <w:bottom w:val="none" w:sz="0" w:space="0" w:color="auto"/>
        <w:right w:val="none" w:sz="0" w:space="0" w:color="auto"/>
      </w:divBdr>
    </w:div>
    <w:div w:id="1891307980">
      <w:bodyDiv w:val="1"/>
      <w:marLeft w:val="0"/>
      <w:marRight w:val="0"/>
      <w:marTop w:val="0"/>
      <w:marBottom w:val="0"/>
      <w:divBdr>
        <w:top w:val="none" w:sz="0" w:space="0" w:color="auto"/>
        <w:left w:val="none" w:sz="0" w:space="0" w:color="auto"/>
        <w:bottom w:val="none" w:sz="0" w:space="0" w:color="auto"/>
        <w:right w:val="none" w:sz="0" w:space="0" w:color="auto"/>
      </w:divBdr>
      <w:divsChild>
        <w:div w:id="631985721">
          <w:blockQuote w:val="1"/>
          <w:marLeft w:val="720"/>
          <w:marRight w:val="720"/>
          <w:marTop w:val="100"/>
          <w:marBottom w:val="100"/>
          <w:divBdr>
            <w:top w:val="none" w:sz="0" w:space="0" w:color="auto"/>
            <w:left w:val="none" w:sz="0" w:space="30" w:color="auto"/>
            <w:bottom w:val="none" w:sz="0" w:space="0" w:color="auto"/>
            <w:right w:val="none" w:sz="0" w:space="0" w:color="auto"/>
          </w:divBdr>
        </w:div>
      </w:divsChild>
    </w:div>
    <w:div w:id="1893231303">
      <w:bodyDiv w:val="1"/>
      <w:marLeft w:val="0"/>
      <w:marRight w:val="0"/>
      <w:marTop w:val="0"/>
      <w:marBottom w:val="0"/>
      <w:divBdr>
        <w:top w:val="none" w:sz="0" w:space="0" w:color="auto"/>
        <w:left w:val="none" w:sz="0" w:space="0" w:color="auto"/>
        <w:bottom w:val="none" w:sz="0" w:space="0" w:color="auto"/>
        <w:right w:val="none" w:sz="0" w:space="0" w:color="auto"/>
      </w:divBdr>
    </w:div>
    <w:div w:id="20611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eb6c22-bfdc-4161-89b0-4841adad1e8c">
      <Terms xmlns="http://schemas.microsoft.com/office/infopath/2007/PartnerControls"/>
    </lcf76f155ced4ddcb4097134ff3c332f>
    <TaxCatchAll xmlns="6e73d03f-12a8-44dd-8c41-55bf7a8773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5F19FD35BC814B9DDF22142164C12C" ma:contentTypeVersion="14" ma:contentTypeDescription="Create a new document." ma:contentTypeScope="" ma:versionID="9407889ae6a67edf78ccbfef41581263">
  <xsd:schema xmlns:xsd="http://www.w3.org/2001/XMLSchema" xmlns:xs="http://www.w3.org/2001/XMLSchema" xmlns:p="http://schemas.microsoft.com/office/2006/metadata/properties" xmlns:ns2="6e73d03f-12a8-44dd-8c41-55bf7a87735c" xmlns:ns3="17eb6c22-bfdc-4161-89b0-4841adad1e8c" targetNamespace="http://schemas.microsoft.com/office/2006/metadata/properties" ma:root="true" ma:fieldsID="44fee99640154d4708ce986ce2175ed7" ns2:_="" ns3:_="">
    <xsd:import namespace="6e73d03f-12a8-44dd-8c41-55bf7a87735c"/>
    <xsd:import namespace="17eb6c22-bfdc-4161-89b0-4841adad1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3d03f-12a8-44dd-8c41-55bf7a8773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c3b747-2a4a-47d4-bf13-b42f71980bf6}" ma:internalName="TaxCatchAll" ma:showField="CatchAllData" ma:web="6e73d03f-12a8-44dd-8c41-55bf7a8773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eb6c22-bfdc-4161-89b0-4841adad1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7010e8-39f4-420f-9d2a-9fede9ee8c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0C82-ECA7-4BB2-9D1E-BF2D53926378}">
  <ds:schemaRefs>
    <ds:schemaRef ds:uri="http://schemas.microsoft.com/sharepoint/v3/contenttype/forms"/>
  </ds:schemaRefs>
</ds:datastoreItem>
</file>

<file path=customXml/itemProps2.xml><?xml version="1.0" encoding="utf-8"?>
<ds:datastoreItem xmlns:ds="http://schemas.openxmlformats.org/officeDocument/2006/customXml" ds:itemID="{5F164F36-0781-4C5E-A8BB-6B8BF6E22565}">
  <ds:schemaRefs>
    <ds:schemaRef ds:uri="http://schemas.microsoft.com/office/2006/metadata/properties"/>
    <ds:schemaRef ds:uri="http://schemas.microsoft.com/office/infopath/2007/PartnerControls"/>
    <ds:schemaRef ds:uri="17eb6c22-bfdc-4161-89b0-4841adad1e8c"/>
    <ds:schemaRef ds:uri="6e73d03f-12a8-44dd-8c41-55bf7a87735c"/>
  </ds:schemaRefs>
</ds:datastoreItem>
</file>

<file path=customXml/itemProps3.xml><?xml version="1.0" encoding="utf-8"?>
<ds:datastoreItem xmlns:ds="http://schemas.openxmlformats.org/officeDocument/2006/customXml" ds:itemID="{BBB1EE60-0797-4DB4-9F04-C066817C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3d03f-12a8-44dd-8c41-55bf7a87735c"/>
    <ds:schemaRef ds:uri="17eb6c22-bfdc-4161-89b0-4841adad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6AD0-EF6F-2B4A-AA70-4816533A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4345</Words>
  <Characters>16732</Characters>
  <Application>Microsoft Office Word</Application>
  <DocSecurity>0</DocSecurity>
  <Lines>288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Links>
    <vt:vector size="24" baseType="variant">
      <vt:variant>
        <vt:i4>5242975</vt:i4>
      </vt:variant>
      <vt:variant>
        <vt:i4>6</vt:i4>
      </vt:variant>
      <vt:variant>
        <vt:i4>0</vt:i4>
      </vt:variant>
      <vt:variant>
        <vt:i4>5</vt:i4>
      </vt:variant>
      <vt:variant>
        <vt:lpwstr>https://thtax.vn/dich-vu-dai-ly-thue-tai-quan-phu-nhuan-tron-goi-va-uy-tin-thtax.html</vt:lpwstr>
      </vt:variant>
      <vt:variant>
        <vt:lpwstr/>
      </vt:variant>
      <vt:variant>
        <vt:i4>8126538</vt:i4>
      </vt:variant>
      <vt:variant>
        <vt:i4>3</vt:i4>
      </vt:variant>
      <vt:variant>
        <vt:i4>0</vt:i4>
      </vt:variant>
      <vt:variant>
        <vt:i4>5</vt:i4>
      </vt:variant>
      <vt:variant>
        <vt:lpwstr>http://thuvienphapluat.vn/van-ban/Thue-Phi-Le-Phi/Luat-quan-ly-thue-2019-387595.aspx?anchor=dieu_56</vt:lpwstr>
      </vt:variant>
      <vt:variant>
        <vt:lpwstr/>
      </vt:variant>
      <vt:variant>
        <vt:i4>131096</vt:i4>
      </vt:variant>
      <vt:variant>
        <vt:i4>0</vt:i4>
      </vt:variant>
      <vt:variant>
        <vt:i4>0</vt:i4>
      </vt:variant>
      <vt:variant>
        <vt:i4>5</vt:i4>
      </vt:variant>
      <vt:variant>
        <vt:lpwstr>https://thuvienphapluat.vn/van-ban/Thue-Phi-Le-Phi/Nghi-dinh-100-2016-ND-CP-huong-dan-Luat-thue-gia-tri-gia-tang-thue-tieu-thu-dac-biet-quan-ly-thue-sua-doi-318277.aspx?anchor=khoan_1_2</vt:lpwstr>
      </vt:variant>
      <vt:variant>
        <vt:lpwstr/>
      </vt:variant>
      <vt:variant>
        <vt:i4>3080284</vt:i4>
      </vt:variant>
      <vt:variant>
        <vt:i4>0</vt:i4>
      </vt:variant>
      <vt:variant>
        <vt:i4>0</vt:i4>
      </vt:variant>
      <vt:variant>
        <vt:i4>5</vt:i4>
      </vt:variant>
      <vt:variant>
        <vt:lpwstr>file://C:\\Users\hoapk\Downloads\93-cp.signed.pdf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Ngo</dc:creator>
  <cp:keywords/>
  <dc:description/>
  <cp:lastModifiedBy>Thao Nguyen</cp:lastModifiedBy>
  <cp:revision>8</cp:revision>
  <cp:lastPrinted>2024-10-16T07:56:00Z</cp:lastPrinted>
  <dcterms:created xsi:type="dcterms:W3CDTF">2024-10-16T09:41:00Z</dcterms:created>
  <dcterms:modified xsi:type="dcterms:W3CDTF">2024-10-16T10:04:00Z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0x010100BA5F19FD35BC814B9DDF22142164C12C</vt:lpwstr>
  </property>
</Properties>
</file>