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071EC" w14:textId="77777777" w:rsidR="0067025D" w:rsidRPr="0067025D" w:rsidRDefault="0067025D" w:rsidP="0067025D">
      <w:pPr>
        <w:snapToGrid w:val="0"/>
        <w:spacing w:before="40" w:after="80" w:line="312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</w:pPr>
      <w:r w:rsidRPr="0067025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HỘI</w:t>
      </w:r>
      <w:r w:rsidRPr="0067025D">
        <w:rPr>
          <w:rFonts w:ascii="Times New Roman" w:hAnsi="Times New Roman" w:cs="Times New Roman"/>
          <w:b/>
          <w:color w:val="000000" w:themeColor="text1"/>
          <w:sz w:val="27"/>
          <w:szCs w:val="27"/>
          <w:lang w:val="vi-VN"/>
        </w:rPr>
        <w:t xml:space="preserve"> THẢO </w:t>
      </w:r>
    </w:p>
    <w:p w14:paraId="6E8F38E2" w14:textId="77777777" w:rsidR="0067025D" w:rsidRPr="0067025D" w:rsidRDefault="0067025D" w:rsidP="0067025D">
      <w:pPr>
        <w:snapToGrid w:val="0"/>
        <w:spacing w:before="40" w:after="80" w:line="312" w:lineRule="auto"/>
        <w:jc w:val="center"/>
        <w:rPr>
          <w:rFonts w:ascii="Times New Roman" w:hAnsi="Times New Roman" w:cs="Times New Roman"/>
          <w:bCs/>
          <w:color w:val="000000" w:themeColor="text1"/>
          <w:sz w:val="27"/>
          <w:szCs w:val="27"/>
          <w:lang w:val="vi-VN"/>
        </w:rPr>
      </w:pPr>
      <w:r w:rsidRPr="006702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GÓP</w:t>
      </w:r>
      <w:r w:rsidRPr="0067025D">
        <w:rPr>
          <w:rFonts w:ascii="Times New Roman" w:hAnsi="Times New Roman" w:cs="Times New Roman"/>
          <w:bCs/>
          <w:color w:val="000000" w:themeColor="text1"/>
          <w:sz w:val="27"/>
          <w:szCs w:val="27"/>
          <w:lang w:val="vi-VN"/>
        </w:rPr>
        <w:t xml:space="preserve"> Ý HOÀN THIỆN LUẬT ĐIỆN LỰC (SỬA ĐỔI) </w:t>
      </w:r>
    </w:p>
    <w:p w14:paraId="6FF28049" w14:textId="15FFAC6E" w:rsidR="0067025D" w:rsidRPr="0067025D" w:rsidRDefault="0067025D" w:rsidP="0067025D">
      <w:pPr>
        <w:spacing w:before="40" w:after="80" w:line="312" w:lineRule="auto"/>
        <w:jc w:val="center"/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</w:pPr>
      <w:r w:rsidRPr="0067025D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>THAM</w:t>
      </w:r>
      <w:r w:rsidRPr="0067025D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  <w:lang w:val="vi-VN"/>
        </w:rPr>
        <w:t xml:space="preserve"> LUẬN</w:t>
      </w:r>
    </w:p>
    <w:p w14:paraId="00000006" w14:textId="3510CB5D" w:rsidR="00FC0C78" w:rsidRPr="0067025D" w:rsidRDefault="0067025D" w:rsidP="0067025D">
      <w:pPr>
        <w:spacing w:before="40" w:after="80" w:line="312" w:lineRule="auto"/>
        <w:jc w:val="right"/>
        <w:rPr>
          <w:rFonts w:ascii="Times New Roman" w:eastAsia="Barlow" w:hAnsi="Times New Roman" w:cs="Times New Roman"/>
          <w:b/>
          <w:i/>
          <w:iCs/>
          <w:color w:val="000000" w:themeColor="text1"/>
          <w:sz w:val="27"/>
          <w:szCs w:val="27"/>
          <w:lang w:val="vi-VN"/>
        </w:rPr>
      </w:pPr>
      <w:proofErr w:type="spellStart"/>
      <w:r w:rsidRPr="0067025D">
        <w:rPr>
          <w:rFonts w:ascii="Times New Roman" w:eastAsia="Barlow" w:hAnsi="Times New Roman" w:cs="Times New Roman"/>
          <w:b/>
          <w:i/>
          <w:iCs/>
          <w:color w:val="000000" w:themeColor="text1"/>
          <w:sz w:val="27"/>
          <w:szCs w:val="27"/>
        </w:rPr>
        <w:t>Bà</w:t>
      </w:r>
      <w:proofErr w:type="spellEnd"/>
      <w:r w:rsidRPr="0067025D">
        <w:rPr>
          <w:rFonts w:ascii="Times New Roman" w:eastAsia="Barlow" w:hAnsi="Times New Roman" w:cs="Times New Roman"/>
          <w:b/>
          <w:i/>
          <w:iCs/>
          <w:color w:val="000000" w:themeColor="text1"/>
          <w:sz w:val="27"/>
          <w:szCs w:val="27"/>
          <w:lang w:val="vi-VN"/>
        </w:rPr>
        <w:t xml:space="preserve"> Phạm Linh Ngân</w:t>
      </w:r>
    </w:p>
    <w:p w14:paraId="605680D4" w14:textId="6C43C7BF" w:rsidR="0067025D" w:rsidRPr="0067025D" w:rsidRDefault="0067025D" w:rsidP="0067025D">
      <w:pPr>
        <w:spacing w:before="40" w:after="80" w:line="312" w:lineRule="auto"/>
        <w:jc w:val="right"/>
        <w:rPr>
          <w:rFonts w:ascii="Times New Roman" w:eastAsia="Barlow" w:hAnsi="Times New Roman" w:cs="Times New Roman"/>
          <w:bCs/>
          <w:i/>
          <w:iCs/>
          <w:color w:val="000000" w:themeColor="text1"/>
          <w:sz w:val="27"/>
          <w:szCs w:val="27"/>
          <w:lang w:val="vi-VN"/>
        </w:rPr>
      </w:pPr>
      <w:r w:rsidRPr="0067025D">
        <w:rPr>
          <w:rFonts w:ascii="Times New Roman" w:eastAsia="Barlow" w:hAnsi="Times New Roman" w:cs="Times New Roman"/>
          <w:bCs/>
          <w:i/>
          <w:iCs/>
          <w:color w:val="000000" w:themeColor="text1"/>
          <w:sz w:val="27"/>
          <w:szCs w:val="27"/>
          <w:lang w:val="vi-VN"/>
        </w:rPr>
        <w:t>Trưởng Ban Thư ký Nhóm Công tác về Điện và Năng lượng</w:t>
      </w:r>
    </w:p>
    <w:p w14:paraId="7F52EE08" w14:textId="437069DC" w:rsidR="0067025D" w:rsidRPr="0067025D" w:rsidRDefault="0067025D" w:rsidP="0067025D">
      <w:pPr>
        <w:spacing w:before="40" w:after="80" w:line="312" w:lineRule="auto"/>
        <w:jc w:val="right"/>
        <w:rPr>
          <w:rFonts w:ascii="Times New Roman" w:eastAsia="Barlow" w:hAnsi="Times New Roman" w:cs="Times New Roman"/>
          <w:bCs/>
          <w:i/>
          <w:iCs/>
          <w:color w:val="000000" w:themeColor="text1"/>
          <w:sz w:val="27"/>
          <w:szCs w:val="27"/>
          <w:lang w:val="vi-VN"/>
        </w:rPr>
      </w:pPr>
      <w:r w:rsidRPr="0067025D">
        <w:rPr>
          <w:rFonts w:ascii="Times New Roman" w:eastAsia="Barlow" w:hAnsi="Times New Roman" w:cs="Times New Roman"/>
          <w:bCs/>
          <w:i/>
          <w:iCs/>
          <w:color w:val="000000" w:themeColor="text1"/>
          <w:sz w:val="27"/>
          <w:szCs w:val="27"/>
          <w:lang w:val="vi-VN"/>
        </w:rPr>
        <w:t>Diễn đàn Doanh nghiệp Việt Nam (VBF)</w:t>
      </w:r>
    </w:p>
    <w:p w14:paraId="00000007" w14:textId="77777777" w:rsidR="00FC0C78" w:rsidRPr="0067025D" w:rsidRDefault="003826B1" w:rsidP="0067025D">
      <w:pPr>
        <w:spacing w:before="40" w:after="80" w:line="312" w:lineRule="auto"/>
        <w:jc w:val="center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r w:rsidRPr="003826B1">
        <w:rPr>
          <w:rFonts w:ascii="Times New Roman" w:hAnsi="Times New Roman" w:cs="Times New Roman"/>
          <w:noProof/>
          <w:color w:val="000000" w:themeColor="text1"/>
          <w:sz w:val="27"/>
          <w:szCs w:val="27"/>
        </w:rPr>
        <w:pict w14:anchorId="43BE6D9A">
          <v:rect id="_x0000_i1025" alt="" style="width:451.45pt;height:.05pt;mso-width-percent:0;mso-height-percent:0;mso-width-percent:0;mso-height-percent:0" o:hralign="center" o:hrstd="t" o:hr="t" fillcolor="#a0a0a0" stroked="f"/>
        </w:pict>
      </w:r>
    </w:p>
    <w:p w14:paraId="00000008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Kính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thưa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Lê Quang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ban Khoa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ọ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ờ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,</w:t>
      </w:r>
    </w:p>
    <w:p w14:paraId="00000009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Kính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thưa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Liên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đoàn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Thương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Nam,</w:t>
      </w:r>
    </w:p>
    <w:p w14:paraId="0000000A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Kính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ưa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Đình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ban Khoa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ọ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ờ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,</w:t>
      </w:r>
    </w:p>
    <w:p w14:paraId="0000000B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ờ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tiên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thay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Nhóm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ễ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đàn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Doanh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Nam,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xin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trân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ọ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VCCI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đã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ờ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ờ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Nhóm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tham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đóng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góp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ý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hôm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nay.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cũng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xin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tham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góp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ý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ễ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ra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ở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góp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ý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Nhóm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đã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ỉ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5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sau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ổ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ở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.</w:t>
      </w:r>
    </w:p>
    <w:p w14:paraId="0000000C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vô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cùng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ồ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tình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tinh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ổ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tiêu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phù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theo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tình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hình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rư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ờ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Nam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cũng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như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ữ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ồ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ọ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.</w:t>
      </w:r>
    </w:p>
    <w:p w14:paraId="0000000D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Do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ờ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góp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ý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Nhóm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trung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chương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sau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:</w:t>
      </w:r>
    </w:p>
    <w:p w14:paraId="0000000E" w14:textId="77777777" w:rsidR="00FC0C78" w:rsidRPr="0067025D" w:rsidRDefault="003826B1" w:rsidP="0067025D">
      <w:pPr>
        <w:numPr>
          <w:ilvl w:val="0"/>
          <w:numId w:val="1"/>
        </w:num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Chương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I -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ữ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chung</w:t>
      </w:r>
      <w:proofErr w:type="spellEnd"/>
    </w:p>
    <w:p w14:paraId="0000000F" w14:textId="77777777" w:rsidR="00FC0C78" w:rsidRPr="0067025D" w:rsidRDefault="003826B1" w:rsidP="0067025D">
      <w:pPr>
        <w:numPr>
          <w:ilvl w:val="0"/>
          <w:numId w:val="1"/>
        </w:num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Chương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II -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tư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</w:p>
    <w:p w14:paraId="00000010" w14:textId="77777777" w:rsidR="00FC0C78" w:rsidRPr="0067025D" w:rsidRDefault="003826B1" w:rsidP="0067025D">
      <w:pPr>
        <w:numPr>
          <w:ilvl w:val="0"/>
          <w:numId w:val="1"/>
        </w:num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Chương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V -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mua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</w:p>
    <w:p w14:paraId="00000011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b/>
          <w:color w:val="000000" w:themeColor="text1"/>
          <w:sz w:val="27"/>
          <w:szCs w:val="27"/>
          <w:u w:val="single"/>
        </w:rPr>
      </w:pP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  <w:u w:val="single"/>
        </w:rPr>
        <w:t>Nh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  <w:u w:val="single"/>
        </w:rPr>
        <w:t>ữ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  <w:u w:val="single"/>
        </w:rPr>
        <w:t>m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  <w:u w:val="single"/>
        </w:rPr>
        <w:t>chính</w:t>
      </w:r>
      <w:proofErr w:type="spellEnd"/>
    </w:p>
    <w:p w14:paraId="00000012" w14:textId="77777777" w:rsidR="00FC0C78" w:rsidRPr="0067025D" w:rsidRDefault="003826B1" w:rsidP="0067025D">
      <w:pPr>
        <w:numPr>
          <w:ilvl w:val="0"/>
          <w:numId w:val="4"/>
        </w:numPr>
        <w:spacing w:before="40" w:after="80" w:line="312" w:lineRule="auto"/>
        <w:ind w:left="425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tri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năng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lư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tái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o</w:t>
      </w:r>
      <w:proofErr w:type="spellEnd"/>
    </w:p>
    <w:p w14:paraId="00000013" w14:textId="77777777" w:rsidR="00FC0C78" w:rsidRPr="0067025D" w:rsidRDefault="003826B1" w:rsidP="0067025D">
      <w:pPr>
        <w:numPr>
          <w:ilvl w:val="0"/>
          <w:numId w:val="2"/>
        </w:numPr>
        <w:spacing w:before="40" w:after="80" w:line="312" w:lineRule="auto"/>
        <w:jc w:val="both"/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nghĩa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năng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lư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tái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có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ể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ộ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(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4)</w:t>
      </w:r>
    </w:p>
    <w:p w14:paraId="00000014" w14:textId="77777777" w:rsidR="00FC0C78" w:rsidRPr="0067025D" w:rsidRDefault="003826B1" w:rsidP="0067025D">
      <w:pPr>
        <w:spacing w:before="40" w:after="80" w:line="312" w:lineRule="auto"/>
        <w:ind w:left="720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lastRenderedPageBreak/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nghĩa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kê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ồ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nhau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ờ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/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nhiên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ra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ở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cùng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lưu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ữ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Do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gi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"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ồ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"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quan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ọ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Đây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ẽ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ở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Chính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nghiên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ứ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chính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sách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phù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EVN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ẽ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mua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yêu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ỏ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ồ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thay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ổ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cũng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ẽ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trách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trì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ổ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tin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tư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.</w:t>
      </w:r>
    </w:p>
    <w:p w14:paraId="00000015" w14:textId="77777777" w:rsidR="00FC0C78" w:rsidRPr="0067025D" w:rsidRDefault="003826B1" w:rsidP="0067025D">
      <w:pPr>
        <w:numPr>
          <w:ilvl w:val="0"/>
          <w:numId w:val="2"/>
        </w:numPr>
        <w:spacing w:before="40" w:after="80" w:line="312" w:lineRule="auto"/>
        <w:jc w:val="both"/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ổ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sung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nguyên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ắ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xác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ệ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ố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ử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ụ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ệ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ố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ử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ụ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ặ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nư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ệ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ố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ử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d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ụ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khu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bi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(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29,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Kho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6)</w:t>
      </w:r>
    </w:p>
    <w:p w14:paraId="00000016" w14:textId="77777777" w:rsidR="00FC0C78" w:rsidRPr="0067025D" w:rsidRDefault="003826B1" w:rsidP="0067025D">
      <w:pPr>
        <w:spacing w:before="40" w:after="80" w:line="312" w:lineRule="auto"/>
        <w:ind w:left="720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ghi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Ban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đã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dung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theo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ứ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v.v.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thay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Chính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chi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ban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hành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ưu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đãi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ỗ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lưu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ữ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ừ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ồ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phù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khoa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ọ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lĩnh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lý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khoa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ọ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ỹ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lĩnh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giúp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tích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nhiên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tránh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xung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quán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tương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lai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như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nguyên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ắ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kèm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theo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nêu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rõ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"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Chính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ẽ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chi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hóa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ở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ưu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hóa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ưu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hóa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ưu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hóa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tích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bookmarkStart w:id="0" w:name="_GoBack"/>
      <w:bookmarkEnd w:id="0"/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."</w:t>
      </w:r>
    </w:p>
    <w:p w14:paraId="00000017" w14:textId="77777777" w:rsidR="00FC0C78" w:rsidRPr="0067025D" w:rsidRDefault="003826B1" w:rsidP="0067025D">
      <w:pPr>
        <w:numPr>
          <w:ilvl w:val="0"/>
          <w:numId w:val="2"/>
        </w:numPr>
        <w:spacing w:before="40" w:after="80" w:line="312" w:lineRule="auto"/>
        <w:jc w:val="both"/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tri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gió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ngoài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khơi</w:t>
      </w:r>
      <w:proofErr w:type="spellEnd"/>
    </w:p>
    <w:p w14:paraId="00000018" w14:textId="77777777" w:rsidR="00FC0C78" w:rsidRPr="0067025D" w:rsidRDefault="003826B1" w:rsidP="0067025D">
      <w:pPr>
        <w:spacing w:before="40" w:after="80" w:line="312" w:lineRule="auto"/>
        <w:ind w:left="720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hoan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nghênh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Chính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ra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chính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sách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ưu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đãi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ngoài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8,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5).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Nhóm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ẵ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sàng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Thương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ổ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ứ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chuyên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chia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ẻ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kinh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chính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sách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ưu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đãi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gió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ngoài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ở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làm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ở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xây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chính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sách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Nam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.</w:t>
      </w:r>
    </w:p>
    <w:p w14:paraId="00000019" w14:textId="77777777" w:rsidR="00FC0C78" w:rsidRPr="0067025D" w:rsidRDefault="003826B1" w:rsidP="0067025D">
      <w:pPr>
        <w:spacing w:before="40" w:after="80" w:line="312" w:lineRule="auto"/>
        <w:ind w:left="720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lastRenderedPageBreak/>
        <w:t>Liên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quan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b,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2,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15,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“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ộ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Thương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quy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ỉ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ti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ộ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ờ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k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ỳ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;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phương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ngu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ồ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theo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ph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vi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phân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;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ố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lư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su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máy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bi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á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220 kV;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ố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đư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ờ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dây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>áp</w:t>
      </w:r>
      <w:proofErr w:type="spellEnd"/>
      <w:r w:rsidRPr="0067025D">
        <w:rPr>
          <w:rFonts w:ascii="Times New Roman" w:eastAsia="Barlow" w:hAnsi="Times New Roman" w:cs="Times New Roman"/>
          <w:i/>
          <w:color w:val="000000" w:themeColor="text1"/>
          <w:sz w:val="27"/>
          <w:szCs w:val="27"/>
        </w:rPr>
        <w:t xml:space="preserve"> 220 kV.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”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cũng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làm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rõ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ẩ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Thương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ẩ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quy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phê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vi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gió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ngoài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hay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</w:p>
    <w:p w14:paraId="0000001A" w14:textId="77777777" w:rsidR="00FC0C78" w:rsidRPr="0067025D" w:rsidRDefault="003826B1" w:rsidP="0067025D">
      <w:pPr>
        <w:pBdr>
          <w:top w:val="nil"/>
          <w:left w:val="nil"/>
          <w:bottom w:val="nil"/>
          <w:right w:val="nil"/>
          <w:between w:val="nil"/>
        </w:pBdr>
        <w:spacing w:before="40" w:after="80" w:line="312" w:lineRule="auto"/>
        <w:ind w:left="720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1,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18,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tiêu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đánh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phù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phương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rõ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ràng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yêu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liên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quan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:</w:t>
      </w:r>
    </w:p>
    <w:p w14:paraId="0000001B" w14:textId="77777777" w:rsidR="00FC0C78" w:rsidRPr="0067025D" w:rsidRDefault="003826B1" w:rsidP="0067025D">
      <w:pPr>
        <w:numPr>
          <w:ilvl w:val="1"/>
          <w:numId w:val="2"/>
        </w:num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gió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ngoài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xu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ổ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6GW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VIII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kê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danh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sách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VIII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ổ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nào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văn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hay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?</w:t>
      </w:r>
    </w:p>
    <w:p w14:paraId="0000001C" w14:textId="77777777" w:rsidR="00FC0C78" w:rsidRPr="0067025D" w:rsidRDefault="003826B1" w:rsidP="0067025D">
      <w:pPr>
        <w:numPr>
          <w:ilvl w:val="1"/>
          <w:numId w:val="2"/>
        </w:num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gió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ờ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kê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ỉ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tuân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yêu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hay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;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yêu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phê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ừ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BCT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Chính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?</w:t>
      </w:r>
    </w:p>
    <w:p w14:paraId="0000001D" w14:textId="77777777" w:rsidR="00FC0C78" w:rsidRPr="0067025D" w:rsidRDefault="003826B1" w:rsidP="0067025D">
      <w:pPr>
        <w:numPr>
          <w:ilvl w:val="1"/>
          <w:numId w:val="2"/>
        </w:num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gió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ngoài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theo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ễ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yêu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kê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hay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?</w:t>
      </w:r>
    </w:p>
    <w:p w14:paraId="0000001E" w14:textId="77777777" w:rsidR="00FC0C78" w:rsidRPr="0067025D" w:rsidRDefault="003826B1" w:rsidP="0067025D">
      <w:pPr>
        <w:spacing w:before="40" w:after="80" w:line="312" w:lineRule="auto"/>
        <w:ind w:left="720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yêu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danh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sách 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 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xu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cung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thêm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chi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xu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ễ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ừ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ỏ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kê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ờ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ngoài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phê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theo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Chính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).</w:t>
      </w:r>
    </w:p>
    <w:p w14:paraId="0000001F" w14:textId="77777777" w:rsidR="00FC0C78" w:rsidRPr="0067025D" w:rsidRDefault="003826B1" w:rsidP="0067025D">
      <w:pPr>
        <w:spacing w:before="40" w:after="80" w:line="312" w:lineRule="auto"/>
        <w:ind w:left="720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Ngoài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ra,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theo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30,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nguyên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ờ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ẽ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ỉ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trách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bình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hàng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hàng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hàng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năm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còn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ỹ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ngoài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ẽ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do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ổ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ứ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nhân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ẩ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lastRenderedPageBreak/>
        <w:t xml:space="preserve">Xin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vui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lòng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xác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Thêm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vì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gió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ngoài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2-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3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năm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kém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chi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ữ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coi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tin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ỉ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ữ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như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đã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nêu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Vai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trò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tư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nhân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theo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nghĩa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rõ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ị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tư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nhân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quan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ữ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hay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</w:p>
    <w:p w14:paraId="00000020" w14:textId="77777777" w:rsidR="00FC0C78" w:rsidRPr="0067025D" w:rsidRDefault="003826B1" w:rsidP="0067025D">
      <w:pPr>
        <w:spacing w:before="40" w:after="80" w:line="312" w:lineRule="auto"/>
        <w:ind w:left="720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dù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Chính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tha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tư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ngoài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ngoài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tín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tích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32),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rõ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liên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quan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ỷ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ở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ữ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ngoài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ngoài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ban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ỷ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ở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ữ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ngoài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ẽ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ụ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ẫ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hay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?</w:t>
      </w:r>
    </w:p>
    <w:p w14:paraId="00000021" w14:textId="77777777" w:rsidR="00FC0C78" w:rsidRPr="0067025D" w:rsidRDefault="003826B1" w:rsidP="0067025D">
      <w:pPr>
        <w:spacing w:before="40" w:after="80" w:line="312" w:lineRule="auto"/>
        <w:ind w:left="720"/>
        <w:jc w:val="both"/>
        <w:rPr>
          <w:rFonts w:ascii="Times New Roman" w:eastAsia="Barlow" w:hAnsi="Times New Roman" w:cs="Times New Roman"/>
          <w:b/>
          <w:color w:val="000000" w:themeColor="text1"/>
          <w:sz w:val="27"/>
          <w:szCs w:val="27"/>
          <w:u w:val="single"/>
        </w:rPr>
      </w:pP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Theo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1,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33,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ổ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góp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nghĩa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ụ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tư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ngoài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sau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đã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hành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theo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;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tin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ỉ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giai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COD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nghiêm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trách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nghĩa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ụ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tư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/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.</w:t>
      </w:r>
    </w:p>
    <w:p w14:paraId="00000022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</w:pP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2)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Ngu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ồ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linh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t</w:t>
      </w:r>
      <w:proofErr w:type="spellEnd"/>
    </w:p>
    <w:p w14:paraId="00000023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VIII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300 MW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ồ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linh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năm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2030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30900–46200 MW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năm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2050.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ồ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dù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nhưng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ỉ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ổ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ỗ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tích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.</w:t>
      </w:r>
    </w:p>
    <w:p w14:paraId="00000024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xu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ổ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sung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chính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sách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khích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ồ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linh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:</w:t>
      </w:r>
    </w:p>
    <w:p w14:paraId="00000025" w14:textId="77777777" w:rsidR="00FC0C78" w:rsidRPr="0067025D" w:rsidRDefault="003826B1" w:rsidP="0067025D">
      <w:pPr>
        <w:numPr>
          <w:ilvl w:val="0"/>
          <w:numId w:val="3"/>
        </w:num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ổ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sung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nghĩa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ồ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linh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.</w:t>
      </w:r>
    </w:p>
    <w:p w14:paraId="00000026" w14:textId="77777777" w:rsidR="00FC0C78" w:rsidRPr="0067025D" w:rsidRDefault="003826B1" w:rsidP="0067025D">
      <w:pPr>
        <w:numPr>
          <w:ilvl w:val="0"/>
          <w:numId w:val="3"/>
        </w:num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khích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Ưu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tiên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gió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ờ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ỗ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ở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ồ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lưu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ữ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tích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pin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lưu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ữ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)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ồ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lin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(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ở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nhanh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)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.</w:t>
      </w:r>
    </w:p>
    <w:p w14:paraId="00000027" w14:textId="795CCD86" w:rsidR="00FC0C78" w:rsidRPr="003D6831" w:rsidRDefault="003826B1" w:rsidP="0067025D">
      <w:pPr>
        <w:numPr>
          <w:ilvl w:val="0"/>
          <w:numId w:val="3"/>
        </w:num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xu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ổ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sung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giá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(capacity payment)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ồ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chi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tư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).</w:t>
      </w:r>
    </w:p>
    <w:p w14:paraId="784579A6" w14:textId="158DFECA" w:rsidR="003D6831" w:rsidRPr="0067025D" w:rsidRDefault="003D6831" w:rsidP="003D6831">
      <w:pPr>
        <w:spacing w:before="40" w:after="80" w:line="312" w:lineRule="auto"/>
        <w:ind w:left="360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</w:p>
    <w:p w14:paraId="00000028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</w:pP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lastRenderedPageBreak/>
        <w:t xml:space="preserve">3)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Kh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sát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ti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năng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hư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tri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n</w:t>
      </w:r>
      <w:proofErr w:type="spellEnd"/>
    </w:p>
    <w:p w14:paraId="00000029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xu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làm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rõ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vai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trò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tư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nhân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tài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nguyên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(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30)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Câu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ữ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làm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rõ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tư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nhân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tham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hay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ngay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ờ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báo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cung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ở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quan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ứ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chưa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phù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ữ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xu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phép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tư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nhân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Khoa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ọ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hành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năng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tái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ữ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li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thích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ị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ỉ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đích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chia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ẻ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tư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vì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tiêu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minh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.</w:t>
      </w:r>
    </w:p>
    <w:p w14:paraId="0000002A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</w:pP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4)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Cơ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ế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mua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bán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tr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ti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p</w:t>
      </w:r>
      <w:proofErr w:type="spellEnd"/>
    </w:p>
    <w:p w14:paraId="0000002B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Nhóm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ý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xu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đã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cân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ắ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80/2024/ND-CP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ừ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ban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hành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đánh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cao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ỗ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Thương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/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trì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xây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ban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hành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quan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ọ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Thương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đã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thành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ổ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theo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dõi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ờ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ứ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nhanh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trình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khai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ọ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ặ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ẽ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ổ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này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/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kênh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nêu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câu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ỏ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cùng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nhau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chia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ẻ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ý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trình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khai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.</w:t>
      </w:r>
    </w:p>
    <w:p w14:paraId="0000002C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3,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77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ụ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s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linh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ẩ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chưa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xác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),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máy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theo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mua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mua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qua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ờ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dây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riêng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bên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mua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do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xu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ổ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sung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ờ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ễ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khung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do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Thương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phê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bao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ồ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luôn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”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máy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theo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cơ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thí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nhà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máy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hành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theo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ồ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mua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bán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tr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qua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đư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ờ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dây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k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n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  <w:u w:val="single"/>
        </w:rPr>
        <w:t>riêng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” </w:t>
      </w:r>
    </w:p>
    <w:p w14:paraId="0000002D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</w:pP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5)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ỉ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k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ế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hi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b/>
          <w:color w:val="000000" w:themeColor="text1"/>
          <w:sz w:val="27"/>
          <w:szCs w:val="27"/>
        </w:rPr>
        <w:t>ch</w:t>
      </w:r>
      <w:proofErr w:type="spellEnd"/>
    </w:p>
    <w:p w14:paraId="0000002E" w14:textId="77777777" w:rsidR="00FC0C78" w:rsidRPr="0067025D" w:rsidRDefault="003826B1" w:rsidP="0067025D">
      <w:pPr>
        <w:spacing w:before="40" w:after="80" w:line="312" w:lineRule="auto"/>
        <w:jc w:val="both"/>
        <w:rPr>
          <w:rFonts w:ascii="Times New Roman" w:eastAsia="Barlow" w:hAnsi="Times New Roman" w:cs="Times New Roman"/>
          <w:color w:val="000000" w:themeColor="text1"/>
          <w:sz w:val="27"/>
          <w:szCs w:val="27"/>
        </w:rPr>
      </w:pP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làm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rõ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u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15,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trao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ẩ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chung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ị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ổ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sung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gia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hay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không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hay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tư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ớ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ỉ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có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ẩ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ổ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sung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thay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m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trong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Chúng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tôi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xu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ả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ậ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cung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tin chi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ế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trình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ủ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ề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xu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ấ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ộ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Công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Thương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b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ổ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sung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các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d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án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vào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Quy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ho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ạ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ch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phát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tri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ể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đi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ệ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n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l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ự</w:t>
      </w:r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c</w:t>
      </w:r>
      <w:proofErr w:type="spellEnd"/>
      <w:r w:rsidRPr="0067025D">
        <w:rPr>
          <w:rFonts w:ascii="Times New Roman" w:eastAsia="Barlow" w:hAnsi="Times New Roman" w:cs="Times New Roman"/>
          <w:color w:val="000000" w:themeColor="text1"/>
          <w:sz w:val="27"/>
          <w:szCs w:val="27"/>
        </w:rPr>
        <w:t>.</w:t>
      </w:r>
    </w:p>
    <w:sectPr w:rsidR="00FC0C78" w:rsidRPr="0067025D">
      <w:footerReference w:type="default" r:id="rId7"/>
      <w:pgSz w:w="11909" w:h="16834"/>
      <w:pgMar w:top="1440" w:right="1440" w:bottom="1440" w:left="1440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96F99" w14:textId="77777777" w:rsidR="003826B1" w:rsidRDefault="003826B1">
      <w:pPr>
        <w:spacing w:line="240" w:lineRule="auto"/>
      </w:pPr>
      <w:r>
        <w:separator/>
      </w:r>
    </w:p>
  </w:endnote>
  <w:endnote w:type="continuationSeparator" w:id="0">
    <w:p w14:paraId="55038FEE" w14:textId="77777777" w:rsidR="003826B1" w:rsidRDefault="00382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F" w14:textId="5E863516" w:rsidR="00FC0C78" w:rsidRPr="009B73A6" w:rsidRDefault="003826B1">
    <w:pPr>
      <w:jc w:val="center"/>
      <w:rPr>
        <w:rFonts w:ascii="Times New Roman" w:eastAsia="Barlow" w:hAnsi="Times New Roman" w:cs="Times New Roman"/>
        <w:sz w:val="20"/>
        <w:szCs w:val="20"/>
      </w:rPr>
    </w:pPr>
    <w:r w:rsidRPr="009B73A6">
      <w:rPr>
        <w:rFonts w:ascii="Times New Roman" w:eastAsia="Barlow" w:hAnsi="Times New Roman" w:cs="Times New Roman"/>
        <w:sz w:val="20"/>
        <w:szCs w:val="20"/>
      </w:rPr>
      <w:t xml:space="preserve">Page </w:t>
    </w:r>
    <w:r w:rsidRPr="009B73A6">
      <w:rPr>
        <w:rFonts w:ascii="Times New Roman" w:eastAsia="Barlow" w:hAnsi="Times New Roman" w:cs="Times New Roman"/>
        <w:sz w:val="20"/>
        <w:szCs w:val="20"/>
      </w:rPr>
      <w:fldChar w:fldCharType="begin"/>
    </w:r>
    <w:r w:rsidRPr="009B73A6">
      <w:rPr>
        <w:rFonts w:ascii="Times New Roman" w:eastAsia="Barlow" w:hAnsi="Times New Roman" w:cs="Times New Roman"/>
        <w:sz w:val="20"/>
        <w:szCs w:val="20"/>
      </w:rPr>
      <w:instrText>PAGE</w:instrText>
    </w:r>
    <w:r w:rsidR="0067025D" w:rsidRPr="009B73A6">
      <w:rPr>
        <w:rFonts w:ascii="Times New Roman" w:eastAsia="Barlow" w:hAnsi="Times New Roman" w:cs="Times New Roman"/>
        <w:sz w:val="20"/>
        <w:szCs w:val="20"/>
      </w:rPr>
      <w:fldChar w:fldCharType="separate"/>
    </w:r>
    <w:r w:rsidR="0067025D" w:rsidRPr="009B73A6">
      <w:rPr>
        <w:rFonts w:ascii="Times New Roman" w:eastAsia="Barlow" w:hAnsi="Times New Roman" w:cs="Times New Roman"/>
        <w:noProof/>
        <w:sz w:val="20"/>
        <w:szCs w:val="20"/>
      </w:rPr>
      <w:t>1</w:t>
    </w:r>
    <w:r w:rsidRPr="009B73A6">
      <w:rPr>
        <w:rFonts w:ascii="Times New Roman" w:eastAsia="Barlow" w:hAnsi="Times New Roman" w:cs="Times New Roman"/>
        <w:sz w:val="20"/>
        <w:szCs w:val="20"/>
      </w:rPr>
      <w:fldChar w:fldCharType="end"/>
    </w:r>
    <w:r w:rsidRPr="009B73A6">
      <w:rPr>
        <w:rFonts w:ascii="Times New Roman" w:eastAsia="Barlow" w:hAnsi="Times New Roman" w:cs="Times New Roman"/>
        <w:sz w:val="20"/>
        <w:szCs w:val="20"/>
      </w:rPr>
      <w:t xml:space="preserve"> of </w:t>
    </w:r>
    <w:r w:rsidRPr="009B73A6">
      <w:rPr>
        <w:rFonts w:ascii="Times New Roman" w:eastAsia="Barlow" w:hAnsi="Times New Roman" w:cs="Times New Roman"/>
        <w:sz w:val="20"/>
        <w:szCs w:val="20"/>
      </w:rPr>
      <w:fldChar w:fldCharType="begin"/>
    </w:r>
    <w:r w:rsidRPr="009B73A6">
      <w:rPr>
        <w:rFonts w:ascii="Times New Roman" w:eastAsia="Barlow" w:hAnsi="Times New Roman" w:cs="Times New Roman"/>
        <w:sz w:val="20"/>
        <w:szCs w:val="20"/>
      </w:rPr>
      <w:instrText>NUMPAGES</w:instrText>
    </w:r>
    <w:r w:rsidR="0067025D" w:rsidRPr="009B73A6">
      <w:rPr>
        <w:rFonts w:ascii="Times New Roman" w:eastAsia="Barlow" w:hAnsi="Times New Roman" w:cs="Times New Roman"/>
        <w:sz w:val="20"/>
        <w:szCs w:val="20"/>
      </w:rPr>
      <w:fldChar w:fldCharType="separate"/>
    </w:r>
    <w:r w:rsidR="0067025D" w:rsidRPr="009B73A6">
      <w:rPr>
        <w:rFonts w:ascii="Times New Roman" w:eastAsia="Barlow" w:hAnsi="Times New Roman" w:cs="Times New Roman"/>
        <w:noProof/>
        <w:sz w:val="20"/>
        <w:szCs w:val="20"/>
      </w:rPr>
      <w:t>1</w:t>
    </w:r>
    <w:r w:rsidRPr="009B73A6">
      <w:rPr>
        <w:rFonts w:ascii="Times New Roman" w:eastAsia="Barlow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57A12" w14:textId="77777777" w:rsidR="003826B1" w:rsidRDefault="003826B1">
      <w:pPr>
        <w:spacing w:line="240" w:lineRule="auto"/>
      </w:pPr>
      <w:r>
        <w:separator/>
      </w:r>
    </w:p>
  </w:footnote>
  <w:footnote w:type="continuationSeparator" w:id="0">
    <w:p w14:paraId="41C411A7" w14:textId="77777777" w:rsidR="003826B1" w:rsidRDefault="003826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96CAC"/>
    <w:multiLevelType w:val="multilevel"/>
    <w:tmpl w:val="A7923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C80643"/>
    <w:multiLevelType w:val="multilevel"/>
    <w:tmpl w:val="C8865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102A25"/>
    <w:multiLevelType w:val="multilevel"/>
    <w:tmpl w:val="30A8FD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C37678"/>
    <w:multiLevelType w:val="multilevel"/>
    <w:tmpl w:val="C64040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78"/>
    <w:rsid w:val="003826B1"/>
    <w:rsid w:val="003D6831"/>
    <w:rsid w:val="0067025D"/>
    <w:rsid w:val="009B73A6"/>
    <w:rsid w:val="00FC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4314"/>
  <w15:docId w15:val="{A0FBE389-7B50-C043-AC45-610810E9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B73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3A6"/>
  </w:style>
  <w:style w:type="paragraph" w:styleId="Footer">
    <w:name w:val="footer"/>
    <w:basedOn w:val="Normal"/>
    <w:link w:val="FooterChar"/>
    <w:uiPriority w:val="99"/>
    <w:unhideWhenUsed/>
    <w:rsid w:val="009B73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1563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Thao Nguyen</cp:lastModifiedBy>
  <cp:revision>4</cp:revision>
  <dcterms:created xsi:type="dcterms:W3CDTF">2024-09-05T07:18:00Z</dcterms:created>
  <dcterms:modified xsi:type="dcterms:W3CDTF">2024-09-05T07:23:00Z</dcterms:modified>
</cp:coreProperties>
</file>