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3BF" w:rsidRPr="00E90877" w:rsidRDefault="000D322E" w:rsidP="00B94FD7">
      <w:pPr>
        <w:spacing w:before="0"/>
        <w:ind w:right="113"/>
        <w:jc w:val="center"/>
        <w:rPr>
          <w:b/>
          <w:sz w:val="26"/>
          <w:szCs w:val="26"/>
          <w:lang w:val="en-US"/>
        </w:rPr>
      </w:pPr>
      <w:r w:rsidRPr="00E90877">
        <w:rPr>
          <w:b/>
          <w:sz w:val="26"/>
          <w:szCs w:val="26"/>
          <w:lang w:val="en-US"/>
        </w:rPr>
        <w:t xml:space="preserve">BẢN THUYẾT MINH </w:t>
      </w:r>
      <w:r w:rsidR="00B94FD7" w:rsidRPr="00E90877">
        <w:rPr>
          <w:b/>
          <w:sz w:val="26"/>
          <w:szCs w:val="26"/>
          <w:lang w:val="en-US"/>
        </w:rPr>
        <w:t xml:space="preserve"> DỰ TH</w:t>
      </w:r>
      <w:r w:rsidR="00291627" w:rsidRPr="00E90877">
        <w:rPr>
          <w:b/>
          <w:sz w:val="26"/>
          <w:szCs w:val="26"/>
          <w:lang w:val="en-US"/>
        </w:rPr>
        <w:t xml:space="preserve">ẢO </w:t>
      </w:r>
      <w:r w:rsidR="008F4CD9" w:rsidRPr="00E90877">
        <w:rPr>
          <w:b/>
          <w:sz w:val="26"/>
          <w:szCs w:val="26"/>
          <w:lang w:val="en-US"/>
        </w:rPr>
        <w:t>THÔNG TƯ SỬA ĐỔI,</w:t>
      </w:r>
      <w:r w:rsidR="005B3298" w:rsidRPr="00E90877">
        <w:rPr>
          <w:b/>
          <w:sz w:val="26"/>
          <w:szCs w:val="26"/>
          <w:lang w:val="en-US"/>
        </w:rPr>
        <w:t xml:space="preserve"> </w:t>
      </w:r>
      <w:r w:rsidR="008F4CD9" w:rsidRPr="00E90877">
        <w:rPr>
          <w:b/>
          <w:sz w:val="26"/>
          <w:szCs w:val="26"/>
          <w:lang w:val="en-US"/>
        </w:rPr>
        <w:t>BỔ</w:t>
      </w:r>
      <w:r w:rsidR="008F0D50" w:rsidRPr="00E90877">
        <w:rPr>
          <w:b/>
          <w:sz w:val="26"/>
          <w:szCs w:val="26"/>
          <w:lang w:val="en-US"/>
        </w:rPr>
        <w:t xml:space="preserve"> S</w:t>
      </w:r>
      <w:bookmarkStart w:id="0" w:name="_GoBack"/>
      <w:bookmarkEnd w:id="0"/>
      <w:r w:rsidR="008F0D50" w:rsidRPr="00E90877">
        <w:rPr>
          <w:b/>
          <w:sz w:val="26"/>
          <w:szCs w:val="26"/>
          <w:lang w:val="en-US"/>
        </w:rPr>
        <w:t xml:space="preserve">UNG </w:t>
      </w:r>
      <w:r w:rsidR="00B94FD7" w:rsidRPr="00E90877">
        <w:rPr>
          <w:b/>
          <w:sz w:val="26"/>
          <w:szCs w:val="26"/>
          <w:lang w:val="en-US"/>
        </w:rPr>
        <w:t xml:space="preserve">MỘT SỐ ĐIỀU CỦA </w:t>
      </w:r>
      <w:r w:rsidR="00316F82" w:rsidRPr="00E90877">
        <w:rPr>
          <w:b/>
          <w:sz w:val="26"/>
          <w:szCs w:val="26"/>
          <w:lang w:val="en-US"/>
        </w:rPr>
        <w:t>THÔNG TƯ 1</w:t>
      </w:r>
      <w:r w:rsidR="00B94FD7" w:rsidRPr="00E90877">
        <w:rPr>
          <w:b/>
          <w:sz w:val="26"/>
          <w:szCs w:val="26"/>
          <w:lang w:val="en-US"/>
        </w:rPr>
        <w:t>2</w:t>
      </w:r>
      <w:r w:rsidR="00316F82" w:rsidRPr="00E90877">
        <w:rPr>
          <w:b/>
          <w:sz w:val="26"/>
          <w:szCs w:val="26"/>
          <w:lang w:val="en-US"/>
        </w:rPr>
        <w:t>/20</w:t>
      </w:r>
      <w:r w:rsidR="00B94FD7" w:rsidRPr="00E90877">
        <w:rPr>
          <w:b/>
          <w:sz w:val="26"/>
          <w:szCs w:val="26"/>
          <w:lang w:val="en-US"/>
        </w:rPr>
        <w:t>2</w:t>
      </w:r>
      <w:r w:rsidR="00316F82" w:rsidRPr="00E90877">
        <w:rPr>
          <w:b/>
          <w:sz w:val="26"/>
          <w:szCs w:val="26"/>
          <w:lang w:val="en-US"/>
        </w:rPr>
        <w:t>1</w:t>
      </w:r>
      <w:r w:rsidR="008F4CD9" w:rsidRPr="00E90877">
        <w:rPr>
          <w:b/>
          <w:sz w:val="26"/>
          <w:szCs w:val="26"/>
          <w:lang w:val="en-US"/>
        </w:rPr>
        <w:t>/TT-</w:t>
      </w:r>
      <w:r w:rsidR="00B94FD7" w:rsidRPr="00E90877">
        <w:rPr>
          <w:b/>
          <w:sz w:val="26"/>
          <w:szCs w:val="26"/>
          <w:lang w:val="en-US"/>
        </w:rPr>
        <w:t>NHNN</w:t>
      </w:r>
    </w:p>
    <w:p w:rsidR="00B94FD7" w:rsidRPr="00E90877" w:rsidRDefault="00B94FD7" w:rsidP="00B94FD7">
      <w:pPr>
        <w:spacing w:before="0"/>
        <w:ind w:right="113"/>
        <w:jc w:val="center"/>
        <w:rPr>
          <w:b/>
          <w:sz w:val="26"/>
          <w:szCs w:val="26"/>
          <w:lang w:val="en-US"/>
        </w:rPr>
      </w:pPr>
    </w:p>
    <w:tbl>
      <w:tblPr>
        <w:tblStyle w:val="TableGrid"/>
        <w:tblW w:w="14913" w:type="dxa"/>
        <w:tblInd w:w="-176" w:type="dxa"/>
        <w:tblLayout w:type="fixed"/>
        <w:tblLook w:val="04A0" w:firstRow="1" w:lastRow="0" w:firstColumn="1" w:lastColumn="0" w:noHBand="0" w:noVBand="1"/>
      </w:tblPr>
      <w:tblGrid>
        <w:gridCol w:w="710"/>
        <w:gridCol w:w="4564"/>
        <w:gridCol w:w="9639"/>
      </w:tblGrid>
      <w:tr w:rsidR="00F67BA8" w:rsidRPr="00E90877" w:rsidTr="006E6A40">
        <w:trPr>
          <w:trHeight w:val="530"/>
          <w:tblHeader/>
        </w:trPr>
        <w:tc>
          <w:tcPr>
            <w:tcW w:w="710" w:type="dxa"/>
            <w:vAlign w:val="center"/>
          </w:tcPr>
          <w:p w:rsidR="00F67BA8" w:rsidRPr="00E90877" w:rsidRDefault="00F67BA8" w:rsidP="006E6A40">
            <w:pPr>
              <w:jc w:val="center"/>
              <w:rPr>
                <w:b/>
                <w:color w:val="auto"/>
                <w:sz w:val="26"/>
                <w:szCs w:val="26"/>
              </w:rPr>
            </w:pPr>
          </w:p>
          <w:p w:rsidR="00F67BA8" w:rsidRPr="00E90877" w:rsidRDefault="00F67BA8" w:rsidP="006E6A40">
            <w:pPr>
              <w:jc w:val="center"/>
              <w:rPr>
                <w:b/>
                <w:color w:val="auto"/>
                <w:sz w:val="26"/>
                <w:szCs w:val="26"/>
                <w:lang w:val="en-US"/>
              </w:rPr>
            </w:pPr>
            <w:r w:rsidRPr="00E90877">
              <w:rPr>
                <w:b/>
                <w:color w:val="auto"/>
                <w:sz w:val="26"/>
                <w:szCs w:val="26"/>
                <w:lang w:val="en-US"/>
              </w:rPr>
              <w:t>STT</w:t>
            </w:r>
          </w:p>
          <w:p w:rsidR="003A6A4B" w:rsidRPr="00E90877" w:rsidRDefault="003A6A4B" w:rsidP="006E6A40">
            <w:pPr>
              <w:jc w:val="center"/>
              <w:rPr>
                <w:b/>
                <w:color w:val="auto"/>
                <w:sz w:val="26"/>
                <w:szCs w:val="26"/>
                <w:lang w:val="en-US"/>
              </w:rPr>
            </w:pPr>
          </w:p>
        </w:tc>
        <w:tc>
          <w:tcPr>
            <w:tcW w:w="4564" w:type="dxa"/>
            <w:vAlign w:val="center"/>
          </w:tcPr>
          <w:p w:rsidR="00F67BA8" w:rsidRPr="00E90877" w:rsidRDefault="00A67C94" w:rsidP="006E6A40">
            <w:pPr>
              <w:jc w:val="center"/>
              <w:rPr>
                <w:b/>
                <w:color w:val="auto"/>
                <w:sz w:val="26"/>
                <w:szCs w:val="26"/>
                <w:lang w:val="en-US"/>
              </w:rPr>
            </w:pPr>
            <w:r w:rsidRPr="00E90877">
              <w:rPr>
                <w:b/>
                <w:color w:val="auto"/>
                <w:sz w:val="26"/>
                <w:szCs w:val="26"/>
                <w:lang w:val="en-US"/>
              </w:rPr>
              <w:t>Thông tư</w:t>
            </w:r>
            <w:r w:rsidR="00F94550" w:rsidRPr="00E90877">
              <w:rPr>
                <w:b/>
                <w:color w:val="auto"/>
                <w:sz w:val="26"/>
                <w:szCs w:val="26"/>
                <w:lang w:val="en-US"/>
              </w:rPr>
              <w:t xml:space="preserve"> </w:t>
            </w:r>
            <w:r w:rsidR="009D0B45" w:rsidRPr="00E90877">
              <w:rPr>
                <w:b/>
                <w:color w:val="auto"/>
                <w:sz w:val="26"/>
                <w:szCs w:val="26"/>
                <w:lang w:val="en-US"/>
              </w:rPr>
              <w:t>1</w:t>
            </w:r>
            <w:r w:rsidR="00B94FD7" w:rsidRPr="00E90877">
              <w:rPr>
                <w:b/>
                <w:color w:val="auto"/>
                <w:sz w:val="26"/>
                <w:szCs w:val="26"/>
                <w:lang w:val="en-US"/>
              </w:rPr>
              <w:t>2</w:t>
            </w:r>
            <w:r w:rsidRPr="00E90877">
              <w:rPr>
                <w:b/>
                <w:color w:val="auto"/>
                <w:sz w:val="26"/>
                <w:szCs w:val="26"/>
                <w:lang w:val="en-US"/>
              </w:rPr>
              <w:t>/20</w:t>
            </w:r>
            <w:r w:rsidR="00B94FD7" w:rsidRPr="00E90877">
              <w:rPr>
                <w:b/>
                <w:color w:val="auto"/>
                <w:sz w:val="26"/>
                <w:szCs w:val="26"/>
                <w:lang w:val="en-US"/>
              </w:rPr>
              <w:t>2</w:t>
            </w:r>
            <w:r w:rsidRPr="00E90877">
              <w:rPr>
                <w:b/>
                <w:color w:val="auto"/>
                <w:sz w:val="26"/>
                <w:szCs w:val="26"/>
                <w:lang w:val="en-US"/>
              </w:rPr>
              <w:t>1/TT-NHNN</w:t>
            </w:r>
          </w:p>
        </w:tc>
        <w:tc>
          <w:tcPr>
            <w:tcW w:w="9639" w:type="dxa"/>
            <w:vAlign w:val="center"/>
          </w:tcPr>
          <w:p w:rsidR="00F67BA8" w:rsidRPr="00E90877" w:rsidRDefault="00F5784B" w:rsidP="006E6A40">
            <w:pPr>
              <w:jc w:val="center"/>
              <w:rPr>
                <w:b/>
                <w:color w:val="auto"/>
                <w:sz w:val="26"/>
                <w:szCs w:val="26"/>
                <w:lang w:val="en-US"/>
              </w:rPr>
            </w:pPr>
            <w:r w:rsidRPr="00E90877">
              <w:rPr>
                <w:b/>
                <w:color w:val="auto"/>
                <w:sz w:val="26"/>
                <w:szCs w:val="26"/>
                <w:lang w:val="en-US"/>
              </w:rPr>
              <w:t>N</w:t>
            </w:r>
            <w:r w:rsidR="00F67BA8" w:rsidRPr="00E90877">
              <w:rPr>
                <w:b/>
                <w:color w:val="auto"/>
                <w:sz w:val="26"/>
                <w:szCs w:val="26"/>
                <w:lang w:val="en-US"/>
              </w:rPr>
              <w:t>ội dung sửa đổi, bổ</w:t>
            </w:r>
            <w:r w:rsidR="008A63FF" w:rsidRPr="00E90877">
              <w:rPr>
                <w:b/>
                <w:color w:val="auto"/>
                <w:sz w:val="26"/>
                <w:szCs w:val="26"/>
                <w:lang w:val="en-US"/>
              </w:rPr>
              <w:t xml:space="preserve"> sung </w:t>
            </w:r>
            <w:r w:rsidR="00F67BA8" w:rsidRPr="00E90877">
              <w:rPr>
                <w:b/>
                <w:color w:val="auto"/>
                <w:sz w:val="26"/>
                <w:szCs w:val="26"/>
                <w:lang w:val="en-US"/>
              </w:rPr>
              <w:t>tại dự thả</w:t>
            </w:r>
            <w:r w:rsidR="003A6A4B" w:rsidRPr="00E90877">
              <w:rPr>
                <w:b/>
                <w:color w:val="auto"/>
                <w:sz w:val="26"/>
                <w:szCs w:val="26"/>
                <w:lang w:val="en-US"/>
              </w:rPr>
              <w:t>o Thông tư</w:t>
            </w:r>
          </w:p>
        </w:tc>
      </w:tr>
      <w:tr w:rsidR="00BE2E08" w:rsidRPr="00E90877" w:rsidTr="00713750">
        <w:trPr>
          <w:trHeight w:val="3731"/>
        </w:trPr>
        <w:tc>
          <w:tcPr>
            <w:tcW w:w="710" w:type="dxa"/>
            <w:vAlign w:val="center"/>
          </w:tcPr>
          <w:p w:rsidR="00BE2E08" w:rsidRPr="00E90877" w:rsidRDefault="00886CC4" w:rsidP="003A6A4B">
            <w:pPr>
              <w:jc w:val="center"/>
              <w:rPr>
                <w:color w:val="auto"/>
                <w:sz w:val="26"/>
                <w:szCs w:val="26"/>
                <w:lang w:val="en-US"/>
              </w:rPr>
            </w:pPr>
            <w:r w:rsidRPr="00E90877">
              <w:rPr>
                <w:color w:val="auto"/>
                <w:sz w:val="26"/>
                <w:szCs w:val="26"/>
                <w:lang w:val="en-US"/>
              </w:rPr>
              <w:t>1</w:t>
            </w:r>
          </w:p>
        </w:tc>
        <w:tc>
          <w:tcPr>
            <w:tcW w:w="4564" w:type="dxa"/>
          </w:tcPr>
          <w:p w:rsidR="004F6ADE" w:rsidRPr="004F6ADE" w:rsidRDefault="004F6ADE" w:rsidP="004F6ADE">
            <w:pPr>
              <w:pStyle w:val="Heading2"/>
              <w:spacing w:after="80" w:line="320" w:lineRule="exact"/>
              <w:outlineLvl w:val="1"/>
              <w:rPr>
                <w:sz w:val="26"/>
              </w:rPr>
            </w:pPr>
            <w:r w:rsidRPr="004F6ADE">
              <w:rPr>
                <w:sz w:val="26"/>
              </w:rPr>
              <w:t>Điều 2. Đối tượng áp dụng</w:t>
            </w:r>
          </w:p>
          <w:p w:rsidR="004F6ADE" w:rsidRPr="004F6ADE" w:rsidRDefault="004F6ADE" w:rsidP="004F6ADE">
            <w:pPr>
              <w:pStyle w:val="Heading2"/>
              <w:spacing w:after="80" w:line="320" w:lineRule="exact"/>
              <w:rPr>
                <w:b w:val="0"/>
                <w:sz w:val="26"/>
              </w:rPr>
            </w:pPr>
            <w:r w:rsidRPr="004F6ADE">
              <w:rPr>
                <w:b w:val="0"/>
                <w:sz w:val="26"/>
              </w:rPr>
              <w:t>Bên bán, Bên mua giấy tờ có giá bao gồm các đối tượng sau:</w:t>
            </w:r>
          </w:p>
          <w:p w:rsidR="00411DB7" w:rsidRPr="00713750" w:rsidRDefault="004F6ADE" w:rsidP="004F6ADE">
            <w:pPr>
              <w:spacing w:before="120" w:line="252" w:lineRule="auto"/>
              <w:ind w:firstLine="62"/>
              <w:rPr>
                <w:sz w:val="26"/>
                <w:szCs w:val="26"/>
              </w:rPr>
            </w:pPr>
            <w:r w:rsidRPr="004F6ADE">
              <w:rPr>
                <w:rFonts w:eastAsiaTheme="majorEastAsia"/>
                <w:bCs/>
                <w:color w:val="auto"/>
                <w:sz w:val="26"/>
                <w:szCs w:val="26"/>
                <w:lang w:val="en-US"/>
              </w:rPr>
              <w:t xml:space="preserve">1. </w:t>
            </w:r>
            <w:r>
              <w:rPr>
                <w:rFonts w:eastAsiaTheme="majorEastAsia"/>
                <w:bCs/>
                <w:color w:val="auto"/>
                <w:sz w:val="26"/>
                <w:szCs w:val="26"/>
                <w:lang w:val="en-US"/>
              </w:rPr>
              <w:t>Tổ chức tín dụng (TCTD)</w:t>
            </w:r>
            <w:r w:rsidRPr="004F6ADE">
              <w:rPr>
                <w:rFonts w:eastAsiaTheme="majorEastAsia"/>
                <w:bCs/>
                <w:color w:val="auto"/>
                <w:sz w:val="26"/>
                <w:szCs w:val="26"/>
                <w:lang w:val="en-US"/>
              </w:rPr>
              <w:t xml:space="preserve">, chi nhánh ngân hàng nước ngoài </w:t>
            </w:r>
            <w:r>
              <w:rPr>
                <w:rFonts w:eastAsiaTheme="majorEastAsia"/>
                <w:bCs/>
                <w:color w:val="auto"/>
                <w:sz w:val="26"/>
                <w:szCs w:val="26"/>
                <w:lang w:val="en-US"/>
              </w:rPr>
              <w:t xml:space="preserve">(CNNHNg) </w:t>
            </w:r>
            <w:r w:rsidRPr="004F6ADE">
              <w:rPr>
                <w:rFonts w:eastAsiaTheme="majorEastAsia"/>
                <w:bCs/>
                <w:color w:val="auto"/>
                <w:sz w:val="26"/>
                <w:szCs w:val="26"/>
                <w:lang w:val="en-US"/>
              </w:rPr>
              <w:t xml:space="preserve">được thành lập và hoạt động theo quy định của Luật Các </w:t>
            </w:r>
            <w:r>
              <w:rPr>
                <w:rFonts w:eastAsiaTheme="majorEastAsia"/>
                <w:bCs/>
                <w:color w:val="auto"/>
                <w:sz w:val="26"/>
                <w:szCs w:val="26"/>
                <w:lang w:val="en-US"/>
              </w:rPr>
              <w:t>TCTD</w:t>
            </w:r>
            <w:r w:rsidRPr="004F6ADE">
              <w:rPr>
                <w:rFonts w:eastAsiaTheme="majorEastAsia"/>
                <w:bCs/>
                <w:color w:val="auto"/>
                <w:sz w:val="26"/>
                <w:szCs w:val="26"/>
                <w:lang w:val="en-US"/>
              </w:rPr>
              <w:t xml:space="preserve"> bao gồm: ngân hàng thương mại, ngân hàng hợp tác xã, chi nhánh ngân hàng nước ngoài, công ty tài chính</w:t>
            </w:r>
            <w:r w:rsidRPr="004F6ADE">
              <w:rPr>
                <w:rFonts w:eastAsiaTheme="majorEastAsia"/>
                <w:bCs/>
                <w:color w:val="auto"/>
                <w:sz w:val="26"/>
                <w:szCs w:val="26"/>
              </w:rPr>
              <w:t xml:space="preserve"> (sau đây gọi là </w:t>
            </w:r>
            <w:r>
              <w:rPr>
                <w:rFonts w:eastAsiaTheme="majorEastAsia"/>
                <w:bCs/>
                <w:color w:val="auto"/>
                <w:sz w:val="26"/>
                <w:szCs w:val="26"/>
              </w:rPr>
              <w:t>TCTD</w:t>
            </w:r>
            <w:r w:rsidRPr="004F6ADE">
              <w:rPr>
                <w:rFonts w:eastAsiaTheme="majorEastAsia"/>
                <w:bCs/>
                <w:color w:val="auto"/>
                <w:sz w:val="26"/>
                <w:szCs w:val="26"/>
              </w:rPr>
              <w:t>, chi nhánh ngân hàng nước ngoài).</w:t>
            </w:r>
          </w:p>
        </w:tc>
        <w:tc>
          <w:tcPr>
            <w:tcW w:w="9639" w:type="dxa"/>
          </w:tcPr>
          <w:p w:rsidR="00713750" w:rsidRDefault="00713750" w:rsidP="00B94FD7">
            <w:pPr>
              <w:tabs>
                <w:tab w:val="left" w:pos="1647"/>
              </w:tabs>
              <w:spacing w:line="247" w:lineRule="auto"/>
              <w:rPr>
                <w:b/>
                <w:sz w:val="26"/>
                <w:szCs w:val="26"/>
                <w:lang w:val="en-US"/>
              </w:rPr>
            </w:pPr>
            <w:r w:rsidRPr="00E90877">
              <w:rPr>
                <w:b/>
                <w:sz w:val="26"/>
                <w:szCs w:val="26"/>
              </w:rPr>
              <w:t>Sửa đổi, bổ sung khoản 1</w:t>
            </w:r>
            <w:r>
              <w:rPr>
                <w:b/>
                <w:sz w:val="26"/>
                <w:szCs w:val="26"/>
                <w:lang w:val="en-US"/>
              </w:rPr>
              <w:t xml:space="preserve"> </w:t>
            </w:r>
            <w:r w:rsidR="004F6ADE">
              <w:rPr>
                <w:b/>
                <w:sz w:val="26"/>
                <w:szCs w:val="26"/>
                <w:lang w:val="en-US"/>
              </w:rPr>
              <w:t>Điều 2</w:t>
            </w:r>
          </w:p>
          <w:p w:rsidR="00B94FD7" w:rsidRPr="00E90877" w:rsidRDefault="00B94FD7" w:rsidP="00713750">
            <w:pPr>
              <w:tabs>
                <w:tab w:val="left" w:pos="1647"/>
              </w:tabs>
              <w:spacing w:before="120" w:after="120" w:line="247" w:lineRule="auto"/>
              <w:rPr>
                <w:sz w:val="26"/>
                <w:szCs w:val="26"/>
              </w:rPr>
            </w:pPr>
            <w:r w:rsidRPr="00713750">
              <w:rPr>
                <w:i/>
                <w:sz w:val="26"/>
                <w:szCs w:val="26"/>
              </w:rPr>
              <w:t xml:space="preserve">1. </w:t>
            </w:r>
            <w:r w:rsidR="00713750">
              <w:rPr>
                <w:i/>
                <w:sz w:val="26"/>
                <w:szCs w:val="26"/>
              </w:rPr>
              <w:t>TCTD</w:t>
            </w:r>
            <w:r w:rsidRPr="00713750">
              <w:rPr>
                <w:i/>
                <w:sz w:val="26"/>
                <w:szCs w:val="26"/>
              </w:rPr>
              <w:t xml:space="preserve">, </w:t>
            </w:r>
            <w:r w:rsidR="00713750">
              <w:rPr>
                <w:i/>
                <w:sz w:val="26"/>
                <w:szCs w:val="26"/>
              </w:rPr>
              <w:t>CNNHNg</w:t>
            </w:r>
            <w:r w:rsidRPr="00713750">
              <w:rPr>
                <w:i/>
                <w:sz w:val="26"/>
                <w:szCs w:val="26"/>
              </w:rPr>
              <w:t xml:space="preserve"> được thành lập và hoạt động theo quy định của Luật Các </w:t>
            </w:r>
            <w:r w:rsidR="00713750">
              <w:rPr>
                <w:i/>
                <w:sz w:val="26"/>
                <w:szCs w:val="26"/>
              </w:rPr>
              <w:t>TCTD</w:t>
            </w:r>
            <w:r w:rsidRPr="00713750">
              <w:rPr>
                <w:i/>
                <w:sz w:val="26"/>
                <w:szCs w:val="26"/>
              </w:rPr>
              <w:t xml:space="preserve"> bao gồm: ngân hàng thương mại, ngân hàng hợp tác xã, </w:t>
            </w:r>
            <w:r w:rsidR="00713750">
              <w:rPr>
                <w:i/>
                <w:sz w:val="26"/>
                <w:szCs w:val="26"/>
              </w:rPr>
              <w:t>CNNHNg</w:t>
            </w:r>
            <w:r w:rsidRPr="00713750">
              <w:rPr>
                <w:i/>
                <w:sz w:val="26"/>
                <w:szCs w:val="26"/>
              </w:rPr>
              <w:t xml:space="preserve">, </w:t>
            </w:r>
            <w:r w:rsidRPr="00713750">
              <w:rPr>
                <w:i/>
                <w:sz w:val="26"/>
                <w:szCs w:val="26"/>
                <w:u w:val="single"/>
              </w:rPr>
              <w:t>công ty tài chính tổng hợp, công ty tài chính chuyên ngành</w:t>
            </w:r>
            <w:r w:rsidRPr="00713750">
              <w:rPr>
                <w:i/>
                <w:sz w:val="26"/>
                <w:szCs w:val="26"/>
              </w:rPr>
              <w:t xml:space="preserve"> (sau đây gọi là </w:t>
            </w:r>
            <w:r w:rsidR="00713750">
              <w:rPr>
                <w:i/>
                <w:sz w:val="26"/>
                <w:szCs w:val="26"/>
              </w:rPr>
              <w:t>TCTD</w:t>
            </w:r>
            <w:r w:rsidRPr="00713750">
              <w:rPr>
                <w:i/>
                <w:sz w:val="26"/>
                <w:szCs w:val="26"/>
              </w:rPr>
              <w:t xml:space="preserve">, </w:t>
            </w:r>
            <w:r w:rsidR="00713750">
              <w:rPr>
                <w:i/>
                <w:sz w:val="26"/>
                <w:szCs w:val="26"/>
              </w:rPr>
              <w:t>CNNHNg</w:t>
            </w:r>
            <w:r w:rsidRPr="00713750">
              <w:rPr>
                <w:i/>
                <w:sz w:val="26"/>
                <w:szCs w:val="26"/>
              </w:rPr>
              <w:t>)</w:t>
            </w:r>
            <w:r w:rsidR="00713750">
              <w:rPr>
                <w:sz w:val="26"/>
                <w:szCs w:val="26"/>
              </w:rPr>
              <w:t>.</w:t>
            </w:r>
          </w:p>
          <w:p w:rsidR="00BE2E08" w:rsidRPr="00E90877" w:rsidRDefault="00BE2E08" w:rsidP="00713750">
            <w:pPr>
              <w:spacing w:before="240" w:after="120"/>
              <w:rPr>
                <w:bCs/>
                <w:sz w:val="26"/>
                <w:szCs w:val="26"/>
              </w:rPr>
            </w:pPr>
            <w:r w:rsidRPr="00E90877">
              <w:rPr>
                <w:b/>
                <w:color w:val="auto"/>
                <w:sz w:val="26"/>
                <w:szCs w:val="26"/>
                <w:u w:val="single"/>
                <w:lang w:val="pl-PL"/>
              </w:rPr>
              <w:t>Cơ sở đề xuất</w:t>
            </w:r>
            <w:r w:rsidRPr="00713750">
              <w:rPr>
                <w:b/>
                <w:color w:val="auto"/>
                <w:sz w:val="26"/>
                <w:szCs w:val="26"/>
                <w:lang w:val="pl-PL"/>
              </w:rPr>
              <w:t>:</w:t>
            </w:r>
            <w:r w:rsidR="00713750" w:rsidRPr="00713750">
              <w:rPr>
                <w:b/>
                <w:color w:val="auto"/>
                <w:sz w:val="26"/>
                <w:szCs w:val="26"/>
                <w:lang w:val="pl-PL"/>
              </w:rPr>
              <w:t xml:space="preserve">  </w:t>
            </w:r>
            <w:r w:rsidR="00B94FD7" w:rsidRPr="00E90877">
              <w:rPr>
                <w:bCs/>
                <w:sz w:val="26"/>
                <w:szCs w:val="26"/>
              </w:rPr>
              <w:t>Sửa đổi, bổ sung khoản 1 để thống nhất với Luật Các TCTD năm 2024 quy định công ty tài chính tổng hợp được mua, bán trái phiếu doanh nghiệp; mua, bán giấy tờ có giá khác (điểm b khoản 1 Điều 119), công ty tài chính chuyên ngành được mua, bán chứng chỉ tiền gửi do TCTD, CNNHNg phát hành trong nước (điểm c khoản 1 Điều 124).</w:t>
            </w:r>
          </w:p>
        </w:tc>
      </w:tr>
      <w:tr w:rsidR="00FA69A1" w:rsidRPr="00E90877" w:rsidTr="00713750">
        <w:trPr>
          <w:trHeight w:val="65"/>
        </w:trPr>
        <w:tc>
          <w:tcPr>
            <w:tcW w:w="710" w:type="dxa"/>
            <w:vAlign w:val="center"/>
          </w:tcPr>
          <w:p w:rsidR="00FA69A1" w:rsidRPr="00E90877" w:rsidRDefault="00BC75FB" w:rsidP="00FA69A1">
            <w:pPr>
              <w:jc w:val="center"/>
              <w:rPr>
                <w:color w:val="auto"/>
                <w:sz w:val="26"/>
                <w:szCs w:val="26"/>
                <w:lang w:val="en-US"/>
              </w:rPr>
            </w:pPr>
            <w:r>
              <w:rPr>
                <w:color w:val="auto"/>
                <w:sz w:val="26"/>
                <w:szCs w:val="26"/>
                <w:lang w:val="en-US"/>
              </w:rPr>
              <w:t>2</w:t>
            </w:r>
          </w:p>
        </w:tc>
        <w:tc>
          <w:tcPr>
            <w:tcW w:w="4564" w:type="dxa"/>
          </w:tcPr>
          <w:p w:rsidR="00FA69A1" w:rsidRPr="00E90877" w:rsidRDefault="00FA69A1" w:rsidP="00FA69A1">
            <w:pPr>
              <w:widowControl w:val="0"/>
              <w:tabs>
                <w:tab w:val="left" w:pos="1647"/>
              </w:tabs>
              <w:spacing w:after="80" w:line="320" w:lineRule="exact"/>
              <w:rPr>
                <w:b/>
                <w:bCs/>
                <w:sz w:val="26"/>
                <w:szCs w:val="26"/>
              </w:rPr>
            </w:pPr>
            <w:r w:rsidRPr="00E90877">
              <w:rPr>
                <w:b/>
                <w:sz w:val="26"/>
                <w:szCs w:val="26"/>
              </w:rPr>
              <w:t xml:space="preserve">Điều 3. </w:t>
            </w:r>
            <w:r w:rsidRPr="00E90877">
              <w:rPr>
                <w:b/>
                <w:bCs/>
                <w:sz w:val="26"/>
                <w:szCs w:val="26"/>
              </w:rPr>
              <w:t>Nguyên tắc mua, bán giấy tờ có giá</w:t>
            </w:r>
          </w:p>
          <w:p w:rsidR="00FA69A1" w:rsidRPr="00E90877" w:rsidRDefault="00FA69A1" w:rsidP="00FA69A1">
            <w:pPr>
              <w:widowControl w:val="0"/>
              <w:tabs>
                <w:tab w:val="left" w:pos="1647"/>
              </w:tabs>
              <w:spacing w:after="80" w:line="320" w:lineRule="exact"/>
              <w:rPr>
                <w:sz w:val="26"/>
                <w:szCs w:val="26"/>
              </w:rPr>
            </w:pPr>
            <w:r w:rsidRPr="00E90877">
              <w:rPr>
                <w:sz w:val="26"/>
                <w:szCs w:val="26"/>
              </w:rPr>
              <w:t xml:space="preserve">1. </w:t>
            </w:r>
            <w:r w:rsidR="00713750">
              <w:rPr>
                <w:sz w:val="26"/>
                <w:szCs w:val="26"/>
              </w:rPr>
              <w:t>TCTD</w:t>
            </w:r>
            <w:r w:rsidRPr="00E90877">
              <w:rPr>
                <w:sz w:val="26"/>
                <w:szCs w:val="26"/>
              </w:rPr>
              <w:t xml:space="preserve">, </w:t>
            </w:r>
            <w:r w:rsidR="00713750">
              <w:rPr>
                <w:sz w:val="26"/>
                <w:szCs w:val="26"/>
              </w:rPr>
              <w:t>CNNHNg</w:t>
            </w:r>
            <w:r w:rsidRPr="00E90877">
              <w:rPr>
                <w:sz w:val="26"/>
                <w:szCs w:val="26"/>
              </w:rPr>
              <w:t xml:space="preserve"> được mua, bán giấy tờ có giá phù hợp với nội dung mua, bán trái phiếu doanh nghiệp và/hoặc giấy tờ có giá khác ghi trong Giấy phép do Ngân hàng Nhà nước Việt Nam cấp.</w:t>
            </w:r>
          </w:p>
          <w:p w:rsidR="00FA69A1" w:rsidRPr="00E90877" w:rsidRDefault="00FA69A1" w:rsidP="00FA69A1">
            <w:pPr>
              <w:widowControl w:val="0"/>
              <w:tabs>
                <w:tab w:val="left" w:pos="1647"/>
              </w:tabs>
              <w:spacing w:after="80" w:line="320" w:lineRule="exact"/>
              <w:rPr>
                <w:sz w:val="26"/>
                <w:szCs w:val="26"/>
              </w:rPr>
            </w:pPr>
          </w:p>
        </w:tc>
        <w:tc>
          <w:tcPr>
            <w:tcW w:w="9639" w:type="dxa"/>
          </w:tcPr>
          <w:p w:rsidR="00FA69A1" w:rsidRPr="00E90877" w:rsidRDefault="00FA69A1" w:rsidP="00FA69A1">
            <w:pPr>
              <w:widowControl w:val="0"/>
              <w:tabs>
                <w:tab w:val="left" w:pos="1647"/>
              </w:tabs>
              <w:spacing w:after="80" w:line="320" w:lineRule="exact"/>
              <w:rPr>
                <w:b/>
                <w:bCs/>
                <w:sz w:val="26"/>
                <w:szCs w:val="26"/>
                <w:lang w:val="en-US"/>
              </w:rPr>
            </w:pPr>
            <w:r w:rsidRPr="00E90877">
              <w:rPr>
                <w:b/>
                <w:sz w:val="26"/>
                <w:szCs w:val="26"/>
              </w:rPr>
              <w:t>Sửa đổi, bổ sung khoản 1</w:t>
            </w:r>
            <w:r w:rsidRPr="00E90877">
              <w:rPr>
                <w:b/>
                <w:sz w:val="26"/>
                <w:szCs w:val="26"/>
                <w:lang w:val="en-US"/>
              </w:rPr>
              <w:t xml:space="preserve"> Điều 3</w:t>
            </w:r>
          </w:p>
          <w:p w:rsidR="00FA69A1" w:rsidRPr="00E90877" w:rsidRDefault="00FA69A1" w:rsidP="00FA69A1">
            <w:pPr>
              <w:widowControl w:val="0"/>
              <w:tabs>
                <w:tab w:val="left" w:pos="1647"/>
              </w:tabs>
              <w:spacing w:after="80" w:line="320" w:lineRule="exact"/>
              <w:rPr>
                <w:i/>
                <w:sz w:val="26"/>
                <w:szCs w:val="26"/>
              </w:rPr>
            </w:pPr>
            <w:r w:rsidRPr="00E90877">
              <w:rPr>
                <w:sz w:val="26"/>
                <w:szCs w:val="26"/>
              </w:rPr>
              <w:t xml:space="preserve">1. </w:t>
            </w:r>
            <w:r w:rsidR="00713750">
              <w:rPr>
                <w:i/>
                <w:sz w:val="26"/>
                <w:szCs w:val="26"/>
              </w:rPr>
              <w:t>TCTD</w:t>
            </w:r>
            <w:r w:rsidRPr="00E90877">
              <w:rPr>
                <w:i/>
                <w:sz w:val="26"/>
                <w:szCs w:val="26"/>
              </w:rPr>
              <w:t xml:space="preserve">, </w:t>
            </w:r>
            <w:r w:rsidR="00713750">
              <w:rPr>
                <w:i/>
                <w:sz w:val="26"/>
                <w:szCs w:val="26"/>
              </w:rPr>
              <w:t>CNNHNg</w:t>
            </w:r>
            <w:r w:rsidRPr="00E90877">
              <w:rPr>
                <w:i/>
                <w:sz w:val="26"/>
                <w:szCs w:val="26"/>
              </w:rPr>
              <w:t xml:space="preserve"> được mua, bán giấy tờ có giá phù hợp với nội dung mua, bán trái phiếu doanh nghiệp, chứng chỉ tiền gửi và/hoặc giấy tờ có giá khác ghi trong Giấy phép do Ngân hàng Nhà nước Việt Nam cấp.</w:t>
            </w:r>
          </w:p>
          <w:p w:rsidR="00FA69A1" w:rsidRPr="004004D7" w:rsidRDefault="00FA69A1" w:rsidP="00713750">
            <w:pPr>
              <w:spacing w:before="240" w:after="120"/>
              <w:rPr>
                <w:sz w:val="26"/>
                <w:szCs w:val="26"/>
              </w:rPr>
            </w:pPr>
            <w:r w:rsidRPr="00E90877">
              <w:rPr>
                <w:b/>
                <w:color w:val="auto"/>
                <w:sz w:val="26"/>
                <w:szCs w:val="26"/>
                <w:u w:val="single"/>
                <w:lang w:val="pl-PL"/>
              </w:rPr>
              <w:t>Cơ sở đề xuất</w:t>
            </w:r>
            <w:r w:rsidRPr="00713750">
              <w:rPr>
                <w:b/>
                <w:color w:val="auto"/>
                <w:sz w:val="26"/>
                <w:szCs w:val="26"/>
                <w:lang w:val="pl-PL"/>
              </w:rPr>
              <w:t>:</w:t>
            </w:r>
            <w:r w:rsidR="00713750" w:rsidRPr="00713750">
              <w:rPr>
                <w:b/>
                <w:color w:val="auto"/>
                <w:sz w:val="26"/>
                <w:szCs w:val="26"/>
                <w:lang w:val="pl-PL"/>
              </w:rPr>
              <w:t xml:space="preserve"> </w:t>
            </w:r>
            <w:r w:rsidRPr="00E90877">
              <w:rPr>
                <w:sz w:val="26"/>
                <w:szCs w:val="26"/>
              </w:rPr>
              <w:t>Bổ sung cụm từ “</w:t>
            </w:r>
            <w:r w:rsidRPr="00E90877">
              <w:rPr>
                <w:i/>
                <w:sz w:val="26"/>
                <w:szCs w:val="26"/>
              </w:rPr>
              <w:t>chứng chỉ tiền gửi</w:t>
            </w:r>
            <w:r w:rsidRPr="00E90877">
              <w:rPr>
                <w:sz w:val="26"/>
                <w:szCs w:val="26"/>
              </w:rPr>
              <w:t>” để phù hợp với Luật Các TCTD năm 2024 quy định công ty tài chính chuyên ngành được mua chứng chỉ tiền gửi do TCTD, CNNHNg phát hành trong nước.</w:t>
            </w:r>
          </w:p>
        </w:tc>
      </w:tr>
      <w:tr w:rsidR="00FA69A1" w:rsidRPr="00E90877" w:rsidTr="00002BEC">
        <w:trPr>
          <w:trHeight w:val="1267"/>
        </w:trPr>
        <w:tc>
          <w:tcPr>
            <w:tcW w:w="710" w:type="dxa"/>
            <w:vAlign w:val="center"/>
          </w:tcPr>
          <w:p w:rsidR="00FA69A1" w:rsidRPr="00E90877" w:rsidRDefault="00BC75FB" w:rsidP="00FA69A1">
            <w:pPr>
              <w:jc w:val="center"/>
              <w:rPr>
                <w:color w:val="auto"/>
                <w:sz w:val="26"/>
                <w:szCs w:val="26"/>
                <w:lang w:val="en-US"/>
              </w:rPr>
            </w:pPr>
            <w:r>
              <w:rPr>
                <w:color w:val="auto"/>
                <w:sz w:val="26"/>
                <w:szCs w:val="26"/>
                <w:lang w:val="en-US"/>
              </w:rPr>
              <w:t>3</w:t>
            </w:r>
          </w:p>
        </w:tc>
        <w:tc>
          <w:tcPr>
            <w:tcW w:w="4564" w:type="dxa"/>
          </w:tcPr>
          <w:p w:rsidR="004004D7" w:rsidRDefault="004004D7" w:rsidP="00FA69A1">
            <w:pPr>
              <w:widowControl w:val="0"/>
              <w:tabs>
                <w:tab w:val="left" w:pos="1647"/>
              </w:tabs>
              <w:spacing w:after="80" w:line="320" w:lineRule="exact"/>
              <w:rPr>
                <w:sz w:val="26"/>
                <w:szCs w:val="26"/>
              </w:rPr>
            </w:pPr>
            <w:r w:rsidRPr="00E90877">
              <w:rPr>
                <w:b/>
                <w:sz w:val="26"/>
                <w:szCs w:val="26"/>
              </w:rPr>
              <w:t xml:space="preserve">Điều 3. </w:t>
            </w:r>
            <w:r w:rsidRPr="00E90877">
              <w:rPr>
                <w:b/>
                <w:bCs/>
                <w:sz w:val="26"/>
                <w:szCs w:val="26"/>
              </w:rPr>
              <w:t>Nguyên tắc mua, bán giấy tờ có giá</w:t>
            </w:r>
          </w:p>
          <w:p w:rsidR="00FA69A1" w:rsidRPr="00713750" w:rsidRDefault="00FA69A1" w:rsidP="00FA69A1">
            <w:pPr>
              <w:widowControl w:val="0"/>
              <w:tabs>
                <w:tab w:val="left" w:pos="1647"/>
              </w:tabs>
              <w:spacing w:after="80" w:line="320" w:lineRule="exact"/>
              <w:rPr>
                <w:sz w:val="26"/>
                <w:szCs w:val="26"/>
              </w:rPr>
            </w:pPr>
            <w:r w:rsidRPr="00E90877">
              <w:rPr>
                <w:sz w:val="26"/>
                <w:szCs w:val="26"/>
              </w:rPr>
              <w:t xml:space="preserve">5. </w:t>
            </w:r>
            <w:r w:rsidR="00713750">
              <w:rPr>
                <w:sz w:val="26"/>
                <w:szCs w:val="26"/>
              </w:rPr>
              <w:t>TCTD</w:t>
            </w:r>
            <w:r w:rsidRPr="00E90877">
              <w:rPr>
                <w:sz w:val="26"/>
                <w:szCs w:val="26"/>
              </w:rPr>
              <w:t xml:space="preserve">, </w:t>
            </w:r>
            <w:r w:rsidR="00713750">
              <w:rPr>
                <w:sz w:val="26"/>
                <w:szCs w:val="26"/>
              </w:rPr>
              <w:t>CNNHNg</w:t>
            </w:r>
            <w:r w:rsidRPr="00E90877">
              <w:rPr>
                <w:sz w:val="26"/>
                <w:szCs w:val="26"/>
              </w:rPr>
              <w:t xml:space="preserve"> mua, bán trái phiếu phù hợp với quy định tại Luật Các </w:t>
            </w:r>
            <w:r w:rsidR="00713750">
              <w:rPr>
                <w:sz w:val="26"/>
                <w:szCs w:val="26"/>
              </w:rPr>
              <w:t>TCTD</w:t>
            </w:r>
            <w:r w:rsidRPr="00E90877">
              <w:rPr>
                <w:sz w:val="26"/>
                <w:szCs w:val="26"/>
              </w:rPr>
              <w:t xml:space="preserve">, Luật Chứng khoán, Nghị định của Chính phủ quy định về phát hành trái phiếu doanh nghiệp, các văn bản khác hướng dẫn Luật Chứng khoán, quy định của pháp luật có liên quan và quy định tại Thông tư </w:t>
            </w:r>
            <w:r w:rsidRPr="00E90877">
              <w:rPr>
                <w:sz w:val="26"/>
                <w:szCs w:val="26"/>
              </w:rPr>
              <w:lastRenderedPageBreak/>
              <w:t>này.</w:t>
            </w:r>
          </w:p>
        </w:tc>
        <w:tc>
          <w:tcPr>
            <w:tcW w:w="9639" w:type="dxa"/>
          </w:tcPr>
          <w:p w:rsidR="00FA69A1" w:rsidRPr="00E90877" w:rsidRDefault="00FA69A1" w:rsidP="00FA69A1">
            <w:pPr>
              <w:widowControl w:val="0"/>
              <w:tabs>
                <w:tab w:val="left" w:pos="1647"/>
              </w:tabs>
              <w:spacing w:after="80" w:line="320" w:lineRule="exact"/>
              <w:rPr>
                <w:b/>
                <w:bCs/>
                <w:sz w:val="26"/>
                <w:szCs w:val="26"/>
              </w:rPr>
            </w:pPr>
            <w:r w:rsidRPr="00E90877">
              <w:rPr>
                <w:b/>
                <w:sz w:val="26"/>
                <w:szCs w:val="26"/>
              </w:rPr>
              <w:lastRenderedPageBreak/>
              <w:t>Sửa đổi, bổ sung các khoản 5</w:t>
            </w:r>
            <w:r w:rsidRPr="00E90877">
              <w:rPr>
                <w:b/>
                <w:sz w:val="26"/>
                <w:szCs w:val="26"/>
                <w:lang w:val="en-US"/>
              </w:rPr>
              <w:t xml:space="preserve"> Điều 3</w:t>
            </w:r>
            <w:r w:rsidRPr="00E90877">
              <w:rPr>
                <w:b/>
                <w:sz w:val="26"/>
                <w:szCs w:val="26"/>
              </w:rPr>
              <w:t>:</w:t>
            </w:r>
          </w:p>
          <w:p w:rsidR="00FA69A1" w:rsidRPr="00E90877" w:rsidRDefault="00FA69A1" w:rsidP="00FA69A1">
            <w:pPr>
              <w:tabs>
                <w:tab w:val="left" w:pos="1647"/>
              </w:tabs>
              <w:spacing w:line="320" w:lineRule="exact"/>
              <w:rPr>
                <w:bCs/>
                <w:i/>
                <w:sz w:val="26"/>
                <w:szCs w:val="26"/>
                <w:lang w:val="en-US"/>
              </w:rPr>
            </w:pPr>
            <w:r w:rsidRPr="00E90877">
              <w:rPr>
                <w:i/>
                <w:sz w:val="26"/>
                <w:szCs w:val="26"/>
              </w:rPr>
              <w:t xml:space="preserve">5. </w:t>
            </w:r>
            <w:r w:rsidR="00713750">
              <w:rPr>
                <w:bCs/>
                <w:i/>
                <w:sz w:val="26"/>
                <w:szCs w:val="26"/>
              </w:rPr>
              <w:t>TCTD</w:t>
            </w:r>
            <w:r w:rsidRPr="00E90877">
              <w:rPr>
                <w:bCs/>
                <w:i/>
                <w:sz w:val="26"/>
                <w:szCs w:val="26"/>
              </w:rPr>
              <w:t xml:space="preserve">, </w:t>
            </w:r>
            <w:r w:rsidR="00713750">
              <w:rPr>
                <w:bCs/>
                <w:i/>
                <w:sz w:val="26"/>
                <w:szCs w:val="26"/>
              </w:rPr>
              <w:t>CNNHNg</w:t>
            </w:r>
            <w:r w:rsidRPr="00E90877">
              <w:rPr>
                <w:bCs/>
                <w:i/>
                <w:sz w:val="26"/>
                <w:szCs w:val="26"/>
              </w:rPr>
              <w:t xml:space="preserve">, trừ công ty tài chính chuyên ngành mua, bán trái phiếu </w:t>
            </w:r>
            <w:r w:rsidR="008B0E66">
              <w:rPr>
                <w:bCs/>
                <w:i/>
                <w:sz w:val="26"/>
                <w:szCs w:val="26"/>
                <w:lang w:val="en-US"/>
              </w:rPr>
              <w:t xml:space="preserve">do TCTD khác phát hành trong nước </w:t>
            </w:r>
            <w:r w:rsidRPr="00E90877">
              <w:rPr>
                <w:bCs/>
                <w:i/>
                <w:sz w:val="26"/>
                <w:szCs w:val="26"/>
              </w:rPr>
              <w:t xml:space="preserve">phù hợp với quy định tại Luật Các </w:t>
            </w:r>
            <w:r w:rsidR="00713750">
              <w:rPr>
                <w:bCs/>
                <w:i/>
                <w:sz w:val="26"/>
                <w:szCs w:val="26"/>
              </w:rPr>
              <w:t>TCTD</w:t>
            </w:r>
            <w:r w:rsidRPr="00E90877">
              <w:rPr>
                <w:bCs/>
                <w:i/>
                <w:sz w:val="26"/>
                <w:szCs w:val="26"/>
              </w:rPr>
              <w:t>, Luật Chứng khoán, Nghị định của Chính phủ quy định về phát hành trái phiếu doanh nghiệp, các văn bản khác hướng dẫn Luật Chứng khoán, quy định của pháp luật có liên quan và quy định tại Thông tư này</w:t>
            </w:r>
            <w:r w:rsidRPr="00E90877">
              <w:rPr>
                <w:bCs/>
                <w:i/>
                <w:sz w:val="26"/>
                <w:szCs w:val="26"/>
                <w:lang w:val="en-US"/>
              </w:rPr>
              <w:t>.</w:t>
            </w:r>
          </w:p>
          <w:p w:rsidR="00FA69A1" w:rsidRPr="003D6054" w:rsidRDefault="00FA69A1" w:rsidP="00713750">
            <w:pPr>
              <w:spacing w:before="240" w:after="120"/>
              <w:rPr>
                <w:sz w:val="26"/>
                <w:szCs w:val="26"/>
                <w:lang w:val="en-US"/>
              </w:rPr>
            </w:pPr>
            <w:r w:rsidRPr="00E90877">
              <w:rPr>
                <w:b/>
                <w:color w:val="auto"/>
                <w:sz w:val="26"/>
                <w:szCs w:val="26"/>
                <w:u w:val="single"/>
                <w:lang w:val="pl-PL"/>
              </w:rPr>
              <w:lastRenderedPageBreak/>
              <w:t>Cơ sở đề xuất</w:t>
            </w:r>
            <w:r w:rsidRPr="00713750">
              <w:rPr>
                <w:b/>
                <w:color w:val="auto"/>
                <w:sz w:val="26"/>
                <w:szCs w:val="26"/>
                <w:lang w:val="pl-PL"/>
              </w:rPr>
              <w:t>:</w:t>
            </w:r>
            <w:r w:rsidR="00713750" w:rsidRPr="00713750">
              <w:rPr>
                <w:b/>
                <w:color w:val="auto"/>
                <w:sz w:val="26"/>
                <w:szCs w:val="26"/>
                <w:lang w:val="pl-PL"/>
              </w:rPr>
              <w:t xml:space="preserve"> </w:t>
            </w:r>
            <w:r w:rsidRPr="00E90877">
              <w:rPr>
                <w:sz w:val="26"/>
                <w:szCs w:val="26"/>
              </w:rPr>
              <w:t>Luật Các TCTD năm 2024 không có quy định công ty tài chính chuyên ngành</w:t>
            </w:r>
            <w:r w:rsidRPr="00E90877">
              <w:rPr>
                <w:bCs/>
                <w:sz w:val="26"/>
                <w:szCs w:val="26"/>
              </w:rPr>
              <w:t xml:space="preserve"> được mua trái phiếu doanh nghiệ</w:t>
            </w:r>
            <w:r w:rsidR="003D6054">
              <w:rPr>
                <w:bCs/>
                <w:sz w:val="26"/>
                <w:szCs w:val="26"/>
              </w:rPr>
              <w:t xml:space="preserve">p; trái phiếu do </w:t>
            </w:r>
            <w:r w:rsidR="003D6054">
              <w:rPr>
                <w:bCs/>
                <w:sz w:val="26"/>
                <w:szCs w:val="26"/>
                <w:lang w:val="en-US"/>
              </w:rPr>
              <w:t>TCTD khác phát hành trong nước cũng là trái phiếu phiếu doanh nghiệp.</w:t>
            </w:r>
          </w:p>
        </w:tc>
      </w:tr>
      <w:tr w:rsidR="00FA69A1" w:rsidRPr="00E90877" w:rsidTr="00713750">
        <w:trPr>
          <w:trHeight w:val="2531"/>
        </w:trPr>
        <w:tc>
          <w:tcPr>
            <w:tcW w:w="710" w:type="dxa"/>
            <w:vAlign w:val="center"/>
          </w:tcPr>
          <w:p w:rsidR="00FA69A1" w:rsidRPr="00E90877" w:rsidRDefault="00BC75FB" w:rsidP="00FA69A1">
            <w:pPr>
              <w:jc w:val="center"/>
              <w:rPr>
                <w:color w:val="auto"/>
                <w:sz w:val="26"/>
                <w:szCs w:val="26"/>
                <w:lang w:val="en-US"/>
              </w:rPr>
            </w:pPr>
            <w:r>
              <w:rPr>
                <w:color w:val="auto"/>
                <w:sz w:val="26"/>
                <w:szCs w:val="26"/>
                <w:lang w:val="en-US"/>
              </w:rPr>
              <w:lastRenderedPageBreak/>
              <w:t>4</w:t>
            </w:r>
          </w:p>
        </w:tc>
        <w:tc>
          <w:tcPr>
            <w:tcW w:w="4564" w:type="dxa"/>
          </w:tcPr>
          <w:p w:rsidR="004004D7" w:rsidRDefault="004004D7" w:rsidP="00FA69A1">
            <w:pPr>
              <w:widowControl w:val="0"/>
              <w:tabs>
                <w:tab w:val="left" w:pos="1647"/>
              </w:tabs>
              <w:spacing w:after="80" w:line="320" w:lineRule="exact"/>
              <w:rPr>
                <w:sz w:val="26"/>
                <w:szCs w:val="26"/>
              </w:rPr>
            </w:pPr>
            <w:r w:rsidRPr="00E90877">
              <w:rPr>
                <w:b/>
                <w:sz w:val="26"/>
                <w:szCs w:val="26"/>
              </w:rPr>
              <w:t xml:space="preserve">Điều 3. </w:t>
            </w:r>
            <w:r w:rsidRPr="00E90877">
              <w:rPr>
                <w:b/>
                <w:bCs/>
                <w:sz w:val="26"/>
                <w:szCs w:val="26"/>
              </w:rPr>
              <w:t>Nguyên tắc mua, bán giấy tờ có giá</w:t>
            </w:r>
            <w:r w:rsidRPr="00E90877">
              <w:rPr>
                <w:sz w:val="26"/>
                <w:szCs w:val="26"/>
              </w:rPr>
              <w:t xml:space="preserve"> </w:t>
            </w:r>
          </w:p>
          <w:p w:rsidR="00FA69A1" w:rsidRPr="00E90877" w:rsidRDefault="00FA69A1" w:rsidP="00FA69A1">
            <w:pPr>
              <w:widowControl w:val="0"/>
              <w:tabs>
                <w:tab w:val="left" w:pos="1647"/>
              </w:tabs>
              <w:spacing w:after="80" w:line="320" w:lineRule="exact"/>
              <w:rPr>
                <w:b/>
                <w:sz w:val="26"/>
                <w:szCs w:val="26"/>
              </w:rPr>
            </w:pPr>
            <w:r w:rsidRPr="00E90877">
              <w:rPr>
                <w:sz w:val="26"/>
                <w:szCs w:val="26"/>
              </w:rPr>
              <w:t xml:space="preserve">8. Đối với giấy tờ có giá của công ty tài chính hoặc công ty cho thuê tài chính phát hành, </w:t>
            </w:r>
            <w:r w:rsidR="00713750">
              <w:rPr>
                <w:sz w:val="26"/>
                <w:szCs w:val="26"/>
              </w:rPr>
              <w:t>TCTD</w:t>
            </w:r>
            <w:r w:rsidRPr="00E90877">
              <w:rPr>
                <w:sz w:val="26"/>
                <w:szCs w:val="26"/>
              </w:rPr>
              <w:t xml:space="preserve">, </w:t>
            </w:r>
            <w:r w:rsidR="00713750">
              <w:rPr>
                <w:sz w:val="26"/>
                <w:szCs w:val="26"/>
              </w:rPr>
              <w:t>CNNHNg</w:t>
            </w:r>
            <w:r w:rsidRPr="00E90877">
              <w:rPr>
                <w:sz w:val="26"/>
                <w:szCs w:val="26"/>
              </w:rPr>
              <w:t xml:space="preserve"> chỉ được mua, bán với tổ chức (bao gồm cả </w:t>
            </w:r>
            <w:r w:rsidR="00713750">
              <w:rPr>
                <w:sz w:val="26"/>
                <w:szCs w:val="26"/>
              </w:rPr>
              <w:t>TCTD</w:t>
            </w:r>
            <w:r w:rsidRPr="00E90877">
              <w:rPr>
                <w:sz w:val="26"/>
                <w:szCs w:val="26"/>
              </w:rPr>
              <w:t xml:space="preserve">, </w:t>
            </w:r>
            <w:r w:rsidR="00713750">
              <w:rPr>
                <w:sz w:val="26"/>
                <w:szCs w:val="26"/>
              </w:rPr>
              <w:t>CNNHNg</w:t>
            </w:r>
            <w:r w:rsidRPr="00E90877">
              <w:rPr>
                <w:sz w:val="26"/>
                <w:szCs w:val="26"/>
              </w:rPr>
              <w:t>).</w:t>
            </w:r>
          </w:p>
        </w:tc>
        <w:tc>
          <w:tcPr>
            <w:tcW w:w="9639" w:type="dxa"/>
          </w:tcPr>
          <w:p w:rsidR="00FA69A1" w:rsidRPr="00E90877" w:rsidRDefault="00FA69A1" w:rsidP="00FA69A1">
            <w:pPr>
              <w:tabs>
                <w:tab w:val="left" w:pos="1647"/>
              </w:tabs>
              <w:spacing w:after="80" w:line="320" w:lineRule="exact"/>
              <w:rPr>
                <w:b/>
                <w:sz w:val="26"/>
                <w:szCs w:val="26"/>
              </w:rPr>
            </w:pPr>
            <w:r w:rsidRPr="00E90877">
              <w:rPr>
                <w:b/>
                <w:sz w:val="26"/>
                <w:szCs w:val="26"/>
              </w:rPr>
              <w:t>Sửa đổi, bổ sung khoản 8</w:t>
            </w:r>
            <w:r w:rsidR="004004D7">
              <w:rPr>
                <w:b/>
                <w:sz w:val="26"/>
                <w:szCs w:val="26"/>
                <w:lang w:val="en-US"/>
              </w:rPr>
              <w:t xml:space="preserve"> Điều 3</w:t>
            </w:r>
            <w:r w:rsidRPr="00E90877">
              <w:rPr>
                <w:b/>
                <w:sz w:val="26"/>
                <w:szCs w:val="26"/>
              </w:rPr>
              <w:t>:</w:t>
            </w:r>
          </w:p>
          <w:p w:rsidR="00FA69A1" w:rsidRPr="00E90877" w:rsidRDefault="00FA69A1" w:rsidP="00FA69A1">
            <w:pPr>
              <w:tabs>
                <w:tab w:val="left" w:pos="1647"/>
              </w:tabs>
              <w:spacing w:line="247" w:lineRule="auto"/>
              <w:rPr>
                <w:i/>
                <w:sz w:val="26"/>
                <w:szCs w:val="26"/>
              </w:rPr>
            </w:pPr>
            <w:r w:rsidRPr="00E90877">
              <w:rPr>
                <w:i/>
                <w:sz w:val="26"/>
                <w:szCs w:val="26"/>
              </w:rPr>
              <w:t>8. Đối với giấy tờ có giá của công ty tài chính tổng hợp, công ty tài chính chuyên ngành</w:t>
            </w:r>
            <w:r w:rsidR="0052519F">
              <w:rPr>
                <w:i/>
                <w:sz w:val="26"/>
                <w:szCs w:val="26"/>
                <w:lang w:val="en-US"/>
              </w:rPr>
              <w:t xml:space="preserve"> phát hành</w:t>
            </w:r>
            <w:r w:rsidRPr="00E90877">
              <w:rPr>
                <w:i/>
                <w:sz w:val="26"/>
                <w:szCs w:val="26"/>
              </w:rPr>
              <w:t xml:space="preserve">, </w:t>
            </w:r>
            <w:r w:rsidR="00713750">
              <w:rPr>
                <w:i/>
                <w:sz w:val="26"/>
                <w:szCs w:val="26"/>
              </w:rPr>
              <w:t>TCTD</w:t>
            </w:r>
            <w:r w:rsidRPr="00E90877">
              <w:rPr>
                <w:i/>
                <w:sz w:val="26"/>
                <w:szCs w:val="26"/>
              </w:rPr>
              <w:t xml:space="preserve">, </w:t>
            </w:r>
            <w:r w:rsidR="00713750">
              <w:rPr>
                <w:i/>
                <w:sz w:val="26"/>
                <w:szCs w:val="26"/>
              </w:rPr>
              <w:t>CNNHNg</w:t>
            </w:r>
            <w:r w:rsidRPr="00E90877">
              <w:rPr>
                <w:i/>
                <w:sz w:val="26"/>
                <w:szCs w:val="26"/>
              </w:rPr>
              <w:t xml:space="preserve"> chỉ được mua, bán với tổ chức (bao gồm cả </w:t>
            </w:r>
            <w:r w:rsidR="00713750">
              <w:rPr>
                <w:i/>
                <w:sz w:val="26"/>
                <w:szCs w:val="26"/>
              </w:rPr>
              <w:t>TCTD</w:t>
            </w:r>
            <w:r w:rsidRPr="00E90877">
              <w:rPr>
                <w:i/>
                <w:sz w:val="26"/>
                <w:szCs w:val="26"/>
              </w:rPr>
              <w:t xml:space="preserve">, </w:t>
            </w:r>
            <w:r w:rsidR="00713750">
              <w:rPr>
                <w:i/>
                <w:sz w:val="26"/>
                <w:szCs w:val="26"/>
              </w:rPr>
              <w:t>CNNHNg</w:t>
            </w:r>
            <w:r w:rsidRPr="00E90877">
              <w:rPr>
                <w:i/>
                <w:sz w:val="26"/>
                <w:szCs w:val="26"/>
              </w:rPr>
              <w:t>).</w:t>
            </w:r>
          </w:p>
          <w:p w:rsidR="00FA69A1" w:rsidRPr="00E90877" w:rsidRDefault="00FA69A1" w:rsidP="006E6A40">
            <w:pPr>
              <w:spacing w:before="120" w:after="120"/>
              <w:rPr>
                <w:sz w:val="26"/>
                <w:szCs w:val="26"/>
              </w:rPr>
            </w:pPr>
            <w:r w:rsidRPr="00E90877">
              <w:rPr>
                <w:b/>
                <w:color w:val="auto"/>
                <w:sz w:val="26"/>
                <w:szCs w:val="26"/>
                <w:u w:val="single"/>
                <w:lang w:val="pl-PL"/>
              </w:rPr>
              <w:t>Cơ sở đề xuất</w:t>
            </w:r>
            <w:r w:rsidRPr="00713750">
              <w:rPr>
                <w:b/>
                <w:color w:val="auto"/>
                <w:sz w:val="26"/>
                <w:szCs w:val="26"/>
                <w:lang w:val="pl-PL"/>
              </w:rPr>
              <w:t>:</w:t>
            </w:r>
            <w:r w:rsidR="00713750" w:rsidRPr="00713750">
              <w:rPr>
                <w:b/>
                <w:color w:val="auto"/>
                <w:sz w:val="26"/>
                <w:szCs w:val="26"/>
                <w:lang w:val="pl-PL"/>
              </w:rPr>
              <w:t xml:space="preserve"> </w:t>
            </w:r>
            <w:r w:rsidRPr="00E90877">
              <w:rPr>
                <w:bCs/>
                <w:sz w:val="26"/>
                <w:szCs w:val="26"/>
              </w:rPr>
              <w:t>Để thống nhất với quy định công ty tài chính tổng hợp, công ty tài chính chuyên ngành chỉ được phát hành chứng chỉ tiền gửi để huy động vốn của tổ chức tại Luật Các TCTD năm 2024.</w:t>
            </w:r>
          </w:p>
        </w:tc>
      </w:tr>
      <w:tr w:rsidR="00FD7B0B" w:rsidRPr="00E90877" w:rsidTr="00713750">
        <w:trPr>
          <w:trHeight w:val="1126"/>
        </w:trPr>
        <w:tc>
          <w:tcPr>
            <w:tcW w:w="710" w:type="dxa"/>
            <w:vAlign w:val="center"/>
          </w:tcPr>
          <w:p w:rsidR="00FD7B0B" w:rsidRPr="00E90877" w:rsidRDefault="00BC75FB" w:rsidP="00FD7B0B">
            <w:pPr>
              <w:jc w:val="center"/>
              <w:rPr>
                <w:color w:val="auto"/>
                <w:sz w:val="26"/>
                <w:szCs w:val="26"/>
                <w:lang w:val="en-US"/>
              </w:rPr>
            </w:pPr>
            <w:r>
              <w:rPr>
                <w:color w:val="auto"/>
                <w:sz w:val="26"/>
                <w:szCs w:val="26"/>
                <w:lang w:val="en-US"/>
              </w:rPr>
              <w:t>5</w:t>
            </w:r>
          </w:p>
        </w:tc>
        <w:tc>
          <w:tcPr>
            <w:tcW w:w="4564" w:type="dxa"/>
          </w:tcPr>
          <w:p w:rsidR="00FD7B0B" w:rsidRPr="00E90877" w:rsidRDefault="00FD7B0B" w:rsidP="00FD7B0B">
            <w:pPr>
              <w:spacing w:after="80" w:line="320" w:lineRule="exact"/>
              <w:rPr>
                <w:strike/>
                <w:sz w:val="26"/>
                <w:szCs w:val="26"/>
              </w:rPr>
            </w:pPr>
          </w:p>
        </w:tc>
        <w:tc>
          <w:tcPr>
            <w:tcW w:w="9639" w:type="dxa"/>
          </w:tcPr>
          <w:p w:rsidR="00FD7B0B" w:rsidRPr="00E90877" w:rsidRDefault="00FD7B0B" w:rsidP="00FD7B0B">
            <w:pPr>
              <w:tabs>
                <w:tab w:val="left" w:pos="1647"/>
              </w:tabs>
              <w:spacing w:before="240" w:line="247" w:lineRule="auto"/>
              <w:rPr>
                <w:b/>
                <w:sz w:val="26"/>
                <w:szCs w:val="26"/>
              </w:rPr>
            </w:pPr>
            <w:r w:rsidRPr="00E90877">
              <w:rPr>
                <w:b/>
                <w:sz w:val="26"/>
                <w:szCs w:val="26"/>
              </w:rPr>
              <w:t xml:space="preserve">Bãi bỏ cụm từ “kỳ phiếu, tín phiếu” </w:t>
            </w:r>
          </w:p>
          <w:p w:rsidR="00FD7B0B" w:rsidRPr="00713750" w:rsidRDefault="00BC75FB" w:rsidP="004004D7">
            <w:pPr>
              <w:tabs>
                <w:tab w:val="left" w:pos="1647"/>
              </w:tabs>
              <w:spacing w:line="247" w:lineRule="auto"/>
              <w:rPr>
                <w:bCs/>
                <w:sz w:val="26"/>
                <w:szCs w:val="26"/>
              </w:rPr>
            </w:pPr>
            <w:r w:rsidRPr="00E90877">
              <w:rPr>
                <w:b/>
                <w:sz w:val="26"/>
                <w:szCs w:val="26"/>
                <w:lang w:val="en-US"/>
              </w:rPr>
              <w:t xml:space="preserve">Điều 2. </w:t>
            </w:r>
            <w:r w:rsidRPr="00E90877">
              <w:rPr>
                <w:b/>
                <w:sz w:val="26"/>
                <w:szCs w:val="26"/>
              </w:rPr>
              <w:t>Bãi bỏ cụm từ “kỳ phiếu, tín phiếu” tại Thông tư 12/2021/TT-NHNN</w:t>
            </w:r>
            <w:r w:rsidRPr="00713750">
              <w:rPr>
                <w:sz w:val="26"/>
                <w:szCs w:val="26"/>
              </w:rPr>
              <w:t xml:space="preserve"> </w:t>
            </w:r>
            <w:r w:rsidR="00FD7B0B" w:rsidRPr="00713750">
              <w:rPr>
                <w:sz w:val="26"/>
                <w:szCs w:val="26"/>
              </w:rPr>
              <w:t xml:space="preserve">Bãi bỏ cụm từ “kỳ phiếu, tín phiếu” tại Thông tư 12/2021/TT-NHNN ngày 30 tháng 7 năm 2021 quy định về việc </w:t>
            </w:r>
            <w:r w:rsidR="00713750">
              <w:rPr>
                <w:bCs/>
                <w:sz w:val="26"/>
                <w:szCs w:val="26"/>
              </w:rPr>
              <w:t>TCTD</w:t>
            </w:r>
            <w:r w:rsidR="00FD7B0B" w:rsidRPr="00713750">
              <w:rPr>
                <w:bCs/>
                <w:sz w:val="26"/>
                <w:szCs w:val="26"/>
              </w:rPr>
              <w:t xml:space="preserve">, </w:t>
            </w:r>
            <w:r w:rsidR="00713750">
              <w:rPr>
                <w:bCs/>
                <w:sz w:val="26"/>
                <w:szCs w:val="26"/>
              </w:rPr>
              <w:t>CNNHNg</w:t>
            </w:r>
            <w:r w:rsidR="00FD7B0B" w:rsidRPr="00713750">
              <w:rPr>
                <w:bCs/>
                <w:sz w:val="26"/>
                <w:szCs w:val="26"/>
              </w:rPr>
              <w:t xml:space="preserve"> mua, bán kỳ phiếu, tín phiếu, chứng chỉ tiền gửi, trái phiếu do </w:t>
            </w:r>
            <w:r w:rsidR="00713750">
              <w:rPr>
                <w:bCs/>
                <w:sz w:val="26"/>
                <w:szCs w:val="26"/>
              </w:rPr>
              <w:t>TCTD</w:t>
            </w:r>
            <w:r w:rsidR="00FD7B0B" w:rsidRPr="00713750">
              <w:rPr>
                <w:bCs/>
                <w:sz w:val="26"/>
                <w:szCs w:val="26"/>
              </w:rPr>
              <w:t xml:space="preserve">, </w:t>
            </w:r>
            <w:r w:rsidR="00713750">
              <w:rPr>
                <w:bCs/>
                <w:sz w:val="26"/>
                <w:szCs w:val="26"/>
              </w:rPr>
              <w:t>CNNHNg</w:t>
            </w:r>
            <w:r w:rsidR="00FD7B0B" w:rsidRPr="00713750">
              <w:rPr>
                <w:bCs/>
                <w:sz w:val="26"/>
                <w:szCs w:val="26"/>
              </w:rPr>
              <w:t xml:space="preserve"> khác phát hành trong nước.</w:t>
            </w:r>
          </w:p>
          <w:p w:rsidR="00FD7B0B" w:rsidRPr="00E90877" w:rsidRDefault="00FD7B0B" w:rsidP="00713750">
            <w:pPr>
              <w:tabs>
                <w:tab w:val="left" w:pos="1647"/>
              </w:tabs>
              <w:spacing w:before="320" w:line="247" w:lineRule="auto"/>
              <w:rPr>
                <w:sz w:val="26"/>
                <w:szCs w:val="26"/>
                <w:lang w:val="en-US"/>
              </w:rPr>
            </w:pPr>
            <w:r w:rsidRPr="00E90877">
              <w:rPr>
                <w:b/>
                <w:color w:val="auto"/>
                <w:sz w:val="26"/>
                <w:szCs w:val="26"/>
                <w:u w:val="single"/>
                <w:lang w:val="pl-PL"/>
              </w:rPr>
              <w:t>Cơ sở đề xuất</w:t>
            </w:r>
            <w:r w:rsidRPr="00E90877">
              <w:rPr>
                <w:b/>
                <w:color w:val="auto"/>
                <w:sz w:val="26"/>
                <w:szCs w:val="26"/>
                <w:lang w:val="pl-PL"/>
              </w:rPr>
              <w:t>:</w:t>
            </w:r>
            <w:r w:rsidR="005638BB" w:rsidRPr="00E90877">
              <w:rPr>
                <w:b/>
                <w:color w:val="auto"/>
                <w:sz w:val="26"/>
                <w:szCs w:val="26"/>
                <w:lang w:val="pl-PL"/>
              </w:rPr>
              <w:t xml:space="preserve"> </w:t>
            </w:r>
            <w:r w:rsidRPr="00E90877">
              <w:rPr>
                <w:bCs/>
                <w:sz w:val="26"/>
                <w:szCs w:val="26"/>
              </w:rPr>
              <w:t>Luật Các TCTD  năm 2024 không còn quy định TCTD, CNNHNg phát hành kỳ phiếu, tín phiếu.</w:t>
            </w:r>
          </w:p>
        </w:tc>
      </w:tr>
      <w:tr w:rsidR="00684CE5" w:rsidRPr="00E90877" w:rsidTr="00713750">
        <w:trPr>
          <w:trHeight w:val="4244"/>
        </w:trPr>
        <w:tc>
          <w:tcPr>
            <w:tcW w:w="710" w:type="dxa"/>
            <w:vAlign w:val="center"/>
          </w:tcPr>
          <w:p w:rsidR="00684CE5" w:rsidRPr="00E90877" w:rsidRDefault="00BC75FB" w:rsidP="00684CE5">
            <w:pPr>
              <w:jc w:val="center"/>
              <w:rPr>
                <w:color w:val="auto"/>
                <w:sz w:val="26"/>
                <w:szCs w:val="26"/>
                <w:lang w:val="en-US"/>
              </w:rPr>
            </w:pPr>
            <w:r>
              <w:rPr>
                <w:color w:val="auto"/>
                <w:sz w:val="26"/>
                <w:szCs w:val="26"/>
                <w:lang w:val="en-US"/>
              </w:rPr>
              <w:lastRenderedPageBreak/>
              <w:t>6</w:t>
            </w:r>
          </w:p>
        </w:tc>
        <w:tc>
          <w:tcPr>
            <w:tcW w:w="4564" w:type="dxa"/>
          </w:tcPr>
          <w:p w:rsidR="00684CE5" w:rsidRPr="00E90877" w:rsidRDefault="00684CE5" w:rsidP="00684CE5">
            <w:pPr>
              <w:widowControl w:val="0"/>
              <w:tabs>
                <w:tab w:val="left" w:pos="1647"/>
              </w:tabs>
              <w:spacing w:after="80" w:line="320" w:lineRule="exact"/>
              <w:rPr>
                <w:b/>
                <w:sz w:val="26"/>
                <w:szCs w:val="26"/>
              </w:rPr>
            </w:pPr>
          </w:p>
        </w:tc>
        <w:tc>
          <w:tcPr>
            <w:tcW w:w="9639" w:type="dxa"/>
          </w:tcPr>
          <w:p w:rsidR="00BC75FB" w:rsidRPr="00BC75FB" w:rsidRDefault="00684CE5" w:rsidP="00BC75FB">
            <w:pPr>
              <w:tabs>
                <w:tab w:val="left" w:pos="993"/>
                <w:tab w:val="left" w:pos="1647"/>
              </w:tabs>
              <w:spacing w:after="80" w:line="320" w:lineRule="exact"/>
              <w:rPr>
                <w:b/>
                <w:sz w:val="26"/>
                <w:szCs w:val="26"/>
                <w:lang w:val="en-US"/>
              </w:rPr>
            </w:pPr>
            <w:r w:rsidRPr="00BC75FB">
              <w:rPr>
                <w:b/>
                <w:sz w:val="26"/>
                <w:szCs w:val="26"/>
              </w:rPr>
              <w:t xml:space="preserve">Bổ sung </w:t>
            </w:r>
            <w:r w:rsidR="00BC75FB">
              <w:rPr>
                <w:b/>
                <w:sz w:val="26"/>
                <w:szCs w:val="26"/>
                <w:lang w:val="en-US"/>
              </w:rPr>
              <w:t xml:space="preserve">quy định về </w:t>
            </w:r>
            <w:r w:rsidR="00BC75FB" w:rsidRPr="00BC75FB">
              <w:rPr>
                <w:b/>
                <w:sz w:val="26"/>
                <w:szCs w:val="26"/>
              </w:rPr>
              <w:t>Điều khoản thi hành</w:t>
            </w:r>
          </w:p>
          <w:p w:rsidR="00684CE5" w:rsidRPr="00E01941" w:rsidRDefault="00684CE5" w:rsidP="005638BB">
            <w:pPr>
              <w:pStyle w:val="ListParagraph"/>
              <w:numPr>
                <w:ilvl w:val="0"/>
                <w:numId w:val="4"/>
              </w:numPr>
              <w:tabs>
                <w:tab w:val="left" w:pos="346"/>
                <w:tab w:val="left" w:pos="1647"/>
              </w:tabs>
              <w:spacing w:after="80" w:line="320" w:lineRule="exact"/>
              <w:ind w:left="63" w:firstLine="0"/>
              <w:rPr>
                <w:sz w:val="26"/>
                <w:szCs w:val="26"/>
              </w:rPr>
            </w:pPr>
            <w:r w:rsidRPr="00E90877">
              <w:rPr>
                <w:sz w:val="26"/>
                <w:szCs w:val="26"/>
              </w:rPr>
              <w:t>Đối với</w:t>
            </w:r>
            <w:r w:rsidR="008B0E66">
              <w:rPr>
                <w:sz w:val="26"/>
                <w:szCs w:val="26"/>
                <w:lang w:val="en-US"/>
              </w:rPr>
              <w:t xml:space="preserve"> việc mua, bán</w:t>
            </w:r>
            <w:r w:rsidRPr="00E90877">
              <w:rPr>
                <w:sz w:val="26"/>
                <w:szCs w:val="26"/>
              </w:rPr>
              <w:t xml:space="preserve"> kỳ phiếu, tín phiếu đã phát hành chưa đến hạn thanh toán, </w:t>
            </w:r>
            <w:r w:rsidR="00713750">
              <w:rPr>
                <w:sz w:val="26"/>
                <w:szCs w:val="26"/>
              </w:rPr>
              <w:t>TCTD</w:t>
            </w:r>
            <w:r w:rsidRPr="00E90877">
              <w:rPr>
                <w:sz w:val="26"/>
                <w:szCs w:val="26"/>
              </w:rPr>
              <w:t xml:space="preserve">, </w:t>
            </w:r>
            <w:r w:rsidR="00713750">
              <w:rPr>
                <w:sz w:val="26"/>
                <w:szCs w:val="26"/>
              </w:rPr>
              <w:t>CNNHNg</w:t>
            </w:r>
            <w:r w:rsidRPr="00E90877">
              <w:rPr>
                <w:sz w:val="26"/>
                <w:szCs w:val="26"/>
              </w:rPr>
              <w:t xml:space="preserve"> </w:t>
            </w:r>
            <w:r w:rsidR="008B0E66">
              <w:rPr>
                <w:sz w:val="26"/>
                <w:szCs w:val="26"/>
                <w:lang w:val="en-US"/>
              </w:rPr>
              <w:t xml:space="preserve">thực hiện </w:t>
            </w:r>
            <w:r w:rsidR="001748A6" w:rsidRPr="001748A6">
              <w:rPr>
                <w:sz w:val="26"/>
                <w:szCs w:val="26"/>
              </w:rPr>
              <w:t xml:space="preserve">như đối với chứng chỉ tiền gửi </w:t>
            </w:r>
            <w:r w:rsidR="00242D5B" w:rsidRPr="00E01941">
              <w:rPr>
                <w:sz w:val="26"/>
                <w:szCs w:val="26"/>
              </w:rPr>
              <w:t xml:space="preserve">quy định tại Thông tư </w:t>
            </w:r>
            <w:r w:rsidR="00242D5B" w:rsidRPr="00E01941">
              <w:rPr>
                <w:sz w:val="26"/>
                <w:szCs w:val="26"/>
                <w:lang w:val="en-US"/>
              </w:rPr>
              <w:t xml:space="preserve">12/2021/TT-NHNN đã được sửa đổi, bổ sung theo quy định tại Thông tư </w:t>
            </w:r>
            <w:r w:rsidR="00242D5B" w:rsidRPr="00E01941">
              <w:rPr>
                <w:sz w:val="26"/>
                <w:szCs w:val="26"/>
              </w:rPr>
              <w:t>này cho đến ngày kỳ phiếu, tín phiếu đó đến hạn thanh toán</w:t>
            </w:r>
            <w:r w:rsidRPr="00E01941">
              <w:rPr>
                <w:sz w:val="26"/>
                <w:szCs w:val="26"/>
              </w:rPr>
              <w:t>.</w:t>
            </w:r>
          </w:p>
          <w:p w:rsidR="00684CE5" w:rsidRPr="009C1267" w:rsidRDefault="005638BB" w:rsidP="003D6054">
            <w:pPr>
              <w:tabs>
                <w:tab w:val="left" w:pos="993"/>
                <w:tab w:val="left" w:pos="1647"/>
              </w:tabs>
              <w:spacing w:before="120" w:after="80" w:line="320" w:lineRule="exact"/>
              <w:rPr>
                <w:bCs/>
                <w:sz w:val="26"/>
                <w:szCs w:val="26"/>
              </w:rPr>
            </w:pPr>
            <w:r w:rsidRPr="00E90877">
              <w:rPr>
                <w:b/>
                <w:color w:val="auto"/>
                <w:sz w:val="26"/>
                <w:szCs w:val="26"/>
                <w:u w:val="single"/>
                <w:lang w:val="pl-PL"/>
              </w:rPr>
              <w:t>Cơ sở đề xuất</w:t>
            </w:r>
            <w:r w:rsidRPr="00E90877">
              <w:rPr>
                <w:b/>
                <w:color w:val="auto"/>
                <w:sz w:val="26"/>
                <w:szCs w:val="26"/>
                <w:lang w:val="pl-PL"/>
              </w:rPr>
              <w:t>:</w:t>
            </w:r>
            <w:r w:rsidR="00713750">
              <w:rPr>
                <w:b/>
                <w:color w:val="auto"/>
                <w:sz w:val="26"/>
                <w:szCs w:val="26"/>
                <w:lang w:val="pl-PL"/>
              </w:rPr>
              <w:t xml:space="preserve"> </w:t>
            </w:r>
            <w:r w:rsidR="00713750" w:rsidRPr="00713750">
              <w:rPr>
                <w:bCs/>
                <w:sz w:val="26"/>
                <w:szCs w:val="26"/>
                <w:lang w:val="en-US"/>
              </w:rPr>
              <w:t xml:space="preserve">khoản 2, khoản 4 Điều 210 Luật Các TCTD năm 2024 có quy định: </w:t>
            </w:r>
            <w:r w:rsidR="00713750" w:rsidRPr="00713750">
              <w:rPr>
                <w:b/>
                <w:bCs/>
                <w:i/>
                <w:sz w:val="26"/>
                <w:szCs w:val="26"/>
                <w:lang w:val="en-US"/>
              </w:rPr>
              <w:t xml:space="preserve">(i) </w:t>
            </w:r>
            <w:r w:rsidR="00713750" w:rsidRPr="00713750">
              <w:rPr>
                <w:bCs/>
                <w:i/>
                <w:sz w:val="26"/>
                <w:szCs w:val="26"/>
                <w:lang w:val="en-US"/>
              </w:rPr>
              <w:t xml:space="preserve">Hợp đồng, giao dịch khác, thỏa thuận được ký kết trước ngày Luật các TCTD năm 2024 có hiệu lực thi hành, </w:t>
            </w:r>
            <w:r w:rsidR="00713750">
              <w:rPr>
                <w:bCs/>
                <w:i/>
                <w:sz w:val="26"/>
                <w:szCs w:val="26"/>
                <w:lang w:val="en-US"/>
              </w:rPr>
              <w:t>TCTD</w:t>
            </w:r>
            <w:r w:rsidR="00713750" w:rsidRPr="00713750">
              <w:rPr>
                <w:bCs/>
                <w:i/>
                <w:sz w:val="26"/>
                <w:szCs w:val="26"/>
                <w:lang w:val="en-US"/>
              </w:rPr>
              <w:t xml:space="preserve"> và khách hàng được tiếp tục thực hiện theo hợp đồng, giao dịch khác, thỏa thuận đã ký kết cho đến hết thời hạn của hợp đồng, giao dịch khác, thỏa thuận. Việc sửa đổi, bổ sung, gia hạn hợp đồng, giao dịch khác, thỏa thuận chỉ được thực hiện nếu nội dung sửa đổi, bổ sung, gia hạn phù hợp với quy định của Luật này; </w:t>
            </w:r>
            <w:r w:rsidR="00713750" w:rsidRPr="00713750">
              <w:rPr>
                <w:b/>
                <w:bCs/>
                <w:i/>
                <w:sz w:val="26"/>
                <w:szCs w:val="26"/>
                <w:lang w:val="en-US"/>
              </w:rPr>
              <w:t>(ii)</w:t>
            </w:r>
            <w:r w:rsidR="00713750" w:rsidRPr="00713750">
              <w:rPr>
                <w:bCs/>
                <w:sz w:val="26"/>
                <w:szCs w:val="26"/>
                <w:lang w:val="en-US"/>
              </w:rPr>
              <w:t xml:space="preserve"> </w:t>
            </w:r>
            <w:r w:rsidR="00713750" w:rsidRPr="00713750">
              <w:rPr>
                <w:bCs/>
                <w:i/>
                <w:sz w:val="26"/>
                <w:szCs w:val="26"/>
                <w:lang w:val="en-US"/>
              </w:rPr>
              <w:t>TCTD phát hành tiếp tục thực hiện theo các nội dung đã thỏa thuận cho đến khi thanh toán hết kỳ phiếu, tín phiếu</w:t>
            </w:r>
            <w:r w:rsidR="003D6054">
              <w:rPr>
                <w:bCs/>
                <w:i/>
                <w:sz w:val="26"/>
                <w:szCs w:val="26"/>
                <w:lang w:val="en-US"/>
              </w:rPr>
              <w:t>.</w:t>
            </w:r>
          </w:p>
        </w:tc>
      </w:tr>
    </w:tbl>
    <w:p w:rsidR="004903BF" w:rsidRPr="00E90877" w:rsidRDefault="004903BF" w:rsidP="005C56D3">
      <w:pPr>
        <w:rPr>
          <w:color w:val="FF0000"/>
          <w:sz w:val="26"/>
          <w:szCs w:val="26"/>
          <w:lang w:val="pl-PL"/>
        </w:rPr>
      </w:pPr>
    </w:p>
    <w:sectPr w:rsidR="004903BF" w:rsidRPr="00E90877" w:rsidSect="00E90877">
      <w:headerReference w:type="default" r:id="rId11"/>
      <w:pgSz w:w="16840" w:h="11907" w:orient="landscape" w:code="9"/>
      <w:pgMar w:top="567" w:right="1134" w:bottom="284" w:left="1134"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F26" w:rsidRDefault="00662F26" w:rsidP="00E17A98">
      <w:pPr>
        <w:spacing w:before="0"/>
      </w:pPr>
      <w:r>
        <w:separator/>
      </w:r>
    </w:p>
  </w:endnote>
  <w:endnote w:type="continuationSeparator" w:id="0">
    <w:p w:rsidR="00662F26" w:rsidRDefault="00662F26" w:rsidP="00E17A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F26" w:rsidRDefault="00662F26" w:rsidP="00E17A98">
      <w:pPr>
        <w:spacing w:before="0"/>
      </w:pPr>
      <w:r>
        <w:separator/>
      </w:r>
    </w:p>
  </w:footnote>
  <w:footnote w:type="continuationSeparator" w:id="0">
    <w:p w:rsidR="00662F26" w:rsidRDefault="00662F26" w:rsidP="00E17A9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379960"/>
      <w:docPartObj>
        <w:docPartGallery w:val="Page Numbers (Top of Page)"/>
        <w:docPartUnique/>
      </w:docPartObj>
    </w:sdtPr>
    <w:sdtEndPr>
      <w:rPr>
        <w:noProof/>
      </w:rPr>
    </w:sdtEndPr>
    <w:sdtContent>
      <w:p w:rsidR="00BF3F96" w:rsidRDefault="00BF3F96">
        <w:pPr>
          <w:pStyle w:val="Header"/>
          <w:jc w:val="center"/>
        </w:pPr>
        <w:r>
          <w:fldChar w:fldCharType="begin"/>
        </w:r>
        <w:r>
          <w:instrText xml:space="preserve"> PAGE   \* MERGEFORMAT </w:instrText>
        </w:r>
        <w:r>
          <w:fldChar w:fldCharType="separate"/>
        </w:r>
        <w:r w:rsidR="00002BEC">
          <w:rPr>
            <w:noProof/>
          </w:rPr>
          <w:t>3</w:t>
        </w:r>
        <w:r>
          <w:rPr>
            <w:noProof/>
          </w:rPr>
          <w:fldChar w:fldCharType="end"/>
        </w:r>
      </w:p>
    </w:sdtContent>
  </w:sdt>
  <w:p w:rsidR="00BF3F96" w:rsidRDefault="00BF3F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133D0"/>
    <w:multiLevelType w:val="hybridMultilevel"/>
    <w:tmpl w:val="29BC985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30F31C1"/>
    <w:multiLevelType w:val="hybridMultilevel"/>
    <w:tmpl w:val="ED628652"/>
    <w:lvl w:ilvl="0" w:tplc="0B809E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1312E7"/>
    <w:multiLevelType w:val="hybridMultilevel"/>
    <w:tmpl w:val="6D18A7EE"/>
    <w:lvl w:ilvl="0" w:tplc="687856E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99610F"/>
    <w:multiLevelType w:val="hybridMultilevel"/>
    <w:tmpl w:val="85F46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BF"/>
    <w:rsid w:val="00002BEC"/>
    <w:rsid w:val="00006224"/>
    <w:rsid w:val="0000714D"/>
    <w:rsid w:val="00010DAE"/>
    <w:rsid w:val="00011F9F"/>
    <w:rsid w:val="00012232"/>
    <w:rsid w:val="00015554"/>
    <w:rsid w:val="00015566"/>
    <w:rsid w:val="000169E7"/>
    <w:rsid w:val="00020E55"/>
    <w:rsid w:val="00022DA8"/>
    <w:rsid w:val="00022F95"/>
    <w:rsid w:val="000247EE"/>
    <w:rsid w:val="0002495E"/>
    <w:rsid w:val="000340EE"/>
    <w:rsid w:val="000443DB"/>
    <w:rsid w:val="000563D2"/>
    <w:rsid w:val="0007576C"/>
    <w:rsid w:val="0008208E"/>
    <w:rsid w:val="000969C4"/>
    <w:rsid w:val="000A3A3B"/>
    <w:rsid w:val="000A64A1"/>
    <w:rsid w:val="000B580F"/>
    <w:rsid w:val="000D322E"/>
    <w:rsid w:val="000F5B61"/>
    <w:rsid w:val="000F6FDE"/>
    <w:rsid w:val="000F7593"/>
    <w:rsid w:val="00107974"/>
    <w:rsid w:val="001143D2"/>
    <w:rsid w:val="00120F85"/>
    <w:rsid w:val="00126907"/>
    <w:rsid w:val="001355DD"/>
    <w:rsid w:val="00135C3F"/>
    <w:rsid w:val="001457DE"/>
    <w:rsid w:val="00150D0F"/>
    <w:rsid w:val="00154E4B"/>
    <w:rsid w:val="00160C35"/>
    <w:rsid w:val="00164CF9"/>
    <w:rsid w:val="001724EB"/>
    <w:rsid w:val="001748A6"/>
    <w:rsid w:val="00176A8A"/>
    <w:rsid w:val="00181E57"/>
    <w:rsid w:val="001832C8"/>
    <w:rsid w:val="00183896"/>
    <w:rsid w:val="00191D5A"/>
    <w:rsid w:val="00194F7B"/>
    <w:rsid w:val="001957BD"/>
    <w:rsid w:val="001A7995"/>
    <w:rsid w:val="001B7627"/>
    <w:rsid w:val="001B7E9B"/>
    <w:rsid w:val="001C51BA"/>
    <w:rsid w:val="001C5766"/>
    <w:rsid w:val="001E0C68"/>
    <w:rsid w:val="001F2656"/>
    <w:rsid w:val="001F3AA6"/>
    <w:rsid w:val="001F462A"/>
    <w:rsid w:val="001F5C0C"/>
    <w:rsid w:val="00206BA9"/>
    <w:rsid w:val="0020715E"/>
    <w:rsid w:val="00210CA0"/>
    <w:rsid w:val="00217643"/>
    <w:rsid w:val="002204E4"/>
    <w:rsid w:val="002209D4"/>
    <w:rsid w:val="002218B3"/>
    <w:rsid w:val="002239A5"/>
    <w:rsid w:val="00224857"/>
    <w:rsid w:val="00227A38"/>
    <w:rsid w:val="0023070D"/>
    <w:rsid w:val="00232F31"/>
    <w:rsid w:val="00234ACC"/>
    <w:rsid w:val="00234D3E"/>
    <w:rsid w:val="0023668B"/>
    <w:rsid w:val="00242D5B"/>
    <w:rsid w:val="002436FE"/>
    <w:rsid w:val="00244C57"/>
    <w:rsid w:val="00245AD3"/>
    <w:rsid w:val="00251B27"/>
    <w:rsid w:val="00252358"/>
    <w:rsid w:val="00255859"/>
    <w:rsid w:val="002564E5"/>
    <w:rsid w:val="0026103B"/>
    <w:rsid w:val="002628F3"/>
    <w:rsid w:val="00264951"/>
    <w:rsid w:val="00271879"/>
    <w:rsid w:val="00272EC9"/>
    <w:rsid w:val="002806E0"/>
    <w:rsid w:val="00281BAE"/>
    <w:rsid w:val="002859B2"/>
    <w:rsid w:val="00290113"/>
    <w:rsid w:val="00291627"/>
    <w:rsid w:val="002948D4"/>
    <w:rsid w:val="002A25AD"/>
    <w:rsid w:val="002B4EEE"/>
    <w:rsid w:val="002B6995"/>
    <w:rsid w:val="002B7BEC"/>
    <w:rsid w:val="002C0925"/>
    <w:rsid w:val="002C791A"/>
    <w:rsid w:val="002D1F5A"/>
    <w:rsid w:val="002D5DB0"/>
    <w:rsid w:val="002E0D7A"/>
    <w:rsid w:val="002E2FDC"/>
    <w:rsid w:val="002E79EE"/>
    <w:rsid w:val="002F5211"/>
    <w:rsid w:val="002F5498"/>
    <w:rsid w:val="00300C64"/>
    <w:rsid w:val="003037D2"/>
    <w:rsid w:val="003042FD"/>
    <w:rsid w:val="003065D5"/>
    <w:rsid w:val="0030682E"/>
    <w:rsid w:val="0031698B"/>
    <w:rsid w:val="00316F82"/>
    <w:rsid w:val="00320355"/>
    <w:rsid w:val="003211D2"/>
    <w:rsid w:val="00321547"/>
    <w:rsid w:val="00322D07"/>
    <w:rsid w:val="00323F53"/>
    <w:rsid w:val="00333754"/>
    <w:rsid w:val="00333AD5"/>
    <w:rsid w:val="00360749"/>
    <w:rsid w:val="0036218F"/>
    <w:rsid w:val="003628E5"/>
    <w:rsid w:val="00362B94"/>
    <w:rsid w:val="00364EEF"/>
    <w:rsid w:val="00366889"/>
    <w:rsid w:val="003774A5"/>
    <w:rsid w:val="00386170"/>
    <w:rsid w:val="00387D66"/>
    <w:rsid w:val="003A2694"/>
    <w:rsid w:val="003A4668"/>
    <w:rsid w:val="003A555E"/>
    <w:rsid w:val="003A6A4B"/>
    <w:rsid w:val="003A7EAB"/>
    <w:rsid w:val="003B32AD"/>
    <w:rsid w:val="003B3FF5"/>
    <w:rsid w:val="003C1DE0"/>
    <w:rsid w:val="003D18F7"/>
    <w:rsid w:val="003D2947"/>
    <w:rsid w:val="003D6054"/>
    <w:rsid w:val="003E2B42"/>
    <w:rsid w:val="003F0412"/>
    <w:rsid w:val="003F14FA"/>
    <w:rsid w:val="003F1A2E"/>
    <w:rsid w:val="004004D7"/>
    <w:rsid w:val="00401E0F"/>
    <w:rsid w:val="00406541"/>
    <w:rsid w:val="00411DB7"/>
    <w:rsid w:val="00413D7A"/>
    <w:rsid w:val="00415327"/>
    <w:rsid w:val="004176B6"/>
    <w:rsid w:val="00425A3E"/>
    <w:rsid w:val="00441EC4"/>
    <w:rsid w:val="004446AD"/>
    <w:rsid w:val="00445DB6"/>
    <w:rsid w:val="00455826"/>
    <w:rsid w:val="00460F08"/>
    <w:rsid w:val="004623A7"/>
    <w:rsid w:val="004632B4"/>
    <w:rsid w:val="004639D2"/>
    <w:rsid w:val="0046506F"/>
    <w:rsid w:val="0047472D"/>
    <w:rsid w:val="0047510A"/>
    <w:rsid w:val="00484FBC"/>
    <w:rsid w:val="004857D9"/>
    <w:rsid w:val="00486C69"/>
    <w:rsid w:val="0048741D"/>
    <w:rsid w:val="00487A56"/>
    <w:rsid w:val="00490341"/>
    <w:rsid w:val="004903BF"/>
    <w:rsid w:val="00491C56"/>
    <w:rsid w:val="00497782"/>
    <w:rsid w:val="004A1F93"/>
    <w:rsid w:val="004A2D4A"/>
    <w:rsid w:val="004A4419"/>
    <w:rsid w:val="004A556F"/>
    <w:rsid w:val="004A739B"/>
    <w:rsid w:val="004A7B04"/>
    <w:rsid w:val="004C43D0"/>
    <w:rsid w:val="004D1F98"/>
    <w:rsid w:val="004D20EC"/>
    <w:rsid w:val="004D29E3"/>
    <w:rsid w:val="004E0071"/>
    <w:rsid w:val="004E19AD"/>
    <w:rsid w:val="004E1D81"/>
    <w:rsid w:val="004F03EB"/>
    <w:rsid w:val="004F3980"/>
    <w:rsid w:val="004F54A5"/>
    <w:rsid w:val="004F60B9"/>
    <w:rsid w:val="004F6ADE"/>
    <w:rsid w:val="00503DA9"/>
    <w:rsid w:val="00513D07"/>
    <w:rsid w:val="005239EF"/>
    <w:rsid w:val="00524C9C"/>
    <w:rsid w:val="0052519F"/>
    <w:rsid w:val="00526C84"/>
    <w:rsid w:val="00536A27"/>
    <w:rsid w:val="00545B61"/>
    <w:rsid w:val="005521AB"/>
    <w:rsid w:val="005521DF"/>
    <w:rsid w:val="0055293E"/>
    <w:rsid w:val="005532F6"/>
    <w:rsid w:val="005551EC"/>
    <w:rsid w:val="00561626"/>
    <w:rsid w:val="00563241"/>
    <w:rsid w:val="005638BB"/>
    <w:rsid w:val="00563B18"/>
    <w:rsid w:val="00564BA2"/>
    <w:rsid w:val="0057097D"/>
    <w:rsid w:val="0058079E"/>
    <w:rsid w:val="00585FBD"/>
    <w:rsid w:val="00590176"/>
    <w:rsid w:val="0059421C"/>
    <w:rsid w:val="0059474A"/>
    <w:rsid w:val="00594B61"/>
    <w:rsid w:val="005A12EC"/>
    <w:rsid w:val="005A2635"/>
    <w:rsid w:val="005B3298"/>
    <w:rsid w:val="005B6116"/>
    <w:rsid w:val="005B6E70"/>
    <w:rsid w:val="005B7805"/>
    <w:rsid w:val="005C0D7E"/>
    <w:rsid w:val="005C56D3"/>
    <w:rsid w:val="005C6CB2"/>
    <w:rsid w:val="005C717D"/>
    <w:rsid w:val="005D22E7"/>
    <w:rsid w:val="005D5DFB"/>
    <w:rsid w:val="005D723D"/>
    <w:rsid w:val="005E59BF"/>
    <w:rsid w:val="005F43A8"/>
    <w:rsid w:val="006008D6"/>
    <w:rsid w:val="0061034E"/>
    <w:rsid w:val="0061200E"/>
    <w:rsid w:val="00613F87"/>
    <w:rsid w:val="00614246"/>
    <w:rsid w:val="00617971"/>
    <w:rsid w:val="0062164C"/>
    <w:rsid w:val="00623538"/>
    <w:rsid w:val="00634C9D"/>
    <w:rsid w:val="00635CD3"/>
    <w:rsid w:val="00637112"/>
    <w:rsid w:val="0064330C"/>
    <w:rsid w:val="00643FCE"/>
    <w:rsid w:val="00644CAE"/>
    <w:rsid w:val="00647A37"/>
    <w:rsid w:val="006503CE"/>
    <w:rsid w:val="00651873"/>
    <w:rsid w:val="00652B0F"/>
    <w:rsid w:val="00654B3F"/>
    <w:rsid w:val="006601F9"/>
    <w:rsid w:val="00662F26"/>
    <w:rsid w:val="00664F4C"/>
    <w:rsid w:val="0066699E"/>
    <w:rsid w:val="00666C24"/>
    <w:rsid w:val="006817B1"/>
    <w:rsid w:val="006828FB"/>
    <w:rsid w:val="00684CE5"/>
    <w:rsid w:val="00685757"/>
    <w:rsid w:val="00696F1C"/>
    <w:rsid w:val="0069749B"/>
    <w:rsid w:val="006B1537"/>
    <w:rsid w:val="006B383C"/>
    <w:rsid w:val="006B6940"/>
    <w:rsid w:val="006C10C8"/>
    <w:rsid w:val="006C7FA0"/>
    <w:rsid w:val="006D015D"/>
    <w:rsid w:val="006D44BB"/>
    <w:rsid w:val="006E1FC8"/>
    <w:rsid w:val="006E5067"/>
    <w:rsid w:val="006E6A40"/>
    <w:rsid w:val="006E7508"/>
    <w:rsid w:val="006F5EBE"/>
    <w:rsid w:val="00701DA0"/>
    <w:rsid w:val="007128ED"/>
    <w:rsid w:val="00713750"/>
    <w:rsid w:val="00715272"/>
    <w:rsid w:val="00722390"/>
    <w:rsid w:val="00730649"/>
    <w:rsid w:val="00731072"/>
    <w:rsid w:val="00731BF2"/>
    <w:rsid w:val="00731F8E"/>
    <w:rsid w:val="007328C4"/>
    <w:rsid w:val="007346C7"/>
    <w:rsid w:val="00741387"/>
    <w:rsid w:val="00747570"/>
    <w:rsid w:val="0075429A"/>
    <w:rsid w:val="007550C3"/>
    <w:rsid w:val="00761924"/>
    <w:rsid w:val="00762789"/>
    <w:rsid w:val="00771268"/>
    <w:rsid w:val="0077346D"/>
    <w:rsid w:val="0077717D"/>
    <w:rsid w:val="007848EF"/>
    <w:rsid w:val="0079201C"/>
    <w:rsid w:val="00794FE6"/>
    <w:rsid w:val="00795EA8"/>
    <w:rsid w:val="007A00F3"/>
    <w:rsid w:val="007A210C"/>
    <w:rsid w:val="007B09B6"/>
    <w:rsid w:val="007B6AE3"/>
    <w:rsid w:val="007B7785"/>
    <w:rsid w:val="007E7BA1"/>
    <w:rsid w:val="007F4615"/>
    <w:rsid w:val="007F6DD5"/>
    <w:rsid w:val="007F7D7E"/>
    <w:rsid w:val="00801056"/>
    <w:rsid w:val="00801583"/>
    <w:rsid w:val="00807AA4"/>
    <w:rsid w:val="00811900"/>
    <w:rsid w:val="00813149"/>
    <w:rsid w:val="00813F32"/>
    <w:rsid w:val="00821213"/>
    <w:rsid w:val="008233DE"/>
    <w:rsid w:val="00826A69"/>
    <w:rsid w:val="00830051"/>
    <w:rsid w:val="00831F15"/>
    <w:rsid w:val="0083460C"/>
    <w:rsid w:val="00837ADB"/>
    <w:rsid w:val="0084197B"/>
    <w:rsid w:val="00855630"/>
    <w:rsid w:val="00855780"/>
    <w:rsid w:val="00860DBB"/>
    <w:rsid w:val="0086133B"/>
    <w:rsid w:val="00861CF8"/>
    <w:rsid w:val="0086319E"/>
    <w:rsid w:val="00873726"/>
    <w:rsid w:val="00873D31"/>
    <w:rsid w:val="00874E8B"/>
    <w:rsid w:val="00877688"/>
    <w:rsid w:val="0088095F"/>
    <w:rsid w:val="00885690"/>
    <w:rsid w:val="00885CE8"/>
    <w:rsid w:val="00885EA6"/>
    <w:rsid w:val="00886CC4"/>
    <w:rsid w:val="00895FE9"/>
    <w:rsid w:val="008A1599"/>
    <w:rsid w:val="008A38B3"/>
    <w:rsid w:val="008A406A"/>
    <w:rsid w:val="008A63FF"/>
    <w:rsid w:val="008B0E66"/>
    <w:rsid w:val="008B1449"/>
    <w:rsid w:val="008B7132"/>
    <w:rsid w:val="008C2AB7"/>
    <w:rsid w:val="008C38DB"/>
    <w:rsid w:val="008C61E8"/>
    <w:rsid w:val="008E0297"/>
    <w:rsid w:val="008E116A"/>
    <w:rsid w:val="008E6E8F"/>
    <w:rsid w:val="008E7CA6"/>
    <w:rsid w:val="008F020F"/>
    <w:rsid w:val="008F0D50"/>
    <w:rsid w:val="008F4CD9"/>
    <w:rsid w:val="008F6CA7"/>
    <w:rsid w:val="008F7C53"/>
    <w:rsid w:val="009008CB"/>
    <w:rsid w:val="00901CFB"/>
    <w:rsid w:val="00920153"/>
    <w:rsid w:val="009231D8"/>
    <w:rsid w:val="00932485"/>
    <w:rsid w:val="0093345A"/>
    <w:rsid w:val="0094369F"/>
    <w:rsid w:val="009502F8"/>
    <w:rsid w:val="0095456C"/>
    <w:rsid w:val="00957054"/>
    <w:rsid w:val="00961965"/>
    <w:rsid w:val="009709FF"/>
    <w:rsid w:val="009714B2"/>
    <w:rsid w:val="00972BC7"/>
    <w:rsid w:val="0098036F"/>
    <w:rsid w:val="009812C1"/>
    <w:rsid w:val="0098545A"/>
    <w:rsid w:val="0099321E"/>
    <w:rsid w:val="009A0E0E"/>
    <w:rsid w:val="009A1F18"/>
    <w:rsid w:val="009B124E"/>
    <w:rsid w:val="009C0670"/>
    <w:rsid w:val="009C1267"/>
    <w:rsid w:val="009C3EEA"/>
    <w:rsid w:val="009C636A"/>
    <w:rsid w:val="009D0B45"/>
    <w:rsid w:val="009D10BC"/>
    <w:rsid w:val="009D2682"/>
    <w:rsid w:val="009D74BE"/>
    <w:rsid w:val="009E3D88"/>
    <w:rsid w:val="009E3E3A"/>
    <w:rsid w:val="009F5E34"/>
    <w:rsid w:val="009F753F"/>
    <w:rsid w:val="00A03D68"/>
    <w:rsid w:val="00A11909"/>
    <w:rsid w:val="00A200A4"/>
    <w:rsid w:val="00A21584"/>
    <w:rsid w:val="00A21E2A"/>
    <w:rsid w:val="00A22765"/>
    <w:rsid w:val="00A22CF2"/>
    <w:rsid w:val="00A32365"/>
    <w:rsid w:val="00A326CC"/>
    <w:rsid w:val="00A33A24"/>
    <w:rsid w:val="00A44B2E"/>
    <w:rsid w:val="00A45B91"/>
    <w:rsid w:val="00A467C5"/>
    <w:rsid w:val="00A50EA0"/>
    <w:rsid w:val="00A55FD1"/>
    <w:rsid w:val="00A57BB0"/>
    <w:rsid w:val="00A61A5A"/>
    <w:rsid w:val="00A63E23"/>
    <w:rsid w:val="00A662B0"/>
    <w:rsid w:val="00A67C94"/>
    <w:rsid w:val="00A70448"/>
    <w:rsid w:val="00A74510"/>
    <w:rsid w:val="00A875DD"/>
    <w:rsid w:val="00A924C9"/>
    <w:rsid w:val="00AA1C43"/>
    <w:rsid w:val="00AA3AB2"/>
    <w:rsid w:val="00AB04DA"/>
    <w:rsid w:val="00AB664C"/>
    <w:rsid w:val="00AB7734"/>
    <w:rsid w:val="00AB7F00"/>
    <w:rsid w:val="00AC220F"/>
    <w:rsid w:val="00AC2434"/>
    <w:rsid w:val="00AD473B"/>
    <w:rsid w:val="00AE1D85"/>
    <w:rsid w:val="00AE3C1F"/>
    <w:rsid w:val="00AF1719"/>
    <w:rsid w:val="00AF28E1"/>
    <w:rsid w:val="00B0000F"/>
    <w:rsid w:val="00B03332"/>
    <w:rsid w:val="00B07768"/>
    <w:rsid w:val="00B102D8"/>
    <w:rsid w:val="00B13386"/>
    <w:rsid w:val="00B14777"/>
    <w:rsid w:val="00B1683E"/>
    <w:rsid w:val="00B26534"/>
    <w:rsid w:val="00B412BC"/>
    <w:rsid w:val="00B41B59"/>
    <w:rsid w:val="00B47199"/>
    <w:rsid w:val="00B534E9"/>
    <w:rsid w:val="00B60928"/>
    <w:rsid w:val="00B65D25"/>
    <w:rsid w:val="00B73493"/>
    <w:rsid w:val="00B736EA"/>
    <w:rsid w:val="00B77038"/>
    <w:rsid w:val="00B8527C"/>
    <w:rsid w:val="00B87458"/>
    <w:rsid w:val="00B949D2"/>
    <w:rsid w:val="00B94FD7"/>
    <w:rsid w:val="00BB02C5"/>
    <w:rsid w:val="00BB1164"/>
    <w:rsid w:val="00BB76FD"/>
    <w:rsid w:val="00BC055E"/>
    <w:rsid w:val="00BC75FB"/>
    <w:rsid w:val="00BD7006"/>
    <w:rsid w:val="00BE17A6"/>
    <w:rsid w:val="00BE2E08"/>
    <w:rsid w:val="00BE7167"/>
    <w:rsid w:val="00BF3F96"/>
    <w:rsid w:val="00C01263"/>
    <w:rsid w:val="00C02413"/>
    <w:rsid w:val="00C163B6"/>
    <w:rsid w:val="00C16DE3"/>
    <w:rsid w:val="00C20860"/>
    <w:rsid w:val="00C233D8"/>
    <w:rsid w:val="00C2524B"/>
    <w:rsid w:val="00C30759"/>
    <w:rsid w:val="00C3334D"/>
    <w:rsid w:val="00C34D0C"/>
    <w:rsid w:val="00C4691C"/>
    <w:rsid w:val="00C53089"/>
    <w:rsid w:val="00C60CF1"/>
    <w:rsid w:val="00C632B0"/>
    <w:rsid w:val="00C70B05"/>
    <w:rsid w:val="00C70CD8"/>
    <w:rsid w:val="00C741C2"/>
    <w:rsid w:val="00C803D0"/>
    <w:rsid w:val="00C849EC"/>
    <w:rsid w:val="00C8616B"/>
    <w:rsid w:val="00C875CC"/>
    <w:rsid w:val="00C93B3A"/>
    <w:rsid w:val="00C9453E"/>
    <w:rsid w:val="00C95349"/>
    <w:rsid w:val="00C95BB1"/>
    <w:rsid w:val="00CA16AA"/>
    <w:rsid w:val="00CA22BD"/>
    <w:rsid w:val="00CB7930"/>
    <w:rsid w:val="00CC1305"/>
    <w:rsid w:val="00CC3A1D"/>
    <w:rsid w:val="00CC3A50"/>
    <w:rsid w:val="00CD30DF"/>
    <w:rsid w:val="00CD4CF6"/>
    <w:rsid w:val="00CD61B7"/>
    <w:rsid w:val="00CD64D9"/>
    <w:rsid w:val="00CF637D"/>
    <w:rsid w:val="00CF6D66"/>
    <w:rsid w:val="00D0538C"/>
    <w:rsid w:val="00D14E07"/>
    <w:rsid w:val="00D164E9"/>
    <w:rsid w:val="00D274D1"/>
    <w:rsid w:val="00D3189C"/>
    <w:rsid w:val="00D3231F"/>
    <w:rsid w:val="00D35FDB"/>
    <w:rsid w:val="00D4129C"/>
    <w:rsid w:val="00D4271A"/>
    <w:rsid w:val="00D4465F"/>
    <w:rsid w:val="00D46C84"/>
    <w:rsid w:val="00D61467"/>
    <w:rsid w:val="00D62858"/>
    <w:rsid w:val="00D67D20"/>
    <w:rsid w:val="00D76082"/>
    <w:rsid w:val="00D765A4"/>
    <w:rsid w:val="00D80900"/>
    <w:rsid w:val="00D82740"/>
    <w:rsid w:val="00D905A0"/>
    <w:rsid w:val="00D90C13"/>
    <w:rsid w:val="00D92378"/>
    <w:rsid w:val="00D96DEA"/>
    <w:rsid w:val="00DA5CD9"/>
    <w:rsid w:val="00DC0E9A"/>
    <w:rsid w:val="00DC1EEC"/>
    <w:rsid w:val="00DC529B"/>
    <w:rsid w:val="00DD30E6"/>
    <w:rsid w:val="00DD4104"/>
    <w:rsid w:val="00DE1D5A"/>
    <w:rsid w:val="00DE2C25"/>
    <w:rsid w:val="00DE6B7A"/>
    <w:rsid w:val="00E01941"/>
    <w:rsid w:val="00E17A98"/>
    <w:rsid w:val="00E25370"/>
    <w:rsid w:val="00E367BC"/>
    <w:rsid w:val="00E37E33"/>
    <w:rsid w:val="00E410E7"/>
    <w:rsid w:val="00E5243B"/>
    <w:rsid w:val="00E53EAE"/>
    <w:rsid w:val="00E53F61"/>
    <w:rsid w:val="00E636C7"/>
    <w:rsid w:val="00E66599"/>
    <w:rsid w:val="00E670FB"/>
    <w:rsid w:val="00E718FB"/>
    <w:rsid w:val="00E737E6"/>
    <w:rsid w:val="00E82FF4"/>
    <w:rsid w:val="00E84C0B"/>
    <w:rsid w:val="00E8718F"/>
    <w:rsid w:val="00E90877"/>
    <w:rsid w:val="00EA19AF"/>
    <w:rsid w:val="00EA3318"/>
    <w:rsid w:val="00EB08D4"/>
    <w:rsid w:val="00EB2441"/>
    <w:rsid w:val="00EB7CF6"/>
    <w:rsid w:val="00EC6703"/>
    <w:rsid w:val="00EE21D9"/>
    <w:rsid w:val="00EE2A6D"/>
    <w:rsid w:val="00EE33A8"/>
    <w:rsid w:val="00EE57F0"/>
    <w:rsid w:val="00EF5517"/>
    <w:rsid w:val="00EF7B11"/>
    <w:rsid w:val="00F05413"/>
    <w:rsid w:val="00F102E5"/>
    <w:rsid w:val="00F10D6A"/>
    <w:rsid w:val="00F1341D"/>
    <w:rsid w:val="00F14631"/>
    <w:rsid w:val="00F202DB"/>
    <w:rsid w:val="00F20763"/>
    <w:rsid w:val="00F21AA5"/>
    <w:rsid w:val="00F247D6"/>
    <w:rsid w:val="00F24DA8"/>
    <w:rsid w:val="00F30906"/>
    <w:rsid w:val="00F31E6D"/>
    <w:rsid w:val="00F33C61"/>
    <w:rsid w:val="00F33E61"/>
    <w:rsid w:val="00F41617"/>
    <w:rsid w:val="00F45E9A"/>
    <w:rsid w:val="00F539F3"/>
    <w:rsid w:val="00F55632"/>
    <w:rsid w:val="00F5702B"/>
    <w:rsid w:val="00F5784B"/>
    <w:rsid w:val="00F61573"/>
    <w:rsid w:val="00F63CCB"/>
    <w:rsid w:val="00F63FDA"/>
    <w:rsid w:val="00F67BA8"/>
    <w:rsid w:val="00F81FDF"/>
    <w:rsid w:val="00F82791"/>
    <w:rsid w:val="00F831AC"/>
    <w:rsid w:val="00F83407"/>
    <w:rsid w:val="00F94550"/>
    <w:rsid w:val="00F9544C"/>
    <w:rsid w:val="00FA2881"/>
    <w:rsid w:val="00FA69A1"/>
    <w:rsid w:val="00FA6C42"/>
    <w:rsid w:val="00FB07A9"/>
    <w:rsid w:val="00FC2693"/>
    <w:rsid w:val="00FC5167"/>
    <w:rsid w:val="00FD17ED"/>
    <w:rsid w:val="00FD2BF6"/>
    <w:rsid w:val="00FD5963"/>
    <w:rsid w:val="00FD77CE"/>
    <w:rsid w:val="00FD7B0B"/>
    <w:rsid w:val="00FE1334"/>
    <w:rsid w:val="00FE3E20"/>
    <w:rsid w:val="00FE4BD8"/>
    <w:rsid w:val="00FF272E"/>
    <w:rsid w:val="00FF7E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C05C4-357E-4832-9867-4BA4ABB5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8"/>
        <w:lang w:val="vi-VN" w:eastAsia="en-US"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2C1"/>
  </w:style>
  <w:style w:type="paragraph" w:styleId="Heading2">
    <w:name w:val="heading 2"/>
    <w:basedOn w:val="Normal"/>
    <w:next w:val="Normal"/>
    <w:link w:val="Heading2Char"/>
    <w:uiPriority w:val="9"/>
    <w:unhideWhenUsed/>
    <w:qFormat/>
    <w:rsid w:val="00B94FD7"/>
    <w:pPr>
      <w:keepNext/>
      <w:keepLines/>
      <w:jc w:val="left"/>
      <w:outlineLvl w:val="1"/>
    </w:pPr>
    <w:rPr>
      <w:rFonts w:asciiTheme="majorHAnsi" w:eastAsiaTheme="majorEastAsia" w:hAnsiTheme="majorHAnsi" w:cstheme="majorBidi"/>
      <w:b/>
      <w:bCs/>
      <w:color w:val="auto"/>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03B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link w:val="NormalWebChar"/>
    <w:rsid w:val="007128ED"/>
    <w:pPr>
      <w:spacing w:before="100" w:beforeAutospacing="1" w:after="100" w:afterAutospacing="1"/>
      <w:jc w:val="left"/>
    </w:pPr>
    <w:rPr>
      <w:rFonts w:eastAsia="Times New Roman"/>
      <w:color w:val="auto"/>
      <w:sz w:val="24"/>
      <w:szCs w:val="24"/>
      <w:lang w:val="en-US"/>
    </w:rPr>
  </w:style>
  <w:style w:type="character" w:customStyle="1" w:styleId="NormalWebChar">
    <w:name w:val="Normal (Web) Char"/>
    <w:basedOn w:val="DefaultParagraphFont"/>
    <w:link w:val="NormalWeb"/>
    <w:rsid w:val="004D1F98"/>
    <w:rPr>
      <w:rFonts w:eastAsia="Times New Roman"/>
      <w:color w:val="auto"/>
      <w:sz w:val="24"/>
      <w:szCs w:val="24"/>
      <w:lang w:val="en-US"/>
    </w:rPr>
  </w:style>
  <w:style w:type="character" w:styleId="PlaceholderText">
    <w:name w:val="Placeholder Text"/>
    <w:basedOn w:val="DefaultParagraphFont"/>
    <w:uiPriority w:val="99"/>
    <w:semiHidden/>
    <w:rsid w:val="008E116A"/>
    <w:rPr>
      <w:color w:val="808080"/>
    </w:rPr>
  </w:style>
  <w:style w:type="paragraph" w:styleId="BalloonText">
    <w:name w:val="Balloon Text"/>
    <w:basedOn w:val="Normal"/>
    <w:link w:val="BalloonTextChar"/>
    <w:uiPriority w:val="99"/>
    <w:semiHidden/>
    <w:unhideWhenUsed/>
    <w:rsid w:val="008E116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16A"/>
    <w:rPr>
      <w:rFonts w:ascii="Tahoma" w:hAnsi="Tahoma" w:cs="Tahoma"/>
      <w:sz w:val="16"/>
      <w:szCs w:val="16"/>
    </w:rPr>
  </w:style>
  <w:style w:type="paragraph" w:styleId="ListParagraph">
    <w:name w:val="List Paragraph"/>
    <w:basedOn w:val="Normal"/>
    <w:uiPriority w:val="34"/>
    <w:qFormat/>
    <w:rsid w:val="00290113"/>
    <w:pPr>
      <w:ind w:left="720"/>
      <w:contextualSpacing/>
    </w:pPr>
  </w:style>
  <w:style w:type="paragraph" w:styleId="Footer">
    <w:name w:val="footer"/>
    <w:basedOn w:val="Normal"/>
    <w:link w:val="FooterChar"/>
    <w:uiPriority w:val="99"/>
    <w:rsid w:val="0099321E"/>
    <w:pPr>
      <w:tabs>
        <w:tab w:val="center" w:pos="4320"/>
        <w:tab w:val="right" w:pos="8640"/>
      </w:tabs>
      <w:spacing w:before="0"/>
      <w:jc w:val="left"/>
    </w:pPr>
    <w:rPr>
      <w:rFonts w:eastAsia="Times New Roman"/>
      <w:color w:val="auto"/>
      <w:sz w:val="24"/>
      <w:szCs w:val="24"/>
      <w:lang w:val="en-US"/>
    </w:rPr>
  </w:style>
  <w:style w:type="character" w:customStyle="1" w:styleId="FooterChar">
    <w:name w:val="Footer Char"/>
    <w:basedOn w:val="DefaultParagraphFont"/>
    <w:link w:val="Footer"/>
    <w:uiPriority w:val="99"/>
    <w:rsid w:val="0099321E"/>
    <w:rPr>
      <w:rFonts w:eastAsia="Times New Roman"/>
      <w:color w:val="auto"/>
      <w:sz w:val="24"/>
      <w:szCs w:val="24"/>
      <w:lang w:val="en-US"/>
    </w:rPr>
  </w:style>
  <w:style w:type="paragraph" w:styleId="Header">
    <w:name w:val="header"/>
    <w:basedOn w:val="Normal"/>
    <w:link w:val="HeaderChar"/>
    <w:uiPriority w:val="99"/>
    <w:unhideWhenUsed/>
    <w:rsid w:val="00E17A98"/>
    <w:pPr>
      <w:tabs>
        <w:tab w:val="center" w:pos="4513"/>
        <w:tab w:val="right" w:pos="9026"/>
      </w:tabs>
      <w:spacing w:before="0"/>
    </w:pPr>
  </w:style>
  <w:style w:type="character" w:customStyle="1" w:styleId="HeaderChar">
    <w:name w:val="Header Char"/>
    <w:basedOn w:val="DefaultParagraphFont"/>
    <w:link w:val="Header"/>
    <w:uiPriority w:val="99"/>
    <w:rsid w:val="00E17A98"/>
  </w:style>
  <w:style w:type="paragraph" w:styleId="Revision">
    <w:name w:val="Revision"/>
    <w:hidden/>
    <w:uiPriority w:val="99"/>
    <w:semiHidden/>
    <w:rsid w:val="00961965"/>
    <w:pPr>
      <w:spacing w:before="0"/>
      <w:jc w:val="left"/>
    </w:pPr>
  </w:style>
  <w:style w:type="character" w:customStyle="1" w:styleId="Heading2Char">
    <w:name w:val="Heading 2 Char"/>
    <w:basedOn w:val="DefaultParagraphFont"/>
    <w:link w:val="Heading2"/>
    <w:uiPriority w:val="9"/>
    <w:rsid w:val="00B94FD7"/>
    <w:rPr>
      <w:rFonts w:asciiTheme="majorHAnsi" w:eastAsiaTheme="majorEastAsia" w:hAnsiTheme="majorHAnsi" w:cstheme="majorBidi"/>
      <w:b/>
      <w:bCs/>
      <w:color w:val="auto"/>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5027">
      <w:bodyDiv w:val="1"/>
      <w:marLeft w:val="0"/>
      <w:marRight w:val="0"/>
      <w:marTop w:val="0"/>
      <w:marBottom w:val="0"/>
      <w:divBdr>
        <w:top w:val="none" w:sz="0" w:space="0" w:color="auto"/>
        <w:left w:val="none" w:sz="0" w:space="0" w:color="auto"/>
        <w:bottom w:val="none" w:sz="0" w:space="0" w:color="auto"/>
        <w:right w:val="none" w:sz="0" w:space="0" w:color="auto"/>
      </w:divBdr>
    </w:div>
    <w:div w:id="349600722">
      <w:bodyDiv w:val="1"/>
      <w:marLeft w:val="0"/>
      <w:marRight w:val="0"/>
      <w:marTop w:val="0"/>
      <w:marBottom w:val="0"/>
      <w:divBdr>
        <w:top w:val="none" w:sz="0" w:space="0" w:color="auto"/>
        <w:left w:val="none" w:sz="0" w:space="0" w:color="auto"/>
        <w:bottom w:val="none" w:sz="0" w:space="0" w:color="auto"/>
        <w:right w:val="none" w:sz="0" w:space="0" w:color="auto"/>
      </w:divBdr>
    </w:div>
    <w:div w:id="380128615">
      <w:bodyDiv w:val="1"/>
      <w:marLeft w:val="0"/>
      <w:marRight w:val="0"/>
      <w:marTop w:val="0"/>
      <w:marBottom w:val="0"/>
      <w:divBdr>
        <w:top w:val="none" w:sz="0" w:space="0" w:color="auto"/>
        <w:left w:val="none" w:sz="0" w:space="0" w:color="auto"/>
        <w:bottom w:val="none" w:sz="0" w:space="0" w:color="auto"/>
        <w:right w:val="none" w:sz="0" w:space="0" w:color="auto"/>
      </w:divBdr>
    </w:div>
    <w:div w:id="696008666">
      <w:bodyDiv w:val="1"/>
      <w:marLeft w:val="0"/>
      <w:marRight w:val="0"/>
      <w:marTop w:val="0"/>
      <w:marBottom w:val="0"/>
      <w:divBdr>
        <w:top w:val="none" w:sz="0" w:space="0" w:color="auto"/>
        <w:left w:val="none" w:sz="0" w:space="0" w:color="auto"/>
        <w:bottom w:val="none" w:sz="0" w:space="0" w:color="auto"/>
        <w:right w:val="none" w:sz="0" w:space="0" w:color="auto"/>
      </w:divBdr>
    </w:div>
    <w:div w:id="836652829">
      <w:bodyDiv w:val="1"/>
      <w:marLeft w:val="0"/>
      <w:marRight w:val="0"/>
      <w:marTop w:val="0"/>
      <w:marBottom w:val="0"/>
      <w:divBdr>
        <w:top w:val="none" w:sz="0" w:space="0" w:color="auto"/>
        <w:left w:val="none" w:sz="0" w:space="0" w:color="auto"/>
        <w:bottom w:val="none" w:sz="0" w:space="0" w:color="auto"/>
        <w:right w:val="none" w:sz="0" w:space="0" w:color="auto"/>
      </w:divBdr>
    </w:div>
    <w:div w:id="938023670">
      <w:bodyDiv w:val="1"/>
      <w:marLeft w:val="0"/>
      <w:marRight w:val="0"/>
      <w:marTop w:val="0"/>
      <w:marBottom w:val="0"/>
      <w:divBdr>
        <w:top w:val="none" w:sz="0" w:space="0" w:color="auto"/>
        <w:left w:val="none" w:sz="0" w:space="0" w:color="auto"/>
        <w:bottom w:val="none" w:sz="0" w:space="0" w:color="auto"/>
        <w:right w:val="none" w:sz="0" w:space="0" w:color="auto"/>
      </w:divBdr>
    </w:div>
    <w:div w:id="124710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theme/theme1.xml" Type="http://schemas.openxmlformats.org/officeDocument/2006/relationships/them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fontTable.xml" Type="http://schemas.openxmlformats.org/officeDocument/2006/relationships/fontTable"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header1.xml" Type="http://schemas.openxmlformats.org/officeDocument/2006/relationships/header"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21AB-583A-42D6-8810-B5094B566077}">
  <ds:schemaRefs>
    <ds:schemaRef ds:uri="http://schemas.microsoft.com/sharepoint/v3/contenttype/forms"/>
  </ds:schemaRefs>
</ds:datastoreItem>
</file>

<file path=customXml/itemProps2.xml><?xml version="1.0" encoding="utf-8"?>
<ds:datastoreItem xmlns:ds="http://schemas.openxmlformats.org/officeDocument/2006/customXml" ds:itemID="{D3EA80B2-BDF3-431F-B367-74723C5C2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F0ECED-CE5B-488B-900A-68A43A3004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F47DFA-4A02-4FF3-90CF-6FC4320A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Vu Thuy Chi (CSTT)</cp:lastModifiedBy>
  <cp:revision>23</cp:revision>
  <cp:lastPrinted>2024-07-18T07:19:00Z</cp:lastPrinted>
  <dcterms:created xsi:type="dcterms:W3CDTF">2024-07-01T10:47:00Z</dcterms:created>
  <dcterms:modified xsi:type="dcterms:W3CDTF">2024-07-22T05:25:00Z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SBV609215</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580860</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http://webcenter-app01:16200/cs/idcplg?IdcService=DESKTOP_DOC_INFO&amp;dDocName=SBV609215&amp;dID=580860&amp;ClientControlled=DocMan,taskpane&amp;coreContentOnly=1</vt:lpwstr>
  </property>
</Properties>
</file>