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AB" w:rsidRPr="0012486D" w:rsidRDefault="002328AB">
      <w:pPr>
        <w:widowControl w:val="0"/>
        <w:pBdr>
          <w:top w:val="nil"/>
          <w:left w:val="nil"/>
          <w:bottom w:val="nil"/>
          <w:right w:val="nil"/>
          <w:between w:val="nil"/>
        </w:pBdr>
        <w:spacing w:line="276" w:lineRule="auto"/>
        <w:rPr>
          <w:rFonts w:ascii="Arial" w:eastAsia="Arial" w:hAnsi="Arial" w:cs="Arial"/>
          <w:color w:val="000000"/>
          <w:sz w:val="10"/>
          <w:szCs w:val="10"/>
        </w:rPr>
      </w:pPr>
    </w:p>
    <w:tbl>
      <w:tblPr>
        <w:tblStyle w:val="a"/>
        <w:tblW w:w="10801" w:type="dxa"/>
        <w:tblInd w:w="-471" w:type="dxa"/>
        <w:tblLayout w:type="fixed"/>
        <w:tblLook w:val="0000" w:firstRow="0" w:lastRow="0" w:firstColumn="0" w:lastColumn="0" w:noHBand="0" w:noVBand="0"/>
      </w:tblPr>
      <w:tblGrid>
        <w:gridCol w:w="4614"/>
        <w:gridCol w:w="6187"/>
      </w:tblGrid>
      <w:tr w:rsidR="002328AB" w:rsidTr="0012486D">
        <w:trPr>
          <w:trHeight w:val="1287"/>
        </w:trPr>
        <w:tc>
          <w:tcPr>
            <w:tcW w:w="4614" w:type="dxa"/>
          </w:tcPr>
          <w:p w:rsidR="002328AB" w:rsidRDefault="0035393E">
            <w:pPr>
              <w:jc w:val="center"/>
            </w:pPr>
            <w:r>
              <w:t>UBND TỈNH TUYÊN QUANG</w:t>
            </w:r>
          </w:p>
          <w:p w:rsidR="002328AB" w:rsidRDefault="0035393E">
            <w:pPr>
              <w:jc w:val="center"/>
              <w:rPr>
                <w:b/>
              </w:rPr>
            </w:pPr>
            <w:r>
              <w:rPr>
                <w:b/>
              </w:rPr>
              <w:t>HIỆP HỘI DOANH NGHIỆP TỈNH</w:t>
            </w:r>
          </w:p>
          <w:p w:rsidR="002328AB" w:rsidRDefault="0035393E">
            <w:pPr>
              <w:jc w:val="center"/>
              <w:rPr>
                <w:b/>
              </w:rPr>
            </w:pPr>
            <w:r>
              <w:rPr>
                <w:noProof/>
              </w:rPr>
              <mc:AlternateContent>
                <mc:Choice Requires="wps">
                  <w:drawing>
                    <wp:anchor distT="0" distB="0" distL="114300" distR="114300" simplePos="0" relativeHeight="251657216" behindDoc="0" locked="0" layoutInCell="1" hidden="0" allowOverlap="1">
                      <wp:simplePos x="0" y="0"/>
                      <wp:positionH relativeFrom="column">
                        <wp:posOffset>990600</wp:posOffset>
                      </wp:positionH>
                      <wp:positionV relativeFrom="paragraph">
                        <wp:posOffset>12700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982780" y="3780000"/>
                                <a:ext cx="726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46C2FC2" id="_x0000_t32" coordsize="21600,21600" o:spt="32" o:oned="t" path="m,l21600,21600e" filled="f">
                      <v:path arrowok="t" fillok="f" o:connecttype="none"/>
                      <o:lock v:ext="edit" shapetype="t"/>
                    </v:shapetype>
                    <v:shape id="Straight Arrow Connector 4" o:spid="_x0000_s1026" type="#_x0000_t32" style="position:absolute;margin-left:78pt;margin-top:1pt;width:0;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"/>
                  </w:pict>
                </mc:Fallback>
              </mc:AlternateContent>
            </w:r>
          </w:p>
          <w:p w:rsidR="002328AB" w:rsidRDefault="002328AB">
            <w:pPr>
              <w:jc w:val="center"/>
            </w:pPr>
          </w:p>
          <w:p w:rsidR="002328AB" w:rsidRDefault="002328AB">
            <w:pPr>
              <w:jc w:val="center"/>
              <w:rPr>
                <w:sz w:val="24"/>
                <w:szCs w:val="24"/>
              </w:rPr>
            </w:pPr>
          </w:p>
          <w:p w:rsidR="002328AB" w:rsidRDefault="002328AB">
            <w:pPr>
              <w:jc w:val="center"/>
              <w:rPr>
                <w:b/>
              </w:rPr>
            </w:pPr>
          </w:p>
        </w:tc>
        <w:tc>
          <w:tcPr>
            <w:tcW w:w="6187" w:type="dxa"/>
          </w:tcPr>
          <w:p w:rsidR="002328AB" w:rsidRDefault="0035393E">
            <w:pPr>
              <w:pStyle w:val="Heading1"/>
              <w:tabs>
                <w:tab w:val="left" w:pos="0"/>
              </w:tabs>
              <w:jc w:val="center"/>
              <w:rPr>
                <w:rFonts w:ascii="Times New Roman" w:hAnsi="Times New Roman"/>
                <w:b/>
                <w:sz w:val="26"/>
                <w:szCs w:val="26"/>
              </w:rPr>
            </w:pPr>
            <w:r>
              <w:rPr>
                <w:rFonts w:ascii="Times New Roman" w:hAnsi="Times New Roman"/>
                <w:b/>
                <w:sz w:val="26"/>
                <w:szCs w:val="26"/>
              </w:rPr>
              <w:t>CỘNG HOÀ XÃ HỘI CHỦ NGHĨA VIỆT NAM</w:t>
            </w:r>
          </w:p>
          <w:p w:rsidR="002328AB" w:rsidRDefault="0035393E">
            <w:pPr>
              <w:tabs>
                <w:tab w:val="left" w:pos="0"/>
              </w:tabs>
              <w:jc w:val="center"/>
              <w:rPr>
                <w:b/>
              </w:rPr>
            </w:pPr>
            <w:r>
              <w:rPr>
                <w:b/>
              </w:rPr>
              <w:t>Độc lập - Tự do - Hạnh phúc</w:t>
            </w:r>
          </w:p>
          <w:p w:rsidR="002328AB" w:rsidRDefault="0035393E">
            <w:pPr>
              <w:tabs>
                <w:tab w:val="left" w:pos="0"/>
              </w:tabs>
              <w:jc w:val="center"/>
            </w:pPr>
            <w:r>
              <w:rPr>
                <w:noProof/>
              </w:rPr>
              <mc:AlternateContent>
                <mc:Choice Requires="wps">
                  <w:drawing>
                    <wp:anchor distT="0" distB="0" distL="114300" distR="114300" simplePos="0" relativeHeight="251660288" behindDoc="0" locked="0" layoutInCell="1" hidden="0" allowOverlap="1">
                      <wp:simplePos x="0" y="0"/>
                      <wp:positionH relativeFrom="column">
                        <wp:posOffset>977900</wp:posOffset>
                      </wp:positionH>
                      <wp:positionV relativeFrom="paragraph">
                        <wp:posOffset>12700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03648" y="3780000"/>
                                <a:ext cx="20847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06383E6" id="Straight Arrow Connector 3" o:spid="_x0000_s1026" type="#_x0000_t32" style="position:absolute;margin-left:77pt;margin-top:1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"/>
                  </w:pict>
                </mc:Fallback>
              </mc:AlternateContent>
            </w:r>
          </w:p>
          <w:p w:rsidR="002328AB" w:rsidRDefault="0035393E">
            <w:pPr>
              <w:pStyle w:val="Heading4"/>
              <w:rPr>
                <w:rFonts w:ascii="Times New Roman" w:hAnsi="Times New Roman"/>
              </w:rPr>
            </w:pPr>
            <w:r>
              <w:rPr>
                <w:rFonts w:ascii="Times New Roman" w:hAnsi="Times New Roman"/>
              </w:rPr>
              <w:t xml:space="preserve">     </w:t>
            </w:r>
          </w:p>
          <w:p w:rsidR="002328AB" w:rsidRDefault="0035393E">
            <w:pPr>
              <w:pStyle w:val="Heading4"/>
              <w:rPr>
                <w:rFonts w:ascii="Times New Roman" w:hAnsi="Times New Roman"/>
              </w:rPr>
            </w:pPr>
            <w:r>
              <w:rPr>
                <w:rFonts w:ascii="Times New Roman" w:hAnsi="Times New Roman"/>
              </w:rPr>
              <w:t xml:space="preserve"> Tuyên Quang, ngày 12 tháng 6 năm 2024</w:t>
            </w:r>
          </w:p>
          <w:p w:rsidR="002328AB" w:rsidRDefault="002328AB">
            <w:pPr>
              <w:tabs>
                <w:tab w:val="left" w:pos="0"/>
              </w:tabs>
              <w:jc w:val="center"/>
            </w:pPr>
          </w:p>
        </w:tc>
      </w:tr>
    </w:tbl>
    <w:p w:rsidR="002328AB" w:rsidRDefault="002328AB">
      <w:pPr>
        <w:jc w:val="center"/>
        <w:rPr>
          <w:b/>
        </w:rPr>
      </w:pPr>
    </w:p>
    <w:p w:rsidR="002328AB" w:rsidRDefault="0035393E" w:rsidP="0012486D">
      <w:pPr>
        <w:spacing w:before="120" w:after="240"/>
        <w:jc w:val="center"/>
        <w:rPr>
          <w:b/>
        </w:rPr>
      </w:pPr>
      <w:r>
        <w:rPr>
          <w:b/>
        </w:rPr>
        <w:t>THAM GIA Ý KIẾN VÀO DỰ THẢO LUẬT</w:t>
      </w:r>
      <w:r>
        <w:rPr>
          <w:b/>
        </w:rPr>
        <w:br/>
        <w:t>ĐỊA CHẤT VÀ KHOÁNG SẢN</w:t>
      </w:r>
    </w:p>
    <w:p w:rsidR="002328AB" w:rsidRDefault="002328AB"/>
    <w:tbl>
      <w:tblPr>
        <w:tblStyle w:val="a0"/>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45"/>
        <w:gridCol w:w="4118"/>
      </w:tblGrid>
      <w:tr w:rsidR="002328AB" w:rsidTr="0012486D">
        <w:trPr>
          <w:trHeight w:val="472"/>
        </w:trPr>
        <w:tc>
          <w:tcPr>
            <w:tcW w:w="851" w:type="dxa"/>
          </w:tcPr>
          <w:p w:rsidR="002328AB" w:rsidRDefault="0035393E" w:rsidP="0012486D">
            <w:pPr>
              <w:spacing w:line="312" w:lineRule="auto"/>
              <w:jc w:val="center"/>
              <w:rPr>
                <w:b/>
              </w:rPr>
            </w:pPr>
            <w:r>
              <w:rPr>
                <w:b/>
              </w:rPr>
              <w:t>STT</w:t>
            </w:r>
          </w:p>
        </w:tc>
        <w:tc>
          <w:tcPr>
            <w:tcW w:w="4245" w:type="dxa"/>
          </w:tcPr>
          <w:p w:rsidR="002328AB" w:rsidRDefault="0035393E" w:rsidP="0012486D">
            <w:pPr>
              <w:spacing w:line="312" w:lineRule="auto"/>
              <w:jc w:val="center"/>
              <w:rPr>
                <w:b/>
              </w:rPr>
            </w:pPr>
            <w:r>
              <w:rPr>
                <w:b/>
              </w:rPr>
              <w:t>Nội dung dự thảo</w:t>
            </w:r>
          </w:p>
        </w:tc>
        <w:tc>
          <w:tcPr>
            <w:tcW w:w="4118" w:type="dxa"/>
          </w:tcPr>
          <w:p w:rsidR="002328AB" w:rsidRDefault="0035393E" w:rsidP="0012486D">
            <w:pPr>
              <w:spacing w:line="312" w:lineRule="auto"/>
              <w:jc w:val="center"/>
              <w:rPr>
                <w:b/>
              </w:rPr>
            </w:pPr>
            <w:r>
              <w:rPr>
                <w:b/>
              </w:rPr>
              <w:t>Nội dung tham gia dự thảo</w:t>
            </w:r>
          </w:p>
        </w:tc>
      </w:tr>
      <w:tr w:rsidR="002328AB" w:rsidTr="0012486D">
        <w:trPr>
          <w:trHeight w:val="2400"/>
        </w:trPr>
        <w:tc>
          <w:tcPr>
            <w:tcW w:w="851" w:type="dxa"/>
            <w:vAlign w:val="center"/>
          </w:tcPr>
          <w:p w:rsidR="002328AB" w:rsidRDefault="0035393E" w:rsidP="0012486D">
            <w:pPr>
              <w:spacing w:line="312" w:lineRule="auto"/>
              <w:jc w:val="center"/>
            </w:pPr>
            <w:r>
              <w:t>1</w:t>
            </w:r>
          </w:p>
        </w:tc>
        <w:tc>
          <w:tcPr>
            <w:tcW w:w="4245" w:type="dxa"/>
          </w:tcPr>
          <w:p w:rsidR="002328AB" w:rsidRDefault="0035393E" w:rsidP="0012486D">
            <w:pPr>
              <w:spacing w:line="312" w:lineRule="auto"/>
              <w:jc w:val="both"/>
            </w:pPr>
            <w:r>
              <w:t>Tại Điều 3, mục 19</w:t>
            </w:r>
            <w:r>
              <w:rPr>
                <w:i/>
              </w:rPr>
              <w:t xml:space="preserve">: </w:t>
            </w:r>
            <w:r>
              <w:t xml:space="preserve">Khai thác khoáng sản là hoạt động nhằm đưa khoáng sản ra khỏi nơi </w:t>
            </w:r>
            <w:r>
              <w:rPr>
                <w:i/>
              </w:rPr>
              <w:t>thành tạo tự nhiên</w:t>
            </w:r>
            <w:r>
              <w:t xml:space="preserve">, bao gồm xây dựng cơ bản mỏ, khai đào, </w:t>
            </w:r>
            <w:r>
              <w:rPr>
                <w:i/>
              </w:rPr>
              <w:t>chế biến khoáng sản</w:t>
            </w:r>
            <w:r>
              <w:t xml:space="preserve"> và các hoạt động khác có liên quan trong dự án đầu tư khai thác khoáng sản.</w:t>
            </w:r>
          </w:p>
        </w:tc>
        <w:tc>
          <w:tcPr>
            <w:tcW w:w="4118" w:type="dxa"/>
          </w:tcPr>
          <w:p w:rsidR="002328AB" w:rsidRDefault="0035393E" w:rsidP="0012486D">
            <w:pPr>
              <w:spacing w:line="312" w:lineRule="auto"/>
              <w:jc w:val="both"/>
            </w:pPr>
            <w:r>
              <w:t xml:space="preserve">Tại Điều 3, mục 19: Khai thác khoáng sản là hoạt động nhằm đưa khoáng sản ra khỏi nơi </w:t>
            </w:r>
            <w:r>
              <w:rPr>
                <w:b/>
              </w:rPr>
              <w:t>tạo thành tự nhiên hoặc kiến tạo tự nhiên</w:t>
            </w:r>
            <w:r>
              <w:t>, bao gồm xây dựng cơ bản mỏ, khai đào và các hoạt động khác có liên quan trong dự án đầu tư khai thác khoáng sản.</w:t>
            </w:r>
          </w:p>
          <w:p w:rsidR="002328AB" w:rsidRDefault="0035393E" w:rsidP="0012486D">
            <w:pPr>
              <w:spacing w:line="312" w:lineRule="auto"/>
              <w:jc w:val="both"/>
              <w:rPr>
                <w:b/>
              </w:rPr>
            </w:pPr>
            <w:r>
              <w:t>Bỏ từ “</w:t>
            </w:r>
            <w:r>
              <w:rPr>
                <w:b/>
              </w:rPr>
              <w:t>Chế biến khoáng sản” thêm vào Điều 19, mục 20.</w:t>
            </w:r>
          </w:p>
        </w:tc>
      </w:tr>
      <w:tr w:rsidR="002328AB" w:rsidTr="0012486D">
        <w:tc>
          <w:tcPr>
            <w:tcW w:w="851" w:type="dxa"/>
            <w:vAlign w:val="center"/>
          </w:tcPr>
          <w:p w:rsidR="002328AB" w:rsidRDefault="0035393E" w:rsidP="0012486D">
            <w:pPr>
              <w:spacing w:line="312" w:lineRule="auto"/>
              <w:jc w:val="center"/>
            </w:pPr>
            <w:r>
              <w:t>2</w:t>
            </w:r>
          </w:p>
        </w:tc>
        <w:tc>
          <w:tcPr>
            <w:tcW w:w="4245" w:type="dxa"/>
          </w:tcPr>
          <w:p w:rsidR="002328AB" w:rsidRDefault="0035393E" w:rsidP="0012486D">
            <w:pPr>
              <w:widowControl w:val="0"/>
              <w:spacing w:before="140" w:line="312" w:lineRule="auto"/>
              <w:jc w:val="both"/>
            </w:pPr>
            <w:r>
              <w:t xml:space="preserve">Tại Điều 3, mục 20: Chế biến khoáng sản là hoạt động phân loại, làm giàu khoáng sản, hoạt động khác nhằm làm tăng giá trị khoáng sản nguyên khai đã được khai thác và </w:t>
            </w:r>
            <w:r>
              <w:rPr>
                <w:i/>
              </w:rPr>
              <w:t>thuộc dự án đầu tư khai thác khoáng sản.</w:t>
            </w:r>
          </w:p>
        </w:tc>
        <w:tc>
          <w:tcPr>
            <w:tcW w:w="4118" w:type="dxa"/>
          </w:tcPr>
          <w:p w:rsidR="002328AB" w:rsidRDefault="0035393E" w:rsidP="0012486D">
            <w:pPr>
              <w:widowControl w:val="0"/>
              <w:spacing w:before="140" w:line="312" w:lineRule="auto"/>
              <w:jc w:val="both"/>
            </w:pPr>
            <w:r>
              <w:t xml:space="preserve">Tại Điều 3, mục 20: Chế biến khoáng sản là hoạt động phân loại, làm giàu khoáng sản, hoạt động khác nhằm làm tăng giá trị khoáng sản nguyên khai đã được khai thác và </w:t>
            </w:r>
            <w:r>
              <w:rPr>
                <w:b/>
              </w:rPr>
              <w:t>trong dự án đầu tư khai thác và chế biến khoáng sản.</w:t>
            </w:r>
          </w:p>
        </w:tc>
      </w:tr>
      <w:tr w:rsidR="002328AB" w:rsidTr="0012486D">
        <w:tc>
          <w:tcPr>
            <w:tcW w:w="851" w:type="dxa"/>
            <w:vAlign w:val="center"/>
          </w:tcPr>
          <w:p w:rsidR="002328AB" w:rsidRDefault="0035393E" w:rsidP="0012486D">
            <w:pPr>
              <w:spacing w:line="312" w:lineRule="auto"/>
              <w:jc w:val="center"/>
            </w:pPr>
            <w:r>
              <w:t>3</w:t>
            </w:r>
          </w:p>
        </w:tc>
        <w:tc>
          <w:tcPr>
            <w:tcW w:w="4245" w:type="dxa"/>
          </w:tcPr>
          <w:p w:rsidR="002328AB" w:rsidRDefault="0035393E" w:rsidP="0012486D">
            <w:pPr>
              <w:widowControl w:val="0"/>
              <w:spacing w:before="140" w:line="312" w:lineRule="auto"/>
              <w:jc w:val="both"/>
            </w:pPr>
            <w:r>
              <w:t>Tại Điều 3, mục 24:</w:t>
            </w:r>
            <w:r>
              <w:rPr>
                <w:i/>
              </w:rPr>
              <w:t>Quyết toán khoáng sản</w:t>
            </w:r>
            <w:r>
              <w:t xml:space="preserve"> là việc kiểm tra, tập hợp và thống kê số liệu về tài nguyên, trữ lượng, khối lượng, chất lượng các loại khoáng sản đã khai thác; khoáng sản còn lại trong </w:t>
            </w:r>
            <w:r>
              <w:lastRenderedPageBreak/>
              <w:t>phạm vi ranh giới khu vực được phép khai thác.</w:t>
            </w:r>
          </w:p>
        </w:tc>
        <w:tc>
          <w:tcPr>
            <w:tcW w:w="4118" w:type="dxa"/>
          </w:tcPr>
          <w:p w:rsidR="002328AB" w:rsidRDefault="0035393E" w:rsidP="0012486D">
            <w:pPr>
              <w:widowControl w:val="0"/>
              <w:spacing w:before="140" w:line="312" w:lineRule="auto"/>
              <w:jc w:val="both"/>
            </w:pPr>
            <w:r>
              <w:lastRenderedPageBreak/>
              <w:t xml:space="preserve">Tại Điều 3, mục 24: </w:t>
            </w:r>
            <w:r>
              <w:rPr>
                <w:b/>
                <w:i/>
              </w:rPr>
              <w:t>Quyết toán khoáng sản khai thác</w:t>
            </w:r>
            <w:r>
              <w:rPr>
                <w:b/>
              </w:rPr>
              <w:t xml:space="preserve"> </w:t>
            </w:r>
            <w:r>
              <w:t xml:space="preserve">là việc kiểm tra, tập hợp và thống kê số liệu về tài nguyên, trữ lượng, khối lượng, chất lượng các loại khoáng sản đã khai thác; khoáng sản còn </w:t>
            </w:r>
            <w:r>
              <w:lastRenderedPageBreak/>
              <w:t>lại trong phạm vi ranh giới khu vực được phép khai thác.</w:t>
            </w:r>
          </w:p>
        </w:tc>
      </w:tr>
      <w:tr w:rsidR="002328AB" w:rsidTr="0012486D">
        <w:tc>
          <w:tcPr>
            <w:tcW w:w="851" w:type="dxa"/>
            <w:vAlign w:val="center"/>
          </w:tcPr>
          <w:p w:rsidR="002328AB" w:rsidRDefault="0035393E" w:rsidP="0012486D">
            <w:pPr>
              <w:spacing w:line="312" w:lineRule="auto"/>
              <w:jc w:val="center"/>
            </w:pPr>
            <w:r>
              <w:lastRenderedPageBreak/>
              <w:t>4</w:t>
            </w:r>
          </w:p>
        </w:tc>
        <w:tc>
          <w:tcPr>
            <w:tcW w:w="4245" w:type="dxa"/>
          </w:tcPr>
          <w:p w:rsidR="002328AB" w:rsidRDefault="0035393E" w:rsidP="0012486D">
            <w:pPr>
              <w:spacing w:line="312" w:lineRule="auto"/>
              <w:jc w:val="both"/>
            </w:pPr>
            <w:r>
              <w:t>Tại Điều 3, mục 26:</w:t>
            </w:r>
            <w:r>
              <w:rPr>
                <w:i/>
                <w:color w:val="FF0000"/>
              </w:rPr>
              <w:t xml:space="preserve"> </w:t>
            </w:r>
            <w:r>
              <w:t xml:space="preserve">Công suất khai thác là khối lượng khoáng sản </w:t>
            </w:r>
            <w:r>
              <w:rPr>
                <w:i/>
              </w:rPr>
              <w:t>tối đa</w:t>
            </w:r>
            <w:r>
              <w:t xml:space="preserve"> có thể khai thác được trong một khoảng thời gian nhất định (ngày, tháng hoặc năm) theo dự án đầu tư khai thác khoáng sản và được quy định trong giấy phép khai thác khoáng sản.</w:t>
            </w:r>
          </w:p>
        </w:tc>
        <w:tc>
          <w:tcPr>
            <w:tcW w:w="4118" w:type="dxa"/>
          </w:tcPr>
          <w:p w:rsidR="002328AB" w:rsidRDefault="0035393E" w:rsidP="0012486D">
            <w:pPr>
              <w:spacing w:line="312" w:lineRule="auto"/>
              <w:jc w:val="both"/>
            </w:pPr>
            <w:r>
              <w:t>Tại Điều 3, mục 26:</w:t>
            </w:r>
            <w:r>
              <w:rPr>
                <w:i/>
                <w:color w:val="FF0000"/>
              </w:rPr>
              <w:t xml:space="preserve"> </w:t>
            </w:r>
            <w:r>
              <w:t xml:space="preserve">Công suất khai thác là khối lượng khoáng sản </w:t>
            </w:r>
            <w:r>
              <w:rPr>
                <w:b/>
              </w:rPr>
              <w:t xml:space="preserve">thực tế </w:t>
            </w:r>
            <w:r>
              <w:t xml:space="preserve">khai thác trong một khoảng thời gian nhất định (ngày, tháng hoặc năm) kể </w:t>
            </w:r>
            <w:r>
              <w:rPr>
                <w:b/>
              </w:rPr>
              <w:t xml:space="preserve">từ khi được cấp giấy phép khai thác đến thời điểm kiểm tra, thanh tra, quyết toán khoáng sản khai thác được tính bình quân (bù trừ) </w:t>
            </w:r>
            <w:r>
              <w:t xml:space="preserve">theo dự án đầu tư khai thác khoáng sản và được quy định trong giấy phép khai thác khoáng sản. </w:t>
            </w:r>
          </w:p>
        </w:tc>
      </w:tr>
      <w:tr w:rsidR="002328AB" w:rsidTr="0012486D">
        <w:tc>
          <w:tcPr>
            <w:tcW w:w="851" w:type="dxa"/>
            <w:vAlign w:val="center"/>
          </w:tcPr>
          <w:p w:rsidR="002328AB" w:rsidRDefault="0035393E" w:rsidP="0012486D">
            <w:pPr>
              <w:spacing w:line="312" w:lineRule="auto"/>
              <w:jc w:val="center"/>
            </w:pPr>
            <w:r>
              <w:t>5</w:t>
            </w:r>
          </w:p>
        </w:tc>
        <w:tc>
          <w:tcPr>
            <w:tcW w:w="4245" w:type="dxa"/>
          </w:tcPr>
          <w:p w:rsidR="002328AB" w:rsidRDefault="0035393E" w:rsidP="0012486D">
            <w:pPr>
              <w:widowControl w:val="0"/>
              <w:spacing w:before="120" w:line="312" w:lineRule="auto"/>
              <w:jc w:val="both"/>
            </w:pPr>
            <w:r>
              <w:t xml:space="preserve">Tại Điều 7, điểm d: Khoáng sản nhóm IV: bao gồm các loại đất sét, đất đồi; đất lẫn đá, cát, cuội, sỏi hoặc đất, sét có tên gọi khác chỉ phù hợp với mục đích làm vật liệu san lấp; </w:t>
            </w:r>
            <w:r>
              <w:rPr>
                <w:i/>
              </w:rPr>
              <w:t>đất đá thải mỏ</w:t>
            </w:r>
            <w:r>
              <w:t>.</w:t>
            </w:r>
          </w:p>
        </w:tc>
        <w:tc>
          <w:tcPr>
            <w:tcW w:w="4118" w:type="dxa"/>
          </w:tcPr>
          <w:p w:rsidR="002328AB" w:rsidRDefault="0035393E" w:rsidP="0012486D">
            <w:pPr>
              <w:widowControl w:val="0"/>
              <w:spacing w:before="120" w:line="312" w:lineRule="auto"/>
              <w:jc w:val="both"/>
            </w:pPr>
            <w:r>
              <w:t>Tại Điều 7, điểm d: Khoáng sản nhóm IV: bao gồm các loại đất sét, đất đồi; đất lẫn đá, cát, cuội, sỏi hoặc đất, sét,</w:t>
            </w:r>
            <w:r>
              <w:rPr>
                <w:b/>
              </w:rPr>
              <w:t xml:space="preserve"> đất đá thải mỏ</w:t>
            </w:r>
            <w:r>
              <w:t xml:space="preserve"> có tên gọi khác chỉ phù hợp với mục đích làm vật liệu san lấp.</w:t>
            </w:r>
          </w:p>
        </w:tc>
      </w:tr>
      <w:tr w:rsidR="002328AB" w:rsidTr="0012486D">
        <w:tc>
          <w:tcPr>
            <w:tcW w:w="851" w:type="dxa"/>
            <w:vAlign w:val="center"/>
          </w:tcPr>
          <w:p w:rsidR="002328AB" w:rsidRDefault="0035393E" w:rsidP="0012486D">
            <w:pPr>
              <w:spacing w:line="312" w:lineRule="auto"/>
              <w:jc w:val="center"/>
            </w:pPr>
            <w:r>
              <w:t>6</w:t>
            </w:r>
          </w:p>
        </w:tc>
        <w:tc>
          <w:tcPr>
            <w:tcW w:w="4245" w:type="dxa"/>
          </w:tcPr>
          <w:p w:rsidR="002328AB" w:rsidRDefault="0035393E" w:rsidP="0012486D">
            <w:pPr>
              <w:keepNext/>
              <w:spacing w:line="312" w:lineRule="auto"/>
              <w:jc w:val="both"/>
            </w:pPr>
            <w:r>
              <w:t>Tại Điều 62, khoản 1, điểm i: Thuê đất, đất có mặt nước, giao khu vực biển theo quy định của pháp luật để thực hiện dự án đầu tư khai thác khoáng sản.</w:t>
            </w:r>
          </w:p>
        </w:tc>
        <w:tc>
          <w:tcPr>
            <w:tcW w:w="4118" w:type="dxa"/>
          </w:tcPr>
          <w:p w:rsidR="002328AB" w:rsidRDefault="0035393E" w:rsidP="0012486D">
            <w:pPr>
              <w:keepNext/>
              <w:spacing w:line="312" w:lineRule="auto"/>
              <w:jc w:val="both"/>
            </w:pPr>
            <w:r>
              <w:t xml:space="preserve">Tại Điều 62, khoản 1, điểm i: Thuê đất, đất có mặt nước, </w:t>
            </w:r>
            <w:r>
              <w:rPr>
                <w:b/>
              </w:rPr>
              <w:t xml:space="preserve">được </w:t>
            </w:r>
            <w:r>
              <w:t>giao khu vực biển theo quy định của pháp luật để thực hiện dự án đầu tư khai thác khoáng sản.</w:t>
            </w:r>
          </w:p>
        </w:tc>
      </w:tr>
      <w:tr w:rsidR="002328AB" w:rsidTr="0012486D">
        <w:tc>
          <w:tcPr>
            <w:tcW w:w="851" w:type="dxa"/>
            <w:vAlign w:val="center"/>
          </w:tcPr>
          <w:p w:rsidR="002328AB" w:rsidRDefault="0035393E" w:rsidP="0012486D">
            <w:pPr>
              <w:spacing w:line="312" w:lineRule="auto"/>
              <w:jc w:val="center"/>
            </w:pPr>
            <w:r>
              <w:t>7</w:t>
            </w:r>
          </w:p>
        </w:tc>
        <w:tc>
          <w:tcPr>
            <w:tcW w:w="4245" w:type="dxa"/>
          </w:tcPr>
          <w:p w:rsidR="002328AB" w:rsidRDefault="0035393E" w:rsidP="0012486D">
            <w:pPr>
              <w:keepNext/>
              <w:spacing w:line="312" w:lineRule="auto"/>
              <w:jc w:val="both"/>
            </w:pPr>
            <w:r>
              <w:t>Tại Điều 62, khoản 1, điểm m: Quyền khác theo quy định của pháp luật.</w:t>
            </w:r>
          </w:p>
        </w:tc>
        <w:tc>
          <w:tcPr>
            <w:tcW w:w="4118" w:type="dxa"/>
          </w:tcPr>
          <w:p w:rsidR="002328AB" w:rsidRDefault="0035393E" w:rsidP="0012486D">
            <w:pPr>
              <w:keepNext/>
              <w:spacing w:line="312" w:lineRule="auto"/>
              <w:jc w:val="both"/>
            </w:pPr>
            <w:r>
              <w:t xml:space="preserve">Tại Điều 62, khoản 1, điểm m: </w:t>
            </w:r>
            <w:r>
              <w:rPr>
                <w:b/>
              </w:rPr>
              <w:t xml:space="preserve">Các </w:t>
            </w:r>
            <w:r>
              <w:t>quyền khác theo quy định của pháp luật.</w:t>
            </w:r>
          </w:p>
        </w:tc>
      </w:tr>
      <w:tr w:rsidR="002328AB" w:rsidTr="0012486D">
        <w:trPr>
          <w:trHeight w:val="1382"/>
        </w:trPr>
        <w:tc>
          <w:tcPr>
            <w:tcW w:w="851" w:type="dxa"/>
            <w:vAlign w:val="center"/>
          </w:tcPr>
          <w:p w:rsidR="002328AB" w:rsidRDefault="0035393E" w:rsidP="0012486D">
            <w:pPr>
              <w:spacing w:line="312" w:lineRule="auto"/>
              <w:jc w:val="center"/>
            </w:pPr>
            <w:r>
              <w:t>8</w:t>
            </w:r>
          </w:p>
        </w:tc>
        <w:tc>
          <w:tcPr>
            <w:tcW w:w="4245" w:type="dxa"/>
          </w:tcPr>
          <w:p w:rsidR="002328AB" w:rsidRDefault="0035393E" w:rsidP="0012486D">
            <w:pPr>
              <w:keepNext/>
              <w:spacing w:line="312" w:lineRule="auto"/>
              <w:jc w:val="both"/>
            </w:pPr>
            <w:r>
              <w:t>Tại Điều 62, khoản 2, điểm b: Ưu tiên sử dụng lao động địa phương để thực hiện dự án khai thác khoáng sản và các dịch vụ có liên quan</w:t>
            </w:r>
          </w:p>
        </w:tc>
        <w:tc>
          <w:tcPr>
            <w:tcW w:w="4118" w:type="dxa"/>
          </w:tcPr>
          <w:p w:rsidR="002328AB" w:rsidRDefault="0035393E" w:rsidP="0012486D">
            <w:pPr>
              <w:keepNext/>
              <w:spacing w:line="312" w:lineRule="auto"/>
              <w:jc w:val="both"/>
            </w:pPr>
            <w:r>
              <w:t xml:space="preserve">Tại Điều 62, khoản 2, điểm b: Ưu tiên sử dụng lao động địa phương để thực hiện dự án khai thác </w:t>
            </w:r>
            <w:r>
              <w:rPr>
                <w:b/>
              </w:rPr>
              <w:t>và chế biến</w:t>
            </w:r>
            <w:r>
              <w:t xml:space="preserve"> khoáng sản và các dịch vụ có liên quan</w:t>
            </w:r>
          </w:p>
        </w:tc>
      </w:tr>
      <w:tr w:rsidR="002328AB" w:rsidTr="0012486D">
        <w:tc>
          <w:tcPr>
            <w:tcW w:w="851" w:type="dxa"/>
            <w:vAlign w:val="center"/>
          </w:tcPr>
          <w:p w:rsidR="002328AB" w:rsidRDefault="0035393E" w:rsidP="0012486D">
            <w:pPr>
              <w:spacing w:line="312" w:lineRule="auto"/>
              <w:jc w:val="center"/>
            </w:pPr>
            <w:r>
              <w:lastRenderedPageBreak/>
              <w:t>9</w:t>
            </w:r>
          </w:p>
        </w:tc>
        <w:tc>
          <w:tcPr>
            <w:tcW w:w="4245" w:type="dxa"/>
          </w:tcPr>
          <w:p w:rsidR="002328AB" w:rsidRDefault="0035393E" w:rsidP="0012486D">
            <w:pPr>
              <w:keepNext/>
              <w:spacing w:line="312" w:lineRule="auto"/>
              <w:jc w:val="both"/>
            </w:pPr>
            <w:r>
              <w:t xml:space="preserve">Tại Điều 62, khoản 2, điểm đ: Phối hợp với chính quyền địa phương </w:t>
            </w:r>
            <w:r>
              <w:rPr>
                <w:i/>
              </w:rPr>
              <w:t xml:space="preserve">bảo đảm </w:t>
            </w:r>
            <w:r>
              <w:t>việc chuyển đổi nghề nghiệp cho người dân có đất bị thu hồi để khai thác khoáng sản theo quy định của pháp luật về đất đai và pháp luật khác có liên quan.</w:t>
            </w:r>
          </w:p>
        </w:tc>
        <w:tc>
          <w:tcPr>
            <w:tcW w:w="4118" w:type="dxa"/>
          </w:tcPr>
          <w:p w:rsidR="002328AB" w:rsidRDefault="0035393E" w:rsidP="0012486D">
            <w:pPr>
              <w:keepNext/>
              <w:spacing w:line="312" w:lineRule="auto"/>
              <w:jc w:val="both"/>
            </w:pPr>
            <w:r>
              <w:t xml:space="preserve">Tại Điều 62, khoản 2, điểm đ: Phối hợp với chính quyền địa phương </w:t>
            </w:r>
            <w:r>
              <w:rPr>
                <w:b/>
              </w:rPr>
              <w:t xml:space="preserve">hỗ trợ </w:t>
            </w:r>
            <w:r>
              <w:t>việc chuyển đổi nghề nghiệp cho người dân có đất bị thu hồi để khai thác khoáng sản theo quy định của pháp luật về đất đai và pháp luật khác có liên quan.</w:t>
            </w:r>
          </w:p>
        </w:tc>
      </w:tr>
      <w:tr w:rsidR="002328AB" w:rsidTr="0012486D">
        <w:tc>
          <w:tcPr>
            <w:tcW w:w="851" w:type="dxa"/>
            <w:vAlign w:val="center"/>
          </w:tcPr>
          <w:p w:rsidR="002328AB" w:rsidRDefault="00F37D48" w:rsidP="0012486D">
            <w:pPr>
              <w:spacing w:line="312" w:lineRule="auto"/>
              <w:jc w:val="center"/>
            </w:pPr>
            <w:r>
              <w:t>10</w:t>
            </w:r>
          </w:p>
        </w:tc>
        <w:tc>
          <w:tcPr>
            <w:tcW w:w="4245" w:type="dxa"/>
          </w:tcPr>
          <w:p w:rsidR="002328AB" w:rsidRDefault="0035393E" w:rsidP="0012486D">
            <w:pPr>
              <w:keepNext/>
              <w:spacing w:line="312" w:lineRule="auto"/>
              <w:jc w:val="both"/>
            </w:pPr>
            <w:r>
              <w:t xml:space="preserve">Tại Điều 62, khoản 2, điểm q: </w:t>
            </w:r>
            <w:r>
              <w:rPr>
                <w:i/>
              </w:rPr>
              <w:t>Quyết toán khoáng sản</w:t>
            </w:r>
            <w:r>
              <w:t xml:space="preserve"> khi giấy phép chấm dứt hiệu lực.</w:t>
            </w:r>
          </w:p>
        </w:tc>
        <w:tc>
          <w:tcPr>
            <w:tcW w:w="4118" w:type="dxa"/>
          </w:tcPr>
          <w:p w:rsidR="002328AB" w:rsidRDefault="0035393E" w:rsidP="0012486D">
            <w:pPr>
              <w:keepNext/>
              <w:spacing w:line="312" w:lineRule="auto"/>
              <w:jc w:val="both"/>
            </w:pPr>
            <w:r>
              <w:t>Tại Điều 62, khoản 2, điểm q: Quyết toán</w:t>
            </w:r>
            <w:r>
              <w:rPr>
                <w:rFonts w:ascii="Times" w:eastAsia="Times" w:hAnsi="Times" w:cs="Times"/>
                <w:b/>
              </w:rPr>
              <w:t xml:space="preserve"> </w:t>
            </w:r>
            <w:r>
              <w:t>khoáng sản</w:t>
            </w:r>
            <w:r>
              <w:rPr>
                <w:b/>
              </w:rPr>
              <w:t xml:space="preserve"> khai thác</w:t>
            </w:r>
            <w:r>
              <w:t xml:space="preserve"> khi giấy phép chấm dứt hiệu lực.</w:t>
            </w:r>
          </w:p>
          <w:p w:rsidR="002328AB" w:rsidRDefault="002328AB" w:rsidP="0012486D">
            <w:pPr>
              <w:keepNext/>
              <w:spacing w:line="312" w:lineRule="auto"/>
              <w:jc w:val="both"/>
            </w:pPr>
          </w:p>
        </w:tc>
      </w:tr>
      <w:tr w:rsidR="002328AB" w:rsidTr="0012486D">
        <w:tc>
          <w:tcPr>
            <w:tcW w:w="851" w:type="dxa"/>
            <w:vAlign w:val="center"/>
          </w:tcPr>
          <w:p w:rsidR="002328AB" w:rsidRDefault="00F37D48" w:rsidP="0012486D">
            <w:pPr>
              <w:spacing w:line="312" w:lineRule="auto"/>
              <w:jc w:val="center"/>
            </w:pPr>
            <w:r>
              <w:t>11</w:t>
            </w:r>
          </w:p>
        </w:tc>
        <w:tc>
          <w:tcPr>
            <w:tcW w:w="4245" w:type="dxa"/>
          </w:tcPr>
          <w:p w:rsidR="002328AB" w:rsidRDefault="0035393E" w:rsidP="0012486D">
            <w:pPr>
              <w:keepNext/>
              <w:spacing w:line="312" w:lineRule="auto"/>
              <w:jc w:val="both"/>
            </w:pPr>
            <w:r>
              <w:t xml:space="preserve">Tại Điều 65, khoản 1: </w:t>
            </w:r>
            <w:r>
              <w:rPr>
                <w:i/>
              </w:rPr>
              <w:t>Khai thác khoáng sản phải có giám đốc điều hành mỏ;</w:t>
            </w:r>
            <w:r>
              <w:t xml:space="preserve"> một giám đốc điều hành mỏ chỉ điều hành theo một giấy phép khai thác khoáng sản; trừ trường hợp quy định tại khoản 4 Điều này.</w:t>
            </w:r>
          </w:p>
        </w:tc>
        <w:tc>
          <w:tcPr>
            <w:tcW w:w="4118" w:type="dxa"/>
          </w:tcPr>
          <w:p w:rsidR="002328AB" w:rsidRDefault="0035393E" w:rsidP="0012486D">
            <w:pPr>
              <w:keepNext/>
              <w:spacing w:line="312" w:lineRule="auto"/>
              <w:jc w:val="both"/>
            </w:pPr>
            <w:r>
              <w:t xml:space="preserve">Tại Điều 65, khoản 1: Khai thác </w:t>
            </w:r>
            <w:r>
              <w:rPr>
                <w:b/>
              </w:rPr>
              <w:t>mỏ</w:t>
            </w:r>
            <w:r>
              <w:t xml:space="preserve"> khoáng sản phải có giám đốc điều hành mỏ; một giám đốc điều hành mỏ chỉ điều hành theo một giấy phép khai thác khoáng sản; trừ trường hợp quy định tại khoản 4 Điều này.</w:t>
            </w:r>
          </w:p>
          <w:p w:rsidR="002328AB" w:rsidRDefault="002328AB" w:rsidP="0012486D">
            <w:pPr>
              <w:keepNext/>
              <w:spacing w:line="312" w:lineRule="auto"/>
              <w:jc w:val="both"/>
            </w:pPr>
          </w:p>
        </w:tc>
      </w:tr>
      <w:tr w:rsidR="002328AB" w:rsidTr="0012486D">
        <w:tc>
          <w:tcPr>
            <w:tcW w:w="851" w:type="dxa"/>
            <w:vAlign w:val="center"/>
          </w:tcPr>
          <w:p w:rsidR="002328AB" w:rsidRDefault="00F37D48" w:rsidP="0012486D">
            <w:pPr>
              <w:spacing w:line="312" w:lineRule="auto"/>
              <w:jc w:val="center"/>
            </w:pPr>
            <w:r>
              <w:t>12</w:t>
            </w:r>
          </w:p>
        </w:tc>
        <w:tc>
          <w:tcPr>
            <w:tcW w:w="4245" w:type="dxa"/>
          </w:tcPr>
          <w:p w:rsidR="002328AB" w:rsidRDefault="0035393E" w:rsidP="0012486D">
            <w:pPr>
              <w:widowControl w:val="0"/>
              <w:spacing w:line="312" w:lineRule="auto"/>
              <w:jc w:val="both"/>
            </w:pPr>
            <w:r>
              <w:t xml:space="preserve">Tại Điều 65, khoản 1, điểm đ: Giám đốc điều hành khai thác lộ thiên phải có bằng kỹ sư hoặc tương đương với chuyên ngành khai thác mỏ có thời gian trực tiếp khai thác tại mỏ lộ thiên ít nhất là </w:t>
            </w:r>
            <w:r>
              <w:rPr>
                <w:i/>
              </w:rPr>
              <w:t>03 năm</w:t>
            </w:r>
            <w:r>
              <w:t xml:space="preserve">; trường hợp có bằng kỹ sư địa chất hoặc tương đương thì phải được đào tạo, bồi dưỡng về kỹ thuật khai thác mỏ và có thời gian tham gia trực tiếp khai thác khoáng sản tại mỏ lộ thiên ít nhất là </w:t>
            </w:r>
            <w:r>
              <w:rPr>
                <w:i/>
              </w:rPr>
              <w:t>05 năm</w:t>
            </w:r>
            <w:r>
              <w:t>.</w:t>
            </w:r>
          </w:p>
          <w:p w:rsidR="002328AB" w:rsidRDefault="002328AB" w:rsidP="0012486D">
            <w:pPr>
              <w:keepNext/>
              <w:spacing w:line="312" w:lineRule="auto"/>
              <w:jc w:val="both"/>
            </w:pPr>
          </w:p>
        </w:tc>
        <w:tc>
          <w:tcPr>
            <w:tcW w:w="4118" w:type="dxa"/>
          </w:tcPr>
          <w:p w:rsidR="002328AB" w:rsidRDefault="0035393E" w:rsidP="0012486D">
            <w:pPr>
              <w:keepNext/>
              <w:spacing w:line="312" w:lineRule="auto"/>
              <w:jc w:val="both"/>
            </w:pPr>
            <w:r>
              <w:t xml:space="preserve">Tại Điều 65, khoản 1, điểm đ: Giám đốc điều hành khai thác lộ thiên phải có bằng kỹ sư hoặc tương đương với chuyên ngành khai thác mỏ có thời gian trực tiếp khai thác tại mỏ lộ thiên ít nhất là </w:t>
            </w:r>
            <w:r>
              <w:rPr>
                <w:b/>
              </w:rPr>
              <w:t>02</w:t>
            </w:r>
            <w:r>
              <w:t xml:space="preserve"> </w:t>
            </w:r>
            <w:r>
              <w:rPr>
                <w:b/>
              </w:rPr>
              <w:t>năm</w:t>
            </w:r>
            <w:r>
              <w:t xml:space="preserve">; trường hợp có bằng kỹ sư địa chất hoặc tương đương thì phải được đào tạo, bồi dưỡng về kỹ thuật khai thác mỏ và có thời gian tham gia trực tiếp khai thác khoáng sản tại mỏ lộ thiên ít nhất là </w:t>
            </w:r>
            <w:r>
              <w:rPr>
                <w:b/>
              </w:rPr>
              <w:t>03 năm</w:t>
            </w:r>
            <w:r>
              <w:t>.</w:t>
            </w:r>
          </w:p>
        </w:tc>
      </w:tr>
      <w:tr w:rsidR="002328AB" w:rsidTr="0012486D">
        <w:tc>
          <w:tcPr>
            <w:tcW w:w="851" w:type="dxa"/>
            <w:vAlign w:val="center"/>
          </w:tcPr>
          <w:p w:rsidR="002328AB" w:rsidRDefault="00F37D48" w:rsidP="0012486D">
            <w:pPr>
              <w:spacing w:line="312" w:lineRule="auto"/>
              <w:jc w:val="center"/>
            </w:pPr>
            <w:r>
              <w:t>13</w:t>
            </w:r>
          </w:p>
        </w:tc>
        <w:tc>
          <w:tcPr>
            <w:tcW w:w="4245" w:type="dxa"/>
          </w:tcPr>
          <w:p w:rsidR="002328AB" w:rsidRDefault="0035393E" w:rsidP="0012486D">
            <w:pPr>
              <w:widowControl w:val="0"/>
              <w:spacing w:line="312" w:lineRule="auto"/>
              <w:jc w:val="both"/>
            </w:pPr>
            <w:r>
              <w:t xml:space="preserve">Tại Điều 65, khoản 4, mục c: Khai </w:t>
            </w:r>
            <w:r>
              <w:lastRenderedPageBreak/>
              <w:t>thác khoáng sản tại khu vực có khoáng sản phân tán, nhỏ lẻ theo quy định tại Điều 30 của Luật này, trừ trường hợp sử dụng vật liệu nổ công nghiệp hoặc khai thác mỏ bằng phương pháp hầm lò.</w:t>
            </w:r>
          </w:p>
          <w:p w:rsidR="002328AB" w:rsidRDefault="002328AB" w:rsidP="0012486D">
            <w:pPr>
              <w:widowControl w:val="0"/>
              <w:spacing w:line="312" w:lineRule="auto"/>
              <w:jc w:val="both"/>
            </w:pPr>
          </w:p>
        </w:tc>
        <w:tc>
          <w:tcPr>
            <w:tcW w:w="4118" w:type="dxa"/>
          </w:tcPr>
          <w:p w:rsidR="002328AB" w:rsidRDefault="0035393E" w:rsidP="0012486D">
            <w:pPr>
              <w:keepNext/>
              <w:spacing w:line="312" w:lineRule="auto"/>
              <w:jc w:val="both"/>
            </w:pPr>
            <w:r>
              <w:lastRenderedPageBreak/>
              <w:t xml:space="preserve">Tại Điều 65, khoản 4, mục c: Khai </w:t>
            </w:r>
            <w:r>
              <w:lastRenderedPageBreak/>
              <w:t xml:space="preserve">thác khoáng sản tại khu vực có khoáng sản phân tán, nhỏ lẻ theo quy định tại Điều 30 của Luật này và </w:t>
            </w:r>
            <w:r>
              <w:rPr>
                <w:b/>
              </w:rPr>
              <w:t xml:space="preserve">thu hồi khoáng sản làm vật liệu xây dựng thông thường trong diện tích thực hiện dự án đầu tư xây dựng công trình </w:t>
            </w:r>
            <w:r>
              <w:t>trừ trường hợp sử dụng vật liệu nổ công nghiệp hoặc khai thác mỏ bằng phương pháp hầm lò.</w:t>
            </w:r>
          </w:p>
        </w:tc>
      </w:tr>
      <w:tr w:rsidR="002328AB" w:rsidTr="0012486D">
        <w:tc>
          <w:tcPr>
            <w:tcW w:w="851" w:type="dxa"/>
            <w:vAlign w:val="center"/>
          </w:tcPr>
          <w:p w:rsidR="002328AB" w:rsidRDefault="00F37D48" w:rsidP="0012486D">
            <w:pPr>
              <w:spacing w:line="312" w:lineRule="auto"/>
              <w:jc w:val="center"/>
            </w:pPr>
            <w:r>
              <w:lastRenderedPageBreak/>
              <w:t>14</w:t>
            </w:r>
          </w:p>
        </w:tc>
        <w:tc>
          <w:tcPr>
            <w:tcW w:w="4245" w:type="dxa"/>
          </w:tcPr>
          <w:p w:rsidR="002328AB" w:rsidRDefault="0035393E" w:rsidP="0012486D">
            <w:pPr>
              <w:widowControl w:val="0"/>
              <w:spacing w:line="312" w:lineRule="auto"/>
              <w:jc w:val="both"/>
            </w:pPr>
            <w:r>
              <w:t>Tại Điều 67: Thống kê trữ lượng khoáng sản đã khai thác; kiểm kê trữ lượng khoáng sản còn lại và quyết toán khoáng sản.</w:t>
            </w:r>
          </w:p>
        </w:tc>
        <w:tc>
          <w:tcPr>
            <w:tcW w:w="4118" w:type="dxa"/>
          </w:tcPr>
          <w:p w:rsidR="002328AB" w:rsidRDefault="0035393E" w:rsidP="0012486D">
            <w:pPr>
              <w:widowControl w:val="0"/>
              <w:spacing w:line="312" w:lineRule="auto"/>
              <w:jc w:val="both"/>
            </w:pPr>
            <w:r>
              <w:t xml:space="preserve">Tại Điều 67: Thống kê trữ lượng khoáng sản đã khai thác; kiểm kê trữ lượng khoáng sản còn lại và quyết toán khoáng sản </w:t>
            </w:r>
            <w:r>
              <w:rPr>
                <w:b/>
              </w:rPr>
              <w:t>khai thác</w:t>
            </w:r>
            <w:r>
              <w:t>.</w:t>
            </w:r>
          </w:p>
        </w:tc>
      </w:tr>
      <w:tr w:rsidR="002328AB" w:rsidTr="0012486D">
        <w:tc>
          <w:tcPr>
            <w:tcW w:w="851" w:type="dxa"/>
            <w:vAlign w:val="center"/>
          </w:tcPr>
          <w:p w:rsidR="002328AB" w:rsidRDefault="00F37D48" w:rsidP="0012486D">
            <w:pPr>
              <w:spacing w:line="312" w:lineRule="auto"/>
              <w:jc w:val="center"/>
            </w:pPr>
            <w:r>
              <w:t>15</w:t>
            </w:r>
          </w:p>
        </w:tc>
        <w:tc>
          <w:tcPr>
            <w:tcW w:w="4245" w:type="dxa"/>
          </w:tcPr>
          <w:p w:rsidR="002328AB" w:rsidRDefault="0035393E" w:rsidP="0012486D">
            <w:pPr>
              <w:widowControl w:val="0"/>
              <w:spacing w:line="312" w:lineRule="auto"/>
              <w:jc w:val="both"/>
            </w:pPr>
            <w:r>
              <w:t>Tại Điều 84, khoản 1: Quyết toán khoáng sản.</w:t>
            </w:r>
          </w:p>
        </w:tc>
        <w:tc>
          <w:tcPr>
            <w:tcW w:w="4118" w:type="dxa"/>
          </w:tcPr>
          <w:p w:rsidR="002328AB" w:rsidRDefault="0035393E" w:rsidP="0012486D">
            <w:pPr>
              <w:widowControl w:val="0"/>
              <w:spacing w:line="312" w:lineRule="auto"/>
              <w:jc w:val="both"/>
            </w:pPr>
            <w:r>
              <w:t xml:space="preserve">Tại Điều 84, khoản 1: Quyết toán khoáng sản </w:t>
            </w:r>
            <w:r>
              <w:rPr>
                <w:b/>
              </w:rPr>
              <w:t>khai thác.</w:t>
            </w:r>
          </w:p>
        </w:tc>
      </w:tr>
      <w:tr w:rsidR="002328AB" w:rsidTr="0012486D">
        <w:tc>
          <w:tcPr>
            <w:tcW w:w="851" w:type="dxa"/>
            <w:vAlign w:val="center"/>
          </w:tcPr>
          <w:p w:rsidR="002328AB" w:rsidRDefault="00F37D48" w:rsidP="0012486D">
            <w:pPr>
              <w:spacing w:line="312" w:lineRule="auto"/>
              <w:jc w:val="center"/>
            </w:pPr>
            <w:r>
              <w:t>16</w:t>
            </w:r>
          </w:p>
        </w:tc>
        <w:tc>
          <w:tcPr>
            <w:tcW w:w="4245" w:type="dxa"/>
          </w:tcPr>
          <w:p w:rsidR="002328AB" w:rsidRDefault="0035393E" w:rsidP="0012486D">
            <w:pPr>
              <w:widowControl w:val="0"/>
              <w:spacing w:line="312" w:lineRule="auto"/>
              <w:jc w:val="both"/>
            </w:pPr>
            <w:r>
              <w:t xml:space="preserve">Tại Điều 88, điểm c: </w:t>
            </w:r>
            <w:r>
              <w:rPr>
                <w:i/>
              </w:rPr>
              <w:t>Được thuê đất theo quy định của pháp luật</w:t>
            </w:r>
            <w:r>
              <w:t xml:space="preserve"> về đất đai phù hợp với thời gian thi công đề án đóng cửa mỏ.</w:t>
            </w:r>
          </w:p>
        </w:tc>
        <w:tc>
          <w:tcPr>
            <w:tcW w:w="4118" w:type="dxa"/>
          </w:tcPr>
          <w:p w:rsidR="002328AB" w:rsidRDefault="0035393E" w:rsidP="0012486D">
            <w:pPr>
              <w:widowControl w:val="0"/>
              <w:spacing w:line="312" w:lineRule="auto"/>
              <w:jc w:val="both"/>
            </w:pPr>
            <w:r>
              <w:t xml:space="preserve">Tại Điều 88, điểm c: Được thuê </w:t>
            </w:r>
            <w:r>
              <w:rPr>
                <w:b/>
              </w:rPr>
              <w:t>lại đất nếu có như cầu</w:t>
            </w:r>
            <w:r>
              <w:t xml:space="preserve"> theo quy định của pháp luật về đất đai phù hợp với thời gian thi công đề án đóng cửa mỏ.</w:t>
            </w:r>
          </w:p>
        </w:tc>
      </w:tr>
      <w:tr w:rsidR="002328AB" w:rsidTr="0012486D">
        <w:tc>
          <w:tcPr>
            <w:tcW w:w="851" w:type="dxa"/>
            <w:vAlign w:val="center"/>
          </w:tcPr>
          <w:p w:rsidR="002328AB" w:rsidRDefault="00F37D48" w:rsidP="0012486D">
            <w:pPr>
              <w:spacing w:line="312" w:lineRule="auto"/>
              <w:jc w:val="center"/>
            </w:pPr>
            <w:r>
              <w:t>17</w:t>
            </w:r>
          </w:p>
        </w:tc>
        <w:tc>
          <w:tcPr>
            <w:tcW w:w="4245" w:type="dxa"/>
          </w:tcPr>
          <w:p w:rsidR="002328AB" w:rsidRDefault="0035393E" w:rsidP="0012486D">
            <w:pPr>
              <w:spacing w:before="120" w:line="312" w:lineRule="auto"/>
              <w:jc w:val="both"/>
            </w:pPr>
            <w:r>
              <w:t xml:space="preserve">Tại Điều 107 khoản 3: Quá thời hạn quy định, tổ chức, cá nhân trúng đấu giá quyền khai thác khoáng sản không thực hiện nghĩa vụ quy định tại các điểm a và điểm b khoản </w:t>
            </w:r>
            <w:r>
              <w:rPr>
                <w:i/>
              </w:rPr>
              <w:t>4</w:t>
            </w:r>
            <w:r>
              <w:t xml:space="preserve"> Điều 108 Luật này không được tham gia các cuộc đấu giá quyền khai thác khoáng sản trong thời hạn 05 (năm) năm, kể từ ngày kết thúc cuộc đấu giá đó.</w:t>
            </w:r>
          </w:p>
          <w:p w:rsidR="002328AB" w:rsidRDefault="002328AB" w:rsidP="0012486D">
            <w:pPr>
              <w:widowControl w:val="0"/>
              <w:spacing w:line="312" w:lineRule="auto"/>
              <w:jc w:val="both"/>
            </w:pPr>
          </w:p>
        </w:tc>
        <w:tc>
          <w:tcPr>
            <w:tcW w:w="4118" w:type="dxa"/>
          </w:tcPr>
          <w:p w:rsidR="002328AB" w:rsidRDefault="0035393E" w:rsidP="0012486D">
            <w:pPr>
              <w:spacing w:before="120" w:line="312" w:lineRule="auto"/>
              <w:jc w:val="both"/>
            </w:pPr>
            <w:r>
              <w:t xml:space="preserve">Tại Điều 107 khoản 3: Quá thời hạn quy định, tổ chức, cá nhân trúng đấu giá quyền khai thác khoáng sản không thực hiện nghĩa vụ quy định tại các điểm a và điểm b khoản </w:t>
            </w:r>
            <w:r>
              <w:rPr>
                <w:b/>
              </w:rPr>
              <w:t>2</w:t>
            </w:r>
            <w:r>
              <w:t xml:space="preserve"> Điều 108 Luật này không được tham gia các cuộc đấu giá quyền khai thác khoáng sản trong thời hạn 05 (năm) năm, kể từ ngày kết thúc cuộc đấu giá đó.</w:t>
            </w:r>
            <w:bookmarkStart w:id="0" w:name="_GoBack"/>
            <w:bookmarkEnd w:id="0"/>
          </w:p>
        </w:tc>
      </w:tr>
      <w:tr w:rsidR="002328AB" w:rsidTr="0012486D">
        <w:tc>
          <w:tcPr>
            <w:tcW w:w="851" w:type="dxa"/>
            <w:vAlign w:val="center"/>
          </w:tcPr>
          <w:p w:rsidR="002328AB" w:rsidRDefault="00F37D48" w:rsidP="0012486D">
            <w:pPr>
              <w:spacing w:line="312" w:lineRule="auto"/>
              <w:jc w:val="center"/>
            </w:pPr>
            <w:r>
              <w:t>18</w:t>
            </w:r>
          </w:p>
        </w:tc>
        <w:tc>
          <w:tcPr>
            <w:tcW w:w="4245" w:type="dxa"/>
          </w:tcPr>
          <w:p w:rsidR="002328AB" w:rsidRDefault="00F37D48" w:rsidP="0012486D">
            <w:pPr>
              <w:spacing w:line="312" w:lineRule="auto"/>
              <w:jc w:val="both"/>
            </w:pPr>
            <w:r>
              <w:t>Tại Điều 110, khoản1, điểm a:</w:t>
            </w:r>
            <w:r w:rsidRPr="00F37D48">
              <w:rPr>
                <w:spacing w:val="-2"/>
                <w:lang w:val="nl-NL"/>
              </w:rPr>
              <w:t xml:space="preserve"> </w:t>
            </w:r>
            <w:r w:rsidRPr="00F37D48">
              <w:rPr>
                <w:lang w:val="nl-NL"/>
              </w:rPr>
              <w:t xml:space="preserve">Trường hợp tổ chức, cá nhân trúng </w:t>
            </w:r>
            <w:r w:rsidRPr="00F37D48">
              <w:rPr>
                <w:rFonts w:hint="cs"/>
                <w:lang w:val="nl-NL"/>
              </w:rPr>
              <w:lastRenderedPageBreak/>
              <w:t>đ</w:t>
            </w:r>
            <w:r w:rsidRPr="00F37D48">
              <w:rPr>
                <w:lang w:val="nl-NL"/>
              </w:rPr>
              <w:t xml:space="preserve">ấu giá quyền khai thác khoáng sản không thực hiện nghĩa vụ quy định tại các </w:t>
            </w:r>
            <w:r w:rsidRPr="00F37D48">
              <w:rPr>
                <w:rFonts w:hint="cs"/>
                <w:lang w:val="nl-NL"/>
              </w:rPr>
              <w:t>đ</w:t>
            </w:r>
            <w:r w:rsidRPr="00F37D48">
              <w:rPr>
                <w:lang w:val="nl-NL"/>
              </w:rPr>
              <w:t xml:space="preserve">iểm a và b khoản </w:t>
            </w:r>
            <w:r w:rsidRPr="00F37D48">
              <w:rPr>
                <w:i/>
                <w:lang w:val="nl-NL"/>
              </w:rPr>
              <w:t>4</w:t>
            </w:r>
            <w:r w:rsidRPr="00F37D48">
              <w:rPr>
                <w:lang w:val="nl-NL"/>
              </w:rPr>
              <w:t xml:space="preserve"> </w:t>
            </w:r>
            <w:r w:rsidRPr="00F37D48">
              <w:rPr>
                <w:rFonts w:hint="cs"/>
                <w:lang w:val="nl-NL"/>
              </w:rPr>
              <w:t>Đ</w:t>
            </w:r>
            <w:r w:rsidRPr="00F37D48">
              <w:rPr>
                <w:lang w:val="nl-NL"/>
              </w:rPr>
              <w:t>iều 108 của Luật này</w:t>
            </w:r>
          </w:p>
        </w:tc>
        <w:tc>
          <w:tcPr>
            <w:tcW w:w="4118" w:type="dxa"/>
          </w:tcPr>
          <w:p w:rsidR="002328AB" w:rsidRDefault="00F37D48" w:rsidP="0012486D">
            <w:pPr>
              <w:spacing w:line="312" w:lineRule="auto"/>
              <w:jc w:val="both"/>
            </w:pPr>
            <w:r>
              <w:lastRenderedPageBreak/>
              <w:t>Tại Điều 110, khoản1, điểm a:</w:t>
            </w:r>
            <w:r w:rsidRPr="00F37D48">
              <w:rPr>
                <w:spacing w:val="-2"/>
                <w:lang w:val="nl-NL"/>
              </w:rPr>
              <w:t xml:space="preserve"> </w:t>
            </w:r>
            <w:r w:rsidRPr="00F37D48">
              <w:rPr>
                <w:lang w:val="nl-NL"/>
              </w:rPr>
              <w:t xml:space="preserve">Trường hợp tổ chức, cá nhân </w:t>
            </w:r>
            <w:r w:rsidRPr="00F37D48">
              <w:rPr>
                <w:lang w:val="nl-NL"/>
              </w:rPr>
              <w:lastRenderedPageBreak/>
              <w:t xml:space="preserve">trúng </w:t>
            </w:r>
            <w:r w:rsidRPr="00F37D48">
              <w:rPr>
                <w:rFonts w:hint="cs"/>
                <w:lang w:val="nl-NL"/>
              </w:rPr>
              <w:t>đ</w:t>
            </w:r>
            <w:r w:rsidRPr="00F37D48">
              <w:rPr>
                <w:lang w:val="nl-NL"/>
              </w:rPr>
              <w:t xml:space="preserve">ấu giá quyền khai thác khoáng sản không thực hiện nghĩa vụ quy định tại các </w:t>
            </w:r>
            <w:r w:rsidRPr="00F37D48">
              <w:rPr>
                <w:rFonts w:hint="cs"/>
                <w:lang w:val="nl-NL"/>
              </w:rPr>
              <w:t>đ</w:t>
            </w:r>
            <w:r w:rsidRPr="00F37D48">
              <w:rPr>
                <w:lang w:val="nl-NL"/>
              </w:rPr>
              <w:t xml:space="preserve">iểm a và b khoản </w:t>
            </w:r>
            <w:r w:rsidRPr="00F37D48">
              <w:rPr>
                <w:b/>
                <w:lang w:val="nl-NL"/>
              </w:rPr>
              <w:t>2</w:t>
            </w:r>
            <w:r w:rsidRPr="00F37D48">
              <w:rPr>
                <w:lang w:val="nl-NL"/>
              </w:rPr>
              <w:t xml:space="preserve"> </w:t>
            </w:r>
            <w:r w:rsidRPr="00F37D48">
              <w:rPr>
                <w:rFonts w:hint="cs"/>
                <w:lang w:val="nl-NL"/>
              </w:rPr>
              <w:t>Đ</w:t>
            </w:r>
            <w:r w:rsidRPr="00F37D48">
              <w:rPr>
                <w:lang w:val="nl-NL"/>
              </w:rPr>
              <w:t>iều 108 của Luật này</w:t>
            </w:r>
          </w:p>
        </w:tc>
      </w:tr>
      <w:tr w:rsidR="002328AB" w:rsidTr="0012486D">
        <w:tc>
          <w:tcPr>
            <w:tcW w:w="851" w:type="dxa"/>
            <w:vAlign w:val="center"/>
          </w:tcPr>
          <w:p w:rsidR="002328AB" w:rsidRDefault="00F37D48" w:rsidP="0012486D">
            <w:pPr>
              <w:spacing w:line="312" w:lineRule="auto"/>
              <w:jc w:val="center"/>
            </w:pPr>
            <w:r>
              <w:lastRenderedPageBreak/>
              <w:t>19</w:t>
            </w:r>
          </w:p>
        </w:tc>
        <w:tc>
          <w:tcPr>
            <w:tcW w:w="4245" w:type="dxa"/>
          </w:tcPr>
          <w:p w:rsidR="002328AB" w:rsidRDefault="0035393E" w:rsidP="0012486D">
            <w:pPr>
              <w:spacing w:line="312" w:lineRule="auto"/>
              <w:jc w:val="both"/>
            </w:pPr>
            <w:r>
              <w:t>Tại Điều 116, khoản 3: Tổ chức, cá nhân được chấp thuận thu hồi khoáng sản trước ngày Luật này có hiệu lực thì được tiếp tục thực hiện đến hết thời hạn quy định trong văn bản chấp thuận.</w:t>
            </w:r>
          </w:p>
        </w:tc>
        <w:tc>
          <w:tcPr>
            <w:tcW w:w="4118" w:type="dxa"/>
          </w:tcPr>
          <w:p w:rsidR="002328AB" w:rsidRDefault="0035393E" w:rsidP="0012486D">
            <w:pPr>
              <w:spacing w:line="312" w:lineRule="auto"/>
              <w:jc w:val="both"/>
            </w:pPr>
            <w:r>
              <w:t xml:space="preserve">Tại Điều 116, khoản 3: Tổ chức, cá nhân được chấp thuận thu hồi khoáng sản trước ngày Luật này có hiệu lực thì được tiếp tục thực hiện đến hết thời hạn quy định trong văn bản chấp thuận </w:t>
            </w:r>
            <w:r>
              <w:rPr>
                <w:b/>
              </w:rPr>
              <w:t>và không được gia hạn hoặc cấp lại giấy phép</w:t>
            </w:r>
            <w:r>
              <w:t>.</w:t>
            </w:r>
          </w:p>
        </w:tc>
      </w:tr>
      <w:tr w:rsidR="002328AB" w:rsidTr="0012486D">
        <w:tc>
          <w:tcPr>
            <w:tcW w:w="851" w:type="dxa"/>
            <w:vAlign w:val="center"/>
          </w:tcPr>
          <w:p w:rsidR="002328AB" w:rsidRDefault="00F37D48" w:rsidP="0012486D">
            <w:pPr>
              <w:spacing w:line="312" w:lineRule="auto"/>
              <w:jc w:val="center"/>
            </w:pPr>
            <w:bookmarkStart w:id="1" w:name="_heading=h.gjdgxs" w:colFirst="0" w:colLast="0"/>
            <w:bookmarkEnd w:id="1"/>
            <w:r>
              <w:t>20</w:t>
            </w:r>
          </w:p>
        </w:tc>
        <w:tc>
          <w:tcPr>
            <w:tcW w:w="4245" w:type="dxa"/>
          </w:tcPr>
          <w:p w:rsidR="002328AB" w:rsidRDefault="0035393E" w:rsidP="0012486D">
            <w:pPr>
              <w:widowControl w:val="0"/>
              <w:spacing w:before="120" w:line="312" w:lineRule="auto"/>
              <w:jc w:val="both"/>
            </w:pPr>
            <w:r>
              <w:t xml:space="preserve">Tại Điều 116, khoản 4: Trường hợp đã được cơ quan có thẩm quyền phê duyệt trữ lượng khoáng sản trước thời điểm Luật này có hiệu lực, trong thời hạn 36 tháng kể từ ngày Luật này có hiệu lực có nghĩa vụ hoàn thiện, nộp hồ sơ đề nghị cấp phép khai thác khoáng sản theo quy định tại khoản 1 Điều 51 Luật này. Hết thời hạn nêu trên, tổ chức, cá nhân không gửi hồ sơ đề nghị cấp giấy phép khai thác khoáng sản đối với khu vực đã thăm dò thì mất quyền ưu tiên đề nghị cấp giấy phép khai thác khoáng sản. </w:t>
            </w:r>
          </w:p>
          <w:p w:rsidR="002328AB" w:rsidRDefault="002328AB" w:rsidP="0012486D">
            <w:pPr>
              <w:spacing w:line="312" w:lineRule="auto"/>
              <w:jc w:val="both"/>
            </w:pPr>
          </w:p>
        </w:tc>
        <w:tc>
          <w:tcPr>
            <w:tcW w:w="4118" w:type="dxa"/>
          </w:tcPr>
          <w:p w:rsidR="002328AB" w:rsidRDefault="0035393E" w:rsidP="0012486D">
            <w:pPr>
              <w:widowControl w:val="0"/>
              <w:spacing w:before="120" w:line="312" w:lineRule="auto"/>
              <w:jc w:val="both"/>
            </w:pPr>
            <w:r>
              <w:t xml:space="preserve">Tại Điều 116, khoản 4: Trường hợp đã được cơ quan có thẩm quyền phê duyệt trữ lượng khoáng sản trước thời điểm Luật này có hiệu lực </w:t>
            </w:r>
            <w:r>
              <w:rPr>
                <w:b/>
              </w:rPr>
              <w:t>thi hành</w:t>
            </w:r>
            <w:r>
              <w:t xml:space="preserve">, trong thời hạn 36 tháng kể từ ngày Luật này có hiệu lực có nghĩa vụ hoàn thiện, nộp hồ sơ đề nghị cấp phép khai thác khoáng sản theo quy định tại khoản 1 Điều 51 Luật này. Hết thời hạn nêu trên, tổ chức, cá nhân không gửi hồ sơ đề nghị cấp giấy phép khai thác khoáng sản đối với khu vực đã thăm dò thì mất quyền ưu tiên đề nghị cấp giấy phép khai thác khoáng sản. </w:t>
            </w:r>
          </w:p>
          <w:p w:rsidR="002328AB" w:rsidRDefault="002328AB" w:rsidP="0012486D">
            <w:pPr>
              <w:spacing w:line="312" w:lineRule="auto"/>
              <w:jc w:val="both"/>
            </w:pPr>
          </w:p>
        </w:tc>
      </w:tr>
    </w:tbl>
    <w:p w:rsidR="002328AB" w:rsidRDefault="002328AB"/>
    <w:sectPr w:rsidR="002328AB" w:rsidSect="0012486D">
      <w:footerReference w:type="default" r:id="rId8"/>
      <w:footerReference w:type="first" r:id="rId9"/>
      <w:pgSz w:w="11907" w:h="16840" w:code="9"/>
      <w:pgMar w:top="851" w:right="1134" w:bottom="851" w:left="15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1C" w:rsidRDefault="00CC1F1C" w:rsidP="009B2E93">
      <w:r>
        <w:separator/>
      </w:r>
    </w:p>
  </w:endnote>
  <w:endnote w:type="continuationSeparator" w:id="0">
    <w:p w:rsidR="00CC1F1C" w:rsidRDefault="00CC1F1C" w:rsidP="009B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384997"/>
      <w:docPartObj>
        <w:docPartGallery w:val="Page Numbers (Bottom of Page)"/>
        <w:docPartUnique/>
      </w:docPartObj>
    </w:sdtPr>
    <w:sdtEndPr>
      <w:rPr>
        <w:noProof/>
      </w:rPr>
    </w:sdtEndPr>
    <w:sdtContent>
      <w:p w:rsidR="009B2E93" w:rsidRDefault="009B2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2E93" w:rsidRDefault="009B2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93" w:rsidRDefault="009B2E93" w:rsidP="009B2E9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1C" w:rsidRDefault="00CC1F1C" w:rsidP="009B2E93">
      <w:r>
        <w:separator/>
      </w:r>
    </w:p>
  </w:footnote>
  <w:footnote w:type="continuationSeparator" w:id="0">
    <w:p w:rsidR="00CC1F1C" w:rsidRDefault="00CC1F1C" w:rsidP="009B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28AB"/>
    <w:rsid w:val="0012486D"/>
    <w:rsid w:val="002328AB"/>
    <w:rsid w:val="0035393E"/>
    <w:rsid w:val="009B2E93"/>
    <w:rsid w:val="00CC1F1C"/>
    <w:rsid w:val="00F3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070F"/>
  <w15:docId w15:val="{F324CD6F-066E-452F-8683-C9423FEF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A6A"/>
  </w:style>
  <w:style w:type="paragraph" w:styleId="Heading1">
    <w:name w:val="heading 1"/>
    <w:basedOn w:val="Normal"/>
    <w:next w:val="Normal"/>
    <w:link w:val="Heading1Char"/>
    <w:qFormat/>
    <w:rsid w:val="00E13A6A"/>
    <w:pPr>
      <w:keepNext/>
      <w:outlineLvl w:val="0"/>
    </w:pPr>
    <w:rPr>
      <w:rFonts w:ascii=".VnTime" w:hAnsi=".VnTime"/>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link w:val="Heading4Char"/>
    <w:qFormat/>
    <w:rsid w:val="00E13A6A"/>
    <w:pPr>
      <w:keepNext/>
      <w:tabs>
        <w:tab w:val="left" w:pos="0"/>
      </w:tabs>
      <w:jc w:val="center"/>
      <w:outlineLvl w:val="3"/>
    </w:pPr>
    <w:rPr>
      <w:rFonts w:ascii=".VnTime" w:hAnsi=".VnTime"/>
      <w:i/>
      <w:iCs/>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E13A6A"/>
    <w:rPr>
      <w:rFonts w:ascii=".VnTime" w:eastAsia="Times New Roman" w:hAnsi=".VnTime" w:cs="Times New Roman"/>
      <w:szCs w:val="24"/>
    </w:rPr>
  </w:style>
  <w:style w:type="character" w:customStyle="1" w:styleId="Heading4Char">
    <w:name w:val="Heading 4 Char"/>
    <w:basedOn w:val="DefaultParagraphFont"/>
    <w:link w:val="Heading4"/>
    <w:rsid w:val="00E13A6A"/>
    <w:rPr>
      <w:rFonts w:ascii=".VnTime" w:eastAsia="Times New Roman" w:hAnsi=".VnTime" w:cs="Times New Roman"/>
      <w:i/>
      <w:iCs/>
      <w:szCs w:val="24"/>
    </w:rPr>
  </w:style>
  <w:style w:type="paragraph" w:styleId="NormalWeb">
    <w:name w:val="Normal (Web)"/>
    <w:basedOn w:val="Normal"/>
    <w:uiPriority w:val="99"/>
    <w:rsid w:val="001D265A"/>
    <w:pPr>
      <w:overflowPunct w:val="0"/>
      <w:autoSpaceDE w:val="0"/>
      <w:autoSpaceDN w:val="0"/>
      <w:adjustRightInd w:val="0"/>
      <w:spacing w:after="120"/>
      <w:ind w:firstLine="567"/>
      <w:jc w:val="both"/>
      <w:textAlignment w:val="baseline"/>
    </w:pPr>
    <w:rPr>
      <w:rFonts w:eastAsia="SimSun"/>
      <w:color w:val="0000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2E93"/>
    <w:pPr>
      <w:tabs>
        <w:tab w:val="center" w:pos="4680"/>
        <w:tab w:val="right" w:pos="9360"/>
      </w:tabs>
    </w:pPr>
  </w:style>
  <w:style w:type="character" w:customStyle="1" w:styleId="HeaderChar">
    <w:name w:val="Header Char"/>
    <w:basedOn w:val="DefaultParagraphFont"/>
    <w:link w:val="Header"/>
    <w:uiPriority w:val="99"/>
    <w:rsid w:val="009B2E93"/>
  </w:style>
  <w:style w:type="paragraph" w:styleId="Footer">
    <w:name w:val="footer"/>
    <w:basedOn w:val="Normal"/>
    <w:link w:val="FooterChar"/>
    <w:uiPriority w:val="99"/>
    <w:unhideWhenUsed/>
    <w:rsid w:val="009B2E93"/>
    <w:pPr>
      <w:tabs>
        <w:tab w:val="center" w:pos="4680"/>
        <w:tab w:val="right" w:pos="9360"/>
      </w:tabs>
    </w:pPr>
  </w:style>
  <w:style w:type="character" w:customStyle="1" w:styleId="FooterChar">
    <w:name w:val="Footer Char"/>
    <w:basedOn w:val="DefaultParagraphFont"/>
    <w:link w:val="Footer"/>
    <w:uiPriority w:val="99"/>
    <w:rsid w:val="009B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6D04VG1WuMXjxiARPvnvg7yPAQ==">CgMxLjAyCGguZ2pkZ3hzOAByITF2ejJTdlJvQ1BzbmptRE1HMjhzbHdUSngtUGU3eXMtbQ==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0677D2-51C3-4D9C-ABAB-37AA8405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7774</Characters>
  <Application>Microsoft Office Word</Application>
  <DocSecurity>0</DocSecurity>
  <Lines>64</Lines>
  <Paragraphs>17</Paragraphs>
  <ScaleCrop>false</ScaleCrop>
  <Company>Microsoft</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Thu Trang</cp:lastModifiedBy>
  <cp:revision>5</cp:revision>
  <cp:lastPrinted>2024-06-13T03:43:00Z</cp:lastPrinted>
  <dcterms:created xsi:type="dcterms:W3CDTF">2024-06-13T03:42:00Z</dcterms:created>
  <dcterms:modified xsi:type="dcterms:W3CDTF">2024-06-13T07:56:00Z</dcterms:modified>
</cp:coreProperties>
</file>