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340" w:rsidRPr="000A7DB3" w:rsidRDefault="00852340" w:rsidP="00BB201A">
      <w:pPr>
        <w:widowControl w:val="0"/>
        <w:spacing w:after="120" w:line="240" w:lineRule="auto"/>
        <w:jc w:val="center"/>
        <w:rPr>
          <w:b/>
          <w:lang w:val="en-US"/>
        </w:rPr>
      </w:pPr>
      <w:bookmarkStart w:id="0" w:name="_GoBack"/>
      <w:bookmarkEnd w:id="0"/>
      <w:r w:rsidRPr="000A7DB3">
        <w:rPr>
          <w:b/>
          <w:lang w:val="en-US"/>
        </w:rPr>
        <w:t>BẢN</w:t>
      </w:r>
      <w:r w:rsidR="005F4442" w:rsidRPr="000A7DB3">
        <w:rPr>
          <w:b/>
          <w:lang w:val="en-US"/>
        </w:rPr>
        <w:t xml:space="preserve"> THUYẾT MINH,</w:t>
      </w:r>
      <w:r w:rsidRPr="000A7DB3">
        <w:rPr>
          <w:b/>
          <w:lang w:val="en-US"/>
        </w:rPr>
        <w:t xml:space="preserve"> GIẢI TRÌNH</w:t>
      </w:r>
    </w:p>
    <w:p w:rsidR="00EF4E21" w:rsidRPr="000A7DB3" w:rsidRDefault="00852340" w:rsidP="00BB201A">
      <w:pPr>
        <w:widowControl w:val="0"/>
        <w:spacing w:after="120" w:line="240" w:lineRule="auto"/>
        <w:jc w:val="center"/>
        <w:rPr>
          <w:b/>
          <w:sz w:val="24"/>
          <w:szCs w:val="24"/>
          <w:lang w:val="en-US"/>
        </w:rPr>
      </w:pPr>
      <w:r w:rsidRPr="000A7DB3">
        <w:rPr>
          <w:b/>
          <w:sz w:val="24"/>
          <w:szCs w:val="24"/>
          <w:lang w:val="en-US"/>
        </w:rPr>
        <w:t xml:space="preserve">NỘI DUNG DỰ THẢO THÔNG TƯ </w:t>
      </w:r>
      <w:r w:rsidR="00EF4E21">
        <w:rPr>
          <w:b/>
          <w:sz w:val="24"/>
          <w:szCs w:val="24"/>
          <w:lang w:val="en-US"/>
        </w:rPr>
        <w:t>QUY ĐỊNH VỀ</w:t>
      </w:r>
      <w:r w:rsidR="002A5349">
        <w:rPr>
          <w:b/>
          <w:sz w:val="24"/>
          <w:szCs w:val="24"/>
          <w:lang w:val="en-US"/>
        </w:rPr>
        <w:t xml:space="preserve"> NGHIỆP VỤ</w:t>
      </w:r>
      <w:r w:rsidR="00EF4E21">
        <w:rPr>
          <w:b/>
          <w:sz w:val="24"/>
          <w:szCs w:val="24"/>
          <w:lang w:val="en-US"/>
        </w:rPr>
        <w:t xml:space="preserve"> THƯ TÍN DỤNG VÀ CÁC </w:t>
      </w:r>
      <w:r w:rsidR="002A5349">
        <w:rPr>
          <w:b/>
          <w:sz w:val="24"/>
          <w:szCs w:val="24"/>
          <w:lang w:val="en-US"/>
        </w:rPr>
        <w:t>HOẠT ĐỘNG KINH DOANH KHÁC</w:t>
      </w:r>
      <w:r w:rsidR="00EF4E21">
        <w:rPr>
          <w:b/>
          <w:sz w:val="24"/>
          <w:szCs w:val="24"/>
          <w:lang w:val="en-US"/>
        </w:rPr>
        <w:t xml:space="preserve"> LIÊN QUAN ĐẾN THƯ TÍN DỤNG</w:t>
      </w:r>
    </w:p>
    <w:p w:rsidR="00852340" w:rsidRPr="000A7DB3" w:rsidRDefault="002A5349" w:rsidP="00BB201A">
      <w:pPr>
        <w:widowControl w:val="0"/>
        <w:spacing w:after="120" w:line="240" w:lineRule="auto"/>
        <w:jc w:val="center"/>
        <w:rPr>
          <w:b/>
          <w:sz w:val="24"/>
          <w:szCs w:val="24"/>
          <w:lang w:val="en-US"/>
        </w:rPr>
      </w:pPr>
      <w:r w:rsidRPr="00BB201A">
        <w:rPr>
          <w:b/>
          <w:noProof/>
          <w:lang w:val="en-US"/>
        </w:rPr>
        <mc:AlternateContent>
          <mc:Choice Requires="wps">
            <w:drawing>
              <wp:anchor distT="0" distB="0" distL="114300" distR="114300" simplePos="0" relativeHeight="251660288" behindDoc="0" locked="0" layoutInCell="1" allowOverlap="1" wp14:anchorId="74B46E83" wp14:editId="49007E3E">
                <wp:simplePos x="0" y="0"/>
                <wp:positionH relativeFrom="column">
                  <wp:posOffset>2282265</wp:posOffset>
                </wp:positionH>
                <wp:positionV relativeFrom="paragraph">
                  <wp:posOffset>228520</wp:posOffset>
                </wp:positionV>
                <wp:extent cx="1396800" cy="14400"/>
                <wp:effectExtent l="0" t="0" r="32385" b="24130"/>
                <wp:wrapNone/>
                <wp:docPr id="2" name="Straight Connector 2"/>
                <wp:cNvGraphicFramePr/>
                <a:graphic xmlns:a="http://schemas.openxmlformats.org/drawingml/2006/main">
                  <a:graphicData uri="http://schemas.microsoft.com/office/word/2010/wordprocessingShape">
                    <wps:wsp>
                      <wps:cNvCnPr/>
                      <wps:spPr>
                        <a:xfrm flipV="1">
                          <a:off x="0" y="0"/>
                          <a:ext cx="1396800" cy="14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EBABAC0"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79.7pt,18pt" to="289.7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" strokecolor="black [3040]"/>
            </w:pict>
          </mc:Fallback>
        </mc:AlternateContent>
      </w:r>
      <w:r w:rsidR="005F4442" w:rsidRPr="000A7DB3">
        <w:rPr>
          <w:b/>
          <w:sz w:val="24"/>
          <w:szCs w:val="24"/>
          <w:lang w:val="en-US"/>
        </w:rPr>
        <w:t>(DỰ THẢO THÔNG TƯ)</w:t>
      </w:r>
    </w:p>
    <w:p w:rsidR="00852340" w:rsidRPr="000A7DB3" w:rsidRDefault="00852340" w:rsidP="00BB201A">
      <w:pPr>
        <w:spacing w:after="120" w:line="240" w:lineRule="auto"/>
        <w:jc w:val="both"/>
        <w:rPr>
          <w:b/>
          <w:lang w:val="en-US"/>
        </w:rPr>
      </w:pPr>
    </w:p>
    <w:p w:rsidR="00D51ADE" w:rsidRDefault="00D51ADE" w:rsidP="00BB201A">
      <w:pPr>
        <w:spacing w:after="120" w:line="240" w:lineRule="auto"/>
        <w:ind w:firstLine="720"/>
        <w:rPr>
          <w:b/>
          <w:szCs w:val="28"/>
        </w:rPr>
      </w:pPr>
      <w:r w:rsidRPr="000A7DB3">
        <w:rPr>
          <w:b/>
          <w:szCs w:val="28"/>
          <w:lang w:val="en-US"/>
        </w:rPr>
        <w:t>I</w:t>
      </w:r>
      <w:r w:rsidRPr="000A7DB3">
        <w:rPr>
          <w:b/>
          <w:szCs w:val="28"/>
        </w:rPr>
        <w:t>. Sự cần thiết ban hành:</w:t>
      </w:r>
    </w:p>
    <w:p w:rsidR="00251DF4" w:rsidRPr="00BB201A" w:rsidRDefault="00251DF4" w:rsidP="00BB201A">
      <w:pPr>
        <w:spacing w:after="120" w:line="240" w:lineRule="auto"/>
        <w:ind w:firstLine="720"/>
        <w:rPr>
          <w:b/>
          <w:szCs w:val="28"/>
          <w:lang w:val="en-US"/>
        </w:rPr>
      </w:pPr>
      <w:r>
        <w:rPr>
          <w:b/>
          <w:szCs w:val="28"/>
          <w:lang w:val="en-US"/>
        </w:rPr>
        <w:t>1. Văn bản pháp luật mới được ban hành</w:t>
      </w:r>
    </w:p>
    <w:p w:rsidR="002A5349" w:rsidRDefault="007D081F">
      <w:pPr>
        <w:spacing w:after="120" w:line="240" w:lineRule="auto"/>
        <w:ind w:firstLine="720"/>
        <w:jc w:val="both"/>
        <w:rPr>
          <w:szCs w:val="28"/>
          <w:lang w:val="pt-BR"/>
        </w:rPr>
      </w:pPr>
      <w:r>
        <w:rPr>
          <w:szCs w:val="28"/>
          <w:lang w:val="pt-BR"/>
        </w:rPr>
        <w:t xml:space="preserve">Ngày </w:t>
      </w:r>
      <w:r w:rsidR="002A5349">
        <w:rPr>
          <w:szCs w:val="28"/>
          <w:lang w:val="pt-BR"/>
        </w:rPr>
        <w:t>0</w:t>
      </w:r>
      <w:r w:rsidR="00F0071F">
        <w:rPr>
          <w:szCs w:val="28"/>
          <w:lang w:val="pt-BR"/>
        </w:rPr>
        <w:t>6/</w:t>
      </w:r>
      <w:r w:rsidR="002A5349">
        <w:rPr>
          <w:szCs w:val="28"/>
          <w:lang w:val="pt-BR"/>
        </w:rPr>
        <w:t>0</w:t>
      </w:r>
      <w:r w:rsidR="00F0071F">
        <w:rPr>
          <w:szCs w:val="28"/>
          <w:lang w:val="pt-BR"/>
        </w:rPr>
        <w:t>2</w:t>
      </w:r>
      <w:r>
        <w:rPr>
          <w:szCs w:val="28"/>
          <w:lang w:val="pt-BR"/>
        </w:rPr>
        <w:t>/2024</w:t>
      </w:r>
      <w:r w:rsidR="00B32356">
        <w:rPr>
          <w:szCs w:val="28"/>
          <w:lang w:val="pt-BR"/>
        </w:rPr>
        <w:t>,</w:t>
      </w:r>
      <w:r>
        <w:rPr>
          <w:szCs w:val="28"/>
          <w:lang w:val="pt-BR"/>
        </w:rPr>
        <w:t xml:space="preserve"> Quốc hội ban hành Luật Các tổ chức tín dụng </w:t>
      </w:r>
      <w:r w:rsidR="00B32356">
        <w:rPr>
          <w:szCs w:val="28"/>
          <w:lang w:val="pt-BR"/>
        </w:rPr>
        <w:t xml:space="preserve">số 32/2024/QH15 </w:t>
      </w:r>
      <w:r w:rsidR="005F11D4">
        <w:rPr>
          <w:szCs w:val="28"/>
          <w:lang w:val="pt-BR"/>
        </w:rPr>
        <w:t>(Luật Các TCTD năm 2024)</w:t>
      </w:r>
      <w:r w:rsidR="0002360C">
        <w:rPr>
          <w:szCs w:val="28"/>
          <w:lang w:val="pt-BR"/>
        </w:rPr>
        <w:t xml:space="preserve"> có hiệu lực thi hành vào ngày </w:t>
      </w:r>
      <w:r w:rsidR="00182B31">
        <w:rPr>
          <w:szCs w:val="28"/>
          <w:lang w:val="pt-BR"/>
        </w:rPr>
        <w:t xml:space="preserve"> </w:t>
      </w:r>
      <w:r w:rsidR="00251DF4">
        <w:rPr>
          <w:szCs w:val="28"/>
          <w:lang w:val="pt-BR"/>
        </w:rPr>
        <w:t>0</w:t>
      </w:r>
      <w:r w:rsidR="00DA273E">
        <w:rPr>
          <w:szCs w:val="28"/>
          <w:lang w:val="pt-BR"/>
        </w:rPr>
        <w:t>1/</w:t>
      </w:r>
      <w:r w:rsidR="00182B31">
        <w:rPr>
          <w:szCs w:val="28"/>
          <w:lang w:val="pt-BR"/>
        </w:rPr>
        <w:t>7</w:t>
      </w:r>
      <w:r w:rsidR="0002360C">
        <w:rPr>
          <w:szCs w:val="28"/>
          <w:lang w:val="pt-BR"/>
        </w:rPr>
        <w:t>/2024,</w:t>
      </w:r>
      <w:r w:rsidR="00D83376">
        <w:rPr>
          <w:szCs w:val="28"/>
          <w:lang w:val="pt-BR"/>
        </w:rPr>
        <w:t xml:space="preserve"> thay thế Luật Các tổ chức tín dụng số 47/2010/QH12 (đã được sửa đổi, bổ sung một số điều theo Luật số 17/2017/QH14)</w:t>
      </w:r>
      <w:r w:rsidR="002A5349">
        <w:rPr>
          <w:szCs w:val="28"/>
          <w:lang w:val="pt-BR"/>
        </w:rPr>
        <w:t>.</w:t>
      </w:r>
      <w:r w:rsidR="00D83376">
        <w:rPr>
          <w:szCs w:val="28"/>
          <w:lang w:val="pt-BR"/>
        </w:rPr>
        <w:t xml:space="preserve"> </w:t>
      </w:r>
    </w:p>
    <w:p w:rsidR="00BF6167" w:rsidRPr="00F04CB6" w:rsidRDefault="002A5349" w:rsidP="00BB201A">
      <w:pPr>
        <w:spacing w:after="120" w:line="240" w:lineRule="auto"/>
        <w:ind w:firstLine="720"/>
        <w:jc w:val="both"/>
      </w:pPr>
      <w:r>
        <w:rPr>
          <w:szCs w:val="28"/>
          <w:lang w:val="pt-BR"/>
        </w:rPr>
        <w:t xml:space="preserve">Theo quy định tại Luật Các TCTD năm 2024, nghiệp vụ thư tín dụng không còn là dịch vụ thanh toán như quy định tại </w:t>
      </w:r>
      <w:r>
        <w:rPr>
          <w:szCs w:val="28"/>
          <w:lang w:val="en-US"/>
        </w:rPr>
        <w:t>khoản 15 Điều 4 Luật Các TCTD năm 2010</w:t>
      </w:r>
      <w:r>
        <w:rPr>
          <w:szCs w:val="28"/>
          <w:lang w:val="pt-BR"/>
        </w:rPr>
        <w:t xml:space="preserve"> mà được quy định là hình thức cấp tín dụng thông qua 04 nghiệp vụ: Phát hành, xác nhận, thương lượng thanh toán và hoàn trả thư tín dụng. Ngoài các nghiệp vụ cấp tín dụng này, các TCTD còn được thực hiện các dịch vụ khác liên quan đến thư tín dụng theo </w:t>
      </w:r>
      <w:r w:rsidR="00BF6167">
        <w:rPr>
          <w:szCs w:val="28"/>
          <w:lang w:val="pt-BR"/>
        </w:rPr>
        <w:t>quy định</w:t>
      </w:r>
      <w:r>
        <w:rPr>
          <w:szCs w:val="28"/>
          <w:lang w:val="pt-BR"/>
        </w:rPr>
        <w:t xml:space="preserve"> của</w:t>
      </w:r>
      <w:r w:rsidR="00BF6167">
        <w:rPr>
          <w:szCs w:val="28"/>
          <w:lang w:val="pt-BR"/>
        </w:rPr>
        <w:t xml:space="preserve"> Thống đốc</w:t>
      </w:r>
      <w:r>
        <w:rPr>
          <w:szCs w:val="28"/>
          <w:lang w:val="pt-BR"/>
        </w:rPr>
        <w:t xml:space="preserve"> NHNN</w:t>
      </w:r>
      <w:r w:rsidR="00E53A1B">
        <w:rPr>
          <w:szCs w:val="28"/>
          <w:lang w:val="pt-BR"/>
        </w:rPr>
        <w:t>.</w:t>
      </w:r>
    </w:p>
    <w:p w:rsidR="0033152E" w:rsidRPr="00EB613E" w:rsidRDefault="0033152E" w:rsidP="00BB201A">
      <w:pPr>
        <w:spacing w:after="120" w:line="240" w:lineRule="auto"/>
        <w:ind w:firstLine="540"/>
        <w:jc w:val="both"/>
        <w:rPr>
          <w:b/>
          <w:bCs/>
          <w:szCs w:val="28"/>
        </w:rPr>
      </w:pPr>
      <w:r>
        <w:rPr>
          <w:szCs w:val="28"/>
          <w:lang w:val="en-US"/>
        </w:rPr>
        <w:t xml:space="preserve">Hiện nghiệp vụ thư tín dụng được NHNN cho phép các TCTD làm theo thông lệ quốc tế mà chưa có văn bản hướng dẫn nghiệp vụ cụ thể. </w:t>
      </w:r>
      <w:r w:rsidR="008732EC">
        <w:rPr>
          <w:szCs w:val="28"/>
          <w:lang w:val="pt-BR"/>
        </w:rPr>
        <w:t xml:space="preserve">Vì vậy, </w:t>
      </w:r>
      <w:r>
        <w:rPr>
          <w:szCs w:val="28"/>
          <w:lang w:val="pt-BR"/>
        </w:rPr>
        <w:t xml:space="preserve">căn cứ quy định mới tại Luật Các TCTD năm 2024, </w:t>
      </w:r>
      <w:r w:rsidR="00E7530C">
        <w:rPr>
          <w:szCs w:val="28"/>
          <w:lang w:val="pt-BR"/>
        </w:rPr>
        <w:t xml:space="preserve">NHNN </w:t>
      </w:r>
      <w:r w:rsidR="008732EC">
        <w:rPr>
          <w:szCs w:val="28"/>
          <w:lang w:val="pt-BR"/>
        </w:rPr>
        <w:t xml:space="preserve">cần </w:t>
      </w:r>
      <w:r w:rsidRPr="00EB613E">
        <w:rPr>
          <w:szCs w:val="28"/>
          <w:shd w:val="clear" w:color="auto" w:fill="FFFFFF"/>
        </w:rPr>
        <w:t xml:space="preserve">khẩn trương </w:t>
      </w:r>
      <w:r w:rsidR="00967E19">
        <w:rPr>
          <w:szCs w:val="28"/>
          <w:lang w:val="pt-BR"/>
        </w:rPr>
        <w:t xml:space="preserve">ban hành </w:t>
      </w:r>
      <w:r w:rsidR="00BF6167">
        <w:rPr>
          <w:szCs w:val="28"/>
          <w:lang w:val="pt-BR"/>
        </w:rPr>
        <w:t>cơ chế để</w:t>
      </w:r>
      <w:r w:rsidR="00967E19">
        <w:rPr>
          <w:szCs w:val="28"/>
          <w:lang w:val="pt-BR"/>
        </w:rPr>
        <w:t xml:space="preserve"> </w:t>
      </w:r>
      <w:r>
        <w:rPr>
          <w:szCs w:val="28"/>
          <w:lang w:val="pt-BR"/>
        </w:rPr>
        <w:t xml:space="preserve">hướng dẫn và </w:t>
      </w:r>
      <w:r w:rsidR="00E7530C">
        <w:rPr>
          <w:szCs w:val="28"/>
          <w:lang w:val="pt-BR"/>
        </w:rPr>
        <w:t xml:space="preserve">quản lý </w:t>
      </w:r>
      <w:r w:rsidR="00967E19">
        <w:rPr>
          <w:szCs w:val="28"/>
          <w:lang w:val="pt-BR"/>
        </w:rPr>
        <w:t xml:space="preserve">nghiệp vụ phát hành thư tín dụng, xác nhận thư tín dụng, thương lượng thanh toán thư tín dụng, hoàn trả thư tín dụng </w:t>
      </w:r>
      <w:r w:rsidR="006D609A">
        <w:rPr>
          <w:szCs w:val="28"/>
          <w:lang w:val="pt-BR"/>
        </w:rPr>
        <w:t>theo quy trình cấp tín dụng</w:t>
      </w:r>
      <w:r w:rsidR="00FE111F">
        <w:rPr>
          <w:szCs w:val="28"/>
          <w:lang w:val="pt-BR"/>
        </w:rPr>
        <w:t xml:space="preserve"> và quản lý các </w:t>
      </w:r>
      <w:r w:rsidR="00FE7EC9">
        <w:rPr>
          <w:szCs w:val="28"/>
          <w:lang w:val="pt-BR"/>
        </w:rPr>
        <w:t>dịch</w:t>
      </w:r>
      <w:r w:rsidR="00967E19">
        <w:rPr>
          <w:szCs w:val="28"/>
          <w:lang w:val="pt-BR"/>
        </w:rPr>
        <w:t xml:space="preserve"> </w:t>
      </w:r>
      <w:r w:rsidR="00FE7EC9">
        <w:rPr>
          <w:szCs w:val="28"/>
          <w:lang w:val="pt-BR"/>
        </w:rPr>
        <w:t xml:space="preserve">vụ </w:t>
      </w:r>
      <w:r w:rsidR="00967E19">
        <w:rPr>
          <w:szCs w:val="28"/>
          <w:lang w:val="pt-BR"/>
        </w:rPr>
        <w:t xml:space="preserve">khác liên quan đến </w:t>
      </w:r>
      <w:r w:rsidR="00FE111F">
        <w:rPr>
          <w:szCs w:val="28"/>
          <w:lang w:val="pt-BR"/>
        </w:rPr>
        <w:t>thư tín dụng</w:t>
      </w:r>
      <w:r w:rsidR="00E010B6">
        <w:rPr>
          <w:szCs w:val="28"/>
          <w:lang w:val="pt-BR"/>
        </w:rPr>
        <w:t xml:space="preserve"> để </w:t>
      </w:r>
      <w:r w:rsidRPr="00EB613E">
        <w:rPr>
          <w:szCs w:val="28"/>
          <w:shd w:val="clear" w:color="auto" w:fill="FFFFFF"/>
        </w:rPr>
        <w:t>tạo cơ sở pháp lý</w:t>
      </w:r>
      <w:r>
        <w:rPr>
          <w:szCs w:val="28"/>
          <w:lang w:val="pt-BR"/>
        </w:rPr>
        <w:t xml:space="preserve"> cho </w:t>
      </w:r>
      <w:r w:rsidR="00E010B6">
        <w:rPr>
          <w:szCs w:val="28"/>
          <w:lang w:val="pt-BR"/>
        </w:rPr>
        <w:t>các TCTD</w:t>
      </w:r>
      <w:r w:rsidR="00251DF4">
        <w:rPr>
          <w:szCs w:val="28"/>
          <w:lang w:val="pt-BR"/>
        </w:rPr>
        <w:t xml:space="preserve"> có căn cứ và </w:t>
      </w:r>
      <w:r w:rsidR="00E010B6">
        <w:rPr>
          <w:szCs w:val="28"/>
          <w:lang w:val="pt-BR"/>
        </w:rPr>
        <w:t>thống nhất thực hiện</w:t>
      </w:r>
      <w:r>
        <w:rPr>
          <w:szCs w:val="28"/>
          <w:lang w:val="pt-BR"/>
        </w:rPr>
        <w:t xml:space="preserve"> </w:t>
      </w:r>
      <w:r w:rsidRPr="00EB613E">
        <w:rPr>
          <w:szCs w:val="28"/>
          <w:shd w:val="clear" w:color="auto" w:fill="FFFFFF"/>
        </w:rPr>
        <w:t>các quy định của Luật Các TCTD</w:t>
      </w:r>
      <w:r>
        <w:rPr>
          <w:szCs w:val="28"/>
          <w:shd w:val="clear" w:color="auto" w:fill="FFFFFF"/>
          <w:lang w:val="en-US"/>
        </w:rPr>
        <w:t xml:space="preserve"> năm 2024</w:t>
      </w:r>
      <w:r w:rsidRPr="00EB613E">
        <w:rPr>
          <w:szCs w:val="28"/>
          <w:shd w:val="clear" w:color="auto" w:fill="FFFFFF"/>
        </w:rPr>
        <w:t>.</w:t>
      </w:r>
    </w:p>
    <w:p w:rsidR="00251DF4" w:rsidRPr="00BB201A" w:rsidRDefault="00251DF4" w:rsidP="00BB201A">
      <w:pPr>
        <w:spacing w:after="120" w:line="240" w:lineRule="auto"/>
        <w:ind w:firstLine="720"/>
        <w:jc w:val="both"/>
        <w:rPr>
          <w:b/>
          <w:szCs w:val="28"/>
          <w:lang w:val="pt-BR"/>
        </w:rPr>
      </w:pPr>
      <w:r w:rsidRPr="00BB201A">
        <w:rPr>
          <w:b/>
          <w:szCs w:val="28"/>
          <w:lang w:val="pt-BR"/>
        </w:rPr>
        <w:t>2. Sửa đổi một số VBQPPL để phù hợp với Luật Các TCTD 2024:</w:t>
      </w:r>
    </w:p>
    <w:p w:rsidR="00251DF4" w:rsidRDefault="00251DF4">
      <w:pPr>
        <w:spacing w:after="120" w:line="240" w:lineRule="auto"/>
        <w:ind w:firstLine="720"/>
        <w:jc w:val="both"/>
        <w:rPr>
          <w:szCs w:val="28"/>
          <w:lang w:val="en-US"/>
        </w:rPr>
      </w:pPr>
      <w:r>
        <w:rPr>
          <w:szCs w:val="28"/>
          <w:lang w:val="en-US"/>
        </w:rPr>
        <w:t>Căn cứ quy định tại Luật Các TCTD 2010, Thủ tướng Chính phủ, NHNN đã có các văn bản hướng dẫn liên quan đến nghiệp vụ thư tín dụng (các văn bản đang còn hiệu lực), gồm (</w:t>
      </w:r>
      <w:r w:rsidRPr="00880159">
        <w:rPr>
          <w:b/>
          <w:szCs w:val="28"/>
          <w:lang w:val="en-US"/>
        </w:rPr>
        <w:t>i</w:t>
      </w:r>
      <w:r>
        <w:rPr>
          <w:szCs w:val="28"/>
          <w:lang w:val="en-US"/>
        </w:rPr>
        <w:t>) Nghị định số 101/2012/NĐ-CP ngày 22/11/2012 về thanh toán không dùng tiền mặt (</w:t>
      </w:r>
      <w:r w:rsidRPr="00880159">
        <w:rPr>
          <w:b/>
          <w:szCs w:val="28"/>
          <w:lang w:val="en-US"/>
        </w:rPr>
        <w:t>ii</w:t>
      </w:r>
      <w:r>
        <w:rPr>
          <w:szCs w:val="28"/>
          <w:lang w:val="en-US"/>
        </w:rPr>
        <w:t>) Thông tư số 46/2024/TT-NHNN ngày 31/12/2024 hướng dẫn về dịch vụ thanh toán không dùng tiền mặt (</w:t>
      </w:r>
      <w:r w:rsidRPr="00F72027">
        <w:rPr>
          <w:b/>
          <w:szCs w:val="28"/>
          <w:lang w:val="en-US"/>
        </w:rPr>
        <w:t>iii</w:t>
      </w:r>
      <w:r>
        <w:rPr>
          <w:szCs w:val="28"/>
          <w:lang w:val="en-US"/>
        </w:rPr>
        <w:t>) Thông tư số 23/2014/TT-NHNN ngày 19/8/2014 hướng dẫn việc mở, sử dụng tài khoản thanh toán tại tổ chức cung ứng dịch vụ thanh toán (đã được sửa đổi, bổ sung bởi Thông tư số 02/2019/TT-NHNN và Thông tư số 16/2020/TT-NHNN) (</w:t>
      </w:r>
      <w:r w:rsidRPr="00880159">
        <w:rPr>
          <w:b/>
          <w:szCs w:val="28"/>
          <w:lang w:val="en-US"/>
        </w:rPr>
        <w:t>iv</w:t>
      </w:r>
      <w:r>
        <w:rPr>
          <w:szCs w:val="28"/>
          <w:lang w:val="en-US"/>
        </w:rPr>
        <w:t>) Thông tư số 41/2016/TT-NHNN ngày 30/12/2016 quy định tỷ lệ an toàn vốn đối với ngân hàng, chi nhánh ngân hàng nước ngoài (</w:t>
      </w:r>
      <w:r w:rsidRPr="00880159">
        <w:rPr>
          <w:b/>
          <w:szCs w:val="28"/>
          <w:lang w:val="en-US"/>
        </w:rPr>
        <w:t>v</w:t>
      </w:r>
      <w:r>
        <w:rPr>
          <w:szCs w:val="28"/>
          <w:lang w:val="en-US"/>
        </w:rPr>
        <w:t>) Thông tư số 22/2019/TT-NHNN ngày 15/11/2019 quy định các giới hạn, tỷ lệ bảo đảm an toàn trong hoạt động của ngân hàng (</w:t>
      </w:r>
      <w:r w:rsidRPr="00880159">
        <w:rPr>
          <w:b/>
          <w:szCs w:val="28"/>
          <w:lang w:val="en-US"/>
        </w:rPr>
        <w:t>vi</w:t>
      </w:r>
      <w:r>
        <w:rPr>
          <w:szCs w:val="28"/>
          <w:lang w:val="en-US"/>
        </w:rPr>
        <w:t xml:space="preserve">) Thông tư số 11/2021/TT-NHNN ngày 30/7/2021 quy định về phân loại tài sản có, mức trích, phương pháp trích dự phòng rủi ro và việc sử dụng dự phòng rủi ro để xử lý rủi ro trong hoạt động của TCTD. </w:t>
      </w:r>
    </w:p>
    <w:p w:rsidR="006E0236" w:rsidRPr="00BB201A" w:rsidRDefault="00251DF4" w:rsidP="00BB201A">
      <w:pPr>
        <w:spacing w:after="120" w:line="240" w:lineRule="auto"/>
        <w:ind w:firstLine="720"/>
        <w:jc w:val="both"/>
        <w:rPr>
          <w:szCs w:val="28"/>
          <w:lang w:val="pt-BR"/>
        </w:rPr>
      </w:pPr>
      <w:r>
        <w:rPr>
          <w:szCs w:val="28"/>
          <w:lang w:val="pt-BR"/>
        </w:rPr>
        <w:t>Vì vậy, căn cứ Thông tư hướng dẫn về</w:t>
      </w:r>
      <w:r w:rsidR="00AC3E30">
        <w:rPr>
          <w:szCs w:val="28"/>
          <w:lang w:val="pt-BR"/>
        </w:rPr>
        <w:t xml:space="preserve"> nghiệp vụ</w:t>
      </w:r>
      <w:r>
        <w:rPr>
          <w:szCs w:val="28"/>
          <w:lang w:val="pt-BR"/>
        </w:rPr>
        <w:t xml:space="preserve"> thư tín dụng để các đơn vị NHNN rà soát các VBQPPL nêu trên để sửa đổi, bổ sung cho phù hợp với quy định mới tại Luật Các TCTD 2024.</w:t>
      </w:r>
    </w:p>
    <w:p w:rsidR="00D51ADE" w:rsidRPr="000A7DB3" w:rsidRDefault="00D51ADE" w:rsidP="00BB201A">
      <w:pPr>
        <w:widowControl w:val="0"/>
        <w:spacing w:after="120" w:line="240" w:lineRule="auto"/>
        <w:ind w:firstLine="720"/>
        <w:jc w:val="both"/>
        <w:rPr>
          <w:b/>
          <w:szCs w:val="28"/>
          <w:lang w:val="pt-BR"/>
        </w:rPr>
      </w:pPr>
      <w:r w:rsidRPr="000A7DB3">
        <w:rPr>
          <w:b/>
          <w:szCs w:val="28"/>
          <w:lang w:val="pt-BR"/>
        </w:rPr>
        <w:lastRenderedPageBreak/>
        <w:t>II.</w:t>
      </w:r>
      <w:r w:rsidRPr="000A7DB3">
        <w:rPr>
          <w:szCs w:val="28"/>
          <w:lang w:val="pt-BR"/>
        </w:rPr>
        <w:t xml:space="preserve"> </w:t>
      </w:r>
      <w:r w:rsidRPr="000A7DB3">
        <w:rPr>
          <w:b/>
          <w:szCs w:val="28"/>
          <w:lang w:val="pt-BR"/>
        </w:rPr>
        <w:t>Cơ sở</w:t>
      </w:r>
      <w:r w:rsidR="00D20AFC">
        <w:rPr>
          <w:b/>
          <w:szCs w:val="28"/>
          <w:lang w:val="pt-BR"/>
        </w:rPr>
        <w:t xml:space="preserve"> pháp lý</w:t>
      </w:r>
      <w:r w:rsidR="00C92BF7">
        <w:rPr>
          <w:b/>
          <w:szCs w:val="28"/>
          <w:lang w:val="pt-BR"/>
        </w:rPr>
        <w:t xml:space="preserve"> hướng dẫn</w:t>
      </w:r>
      <w:r w:rsidR="00D20AFC">
        <w:rPr>
          <w:b/>
          <w:szCs w:val="28"/>
          <w:lang w:val="pt-BR"/>
        </w:rPr>
        <w:t>:</w:t>
      </w:r>
    </w:p>
    <w:p w:rsidR="00D51ADE" w:rsidRPr="000A7DB3" w:rsidRDefault="00D51ADE" w:rsidP="00BB201A">
      <w:pPr>
        <w:widowControl w:val="0"/>
        <w:spacing w:after="120" w:line="240" w:lineRule="auto"/>
        <w:ind w:firstLine="720"/>
        <w:jc w:val="both"/>
        <w:rPr>
          <w:b/>
          <w:szCs w:val="28"/>
          <w:lang w:val="pt-BR"/>
        </w:rPr>
      </w:pPr>
      <w:r w:rsidRPr="000A7DB3">
        <w:rPr>
          <w:szCs w:val="28"/>
          <w:lang w:val="pt-BR"/>
        </w:rPr>
        <w:t>- Khoản 4 Điều 4 Luật NHNN về nhiệm vụ, quyền hạn của NHNN quy định: “</w:t>
      </w:r>
      <w:r w:rsidRPr="000A7DB3">
        <w:rPr>
          <w:i/>
          <w:szCs w:val="28"/>
          <w:lang w:val="pt-BR"/>
        </w:rPr>
        <w:t>Ban hành hoặc trình cơ quan Nhà nước có thẩm quyền ban hành văn bản quy phạm pháp luật về tiền tệ và ngân hàng;…”</w:t>
      </w:r>
      <w:r w:rsidRPr="000A7DB3">
        <w:rPr>
          <w:szCs w:val="28"/>
          <w:lang w:val="pt-BR"/>
        </w:rPr>
        <w:t>.</w:t>
      </w:r>
    </w:p>
    <w:p w:rsidR="00E53A1B" w:rsidRDefault="00E53A1B">
      <w:pPr>
        <w:pStyle w:val="ListParagraph"/>
        <w:spacing w:after="120"/>
        <w:ind w:left="33" w:firstLine="687"/>
        <w:jc w:val="both"/>
        <w:rPr>
          <w:sz w:val="28"/>
          <w:szCs w:val="28"/>
        </w:rPr>
      </w:pPr>
      <w:r>
        <w:rPr>
          <w:sz w:val="28"/>
          <w:szCs w:val="28"/>
        </w:rPr>
        <w:t>- Các nội dung quy định</w:t>
      </w:r>
      <w:r w:rsidR="008F1B9D">
        <w:rPr>
          <w:sz w:val="28"/>
          <w:szCs w:val="28"/>
        </w:rPr>
        <w:t xml:space="preserve"> về thư tín dụng</w:t>
      </w:r>
      <w:r>
        <w:rPr>
          <w:sz w:val="28"/>
          <w:szCs w:val="28"/>
        </w:rPr>
        <w:t xml:space="preserve"> tại Luật Các TCTD năm 2024:</w:t>
      </w:r>
    </w:p>
    <w:p w:rsidR="000514D6" w:rsidRPr="00BB201A" w:rsidRDefault="000514D6" w:rsidP="00BB201A">
      <w:pPr>
        <w:spacing w:line="340" w:lineRule="exact"/>
        <w:ind w:firstLine="720"/>
        <w:jc w:val="both"/>
        <w:rPr>
          <w:i/>
        </w:rPr>
      </w:pPr>
      <w:r>
        <w:rPr>
          <w:szCs w:val="28"/>
        </w:rPr>
        <w:t xml:space="preserve">+ Khoản 4 Điều 4 quy định: </w:t>
      </w:r>
      <w:r w:rsidRPr="00BB201A">
        <w:rPr>
          <w:i/>
          <w:szCs w:val="28"/>
        </w:rPr>
        <w:t>“</w:t>
      </w:r>
      <w:r w:rsidRPr="00BB201A">
        <w:rPr>
          <w:i/>
          <w:lang w:val="en-US"/>
        </w:rPr>
        <w:t xml:space="preserve">4. </w:t>
      </w:r>
      <w:r w:rsidRPr="00BB201A">
        <w:rPr>
          <w:i/>
          <w:iCs/>
          <w:lang w:val="en-US"/>
        </w:rPr>
        <w:t>Cấp tín dụng</w:t>
      </w:r>
      <w:r w:rsidRPr="00BB201A">
        <w:rPr>
          <w:i/>
          <w:lang w:val="en-US"/>
        </w:rPr>
        <w:t xml:space="preserve"> là việc thỏa thuận để tổ chức, cá nhân sử dụng một khoản tiền hoặc cam kết cho phép sử dụng một khoản tiền theo nguyên tắc có hoàn trả bằng nghiệp vụ cho vay, chiết khấu, cho thuê tài chính, bao thanh toán, bảo lãnh ngân hàng</w:t>
      </w:r>
      <w:r w:rsidRPr="00BB201A">
        <w:rPr>
          <w:i/>
        </w:rPr>
        <w:t>, thư tín dụng</w:t>
      </w:r>
      <w:r w:rsidRPr="00BB201A">
        <w:rPr>
          <w:i/>
          <w:lang w:val="en-US"/>
        </w:rPr>
        <w:t xml:space="preserve"> và các nghiệp vụ cấp tín dụng khác</w:t>
      </w:r>
      <w:r>
        <w:rPr>
          <w:i/>
          <w:lang w:val="en-US"/>
        </w:rPr>
        <w:t>”</w:t>
      </w:r>
      <w:r w:rsidRPr="00BB201A">
        <w:rPr>
          <w:i/>
          <w:lang w:val="en-US"/>
        </w:rPr>
        <w:t>.</w:t>
      </w:r>
    </w:p>
    <w:p w:rsidR="00E53A1B" w:rsidRDefault="00E53A1B" w:rsidP="00BB201A">
      <w:pPr>
        <w:spacing w:line="340" w:lineRule="exact"/>
        <w:ind w:firstLine="720"/>
        <w:rPr>
          <w:szCs w:val="28"/>
        </w:rPr>
      </w:pPr>
      <w:r>
        <w:rPr>
          <w:szCs w:val="28"/>
        </w:rPr>
        <w:t>+ Khoản 36, Điều 4 quy định ‘</w:t>
      </w:r>
      <w:r w:rsidRPr="00D728D8">
        <w:rPr>
          <w:i/>
          <w:szCs w:val="28"/>
        </w:rPr>
        <w:t>Thư tín dụng là hình thức cấp tín dụng qua  nghiệp vụ phát hành, xác nhận, thương lượng thanh toán, hoàn trả thư tín dụng</w:t>
      </w:r>
      <w:r>
        <w:rPr>
          <w:szCs w:val="28"/>
        </w:rPr>
        <w:t>”.</w:t>
      </w:r>
    </w:p>
    <w:p w:rsidR="00E53A1B" w:rsidRDefault="00E53A1B">
      <w:pPr>
        <w:pStyle w:val="ListParagraph"/>
        <w:spacing w:after="120"/>
        <w:ind w:left="33" w:firstLine="687"/>
        <w:jc w:val="both"/>
        <w:rPr>
          <w:sz w:val="28"/>
          <w:szCs w:val="28"/>
        </w:rPr>
      </w:pPr>
      <w:r>
        <w:rPr>
          <w:sz w:val="28"/>
          <w:szCs w:val="28"/>
        </w:rPr>
        <w:t xml:space="preserve">+ Tiết e khoản 3 Điều 107 quy định ngân hàng thương mại được </w:t>
      </w:r>
      <w:r>
        <w:rPr>
          <w:i/>
          <w:sz w:val="28"/>
          <w:szCs w:val="28"/>
        </w:rPr>
        <w:t>c</w:t>
      </w:r>
      <w:r w:rsidRPr="00D728D8">
        <w:rPr>
          <w:i/>
          <w:sz w:val="28"/>
          <w:szCs w:val="28"/>
        </w:rPr>
        <w:t>ấp tín dụng dưới các hình thức</w:t>
      </w:r>
      <w:r>
        <w:rPr>
          <w:i/>
          <w:sz w:val="28"/>
          <w:szCs w:val="28"/>
        </w:rPr>
        <w:t xml:space="preserve">, trong đó bao gồm </w:t>
      </w:r>
      <w:r w:rsidRPr="00D728D8">
        <w:rPr>
          <w:i/>
          <w:sz w:val="28"/>
          <w:szCs w:val="28"/>
        </w:rPr>
        <w:t>thư tín dụng</w:t>
      </w:r>
      <w:r>
        <w:rPr>
          <w:sz w:val="28"/>
          <w:szCs w:val="28"/>
        </w:rPr>
        <w:t>.</w:t>
      </w:r>
    </w:p>
    <w:p w:rsidR="00E53A1B" w:rsidRDefault="008F1B9D">
      <w:pPr>
        <w:spacing w:after="120" w:line="240" w:lineRule="auto"/>
        <w:ind w:firstLine="720"/>
        <w:jc w:val="both"/>
        <w:rPr>
          <w:szCs w:val="28"/>
          <w:lang w:val="en-US"/>
        </w:rPr>
      </w:pPr>
      <w:r>
        <w:rPr>
          <w:szCs w:val="28"/>
          <w:lang w:val="en-US"/>
        </w:rPr>
        <w:t>+</w:t>
      </w:r>
      <w:r w:rsidR="00E53A1B">
        <w:rPr>
          <w:szCs w:val="28"/>
        </w:rPr>
        <w:t xml:space="preserve"> Tiết e khoản 1 Điều 114 quy định</w:t>
      </w:r>
      <w:r w:rsidR="00E53A1B">
        <w:rPr>
          <w:szCs w:val="28"/>
          <w:lang w:val="en-US"/>
        </w:rPr>
        <w:t xml:space="preserve"> NHTM được </w:t>
      </w:r>
      <w:r w:rsidR="00E53A1B" w:rsidRPr="00F04CB6">
        <w:t xml:space="preserve">thực hiện các hoạt động kinh doanh khác theo quy định của Thống đốc </w:t>
      </w:r>
      <w:r w:rsidR="00E53A1B">
        <w:rPr>
          <w:lang w:val="en-US"/>
        </w:rPr>
        <w:t>NHNN, trong đó bao gồm</w:t>
      </w:r>
      <w:r w:rsidR="00E53A1B">
        <w:rPr>
          <w:szCs w:val="28"/>
        </w:rPr>
        <w:t xml:space="preserve"> “</w:t>
      </w:r>
      <w:r w:rsidR="00E53A1B" w:rsidRPr="00D728D8">
        <w:rPr>
          <w:i/>
          <w:szCs w:val="28"/>
        </w:rPr>
        <w:t>Dịch vụ khác liên quan đến thư tín dụng</w:t>
      </w:r>
      <w:r w:rsidR="00E53A1B">
        <w:rPr>
          <w:szCs w:val="28"/>
        </w:rPr>
        <w:t>”.</w:t>
      </w:r>
      <w:r w:rsidR="00E53A1B" w:rsidRPr="002A5349">
        <w:rPr>
          <w:szCs w:val="28"/>
          <w:lang w:val="en-US"/>
        </w:rPr>
        <w:t xml:space="preserve"> </w:t>
      </w:r>
    </w:p>
    <w:p w:rsidR="00E53A1B" w:rsidRDefault="008F1B9D" w:rsidP="00BB201A">
      <w:pPr>
        <w:spacing w:after="120" w:line="240" w:lineRule="auto"/>
        <w:ind w:firstLine="720"/>
        <w:jc w:val="both"/>
      </w:pPr>
      <w:r>
        <w:rPr>
          <w:szCs w:val="28"/>
          <w:lang w:val="en-US"/>
        </w:rPr>
        <w:t>+</w:t>
      </w:r>
      <w:r w:rsidR="00E53A1B">
        <w:rPr>
          <w:szCs w:val="28"/>
          <w:lang w:val="en-US"/>
        </w:rPr>
        <w:t xml:space="preserve"> Khoản 3 Điều 114 quy định NHTM </w:t>
      </w:r>
      <w:r w:rsidR="00E53A1B" w:rsidRPr="00F04CB6">
        <w:t>được thực hiện các hoạt động kinh doanh khác liên quan đến hoạt động ngân hàng ngoài các hoạt động quy định tại khoản 1 và khoản 2 Điều này</w:t>
      </w:r>
      <w:r w:rsidR="00E53A1B" w:rsidRPr="00F04CB6" w:rsidDel="00662A53">
        <w:t xml:space="preserve"> </w:t>
      </w:r>
      <w:r w:rsidR="00E53A1B" w:rsidRPr="00F04CB6">
        <w:t xml:space="preserve">theo quy định của Thống đốc </w:t>
      </w:r>
      <w:r w:rsidR="00E53A1B">
        <w:rPr>
          <w:lang w:val="en-US"/>
        </w:rPr>
        <w:t>NHNN</w:t>
      </w:r>
      <w:r w:rsidR="00E53A1B" w:rsidRPr="00F04CB6">
        <w:rPr>
          <w:lang w:val="en-US"/>
        </w:rPr>
        <w:t>,</w:t>
      </w:r>
      <w:r w:rsidR="00E53A1B" w:rsidRPr="00F04CB6">
        <w:t xml:space="preserve"> quy định </w:t>
      </w:r>
      <w:r w:rsidR="00E53A1B" w:rsidRPr="00F04CB6">
        <w:rPr>
          <w:lang w:val="en-US"/>
        </w:rPr>
        <w:t xml:space="preserve">khác </w:t>
      </w:r>
      <w:r w:rsidR="00E53A1B" w:rsidRPr="00F04CB6">
        <w:t>của pháp luật có liên quan.</w:t>
      </w:r>
    </w:p>
    <w:p w:rsidR="008F1B9D" w:rsidRPr="00BB201A" w:rsidRDefault="008F1B9D" w:rsidP="00BB201A">
      <w:pPr>
        <w:spacing w:after="120" w:line="240" w:lineRule="auto"/>
        <w:ind w:firstLine="720"/>
        <w:jc w:val="both"/>
        <w:rPr>
          <w:lang w:val="en-US"/>
        </w:rPr>
      </w:pPr>
      <w:r>
        <w:rPr>
          <w:lang w:val="en-US"/>
        </w:rPr>
        <w:t xml:space="preserve">- Các nội dung quy định về hoạt động cấp tín dụng tại Luật Các TCTD năm 2024: </w:t>
      </w:r>
      <w:r w:rsidRPr="008F1B9D">
        <w:rPr>
          <w:lang w:val="en-US"/>
        </w:rPr>
        <w:t>Điề</w:t>
      </w:r>
      <w:r>
        <w:rPr>
          <w:lang w:val="en-US"/>
        </w:rPr>
        <w:t>u 15 quy định</w:t>
      </w:r>
      <w:r w:rsidRPr="008F1B9D">
        <w:rPr>
          <w:lang w:val="en-US"/>
        </w:rPr>
        <w:t xml:space="preserve"> </w:t>
      </w:r>
      <w:r>
        <w:rPr>
          <w:lang w:val="en-US"/>
        </w:rPr>
        <w:t>h</w:t>
      </w:r>
      <w:r w:rsidRPr="008F1B9D">
        <w:rPr>
          <w:lang w:val="en-US"/>
        </w:rPr>
        <w:t>ành vi bị nghiêm cấm</w:t>
      </w:r>
      <w:r>
        <w:rPr>
          <w:lang w:val="en-US"/>
        </w:rPr>
        <w:t xml:space="preserve">; </w:t>
      </w:r>
      <w:r w:rsidRPr="008F1B9D">
        <w:rPr>
          <w:lang w:val="en-US"/>
        </w:rPr>
        <w:t>Điề</w:t>
      </w:r>
      <w:r>
        <w:rPr>
          <w:lang w:val="en-US"/>
        </w:rPr>
        <w:t>u 100 quy định</w:t>
      </w:r>
      <w:r w:rsidRPr="008F1B9D">
        <w:rPr>
          <w:lang w:val="en-US"/>
        </w:rPr>
        <w:t xml:space="preserve"> </w:t>
      </w:r>
      <w:r>
        <w:rPr>
          <w:lang w:val="en-US"/>
        </w:rPr>
        <w:t>l</w:t>
      </w:r>
      <w:r w:rsidRPr="008F1B9D">
        <w:rPr>
          <w:lang w:val="en-US"/>
        </w:rPr>
        <w:t>ãi suất, phí trong hoạt động kinh doanh của tổ chức tín dụng</w:t>
      </w:r>
      <w:r>
        <w:rPr>
          <w:lang w:val="en-US"/>
        </w:rPr>
        <w:t xml:space="preserve">; </w:t>
      </w:r>
      <w:r w:rsidRPr="008F1B9D">
        <w:rPr>
          <w:lang w:val="en-US"/>
        </w:rPr>
        <w:t>Điều 101</w:t>
      </w:r>
      <w:r>
        <w:rPr>
          <w:lang w:val="en-US"/>
        </w:rPr>
        <w:t xml:space="preserve"> q</w:t>
      </w:r>
      <w:r w:rsidRPr="008F1B9D">
        <w:rPr>
          <w:lang w:val="en-US"/>
        </w:rPr>
        <w:t>uy định nội bộ</w:t>
      </w:r>
      <w:r>
        <w:rPr>
          <w:lang w:val="en-US"/>
        </w:rPr>
        <w:t>;</w:t>
      </w:r>
      <w:r w:rsidRPr="008F1B9D">
        <w:t xml:space="preserve"> </w:t>
      </w:r>
      <w:r w:rsidRPr="008F1B9D">
        <w:rPr>
          <w:lang w:val="en-US"/>
        </w:rPr>
        <w:t>Điều 102</w:t>
      </w:r>
      <w:r>
        <w:rPr>
          <w:lang w:val="en-US"/>
        </w:rPr>
        <w:t xml:space="preserve"> quy định</w:t>
      </w:r>
      <w:r w:rsidRPr="008F1B9D">
        <w:rPr>
          <w:lang w:val="en-US"/>
        </w:rPr>
        <w:t xml:space="preserve"> </w:t>
      </w:r>
      <w:r>
        <w:rPr>
          <w:lang w:val="en-US"/>
        </w:rPr>
        <w:t>x</w:t>
      </w:r>
      <w:r w:rsidRPr="008F1B9D">
        <w:rPr>
          <w:lang w:val="en-US"/>
        </w:rPr>
        <w:t>ét duyệt cấp tín dụng, kiểm tra sử dụng vốn vay, tài sản cho thuê tài chính</w:t>
      </w:r>
      <w:r>
        <w:rPr>
          <w:lang w:val="en-US"/>
        </w:rPr>
        <w:t xml:space="preserve">; </w:t>
      </w:r>
      <w:r w:rsidRPr="008F1B9D">
        <w:t xml:space="preserve"> </w:t>
      </w:r>
      <w:r w:rsidRPr="008F1B9D">
        <w:rPr>
          <w:lang w:val="en-US"/>
        </w:rPr>
        <w:t>Điều 103</w:t>
      </w:r>
      <w:r>
        <w:rPr>
          <w:lang w:val="en-US"/>
        </w:rPr>
        <w:t xml:space="preserve"> quy định</w:t>
      </w:r>
      <w:r w:rsidRPr="008F1B9D">
        <w:rPr>
          <w:lang w:val="en-US"/>
        </w:rPr>
        <w:t xml:space="preserve"> </w:t>
      </w:r>
      <w:r>
        <w:rPr>
          <w:lang w:val="en-US"/>
        </w:rPr>
        <w:t>c</w:t>
      </w:r>
      <w:r w:rsidRPr="008F1B9D">
        <w:rPr>
          <w:lang w:val="en-US"/>
        </w:rPr>
        <w:t>hấm dứt cấp tín dụng, xử lý nợ, miễn, giảm lãi</w:t>
      </w:r>
      <w:r>
        <w:rPr>
          <w:lang w:val="en-US"/>
        </w:rPr>
        <w:t>;</w:t>
      </w:r>
      <w:r w:rsidRPr="008F1B9D">
        <w:t xml:space="preserve"> </w:t>
      </w:r>
      <w:r w:rsidRPr="008F1B9D">
        <w:rPr>
          <w:lang w:val="en-US"/>
        </w:rPr>
        <w:t>Điều 105</w:t>
      </w:r>
      <w:r>
        <w:rPr>
          <w:lang w:val="en-US"/>
        </w:rPr>
        <w:t xml:space="preserve"> quy định</w:t>
      </w:r>
      <w:r w:rsidRPr="008F1B9D">
        <w:rPr>
          <w:lang w:val="en-US"/>
        </w:rPr>
        <w:t xml:space="preserve"> </w:t>
      </w:r>
      <w:r>
        <w:rPr>
          <w:lang w:val="en-US"/>
        </w:rPr>
        <w:t>g</w:t>
      </w:r>
      <w:r w:rsidRPr="008F1B9D">
        <w:rPr>
          <w:lang w:val="en-US"/>
        </w:rPr>
        <w:t>iao dịch điện tử trong hoạt động của tổ chức tín dụng</w:t>
      </w:r>
      <w:r>
        <w:rPr>
          <w:lang w:val="en-US"/>
        </w:rPr>
        <w:t>;</w:t>
      </w:r>
      <w:r w:rsidRPr="008F1B9D">
        <w:t xml:space="preserve"> </w:t>
      </w:r>
      <w:r w:rsidRPr="008F1B9D">
        <w:rPr>
          <w:lang w:val="en-US"/>
        </w:rPr>
        <w:t>Điều 134</w:t>
      </w:r>
      <w:r>
        <w:rPr>
          <w:lang w:val="en-US"/>
        </w:rPr>
        <w:t xml:space="preserve"> quy định n</w:t>
      </w:r>
      <w:r w:rsidRPr="008F1B9D">
        <w:rPr>
          <w:lang w:val="en-US"/>
        </w:rPr>
        <w:t>hững trường hợp không được cấp tín dụng</w:t>
      </w:r>
      <w:r>
        <w:rPr>
          <w:lang w:val="en-US"/>
        </w:rPr>
        <w:t>;</w:t>
      </w:r>
      <w:r w:rsidRPr="008F1B9D">
        <w:t xml:space="preserve"> </w:t>
      </w:r>
      <w:r w:rsidRPr="008F1B9D">
        <w:rPr>
          <w:lang w:val="en-US"/>
        </w:rPr>
        <w:t>Điều 135</w:t>
      </w:r>
      <w:r>
        <w:rPr>
          <w:lang w:val="en-US"/>
        </w:rPr>
        <w:t xml:space="preserve"> quy định</w:t>
      </w:r>
      <w:r w:rsidRPr="008F1B9D">
        <w:rPr>
          <w:lang w:val="en-US"/>
        </w:rPr>
        <w:t xml:space="preserve"> </w:t>
      </w:r>
      <w:r>
        <w:rPr>
          <w:lang w:val="en-US"/>
        </w:rPr>
        <w:t>h</w:t>
      </w:r>
      <w:r w:rsidRPr="008F1B9D">
        <w:rPr>
          <w:lang w:val="en-US"/>
        </w:rPr>
        <w:t>ạn chế cấp tín dụng</w:t>
      </w:r>
      <w:r>
        <w:rPr>
          <w:lang w:val="en-US"/>
        </w:rPr>
        <w:t>;</w:t>
      </w:r>
      <w:r w:rsidRPr="008F1B9D">
        <w:t xml:space="preserve"> </w:t>
      </w:r>
      <w:r w:rsidRPr="008F1B9D">
        <w:rPr>
          <w:lang w:val="en-US"/>
        </w:rPr>
        <w:t>Điều 136</w:t>
      </w:r>
      <w:r>
        <w:rPr>
          <w:lang w:val="en-US"/>
        </w:rPr>
        <w:t xml:space="preserve"> quy định</w:t>
      </w:r>
      <w:r w:rsidRPr="008F1B9D">
        <w:rPr>
          <w:lang w:val="en-US"/>
        </w:rPr>
        <w:t xml:space="preserve"> </w:t>
      </w:r>
      <w:r>
        <w:rPr>
          <w:lang w:val="en-US"/>
        </w:rPr>
        <w:t>g</w:t>
      </w:r>
      <w:r w:rsidRPr="008F1B9D">
        <w:rPr>
          <w:lang w:val="en-US"/>
        </w:rPr>
        <w:t>iới hạn cấp tín dụng</w:t>
      </w:r>
      <w:r>
        <w:rPr>
          <w:lang w:val="en-US"/>
        </w:rPr>
        <w:t>;</w:t>
      </w:r>
      <w:r w:rsidRPr="008F1B9D">
        <w:t xml:space="preserve"> </w:t>
      </w:r>
      <w:r w:rsidRPr="008F1B9D">
        <w:rPr>
          <w:lang w:val="en-US"/>
        </w:rPr>
        <w:t>Điều 138</w:t>
      </w:r>
      <w:r>
        <w:rPr>
          <w:lang w:val="en-US"/>
        </w:rPr>
        <w:t xml:space="preserve"> quy định</w:t>
      </w:r>
      <w:r w:rsidRPr="008F1B9D">
        <w:rPr>
          <w:lang w:val="en-US"/>
        </w:rPr>
        <w:t xml:space="preserve"> </w:t>
      </w:r>
      <w:r>
        <w:rPr>
          <w:lang w:val="en-US"/>
        </w:rPr>
        <w:t>t</w:t>
      </w:r>
      <w:r w:rsidRPr="008F1B9D">
        <w:rPr>
          <w:lang w:val="en-US"/>
        </w:rPr>
        <w:t>ỷ lệ bảo đảm an toàn</w:t>
      </w:r>
      <w:r>
        <w:t xml:space="preserve">; </w:t>
      </w:r>
      <w:r w:rsidRPr="008F1B9D">
        <w:rPr>
          <w:lang w:val="en-US"/>
        </w:rPr>
        <w:t>Điều 147</w:t>
      </w:r>
      <w:r>
        <w:rPr>
          <w:lang w:val="en-US"/>
        </w:rPr>
        <w:t xml:space="preserve"> quy định</w:t>
      </w:r>
      <w:r w:rsidRPr="008F1B9D">
        <w:rPr>
          <w:lang w:val="en-US"/>
        </w:rPr>
        <w:t xml:space="preserve"> </w:t>
      </w:r>
      <w:r>
        <w:rPr>
          <w:lang w:val="en-US"/>
        </w:rPr>
        <w:t>d</w:t>
      </w:r>
      <w:r w:rsidRPr="008F1B9D">
        <w:rPr>
          <w:lang w:val="en-US"/>
        </w:rPr>
        <w:t>ự phòng rủi ro</w:t>
      </w:r>
      <w:r>
        <w:rPr>
          <w:lang w:val="en-US"/>
        </w:rPr>
        <w:t>;</w:t>
      </w:r>
      <w:r w:rsidRPr="008F1B9D">
        <w:t xml:space="preserve"> </w:t>
      </w:r>
      <w:r w:rsidRPr="008F1B9D">
        <w:rPr>
          <w:lang w:val="en-US"/>
        </w:rPr>
        <w:t>Điều 150</w:t>
      </w:r>
      <w:r>
        <w:rPr>
          <w:lang w:val="en-US"/>
        </w:rPr>
        <w:t xml:space="preserve"> quy định</w:t>
      </w:r>
      <w:r w:rsidRPr="008F1B9D">
        <w:rPr>
          <w:lang w:val="en-US"/>
        </w:rPr>
        <w:t xml:space="preserve"> </w:t>
      </w:r>
      <w:r>
        <w:rPr>
          <w:lang w:val="en-US"/>
        </w:rPr>
        <w:t>h</w:t>
      </w:r>
      <w:r w:rsidRPr="008F1B9D">
        <w:rPr>
          <w:lang w:val="en-US"/>
        </w:rPr>
        <w:t>ạch toán, kế toán</w:t>
      </w:r>
      <w:r>
        <w:rPr>
          <w:lang w:val="en-US"/>
        </w:rPr>
        <w:t xml:space="preserve">; </w:t>
      </w:r>
      <w:r w:rsidRPr="008F1B9D">
        <w:rPr>
          <w:lang w:val="en-US"/>
        </w:rPr>
        <w:t>Điều 152</w:t>
      </w:r>
      <w:r>
        <w:rPr>
          <w:lang w:val="en-US"/>
        </w:rPr>
        <w:t xml:space="preserve"> quy định</w:t>
      </w:r>
      <w:r w:rsidRPr="008F1B9D">
        <w:rPr>
          <w:lang w:val="en-US"/>
        </w:rPr>
        <w:t xml:space="preserve"> </w:t>
      </w:r>
      <w:r>
        <w:rPr>
          <w:lang w:val="en-US"/>
        </w:rPr>
        <w:t>b</w:t>
      </w:r>
      <w:r w:rsidRPr="008F1B9D">
        <w:rPr>
          <w:lang w:val="en-US"/>
        </w:rPr>
        <w:t>áo cáo</w:t>
      </w:r>
      <w:r>
        <w:rPr>
          <w:lang w:val="en-US"/>
        </w:rPr>
        <w:t>;</w:t>
      </w:r>
      <w:r w:rsidRPr="008F1B9D">
        <w:t xml:space="preserve"> </w:t>
      </w:r>
      <w:r w:rsidRPr="008F1B9D">
        <w:rPr>
          <w:lang w:val="en-US"/>
        </w:rPr>
        <w:t xml:space="preserve">Điều 210 </w:t>
      </w:r>
      <w:r>
        <w:rPr>
          <w:lang w:val="en-US"/>
        </w:rPr>
        <w:t>q</w:t>
      </w:r>
      <w:r w:rsidRPr="008F1B9D">
        <w:rPr>
          <w:lang w:val="en-US"/>
        </w:rPr>
        <w:t>uy định chuyển tiếp</w:t>
      </w:r>
      <w:r>
        <w:rPr>
          <w:lang w:val="en-US"/>
        </w:rPr>
        <w:t>.</w:t>
      </w:r>
    </w:p>
    <w:p w:rsidR="003E04B7" w:rsidRPr="00BB201A" w:rsidRDefault="003E04B7" w:rsidP="00BB201A">
      <w:pPr>
        <w:pStyle w:val="NormalWeb"/>
        <w:tabs>
          <w:tab w:val="left" w:pos="90"/>
        </w:tabs>
        <w:spacing w:before="0" w:beforeAutospacing="0" w:after="120" w:afterAutospacing="0"/>
        <w:jc w:val="both"/>
        <w:rPr>
          <w:rFonts w:eastAsia="Arial"/>
          <w:sz w:val="28"/>
          <w:szCs w:val="22"/>
          <w:lang w:val="en-US" w:eastAsia="en-US"/>
        </w:rPr>
      </w:pPr>
      <w:r>
        <w:rPr>
          <w:sz w:val="28"/>
          <w:szCs w:val="28"/>
          <w:lang w:val="pt-BR"/>
        </w:rPr>
        <w:tab/>
      </w:r>
      <w:r>
        <w:rPr>
          <w:sz w:val="28"/>
          <w:szCs w:val="28"/>
          <w:lang w:val="pt-BR"/>
        </w:rPr>
        <w:tab/>
      </w:r>
      <w:r w:rsidR="00D51ADE" w:rsidRPr="00BB201A">
        <w:rPr>
          <w:rFonts w:eastAsia="Arial"/>
          <w:sz w:val="28"/>
          <w:szCs w:val="22"/>
          <w:lang w:val="en-US" w:eastAsia="en-US"/>
        </w:rPr>
        <w:t>- Điều 27 (Mục 2) Thông tư số 27/2016/TT-NHNN ngày 28/9/2016 về việc hướng dẫn trình tự, thủ tục xây dựng, ban hành văn bản quy phạm pháp luật của NHNN (Thông tư số 27) quy định về quy trình soạn thảo, xây dựng, lấy ý kiến, tổng hợp, tiếp thu ý kiến tham gia, thẩm định, trình ký ban hành...đối với dự thả</w:t>
      </w:r>
      <w:r w:rsidR="00E219AF" w:rsidRPr="00BB201A">
        <w:rPr>
          <w:rFonts w:eastAsia="Arial"/>
          <w:sz w:val="28"/>
          <w:szCs w:val="22"/>
          <w:lang w:val="en-US" w:eastAsia="en-US"/>
        </w:rPr>
        <w:t>o Thông tư</w:t>
      </w:r>
      <w:r w:rsidR="00EE43DB" w:rsidRPr="00BB201A">
        <w:rPr>
          <w:rFonts w:eastAsia="Arial"/>
          <w:sz w:val="28"/>
          <w:szCs w:val="22"/>
          <w:lang w:val="en-US" w:eastAsia="en-US"/>
        </w:rPr>
        <w:t>.</w:t>
      </w:r>
      <w:r w:rsidR="00E219AF" w:rsidRPr="00BB201A">
        <w:rPr>
          <w:rFonts w:eastAsia="Arial"/>
          <w:sz w:val="28"/>
          <w:szCs w:val="22"/>
          <w:lang w:val="en-US" w:eastAsia="en-US"/>
        </w:rPr>
        <w:t xml:space="preserve"> </w:t>
      </w:r>
    </w:p>
    <w:p w:rsidR="003E04B7" w:rsidRDefault="003E04B7" w:rsidP="00BB201A">
      <w:pPr>
        <w:pStyle w:val="NormalWeb"/>
        <w:tabs>
          <w:tab w:val="left" w:pos="90"/>
        </w:tabs>
        <w:spacing w:before="0" w:beforeAutospacing="0" w:after="120" w:afterAutospacing="0"/>
        <w:jc w:val="both"/>
        <w:rPr>
          <w:rStyle w:val="Strong"/>
          <w:sz w:val="28"/>
          <w:szCs w:val="28"/>
          <w:lang w:val="nl-NL"/>
        </w:rPr>
      </w:pPr>
      <w:r>
        <w:rPr>
          <w:rStyle w:val="Strong"/>
          <w:sz w:val="28"/>
          <w:szCs w:val="28"/>
        </w:rPr>
        <w:tab/>
      </w:r>
      <w:r>
        <w:rPr>
          <w:rStyle w:val="Strong"/>
          <w:sz w:val="28"/>
          <w:szCs w:val="28"/>
        </w:rPr>
        <w:tab/>
      </w:r>
      <w:r w:rsidRPr="00EB613E">
        <w:rPr>
          <w:rStyle w:val="Strong"/>
          <w:sz w:val="28"/>
          <w:szCs w:val="28"/>
        </w:rPr>
        <w:t>I</w:t>
      </w:r>
      <w:r w:rsidR="000514D6">
        <w:rPr>
          <w:rStyle w:val="Strong"/>
          <w:sz w:val="28"/>
          <w:szCs w:val="28"/>
          <w:lang w:val="en-US"/>
        </w:rPr>
        <w:t>II</w:t>
      </w:r>
      <w:r w:rsidRPr="00EB613E">
        <w:rPr>
          <w:rStyle w:val="Strong"/>
          <w:sz w:val="28"/>
          <w:szCs w:val="28"/>
          <w:lang w:val="nl-NL"/>
        </w:rPr>
        <w:t>. Quan điểm xây dựng Thông tư</w:t>
      </w:r>
    </w:p>
    <w:p w:rsidR="00AE1146" w:rsidRPr="00BB201A" w:rsidRDefault="0029112B" w:rsidP="00BB201A">
      <w:pPr>
        <w:pStyle w:val="FootnoteText"/>
        <w:spacing w:after="120"/>
        <w:jc w:val="both"/>
        <w:rPr>
          <w:sz w:val="28"/>
          <w:szCs w:val="28"/>
        </w:rPr>
      </w:pPr>
      <w:r>
        <w:rPr>
          <w:rStyle w:val="Strong"/>
          <w:sz w:val="28"/>
          <w:szCs w:val="28"/>
          <w:lang w:val="nl-NL"/>
        </w:rPr>
        <w:tab/>
      </w:r>
      <w:r w:rsidR="00AE1146" w:rsidRPr="00BB201A">
        <w:rPr>
          <w:sz w:val="28"/>
          <w:szCs w:val="28"/>
        </w:rPr>
        <w:t>Thông tư này hướng dẫn toàn bộ các hoạt động liên quan đến</w:t>
      </w:r>
      <w:r w:rsidR="00AC3E30">
        <w:rPr>
          <w:sz w:val="28"/>
          <w:szCs w:val="28"/>
          <w:lang w:val="en-US"/>
        </w:rPr>
        <w:t xml:space="preserve"> nghiệp vụ</w:t>
      </w:r>
      <w:r w:rsidR="00AE1146" w:rsidRPr="00BB201A">
        <w:rPr>
          <w:sz w:val="28"/>
          <w:szCs w:val="28"/>
        </w:rPr>
        <w:t xml:space="preserve"> thư tín dụng được quy định tại Luật Các TCTD 2024 và theo thông lệ quốc tế,</w:t>
      </w:r>
      <w:r w:rsidR="00AE1146">
        <w:rPr>
          <w:sz w:val="28"/>
          <w:szCs w:val="28"/>
          <w:lang w:val="en-US"/>
        </w:rPr>
        <w:t xml:space="preserve"> đảm bảo các TCTD vẫn tiếp tục cung ứng đầy đủ các nghiệp vụ và dịch vụ liên quan đến </w:t>
      </w:r>
      <w:r w:rsidR="00AE1146">
        <w:rPr>
          <w:sz w:val="28"/>
          <w:szCs w:val="28"/>
          <w:lang w:val="en-US"/>
        </w:rPr>
        <w:lastRenderedPageBreak/>
        <w:t>thư tín dụng</w:t>
      </w:r>
      <w:r w:rsidR="00F426F1">
        <w:rPr>
          <w:sz w:val="28"/>
          <w:szCs w:val="28"/>
          <w:lang w:val="en-US"/>
        </w:rPr>
        <w:t xml:space="preserve"> trên cơ sở tuân thủ quy định liên quan tại Luật Các TCTD năm 2024 về thư tín dụng và hoạt động cấp tín dụng,</w:t>
      </w:r>
      <w:r w:rsidR="00AE1146" w:rsidRPr="00BB201A">
        <w:rPr>
          <w:sz w:val="28"/>
          <w:szCs w:val="28"/>
        </w:rPr>
        <w:t xml:space="preserve"> cụ thể: </w:t>
      </w:r>
      <w:r w:rsidR="00AE1146" w:rsidRPr="00BB201A">
        <w:rPr>
          <w:b/>
          <w:sz w:val="28"/>
          <w:szCs w:val="28"/>
        </w:rPr>
        <w:t>(1)</w:t>
      </w:r>
      <w:r w:rsidR="00AE1146" w:rsidRPr="00BB201A">
        <w:rPr>
          <w:sz w:val="28"/>
          <w:szCs w:val="28"/>
        </w:rPr>
        <w:t xml:space="preserve"> </w:t>
      </w:r>
      <w:r w:rsidR="00AE1146" w:rsidRPr="00BB201A">
        <w:rPr>
          <w:sz w:val="28"/>
          <w:szCs w:val="28"/>
          <w:u w:val="single"/>
        </w:rPr>
        <w:t>Nghiệp vụ thư tín dụng</w:t>
      </w:r>
      <w:r w:rsidR="00AE1146" w:rsidRPr="00BB201A">
        <w:rPr>
          <w:sz w:val="28"/>
          <w:szCs w:val="28"/>
        </w:rPr>
        <w:t xml:space="preserve"> (là hình thức cấp tín dụng, gồm 04 nghiệp vụ: Phát hành, xác nhận, thương lượng thanh toán, hoàn trả) quy định tại K4, K36 Đ4; điểm e K3 Đ107; </w:t>
      </w:r>
      <w:r w:rsidR="00AE1146" w:rsidRPr="00BB201A">
        <w:rPr>
          <w:b/>
          <w:sz w:val="28"/>
          <w:szCs w:val="28"/>
        </w:rPr>
        <w:t>(2)</w:t>
      </w:r>
      <w:r w:rsidR="00AE1146" w:rsidRPr="00BB201A">
        <w:rPr>
          <w:sz w:val="28"/>
          <w:szCs w:val="28"/>
        </w:rPr>
        <w:t xml:space="preserve"> </w:t>
      </w:r>
      <w:r w:rsidR="00AE1146" w:rsidRPr="00BB201A">
        <w:rPr>
          <w:sz w:val="28"/>
          <w:szCs w:val="28"/>
          <w:u w:val="single"/>
        </w:rPr>
        <w:t>Các hoạt động kinh doanh khác</w:t>
      </w:r>
      <w:r w:rsidR="00AE1146" w:rsidRPr="00BB201A">
        <w:rPr>
          <w:sz w:val="28"/>
          <w:szCs w:val="28"/>
        </w:rPr>
        <w:t xml:space="preserve"> theo quy định của Thống đốc NHNN (quy định tại Đ114), gồm: </w:t>
      </w:r>
      <w:r w:rsidR="00AE1146" w:rsidRPr="00BB201A">
        <w:rPr>
          <w:b/>
          <w:sz w:val="28"/>
          <w:szCs w:val="28"/>
        </w:rPr>
        <w:t>(i)</w:t>
      </w:r>
      <w:r w:rsidR="00AE1146" w:rsidRPr="00BB201A">
        <w:rPr>
          <w:sz w:val="28"/>
          <w:szCs w:val="28"/>
        </w:rPr>
        <w:t xml:space="preserve"> </w:t>
      </w:r>
      <w:r w:rsidR="00AE1146" w:rsidRPr="00BB201A">
        <w:rPr>
          <w:sz w:val="28"/>
          <w:szCs w:val="28"/>
          <w:u w:val="single"/>
        </w:rPr>
        <w:t xml:space="preserve">Dịch vụ </w:t>
      </w:r>
      <w:r w:rsidR="00AE1146" w:rsidRPr="00BB201A">
        <w:rPr>
          <w:sz w:val="28"/>
          <w:szCs w:val="28"/>
        </w:rPr>
        <w:t xml:space="preserve">khác liên quan đến thư tín dụng (điểm e K1 Đ114), gồm các dịch vụ ngân hàng phục vụ bên bán, xuất khẩu; </w:t>
      </w:r>
      <w:r w:rsidR="00AE1146" w:rsidRPr="00BB201A">
        <w:rPr>
          <w:b/>
          <w:sz w:val="28"/>
          <w:szCs w:val="28"/>
        </w:rPr>
        <w:t>(ii)</w:t>
      </w:r>
      <w:r w:rsidR="00AE1146" w:rsidRPr="00BB201A">
        <w:rPr>
          <w:sz w:val="28"/>
          <w:szCs w:val="28"/>
        </w:rPr>
        <w:t xml:space="preserve"> </w:t>
      </w:r>
      <w:r w:rsidR="00AE1146" w:rsidRPr="00BB201A">
        <w:rPr>
          <w:sz w:val="28"/>
          <w:szCs w:val="28"/>
          <w:u w:val="single"/>
        </w:rPr>
        <w:t>Hoạt động kinh doanh</w:t>
      </w:r>
      <w:r w:rsidR="00AE1146" w:rsidRPr="00BB201A">
        <w:rPr>
          <w:sz w:val="28"/>
          <w:szCs w:val="28"/>
        </w:rPr>
        <w:t xml:space="preserve"> khác (K3 Đ114), là hoạt động </w:t>
      </w:r>
      <w:r w:rsidR="00F426F1">
        <w:rPr>
          <w:sz w:val="28"/>
          <w:szCs w:val="28"/>
          <w:lang w:val="en-US"/>
        </w:rPr>
        <w:t>mua hẳn</w:t>
      </w:r>
      <w:r w:rsidR="00AE1146" w:rsidRPr="00BB201A">
        <w:rPr>
          <w:sz w:val="28"/>
          <w:szCs w:val="28"/>
        </w:rPr>
        <w:t xml:space="preserve"> miễ</w:t>
      </w:r>
      <w:r w:rsidR="00F426F1">
        <w:rPr>
          <w:sz w:val="28"/>
          <w:szCs w:val="28"/>
        </w:rPr>
        <w:t>n tru</w:t>
      </w:r>
      <w:r w:rsidR="00AE1146" w:rsidRPr="00BB201A">
        <w:rPr>
          <w:sz w:val="28"/>
          <w:szCs w:val="28"/>
        </w:rPr>
        <w:t>y đòi bộ chứng từ theo thư tín dụng (Hoạt động này thời gian qua NHNN đã có công văn gửi các TCTD cho phép thực hiện theo thông lệ quốc tế, không có bản chất là hình thức cấp tín dụng mà là khoản mua bán hẳn bộ chứng từ theo thư tín dụng nên cần thiết đưa vào hướng dẫn là hoạt động kinh doanh khác, không phải là hoạt động thương lượng thanh toán tại Thông tư để có căn cứ thực hiện).</w:t>
      </w:r>
    </w:p>
    <w:p w:rsidR="00D51ADE" w:rsidRDefault="004104D9" w:rsidP="00BB201A">
      <w:pPr>
        <w:spacing w:after="120" w:line="240" w:lineRule="auto"/>
        <w:ind w:firstLine="720"/>
        <w:jc w:val="both"/>
        <w:rPr>
          <w:szCs w:val="28"/>
          <w:lang w:val="pt-BR"/>
        </w:rPr>
      </w:pPr>
      <w:r>
        <w:rPr>
          <w:b/>
          <w:szCs w:val="28"/>
          <w:lang w:val="pt-BR"/>
        </w:rPr>
        <w:t>IV</w:t>
      </w:r>
      <w:r w:rsidR="00D51ADE" w:rsidRPr="000A7DB3">
        <w:rPr>
          <w:b/>
          <w:szCs w:val="28"/>
          <w:lang w:val="pt-BR"/>
        </w:rPr>
        <w:t xml:space="preserve">. Nội dung dự thảo </w:t>
      </w:r>
      <w:r w:rsidR="00F47C2A">
        <w:rPr>
          <w:b/>
          <w:szCs w:val="28"/>
          <w:lang w:val="pt-BR"/>
        </w:rPr>
        <w:t>T</w:t>
      </w:r>
      <w:r w:rsidR="00D51ADE" w:rsidRPr="000A7DB3">
        <w:rPr>
          <w:b/>
          <w:szCs w:val="28"/>
          <w:lang w:val="pt-BR"/>
        </w:rPr>
        <w:t>hông tư</w:t>
      </w:r>
      <w:r w:rsidR="00D51ADE" w:rsidRPr="000A7DB3">
        <w:rPr>
          <w:szCs w:val="28"/>
          <w:lang w:val="pt-BR"/>
        </w:rPr>
        <w:t xml:space="preserve">: </w:t>
      </w:r>
    </w:p>
    <w:p w:rsidR="00D1669E" w:rsidRPr="00BB201A" w:rsidRDefault="00ED1FDD" w:rsidP="00BB201A">
      <w:pPr>
        <w:spacing w:after="120" w:line="240" w:lineRule="auto"/>
        <w:rPr>
          <w:b/>
          <w:lang w:val="es-ES"/>
        </w:rPr>
      </w:pPr>
      <w:r>
        <w:rPr>
          <w:lang w:val="es-ES"/>
        </w:rPr>
        <w:tab/>
      </w:r>
      <w:r w:rsidRPr="00BB201A">
        <w:rPr>
          <w:rFonts w:eastAsia="Times New Roman"/>
          <w:b/>
          <w:sz w:val="24"/>
          <w:szCs w:val="24"/>
          <w:lang w:val="es-ES"/>
        </w:rPr>
        <w:t xml:space="preserve">1. </w:t>
      </w:r>
      <w:r w:rsidR="00D1669E" w:rsidRPr="00BB201A">
        <w:rPr>
          <w:b/>
          <w:lang w:val="es-ES"/>
        </w:rPr>
        <w:t>Kết cấu dự thảo</w:t>
      </w:r>
    </w:p>
    <w:p w:rsidR="00D1669E" w:rsidRDefault="00D1669E" w:rsidP="00BB201A">
      <w:pPr>
        <w:widowControl w:val="0"/>
        <w:spacing w:after="120" w:line="240" w:lineRule="auto"/>
        <w:ind w:firstLine="720"/>
        <w:jc w:val="both"/>
        <w:rPr>
          <w:szCs w:val="28"/>
          <w:lang w:val="es-ES"/>
        </w:rPr>
      </w:pPr>
      <w:r w:rsidRPr="00D1669E">
        <w:rPr>
          <w:szCs w:val="28"/>
          <w:lang w:val="es-ES"/>
        </w:rPr>
        <w:t>Nội dung dự thảo Thông tư có 5 chương</w:t>
      </w:r>
      <w:r w:rsidR="00ED1FDD">
        <w:rPr>
          <w:szCs w:val="28"/>
          <w:lang w:val="es-ES"/>
        </w:rPr>
        <w:t xml:space="preserve"> gồm</w:t>
      </w:r>
      <w:r w:rsidRPr="00D1669E">
        <w:rPr>
          <w:szCs w:val="28"/>
          <w:lang w:val="es-ES"/>
        </w:rPr>
        <w:t xml:space="preserve"> </w:t>
      </w:r>
      <w:r w:rsidR="00ED1FDD">
        <w:rPr>
          <w:szCs w:val="28"/>
          <w:lang w:val="es-ES"/>
        </w:rPr>
        <w:t>53</w:t>
      </w:r>
      <w:r w:rsidRPr="00D1669E">
        <w:rPr>
          <w:szCs w:val="28"/>
          <w:lang w:val="es-ES"/>
        </w:rPr>
        <w:t xml:space="preserve"> </w:t>
      </w:r>
      <w:r w:rsidR="00ED1FDD">
        <w:rPr>
          <w:szCs w:val="28"/>
          <w:lang w:val="es-ES"/>
        </w:rPr>
        <w:t>Đ</w:t>
      </w:r>
      <w:r w:rsidRPr="00D1669E">
        <w:rPr>
          <w:szCs w:val="28"/>
          <w:lang w:val="es-ES"/>
        </w:rPr>
        <w:t>iều</w:t>
      </w:r>
      <w:r w:rsidR="00ED1FDD">
        <w:rPr>
          <w:szCs w:val="28"/>
          <w:lang w:val="es-ES"/>
        </w:rPr>
        <w:t>, cụ thể:</w:t>
      </w:r>
      <w:r w:rsidRPr="00D1669E">
        <w:rPr>
          <w:szCs w:val="28"/>
          <w:lang w:val="es-ES"/>
        </w:rPr>
        <w:t xml:space="preserve"> </w:t>
      </w:r>
    </w:p>
    <w:p w:rsidR="00D1669E" w:rsidRDefault="00D1669E" w:rsidP="00BB201A">
      <w:pPr>
        <w:widowControl w:val="0"/>
        <w:spacing w:after="120" w:line="240" w:lineRule="auto"/>
        <w:ind w:left="567" w:firstLine="153"/>
        <w:jc w:val="both"/>
        <w:rPr>
          <w:szCs w:val="28"/>
          <w:lang w:val="es-ES"/>
        </w:rPr>
      </w:pPr>
      <w:r>
        <w:rPr>
          <w:szCs w:val="28"/>
          <w:lang w:val="es-ES"/>
        </w:rPr>
        <w:t xml:space="preserve">- Chương I: </w:t>
      </w:r>
      <w:r w:rsidR="00ED1FDD">
        <w:rPr>
          <w:szCs w:val="28"/>
          <w:lang w:val="es-ES"/>
        </w:rPr>
        <w:t>Q</w:t>
      </w:r>
      <w:r>
        <w:rPr>
          <w:szCs w:val="28"/>
          <w:lang w:val="es-ES"/>
        </w:rPr>
        <w:t>uy định chung</w:t>
      </w:r>
      <w:r w:rsidR="00ED1FDD">
        <w:rPr>
          <w:szCs w:val="28"/>
          <w:lang w:val="es-ES"/>
        </w:rPr>
        <w:t>, gồm 21 Điều</w:t>
      </w:r>
      <w:r>
        <w:rPr>
          <w:szCs w:val="28"/>
          <w:lang w:val="es-ES"/>
        </w:rPr>
        <w:t xml:space="preserve">. </w:t>
      </w:r>
    </w:p>
    <w:p w:rsidR="00ED1FDD" w:rsidRDefault="00D1669E" w:rsidP="00BB201A">
      <w:pPr>
        <w:widowControl w:val="0"/>
        <w:spacing w:after="120" w:line="240" w:lineRule="auto"/>
        <w:ind w:firstLine="720"/>
        <w:jc w:val="both"/>
        <w:rPr>
          <w:szCs w:val="28"/>
          <w:lang w:val="es-ES"/>
        </w:rPr>
      </w:pPr>
      <w:r>
        <w:rPr>
          <w:szCs w:val="28"/>
          <w:lang w:val="es-ES"/>
        </w:rPr>
        <w:t xml:space="preserve">- Chương II: </w:t>
      </w:r>
      <w:r w:rsidR="00ED1FDD">
        <w:rPr>
          <w:szCs w:val="28"/>
          <w:lang w:val="es-ES"/>
        </w:rPr>
        <w:t>Nghiệp vụ thư tín dụng, gồm có 4</w:t>
      </w:r>
      <w:r>
        <w:rPr>
          <w:szCs w:val="28"/>
          <w:lang w:val="es-ES"/>
        </w:rPr>
        <w:t xml:space="preserve"> mục</w:t>
      </w:r>
      <w:r w:rsidR="00ED1FDD">
        <w:rPr>
          <w:szCs w:val="28"/>
          <w:lang w:val="es-ES"/>
        </w:rPr>
        <w:t xml:space="preserve"> quy định cụ thể 04 nghiệp vụ thư tín dụng</w:t>
      </w:r>
      <w:r>
        <w:rPr>
          <w:szCs w:val="28"/>
          <w:lang w:val="es-ES"/>
        </w:rPr>
        <w:t xml:space="preserve">: </w:t>
      </w:r>
      <w:r w:rsidR="00ED1FDD">
        <w:rPr>
          <w:szCs w:val="28"/>
          <w:lang w:val="es-ES"/>
        </w:rPr>
        <w:t>P</w:t>
      </w:r>
      <w:r>
        <w:rPr>
          <w:szCs w:val="28"/>
          <w:lang w:val="es-ES"/>
        </w:rPr>
        <w:t>hát hành thư tín dụng</w:t>
      </w:r>
      <w:r w:rsidR="00ED1FDD">
        <w:rPr>
          <w:szCs w:val="28"/>
          <w:lang w:val="es-ES"/>
        </w:rPr>
        <w:t>,</w:t>
      </w:r>
      <w:r>
        <w:rPr>
          <w:szCs w:val="28"/>
          <w:lang w:val="es-ES"/>
        </w:rPr>
        <w:t xml:space="preserve"> </w:t>
      </w:r>
      <w:r w:rsidR="00ED1FDD">
        <w:rPr>
          <w:szCs w:val="28"/>
          <w:lang w:val="es-ES"/>
        </w:rPr>
        <w:t>X</w:t>
      </w:r>
      <w:r>
        <w:rPr>
          <w:szCs w:val="28"/>
          <w:lang w:val="es-ES"/>
        </w:rPr>
        <w:t>ác nhận thư tín dụng</w:t>
      </w:r>
      <w:r w:rsidR="00ED1FDD">
        <w:rPr>
          <w:szCs w:val="28"/>
          <w:lang w:val="es-ES"/>
        </w:rPr>
        <w:t>, T</w:t>
      </w:r>
      <w:r>
        <w:rPr>
          <w:szCs w:val="28"/>
          <w:lang w:val="es-ES"/>
        </w:rPr>
        <w:t>hương lượng</w:t>
      </w:r>
      <w:r w:rsidR="00ED1FDD">
        <w:rPr>
          <w:szCs w:val="28"/>
          <w:lang w:val="es-ES"/>
        </w:rPr>
        <w:t xml:space="preserve"> thanh toán</w:t>
      </w:r>
      <w:r>
        <w:rPr>
          <w:szCs w:val="28"/>
          <w:lang w:val="es-ES"/>
        </w:rPr>
        <w:t xml:space="preserve"> thư tín dụng</w:t>
      </w:r>
      <w:r w:rsidR="00ED1FDD">
        <w:rPr>
          <w:szCs w:val="28"/>
          <w:lang w:val="es-ES"/>
        </w:rPr>
        <w:t>, H</w:t>
      </w:r>
      <w:r>
        <w:rPr>
          <w:szCs w:val="28"/>
          <w:lang w:val="es-ES"/>
        </w:rPr>
        <w:t>oàn trả thư tín dụng</w:t>
      </w:r>
      <w:r w:rsidR="00ED1FDD">
        <w:rPr>
          <w:szCs w:val="28"/>
          <w:lang w:val="es-ES"/>
        </w:rPr>
        <w:t>.</w:t>
      </w:r>
    </w:p>
    <w:p w:rsidR="00D1669E" w:rsidRDefault="00D1669E" w:rsidP="00BB201A">
      <w:pPr>
        <w:widowControl w:val="0"/>
        <w:spacing w:after="120" w:line="240" w:lineRule="auto"/>
        <w:ind w:firstLine="720"/>
        <w:jc w:val="both"/>
        <w:rPr>
          <w:szCs w:val="28"/>
          <w:lang w:val="es-ES"/>
        </w:rPr>
      </w:pPr>
      <w:r>
        <w:rPr>
          <w:szCs w:val="28"/>
          <w:lang w:val="es-ES"/>
        </w:rPr>
        <w:t xml:space="preserve">- Chương III: Quy định </w:t>
      </w:r>
      <w:r w:rsidR="00ED1FDD">
        <w:rPr>
          <w:szCs w:val="28"/>
          <w:lang w:val="es-ES"/>
        </w:rPr>
        <w:t>về hoạt động kinh doanh khác liên quan đến thư tín dụng</w:t>
      </w:r>
      <w:r>
        <w:rPr>
          <w:szCs w:val="28"/>
          <w:lang w:val="es-ES"/>
        </w:rPr>
        <w:t>.</w:t>
      </w:r>
    </w:p>
    <w:p w:rsidR="00D1669E" w:rsidRDefault="00D1669E" w:rsidP="00BB201A">
      <w:pPr>
        <w:widowControl w:val="0"/>
        <w:spacing w:after="120" w:line="240" w:lineRule="auto"/>
        <w:ind w:left="720"/>
        <w:jc w:val="both"/>
        <w:rPr>
          <w:szCs w:val="28"/>
          <w:lang w:val="es-ES"/>
        </w:rPr>
      </w:pPr>
      <w:r>
        <w:rPr>
          <w:szCs w:val="28"/>
          <w:lang w:val="es-ES"/>
        </w:rPr>
        <w:t>- Chương IV: Quy định báo cáo, tổ chức thực hiện.</w:t>
      </w:r>
    </w:p>
    <w:p w:rsidR="00D1669E" w:rsidRDefault="00D1669E" w:rsidP="00BB201A">
      <w:pPr>
        <w:widowControl w:val="0"/>
        <w:spacing w:after="120" w:line="240" w:lineRule="auto"/>
        <w:ind w:firstLine="720"/>
        <w:jc w:val="both"/>
        <w:rPr>
          <w:szCs w:val="28"/>
          <w:lang w:val="es-ES"/>
        </w:rPr>
      </w:pPr>
      <w:r>
        <w:rPr>
          <w:szCs w:val="28"/>
          <w:lang w:val="es-ES"/>
        </w:rPr>
        <w:t>- Chương V: Quy định điều khoản thi hành.</w:t>
      </w:r>
    </w:p>
    <w:p w:rsidR="00D1669E" w:rsidRPr="00BB201A" w:rsidRDefault="00D1669E" w:rsidP="00BB201A">
      <w:pPr>
        <w:widowControl w:val="0"/>
        <w:spacing w:after="120" w:line="240" w:lineRule="auto"/>
        <w:ind w:firstLine="720"/>
        <w:jc w:val="both"/>
        <w:rPr>
          <w:b/>
          <w:szCs w:val="28"/>
          <w:lang w:val="es-ES"/>
        </w:rPr>
      </w:pPr>
      <w:r w:rsidRPr="004D654C">
        <w:rPr>
          <w:b/>
          <w:szCs w:val="28"/>
          <w:lang w:val="es-ES"/>
        </w:rPr>
        <w:t>2.</w:t>
      </w:r>
      <w:r w:rsidRPr="00BB201A">
        <w:rPr>
          <w:b/>
          <w:szCs w:val="28"/>
          <w:lang w:val="es-ES"/>
        </w:rPr>
        <w:t xml:space="preserve"> Các </w:t>
      </w:r>
      <w:r w:rsidR="00ED1FDD" w:rsidRPr="00BB201A">
        <w:rPr>
          <w:b/>
          <w:szCs w:val="28"/>
          <w:lang w:val="es-ES"/>
        </w:rPr>
        <w:t xml:space="preserve">nội dung quy định </w:t>
      </w:r>
      <w:r w:rsidRPr="00BB201A">
        <w:rPr>
          <w:b/>
          <w:szCs w:val="28"/>
          <w:lang w:val="es-ES"/>
        </w:rPr>
        <w:t>chính tại dự thảo</w:t>
      </w:r>
      <w:r w:rsidR="00110C44" w:rsidRPr="00BB201A">
        <w:rPr>
          <w:b/>
          <w:szCs w:val="28"/>
          <w:lang w:val="es-ES"/>
        </w:rPr>
        <w:t xml:space="preserve"> Thông tư</w:t>
      </w:r>
      <w:r w:rsidR="00ED1FDD" w:rsidRPr="00BB201A">
        <w:rPr>
          <w:b/>
          <w:szCs w:val="28"/>
          <w:lang w:val="es-ES"/>
        </w:rPr>
        <w:t>:</w:t>
      </w:r>
    </w:p>
    <w:p w:rsidR="003D0095" w:rsidRPr="00BB201A" w:rsidRDefault="003D0095" w:rsidP="00BB201A">
      <w:pPr>
        <w:widowControl w:val="0"/>
        <w:spacing w:after="120" w:line="240" w:lineRule="auto"/>
        <w:ind w:firstLine="720"/>
        <w:jc w:val="both"/>
        <w:rPr>
          <w:b/>
          <w:i/>
          <w:szCs w:val="28"/>
          <w:lang w:val="es-ES"/>
        </w:rPr>
      </w:pPr>
      <w:r w:rsidRPr="00BB201A">
        <w:rPr>
          <w:b/>
          <w:i/>
          <w:szCs w:val="28"/>
          <w:lang w:val="es-ES"/>
        </w:rPr>
        <w:t>2.1. Về nguyên tắc thực hiện:</w:t>
      </w:r>
    </w:p>
    <w:p w:rsidR="003D0095" w:rsidRPr="00BB201A" w:rsidRDefault="003D0095" w:rsidP="00BB201A">
      <w:pPr>
        <w:spacing w:after="120" w:line="240" w:lineRule="auto"/>
        <w:ind w:firstLine="720"/>
        <w:jc w:val="both"/>
        <w:rPr>
          <w:szCs w:val="28"/>
          <w:lang w:val="en-US"/>
        </w:rPr>
      </w:pPr>
      <w:r w:rsidRPr="00942549">
        <w:rPr>
          <w:rFonts w:eastAsia="Times New Roman"/>
          <w:szCs w:val="28"/>
        </w:rPr>
        <w:t>Hoạt động nghiệp vụ thư tín dụng của ngân hàng đối với khách hàng được thực hiện theo thỏa thuận giữa ngân hàng và khách hàng, phù hợp với quy định tại Thông tư này, các quy định của pháp luật có liên quan về cấp tín dụng và tập quán quốc tế về thư tín dụng.</w:t>
      </w:r>
      <w:r>
        <w:rPr>
          <w:rFonts w:eastAsia="Times New Roman"/>
          <w:szCs w:val="28"/>
        </w:rPr>
        <w:t xml:space="preserve"> </w:t>
      </w:r>
      <w:r>
        <w:rPr>
          <w:rFonts w:eastAsia="Times New Roman"/>
          <w:szCs w:val="28"/>
          <w:lang w:val="en-US"/>
        </w:rPr>
        <w:t>Theo đó, tại Thông tư sẽ quy định các nội dung để quản lý hoạt động cấp tín dụng của ngân hàng đối với khách hàng; v</w:t>
      </w:r>
      <w:r w:rsidRPr="00942549">
        <w:rPr>
          <w:rFonts w:eastAsia="Times New Roman"/>
          <w:szCs w:val="28"/>
        </w:rPr>
        <w:t>iệc kiểm tra bộ chứng từ, quy trình thanh toán thư tín dụng được thực hiện theo thỏa thuận giữa các bên, phù hợp với tập quán quốc tế về thư tín dụng</w:t>
      </w:r>
      <w:r w:rsidR="00AC3E30">
        <w:rPr>
          <w:rFonts w:eastAsia="Times New Roman"/>
          <w:szCs w:val="28"/>
          <w:lang w:val="en-US"/>
        </w:rPr>
        <w:t xml:space="preserve"> (</w:t>
      </w:r>
      <w:r>
        <w:rPr>
          <w:rFonts w:eastAsia="Times New Roman"/>
          <w:szCs w:val="28"/>
          <w:lang w:val="en-US"/>
        </w:rPr>
        <w:t>tại Thông tư</w:t>
      </w:r>
      <w:r w:rsidR="004D654C">
        <w:rPr>
          <w:rFonts w:eastAsia="Times New Roman"/>
          <w:szCs w:val="28"/>
          <w:lang w:val="en-US"/>
        </w:rPr>
        <w:t xml:space="preserve"> không quy định các nội dung này</w:t>
      </w:r>
      <w:r w:rsidR="00AC3E30">
        <w:rPr>
          <w:rFonts w:eastAsia="Times New Roman"/>
          <w:szCs w:val="28"/>
          <w:lang w:val="en-US"/>
        </w:rPr>
        <w:t>)</w:t>
      </w:r>
      <w:r w:rsidR="004D654C">
        <w:rPr>
          <w:rFonts w:eastAsia="Times New Roman"/>
          <w:szCs w:val="28"/>
          <w:lang w:val="en-US"/>
        </w:rPr>
        <w:t>.</w:t>
      </w:r>
    </w:p>
    <w:p w:rsidR="004D654C" w:rsidRDefault="00B806D8" w:rsidP="00BB201A">
      <w:pPr>
        <w:spacing w:after="120" w:line="240" w:lineRule="auto"/>
        <w:ind w:firstLine="720"/>
        <w:rPr>
          <w:b/>
          <w:i/>
          <w:szCs w:val="28"/>
          <w:lang w:val="es-ES"/>
        </w:rPr>
      </w:pPr>
      <w:r w:rsidRPr="00BB201A">
        <w:rPr>
          <w:b/>
          <w:i/>
          <w:szCs w:val="28"/>
          <w:lang w:val="es-ES"/>
        </w:rPr>
        <w:t>2.</w:t>
      </w:r>
      <w:r w:rsidR="004D654C" w:rsidRPr="00BB201A">
        <w:rPr>
          <w:b/>
          <w:i/>
          <w:szCs w:val="28"/>
          <w:lang w:val="es-ES"/>
        </w:rPr>
        <w:t>2</w:t>
      </w:r>
      <w:r w:rsidRPr="00BB201A">
        <w:rPr>
          <w:b/>
          <w:i/>
          <w:szCs w:val="28"/>
          <w:lang w:val="es-ES"/>
        </w:rPr>
        <w:t>. Xác định số dư nghiệp vụ thư tín dụng</w:t>
      </w:r>
    </w:p>
    <w:p w:rsidR="00F342DB" w:rsidRDefault="004D654C" w:rsidP="00BB201A">
      <w:pPr>
        <w:spacing w:after="120" w:line="240" w:lineRule="auto"/>
        <w:jc w:val="both"/>
        <w:rPr>
          <w:szCs w:val="28"/>
        </w:rPr>
      </w:pPr>
      <w:r>
        <w:rPr>
          <w:b/>
          <w:i/>
          <w:szCs w:val="28"/>
          <w:lang w:val="es-ES"/>
        </w:rPr>
        <w:tab/>
      </w:r>
      <w:r w:rsidR="00ED1FDD">
        <w:rPr>
          <w:szCs w:val="28"/>
        </w:rPr>
        <w:t>Số dư nghiệp vụ thư tín dụng cho khách hàng, khách hàng và người có liên quan được xác định v</w:t>
      </w:r>
      <w:r w:rsidR="00D11C24">
        <w:rPr>
          <w:szCs w:val="28"/>
        </w:rPr>
        <w:t>ào ngày</w:t>
      </w:r>
      <w:r w:rsidR="00F342DB">
        <w:rPr>
          <w:szCs w:val="28"/>
        </w:rPr>
        <w:t xml:space="preserve"> ngân hàng phát hành</w:t>
      </w:r>
      <w:r w:rsidR="00F342DB" w:rsidRPr="00942549">
        <w:rPr>
          <w:szCs w:val="28"/>
        </w:rPr>
        <w:t>, xác nhận, thương lượng thanh toán,</w:t>
      </w:r>
      <w:r w:rsidR="00F342DB">
        <w:rPr>
          <w:szCs w:val="28"/>
        </w:rPr>
        <w:t xml:space="preserve"> hoàn trả thư tín dụng</w:t>
      </w:r>
      <w:r w:rsidR="00530EE3">
        <w:rPr>
          <w:szCs w:val="28"/>
        </w:rPr>
        <w:t>.</w:t>
      </w:r>
      <w:r w:rsidR="00EB4210">
        <w:rPr>
          <w:szCs w:val="28"/>
        </w:rPr>
        <w:t xml:space="preserve"> Theo đó, </w:t>
      </w:r>
      <w:r w:rsidR="00EB4210" w:rsidRPr="00BB201A">
        <w:rPr>
          <w:szCs w:val="28"/>
          <w:lang w:val="en-US"/>
        </w:rPr>
        <w:t xml:space="preserve">để thống nhất với các hình thức cấp tín dụng khác không được loại trừ số tiền ký quỹ là tài sản bảo đảm ra khỏi </w:t>
      </w:r>
      <w:r w:rsidR="00AC3E30">
        <w:rPr>
          <w:szCs w:val="28"/>
          <w:lang w:val="en-US"/>
        </w:rPr>
        <w:t>t</w:t>
      </w:r>
      <w:r w:rsidR="00EB4210" w:rsidRPr="00BB201A">
        <w:rPr>
          <w:szCs w:val="28"/>
          <w:lang w:val="en-US"/>
        </w:rPr>
        <w:t>ổng mức dư nợ cấp tín dụng</w:t>
      </w:r>
      <w:r w:rsidR="00EB4210" w:rsidRPr="00EB4210">
        <w:rPr>
          <w:szCs w:val="28"/>
        </w:rPr>
        <w:t xml:space="preserve"> </w:t>
      </w:r>
      <w:r w:rsidR="00EB4210">
        <w:rPr>
          <w:szCs w:val="28"/>
        </w:rPr>
        <w:t xml:space="preserve">khi tính giới hạn cấp tín dụng, dự thảo cũng không cho phép loại trừ số tiền ký quỹ ra khỏi số dư cấp tín dụng vì </w:t>
      </w:r>
      <w:r w:rsidR="00EB4210" w:rsidRPr="00BB201A">
        <w:rPr>
          <w:rFonts w:eastAsia="Times New Roman"/>
          <w:szCs w:val="28"/>
          <w:lang w:val="en-US"/>
        </w:rPr>
        <w:t>ph  khỏi số dư</w:t>
      </w:r>
      <w:r w:rsidR="00EB4210">
        <w:rPr>
          <w:rFonts w:eastAsia="Calibri"/>
          <w:color w:val="000000"/>
          <w:szCs w:val="28"/>
          <w:lang w:val="nl-NL"/>
        </w:rPr>
        <w:t xml:space="preserve"> biện pháp bảo đảm cho hoạt động cấp tín dụng thông qua nghiệp vụ thư tín dụng. </w:t>
      </w:r>
    </w:p>
    <w:p w:rsidR="008F064C" w:rsidRDefault="00012AA4" w:rsidP="00BB201A">
      <w:pPr>
        <w:spacing w:after="120" w:line="240" w:lineRule="auto"/>
        <w:jc w:val="both"/>
        <w:rPr>
          <w:rFonts w:eastAsia="Calibri"/>
          <w:b/>
          <w:i/>
          <w:color w:val="000000"/>
          <w:szCs w:val="28"/>
          <w:lang w:val="nl-NL"/>
        </w:rPr>
      </w:pPr>
      <w:r>
        <w:rPr>
          <w:rFonts w:eastAsia="Calibri"/>
          <w:color w:val="000000"/>
          <w:szCs w:val="28"/>
          <w:lang w:val="nl-NL"/>
        </w:rPr>
        <w:tab/>
      </w:r>
      <w:r w:rsidRPr="00BB201A">
        <w:rPr>
          <w:rFonts w:eastAsia="Calibri"/>
          <w:b/>
          <w:i/>
          <w:color w:val="000000"/>
          <w:szCs w:val="28"/>
          <w:lang w:val="nl-NL"/>
        </w:rPr>
        <w:t>2.</w:t>
      </w:r>
      <w:r w:rsidR="004D654C" w:rsidRPr="00BB201A">
        <w:rPr>
          <w:rFonts w:eastAsia="Calibri"/>
          <w:b/>
          <w:i/>
          <w:color w:val="000000"/>
          <w:szCs w:val="28"/>
          <w:lang w:val="nl-NL"/>
        </w:rPr>
        <w:t>3</w:t>
      </w:r>
      <w:r w:rsidRPr="00BB201A">
        <w:rPr>
          <w:rFonts w:eastAsia="Calibri"/>
          <w:b/>
          <w:i/>
          <w:color w:val="000000"/>
          <w:szCs w:val="28"/>
          <w:lang w:val="nl-NL"/>
        </w:rPr>
        <w:t>. Về lãi suất áp dụng đối với</w:t>
      </w:r>
      <w:r w:rsidR="00AC3E30">
        <w:rPr>
          <w:rFonts w:eastAsia="Calibri"/>
          <w:b/>
          <w:i/>
          <w:color w:val="000000"/>
          <w:szCs w:val="28"/>
          <w:lang w:val="nl-NL"/>
        </w:rPr>
        <w:t xml:space="preserve"> các doanh nghiệp xuất nhập khẩu</w:t>
      </w:r>
      <w:r w:rsidR="008F064C">
        <w:rPr>
          <w:rFonts w:eastAsia="Calibri"/>
          <w:b/>
          <w:i/>
          <w:color w:val="000000"/>
          <w:szCs w:val="28"/>
          <w:lang w:val="nl-NL"/>
        </w:rPr>
        <w:t>:</w:t>
      </w:r>
    </w:p>
    <w:p w:rsidR="0095032B" w:rsidRDefault="008F064C" w:rsidP="00BB201A">
      <w:pPr>
        <w:spacing w:after="120" w:line="240" w:lineRule="auto"/>
        <w:jc w:val="both"/>
        <w:rPr>
          <w:rFonts w:eastAsia="Times New Roman"/>
          <w:szCs w:val="28"/>
          <w:lang w:val="en-US"/>
        </w:rPr>
      </w:pPr>
      <w:r>
        <w:rPr>
          <w:rFonts w:eastAsia="Calibri"/>
          <w:b/>
          <w:i/>
          <w:color w:val="000000"/>
          <w:szCs w:val="28"/>
          <w:lang w:val="nl-NL"/>
        </w:rPr>
        <w:tab/>
      </w:r>
      <w:r w:rsidR="0095032B" w:rsidRPr="0095032B">
        <w:rPr>
          <w:rFonts w:eastAsia="Calibri"/>
          <w:color w:val="000000"/>
          <w:szCs w:val="28"/>
          <w:lang w:val="nl-NL"/>
        </w:rPr>
        <w:t>Dự thảo quy định n</w:t>
      </w:r>
      <w:r w:rsidR="0095032B" w:rsidRPr="0095032B">
        <w:rPr>
          <w:rFonts w:eastAsia="Times New Roman"/>
          <w:szCs w:val="28"/>
        </w:rPr>
        <w:t>gân</w:t>
      </w:r>
      <w:r w:rsidR="0095032B" w:rsidRPr="00942549">
        <w:rPr>
          <w:rFonts w:eastAsia="Times New Roman"/>
          <w:szCs w:val="28"/>
        </w:rPr>
        <w:t xml:space="preserve"> hàng</w:t>
      </w:r>
      <w:r w:rsidR="0095032B" w:rsidRPr="00942549">
        <w:rPr>
          <w:szCs w:val="28"/>
        </w:rPr>
        <w:t xml:space="preserve"> và</w:t>
      </w:r>
      <w:r w:rsidR="0095032B" w:rsidRPr="00942549">
        <w:rPr>
          <w:rFonts w:eastAsia="Times New Roman"/>
          <w:szCs w:val="28"/>
        </w:rPr>
        <w:t xml:space="preserve"> khách </w:t>
      </w:r>
      <w:r w:rsidR="0095032B" w:rsidRPr="00942549">
        <w:rPr>
          <w:szCs w:val="28"/>
        </w:rPr>
        <w:t xml:space="preserve">hàng </w:t>
      </w:r>
      <w:r w:rsidR="0095032B" w:rsidRPr="00942549">
        <w:rPr>
          <w:rFonts w:eastAsia="Times New Roman"/>
          <w:szCs w:val="28"/>
        </w:rPr>
        <w:t xml:space="preserve">thỏa thuận </w:t>
      </w:r>
      <w:r w:rsidR="0095032B" w:rsidRPr="00942549">
        <w:rPr>
          <w:szCs w:val="28"/>
        </w:rPr>
        <w:t>về</w:t>
      </w:r>
      <w:r w:rsidR="0095032B" w:rsidRPr="00942549">
        <w:rPr>
          <w:rFonts w:eastAsia="Times New Roman"/>
          <w:szCs w:val="28"/>
        </w:rPr>
        <w:t xml:space="preserve"> mức lãi suất áp dụng đối với nghiệp vụ thư tín dụng.</w:t>
      </w:r>
      <w:r w:rsidR="0095032B">
        <w:rPr>
          <w:rFonts w:eastAsia="Times New Roman"/>
          <w:szCs w:val="28"/>
          <w:lang w:val="en-US"/>
        </w:rPr>
        <w:t xml:space="preserve"> </w:t>
      </w:r>
    </w:p>
    <w:p w:rsidR="001C3498" w:rsidRDefault="0095032B" w:rsidP="0095032B">
      <w:pPr>
        <w:spacing w:after="120" w:line="240" w:lineRule="auto"/>
        <w:ind w:firstLine="720"/>
        <w:jc w:val="both"/>
        <w:rPr>
          <w:rFonts w:asciiTheme="majorHAnsi" w:hAnsiTheme="majorHAnsi" w:cstheme="majorHAnsi"/>
          <w:szCs w:val="28"/>
          <w:lang w:val="en-US"/>
        </w:rPr>
      </w:pPr>
      <w:r>
        <w:rPr>
          <w:rFonts w:eastAsia="Times New Roman"/>
          <w:szCs w:val="28"/>
          <w:lang w:val="en-US"/>
        </w:rPr>
        <w:t>Đối với</w:t>
      </w:r>
      <w:r w:rsidR="007D5223">
        <w:rPr>
          <w:rFonts w:asciiTheme="majorHAnsi" w:hAnsiTheme="majorHAnsi" w:cstheme="majorHAnsi"/>
          <w:szCs w:val="28"/>
          <w:lang w:val="en-US"/>
        </w:rPr>
        <w:t xml:space="preserve"> </w:t>
      </w:r>
      <w:r w:rsidR="00AC3E30" w:rsidRPr="0095032B">
        <w:rPr>
          <w:rFonts w:eastAsia="Calibri"/>
          <w:color w:val="000000"/>
          <w:szCs w:val="28"/>
          <w:lang w:val="nl-NL"/>
        </w:rPr>
        <w:t>các</w:t>
      </w:r>
      <w:r w:rsidRPr="0095032B">
        <w:rPr>
          <w:rFonts w:eastAsia="Calibri"/>
          <w:color w:val="000000"/>
          <w:szCs w:val="28"/>
          <w:lang w:val="nl-NL"/>
        </w:rPr>
        <w:t xml:space="preserve"> thư tín dụng phát hành để thanh toán cho các</w:t>
      </w:r>
      <w:r>
        <w:rPr>
          <w:rFonts w:eastAsia="Calibri"/>
          <w:color w:val="000000"/>
          <w:szCs w:val="28"/>
          <w:lang w:val="nl-NL"/>
        </w:rPr>
        <w:t xml:space="preserve"> hợp đồng mua bán hàng hóa, dịch vụ thuộc</w:t>
      </w:r>
      <w:r w:rsidR="00AC3E30" w:rsidRPr="0095032B">
        <w:rPr>
          <w:rFonts w:eastAsia="Calibri"/>
          <w:color w:val="000000"/>
          <w:szCs w:val="28"/>
          <w:lang w:val="nl-NL"/>
        </w:rPr>
        <w:t xml:space="preserve"> nhu cầu vốn thuộc các lĩnh vực ưu tiên</w:t>
      </w:r>
      <w:r>
        <w:rPr>
          <w:rFonts w:eastAsia="Calibri"/>
          <w:color w:val="000000"/>
          <w:szCs w:val="28"/>
          <w:lang w:val="nl-NL"/>
        </w:rPr>
        <w:t xml:space="preserve"> theo quy định tại</w:t>
      </w:r>
      <w:r w:rsidR="00AC3E30">
        <w:rPr>
          <w:rFonts w:asciiTheme="majorHAnsi" w:hAnsiTheme="majorHAnsi" w:cstheme="majorHAnsi"/>
          <w:szCs w:val="28"/>
          <w:lang w:val="en-US"/>
        </w:rPr>
        <w:t xml:space="preserve"> </w:t>
      </w:r>
      <w:r w:rsidR="000A6FDD">
        <w:rPr>
          <w:rFonts w:asciiTheme="majorHAnsi" w:hAnsiTheme="majorHAnsi" w:cstheme="majorHAnsi"/>
          <w:szCs w:val="28"/>
          <w:lang w:val="en-US"/>
        </w:rPr>
        <w:t>Khoản 2</w:t>
      </w:r>
      <w:r w:rsidR="00012AA4" w:rsidRPr="00012AA4">
        <w:rPr>
          <w:rFonts w:asciiTheme="majorHAnsi" w:hAnsiTheme="majorHAnsi" w:cstheme="majorHAnsi"/>
          <w:szCs w:val="28"/>
        </w:rPr>
        <w:t xml:space="preserve"> Điều 13 Thông tư 39/2016/TT-NHNN</w:t>
      </w:r>
      <w:r>
        <w:rPr>
          <w:rFonts w:asciiTheme="majorHAnsi" w:hAnsiTheme="majorHAnsi" w:cstheme="majorHAnsi"/>
          <w:szCs w:val="28"/>
          <w:lang w:val="en-US"/>
        </w:rPr>
        <w:t>: Tại Thông tư 39</w:t>
      </w:r>
      <w:r w:rsidR="00012AA4" w:rsidRPr="00012AA4">
        <w:rPr>
          <w:rFonts w:asciiTheme="majorHAnsi" w:hAnsiTheme="majorHAnsi" w:cstheme="majorHAnsi"/>
          <w:szCs w:val="28"/>
        </w:rPr>
        <w:t xml:space="preserve"> </w:t>
      </w:r>
      <w:r w:rsidR="003257B8">
        <w:rPr>
          <w:rFonts w:asciiTheme="majorHAnsi" w:hAnsiTheme="majorHAnsi" w:cstheme="majorHAnsi"/>
          <w:szCs w:val="28"/>
          <w:lang w:val="en-US"/>
        </w:rPr>
        <w:t xml:space="preserve">quy định </w:t>
      </w:r>
      <w:r w:rsidR="00012AA4" w:rsidRPr="00012AA4">
        <w:rPr>
          <w:rFonts w:asciiTheme="majorHAnsi" w:hAnsiTheme="majorHAnsi" w:cstheme="majorHAnsi"/>
          <w:szCs w:val="28"/>
        </w:rPr>
        <w:t>về trần lãi suất cho vay ngắn hạn đối với 05 lĩnh vực ưu tiên</w:t>
      </w:r>
      <w:r w:rsidR="00261EFD">
        <w:rPr>
          <w:rFonts w:asciiTheme="majorHAnsi" w:hAnsiTheme="majorHAnsi" w:cstheme="majorHAnsi"/>
          <w:szCs w:val="28"/>
          <w:lang w:val="en-US"/>
        </w:rPr>
        <w:t xml:space="preserve"> (</w:t>
      </w:r>
      <w:r w:rsidR="00261EFD" w:rsidRPr="00BB201A">
        <w:rPr>
          <w:rFonts w:asciiTheme="majorHAnsi" w:hAnsiTheme="majorHAnsi" w:cstheme="majorHAnsi"/>
          <w:i/>
          <w:szCs w:val="28"/>
          <w:lang w:val="en-US"/>
        </w:rPr>
        <w:t>phục vụ lĩnh vực phát triển nông nghiệp, nông thôn theo quy định của Chính phủ về chính sách tín dụng phục vụ phát triển nông nghiệp, nông thôn;</w:t>
      </w:r>
      <w:r w:rsidR="00BB377F" w:rsidRPr="00BB201A">
        <w:rPr>
          <w:rFonts w:asciiTheme="majorHAnsi" w:hAnsiTheme="majorHAnsi" w:cstheme="majorHAnsi"/>
          <w:i/>
          <w:szCs w:val="28"/>
          <w:lang w:val="en-US"/>
        </w:rPr>
        <w:t xml:space="preserve"> </w:t>
      </w:r>
      <w:r w:rsidR="00261EFD" w:rsidRPr="00BB201A">
        <w:rPr>
          <w:rFonts w:asciiTheme="majorHAnsi" w:hAnsiTheme="majorHAnsi" w:cstheme="majorHAnsi"/>
          <w:i/>
          <w:szCs w:val="28"/>
          <w:lang w:val="en-US"/>
        </w:rPr>
        <w:t xml:space="preserve">thực hiện phương án kinh doanh hàng xuất khẩu; </w:t>
      </w:r>
      <w:r w:rsidR="00BB377F" w:rsidRPr="00BB201A">
        <w:rPr>
          <w:rFonts w:asciiTheme="majorHAnsi" w:hAnsiTheme="majorHAnsi" w:cstheme="majorHAnsi"/>
          <w:i/>
          <w:szCs w:val="28"/>
          <w:lang w:val="en-US"/>
        </w:rPr>
        <w:t>p</w:t>
      </w:r>
      <w:r w:rsidR="00261EFD" w:rsidRPr="00BB201A">
        <w:rPr>
          <w:rFonts w:asciiTheme="majorHAnsi" w:hAnsiTheme="majorHAnsi" w:cstheme="majorHAnsi"/>
          <w:i/>
          <w:szCs w:val="28"/>
          <w:lang w:val="en-US"/>
        </w:rPr>
        <w:t>hục vụ kinh doanh của doanh nghiệp nhỏ và vừa;</w:t>
      </w:r>
      <w:r w:rsidR="00EB4210" w:rsidRPr="00BB201A">
        <w:rPr>
          <w:rFonts w:asciiTheme="majorHAnsi" w:hAnsiTheme="majorHAnsi" w:cstheme="majorHAnsi"/>
          <w:i/>
          <w:szCs w:val="28"/>
          <w:lang w:val="en-US"/>
        </w:rPr>
        <w:t xml:space="preserve"> </w:t>
      </w:r>
      <w:r w:rsidR="00261EFD" w:rsidRPr="00BB201A">
        <w:rPr>
          <w:rFonts w:asciiTheme="majorHAnsi" w:hAnsiTheme="majorHAnsi" w:cstheme="majorHAnsi"/>
          <w:i/>
          <w:szCs w:val="28"/>
          <w:lang w:val="en-US"/>
        </w:rPr>
        <w:t>phát triển ngành công nghiệp hỗ trợ</w:t>
      </w:r>
      <w:r w:rsidR="00261EFD">
        <w:rPr>
          <w:rFonts w:asciiTheme="majorHAnsi" w:hAnsiTheme="majorHAnsi" w:cstheme="majorHAnsi"/>
          <w:szCs w:val="28"/>
          <w:lang w:val="en-US"/>
        </w:rPr>
        <w:t>)</w:t>
      </w:r>
      <w:r w:rsidR="00012AA4" w:rsidRPr="00012AA4">
        <w:rPr>
          <w:rFonts w:asciiTheme="majorHAnsi" w:hAnsiTheme="majorHAnsi" w:cstheme="majorHAnsi"/>
          <w:szCs w:val="28"/>
        </w:rPr>
        <w:t>.</w:t>
      </w:r>
      <w:r w:rsidR="000A6FDD">
        <w:rPr>
          <w:rFonts w:asciiTheme="majorHAnsi" w:hAnsiTheme="majorHAnsi" w:cstheme="majorHAnsi"/>
          <w:szCs w:val="28"/>
          <w:lang w:val="en-US"/>
        </w:rPr>
        <w:t xml:space="preserve"> </w:t>
      </w:r>
      <w:r w:rsidR="00EB4210">
        <w:rPr>
          <w:rFonts w:asciiTheme="majorHAnsi" w:hAnsiTheme="majorHAnsi" w:cstheme="majorHAnsi"/>
          <w:szCs w:val="28"/>
          <w:lang w:val="en-US"/>
        </w:rPr>
        <w:t>Trong</w:t>
      </w:r>
      <w:r w:rsidR="000A6FDD">
        <w:rPr>
          <w:rFonts w:asciiTheme="majorHAnsi" w:hAnsiTheme="majorHAnsi" w:cstheme="majorHAnsi"/>
          <w:szCs w:val="28"/>
          <w:lang w:val="en-US"/>
        </w:rPr>
        <w:t xml:space="preserve"> nghiệp vụ </w:t>
      </w:r>
      <w:r w:rsidR="00EB4210">
        <w:rPr>
          <w:rFonts w:asciiTheme="majorHAnsi" w:hAnsiTheme="majorHAnsi" w:cstheme="majorHAnsi"/>
          <w:szCs w:val="28"/>
          <w:lang w:val="en-US"/>
        </w:rPr>
        <w:t xml:space="preserve">phát hành </w:t>
      </w:r>
      <w:r w:rsidR="000A6FDD">
        <w:rPr>
          <w:rFonts w:asciiTheme="majorHAnsi" w:hAnsiTheme="majorHAnsi" w:cstheme="majorHAnsi"/>
          <w:szCs w:val="28"/>
          <w:lang w:val="en-US"/>
        </w:rPr>
        <w:t>thư tín dụng</w:t>
      </w:r>
      <w:r w:rsidR="00EB4210">
        <w:rPr>
          <w:rFonts w:asciiTheme="majorHAnsi" w:hAnsiTheme="majorHAnsi" w:cstheme="majorHAnsi"/>
          <w:szCs w:val="28"/>
          <w:lang w:val="en-US"/>
        </w:rPr>
        <w:t>, ngân hàng sẽ cấp tín dụng cho các doanh nghiệp nên</w:t>
      </w:r>
      <w:r w:rsidR="000A6FDD">
        <w:rPr>
          <w:rFonts w:asciiTheme="majorHAnsi" w:hAnsiTheme="majorHAnsi" w:cstheme="majorHAnsi"/>
          <w:szCs w:val="28"/>
          <w:lang w:val="en-US"/>
        </w:rPr>
        <w:t xml:space="preserve"> về nguyên tắc</w:t>
      </w:r>
      <w:r w:rsidR="00EB4210">
        <w:rPr>
          <w:rFonts w:asciiTheme="majorHAnsi" w:hAnsiTheme="majorHAnsi" w:cstheme="majorHAnsi"/>
          <w:szCs w:val="28"/>
          <w:lang w:val="en-US"/>
        </w:rPr>
        <w:t xml:space="preserve"> nếu khách hàng thuộc</w:t>
      </w:r>
      <w:r w:rsidR="000A6FDD">
        <w:rPr>
          <w:rFonts w:asciiTheme="majorHAnsi" w:hAnsiTheme="majorHAnsi" w:cstheme="majorHAnsi"/>
          <w:szCs w:val="28"/>
          <w:lang w:val="en-US"/>
        </w:rPr>
        <w:t xml:space="preserve"> 5 lĩnh vực ưu tiên</w:t>
      </w:r>
      <w:r w:rsidR="00C5083A">
        <w:rPr>
          <w:rFonts w:asciiTheme="majorHAnsi" w:hAnsiTheme="majorHAnsi" w:cstheme="majorHAnsi"/>
          <w:szCs w:val="28"/>
          <w:lang w:val="en-US"/>
        </w:rPr>
        <w:t xml:space="preserve"> </w:t>
      </w:r>
      <w:r w:rsidR="00261EFD">
        <w:rPr>
          <w:rFonts w:asciiTheme="majorHAnsi" w:hAnsiTheme="majorHAnsi" w:cstheme="majorHAnsi"/>
          <w:szCs w:val="28"/>
          <w:lang w:val="en-US"/>
        </w:rPr>
        <w:t>trên cũng được áp dụng trần lãi suất</w:t>
      </w:r>
      <w:r w:rsidR="00EB4210">
        <w:rPr>
          <w:rFonts w:asciiTheme="majorHAnsi" w:hAnsiTheme="majorHAnsi" w:cstheme="majorHAnsi"/>
          <w:szCs w:val="28"/>
          <w:lang w:val="en-US"/>
        </w:rPr>
        <w:t xml:space="preserve"> cho vay ngắn hạn theo quy định của Thống đốc NHNN</w:t>
      </w:r>
      <w:r w:rsidR="00CE52A7">
        <w:rPr>
          <w:rFonts w:asciiTheme="majorHAnsi" w:hAnsiTheme="majorHAnsi" w:cstheme="majorHAnsi"/>
          <w:szCs w:val="28"/>
          <w:lang w:val="en-US"/>
        </w:rPr>
        <w:t xml:space="preserve">. </w:t>
      </w:r>
      <w:r w:rsidR="009F7B21">
        <w:rPr>
          <w:rFonts w:asciiTheme="majorHAnsi" w:hAnsiTheme="majorHAnsi" w:cstheme="majorHAnsi"/>
          <w:szCs w:val="28"/>
          <w:lang w:val="en-US"/>
        </w:rPr>
        <w:t>Thực tế</w:t>
      </w:r>
      <w:r w:rsidR="00CE52A7">
        <w:rPr>
          <w:rFonts w:asciiTheme="majorHAnsi" w:hAnsiTheme="majorHAnsi" w:cstheme="majorHAnsi"/>
          <w:szCs w:val="28"/>
          <w:lang w:val="en-US"/>
        </w:rPr>
        <w:t>, nghiệp vụ thư tín dụng chủ yếu phục vụ khách hàng xuất, nhập khẩ</w:t>
      </w:r>
      <w:r w:rsidR="00591778">
        <w:rPr>
          <w:rFonts w:asciiTheme="majorHAnsi" w:hAnsiTheme="majorHAnsi" w:cstheme="majorHAnsi"/>
          <w:szCs w:val="28"/>
          <w:lang w:val="en-US"/>
        </w:rPr>
        <w:t>u hàng hóa</w:t>
      </w:r>
      <w:r w:rsidR="00BB377F">
        <w:rPr>
          <w:rFonts w:asciiTheme="majorHAnsi" w:hAnsiTheme="majorHAnsi" w:cstheme="majorHAnsi"/>
          <w:szCs w:val="28"/>
          <w:lang w:val="en-US"/>
        </w:rPr>
        <w:t>.</w:t>
      </w:r>
      <w:r w:rsidR="00591778">
        <w:rPr>
          <w:rFonts w:asciiTheme="majorHAnsi" w:hAnsiTheme="majorHAnsi" w:cstheme="majorHAnsi"/>
          <w:szCs w:val="28"/>
          <w:lang w:val="en-US"/>
        </w:rPr>
        <w:t xml:space="preserve"> </w:t>
      </w:r>
      <w:r w:rsidR="00D20D94">
        <w:rPr>
          <w:rFonts w:asciiTheme="majorHAnsi" w:hAnsiTheme="majorHAnsi" w:cstheme="majorHAnsi"/>
          <w:szCs w:val="28"/>
          <w:lang w:val="en-US"/>
        </w:rPr>
        <w:t xml:space="preserve">Nếu quy định nội dung ưu tiên lãi suất </w:t>
      </w:r>
      <w:r w:rsidR="00BB377F">
        <w:rPr>
          <w:rFonts w:asciiTheme="majorHAnsi" w:hAnsiTheme="majorHAnsi" w:cstheme="majorHAnsi"/>
          <w:szCs w:val="28"/>
          <w:lang w:val="en-US"/>
        </w:rPr>
        <w:t>đ</w:t>
      </w:r>
      <w:r w:rsidR="009F7B21">
        <w:rPr>
          <w:rFonts w:asciiTheme="majorHAnsi" w:hAnsiTheme="majorHAnsi" w:cstheme="majorHAnsi"/>
          <w:szCs w:val="28"/>
          <w:lang w:val="en-US"/>
        </w:rPr>
        <w:t>ố</w:t>
      </w:r>
      <w:r w:rsidR="00BB377F">
        <w:rPr>
          <w:rFonts w:asciiTheme="majorHAnsi" w:hAnsiTheme="majorHAnsi" w:cstheme="majorHAnsi"/>
          <w:szCs w:val="28"/>
          <w:lang w:val="en-US"/>
        </w:rPr>
        <w:t>i với 5 lĩnh vực ưu tiên này t</w:t>
      </w:r>
      <w:r w:rsidR="00F1733D">
        <w:rPr>
          <w:rFonts w:asciiTheme="majorHAnsi" w:hAnsiTheme="majorHAnsi" w:cstheme="majorHAnsi"/>
          <w:szCs w:val="28"/>
          <w:lang w:val="en-US"/>
        </w:rPr>
        <w:t xml:space="preserve">ại dự thảo </w:t>
      </w:r>
      <w:r w:rsidR="009F7B21">
        <w:rPr>
          <w:rFonts w:asciiTheme="majorHAnsi" w:hAnsiTheme="majorHAnsi" w:cstheme="majorHAnsi"/>
          <w:szCs w:val="28"/>
          <w:lang w:val="en-US"/>
        </w:rPr>
        <w:t>T</w:t>
      </w:r>
      <w:r w:rsidR="00F1733D">
        <w:rPr>
          <w:rFonts w:asciiTheme="majorHAnsi" w:hAnsiTheme="majorHAnsi" w:cstheme="majorHAnsi"/>
          <w:szCs w:val="28"/>
          <w:lang w:val="en-US"/>
        </w:rPr>
        <w:t xml:space="preserve">hông tư </w:t>
      </w:r>
      <w:r w:rsidR="009F7B21">
        <w:rPr>
          <w:rFonts w:asciiTheme="majorHAnsi" w:hAnsiTheme="majorHAnsi" w:cstheme="majorHAnsi"/>
          <w:szCs w:val="28"/>
          <w:lang w:val="en-US"/>
        </w:rPr>
        <w:t xml:space="preserve">có thể </w:t>
      </w:r>
      <w:r w:rsidR="00F1733D">
        <w:rPr>
          <w:rFonts w:asciiTheme="majorHAnsi" w:hAnsiTheme="majorHAnsi" w:cstheme="majorHAnsi"/>
          <w:szCs w:val="28"/>
          <w:lang w:val="en-US"/>
        </w:rPr>
        <w:t xml:space="preserve">sẽ gây bất lợi cho các doanh nghiệp Việt Nam khi bị chính phủ các nước, </w:t>
      </w:r>
      <w:r w:rsidR="00007D31">
        <w:rPr>
          <w:rFonts w:asciiTheme="majorHAnsi" w:hAnsiTheme="majorHAnsi" w:cstheme="majorHAnsi"/>
          <w:szCs w:val="28"/>
          <w:lang w:val="en-US"/>
        </w:rPr>
        <w:t>các</w:t>
      </w:r>
      <w:r w:rsidR="00F1733D">
        <w:rPr>
          <w:rFonts w:asciiTheme="majorHAnsi" w:hAnsiTheme="majorHAnsi" w:cstheme="majorHAnsi"/>
          <w:szCs w:val="28"/>
          <w:lang w:val="en-US"/>
        </w:rPr>
        <w:t xml:space="preserve"> đối tác thương mại thực hiện các biện pháp phòng vệ thương mại đối với hàng hóa xuất khẩu </w:t>
      </w:r>
      <w:r w:rsidR="00007D31">
        <w:rPr>
          <w:rFonts w:asciiTheme="majorHAnsi" w:hAnsiTheme="majorHAnsi" w:cstheme="majorHAnsi"/>
          <w:szCs w:val="28"/>
          <w:lang w:val="en-US"/>
        </w:rPr>
        <w:t xml:space="preserve">của doanh nghiệp </w:t>
      </w:r>
      <w:r w:rsidR="00BB377F">
        <w:rPr>
          <w:rFonts w:asciiTheme="majorHAnsi" w:hAnsiTheme="majorHAnsi" w:cstheme="majorHAnsi"/>
          <w:szCs w:val="28"/>
          <w:lang w:val="en-US"/>
        </w:rPr>
        <w:t xml:space="preserve"> Việt Nam </w:t>
      </w:r>
      <w:r w:rsidR="00F1733D">
        <w:rPr>
          <w:rFonts w:asciiTheme="majorHAnsi" w:hAnsiTheme="majorHAnsi" w:cstheme="majorHAnsi"/>
          <w:szCs w:val="28"/>
          <w:lang w:val="en-US"/>
        </w:rPr>
        <w:t xml:space="preserve">với lý do được hỗ trợ của </w:t>
      </w:r>
      <w:r w:rsidR="009F7B21">
        <w:rPr>
          <w:rFonts w:asciiTheme="majorHAnsi" w:hAnsiTheme="majorHAnsi" w:cstheme="majorHAnsi"/>
          <w:szCs w:val="28"/>
          <w:lang w:val="en-US"/>
        </w:rPr>
        <w:t>N</w:t>
      </w:r>
      <w:r w:rsidR="00F1733D">
        <w:rPr>
          <w:rFonts w:asciiTheme="majorHAnsi" w:hAnsiTheme="majorHAnsi" w:cstheme="majorHAnsi"/>
          <w:szCs w:val="28"/>
          <w:lang w:val="en-US"/>
        </w:rPr>
        <w:t>hà nước về lãi suất.</w:t>
      </w:r>
      <w:r w:rsidR="001C3498">
        <w:rPr>
          <w:rFonts w:asciiTheme="majorHAnsi" w:hAnsiTheme="majorHAnsi" w:cstheme="majorHAnsi"/>
          <w:szCs w:val="28"/>
          <w:lang w:val="en-US"/>
        </w:rPr>
        <w:t xml:space="preserve"> Vì vậy, dự thảo thông tư </w:t>
      </w:r>
      <w:r w:rsidR="005F041D">
        <w:rPr>
          <w:rFonts w:asciiTheme="majorHAnsi" w:hAnsiTheme="majorHAnsi" w:cstheme="majorHAnsi"/>
          <w:szCs w:val="28"/>
          <w:lang w:val="en-US"/>
        </w:rPr>
        <w:t xml:space="preserve">dự kiến </w:t>
      </w:r>
      <w:r w:rsidR="001C3498">
        <w:rPr>
          <w:rFonts w:asciiTheme="majorHAnsi" w:hAnsiTheme="majorHAnsi" w:cstheme="majorHAnsi"/>
          <w:szCs w:val="28"/>
          <w:lang w:val="en-US"/>
        </w:rPr>
        <w:t>không quy định nội dung</w:t>
      </w:r>
      <w:r w:rsidR="005F041D">
        <w:rPr>
          <w:rFonts w:asciiTheme="majorHAnsi" w:hAnsiTheme="majorHAnsi" w:cstheme="majorHAnsi"/>
          <w:szCs w:val="28"/>
          <w:lang w:val="en-US"/>
        </w:rPr>
        <w:t xml:space="preserve"> ưu đãi về lãi suất đối với 5 lĩnh vực ưu tiên</w:t>
      </w:r>
      <w:r w:rsidR="001C3498">
        <w:rPr>
          <w:rFonts w:asciiTheme="majorHAnsi" w:hAnsiTheme="majorHAnsi" w:cstheme="majorHAnsi"/>
          <w:szCs w:val="28"/>
          <w:lang w:val="en-US"/>
        </w:rPr>
        <w:t xml:space="preserve"> này.</w:t>
      </w:r>
    </w:p>
    <w:p w:rsidR="0095032B" w:rsidRDefault="00321ED3" w:rsidP="00BB201A">
      <w:pPr>
        <w:spacing w:after="120" w:line="240" w:lineRule="auto"/>
        <w:ind w:firstLine="567"/>
        <w:jc w:val="both"/>
        <w:rPr>
          <w:rFonts w:asciiTheme="majorHAnsi" w:hAnsiTheme="majorHAnsi" w:cstheme="majorHAnsi"/>
          <w:b/>
          <w:i/>
          <w:szCs w:val="28"/>
          <w:lang w:val="en-US"/>
        </w:rPr>
      </w:pPr>
      <w:r w:rsidRPr="00BB201A">
        <w:rPr>
          <w:rFonts w:asciiTheme="majorHAnsi" w:hAnsiTheme="majorHAnsi" w:cstheme="majorHAnsi"/>
          <w:b/>
          <w:i/>
          <w:szCs w:val="28"/>
          <w:lang w:val="en-US"/>
        </w:rPr>
        <w:t>2.</w:t>
      </w:r>
      <w:r w:rsidR="004D654C" w:rsidRPr="00BB201A">
        <w:rPr>
          <w:rFonts w:asciiTheme="majorHAnsi" w:hAnsiTheme="majorHAnsi" w:cstheme="majorHAnsi"/>
          <w:b/>
          <w:i/>
          <w:szCs w:val="28"/>
          <w:lang w:val="en-US"/>
        </w:rPr>
        <w:t>4</w:t>
      </w:r>
      <w:r w:rsidRPr="00BB201A">
        <w:rPr>
          <w:rFonts w:asciiTheme="majorHAnsi" w:hAnsiTheme="majorHAnsi" w:cstheme="majorHAnsi"/>
          <w:b/>
          <w:i/>
          <w:szCs w:val="28"/>
          <w:lang w:val="en-US"/>
        </w:rPr>
        <w:t>. Về</w:t>
      </w:r>
      <w:r w:rsidR="002E0594" w:rsidRPr="00BB201A">
        <w:rPr>
          <w:rFonts w:asciiTheme="majorHAnsi" w:hAnsiTheme="majorHAnsi" w:cstheme="majorHAnsi"/>
          <w:b/>
          <w:i/>
          <w:szCs w:val="28"/>
          <w:lang w:val="en-US"/>
        </w:rPr>
        <w:t xml:space="preserve"> đồng tiền </w:t>
      </w:r>
      <w:r w:rsidR="0095032B">
        <w:rPr>
          <w:rFonts w:asciiTheme="majorHAnsi" w:hAnsiTheme="majorHAnsi" w:cstheme="majorHAnsi"/>
          <w:b/>
          <w:i/>
          <w:szCs w:val="28"/>
          <w:lang w:val="en-US"/>
        </w:rPr>
        <w:t>phát hành thư tín dụng</w:t>
      </w:r>
      <w:r w:rsidR="002E0594" w:rsidRPr="00BB201A">
        <w:rPr>
          <w:rFonts w:asciiTheme="majorHAnsi" w:hAnsiTheme="majorHAnsi" w:cstheme="majorHAnsi"/>
          <w:b/>
          <w:i/>
          <w:szCs w:val="28"/>
          <w:lang w:val="en-US"/>
        </w:rPr>
        <w:t>, thanh toán thư tín dụng</w:t>
      </w:r>
      <w:r w:rsidR="00D43599">
        <w:rPr>
          <w:rFonts w:asciiTheme="majorHAnsi" w:hAnsiTheme="majorHAnsi" w:cstheme="majorHAnsi"/>
          <w:b/>
          <w:i/>
          <w:szCs w:val="28"/>
          <w:lang w:val="en-US"/>
        </w:rPr>
        <w:t>:</w:t>
      </w:r>
      <w:r w:rsidR="002E0594" w:rsidRPr="00BB201A">
        <w:rPr>
          <w:rFonts w:asciiTheme="majorHAnsi" w:hAnsiTheme="majorHAnsi" w:cstheme="majorHAnsi"/>
          <w:b/>
          <w:i/>
          <w:szCs w:val="28"/>
          <w:lang w:val="en-US"/>
        </w:rPr>
        <w:t xml:space="preserve"> </w:t>
      </w:r>
    </w:p>
    <w:p w:rsidR="003D0095" w:rsidRDefault="0095032B" w:rsidP="00BB201A">
      <w:pPr>
        <w:spacing w:after="120" w:line="240" w:lineRule="auto"/>
        <w:ind w:firstLine="567"/>
        <w:jc w:val="both"/>
        <w:rPr>
          <w:szCs w:val="28"/>
        </w:rPr>
      </w:pPr>
      <w:r>
        <w:rPr>
          <w:szCs w:val="28"/>
          <w:lang w:val="en-US"/>
        </w:rPr>
        <w:t>Dự thảo quy định</w:t>
      </w:r>
      <w:r w:rsidR="006428D4">
        <w:rPr>
          <w:szCs w:val="28"/>
          <w:lang w:val="en-US"/>
        </w:rPr>
        <w:t xml:space="preserve"> nguyên tắc, trên cơ sở hợp đồng mua, bán hàng hóa, dịch vụ khách hàng đề nghị phát hành thư tín dụng bằng đồng tiền nào, ngân hàng phát hành thư tín dụng bằng đồng tiền đó. Đối với hàng hóa nhập khẩu, các ngân hàng</w:t>
      </w:r>
      <w:r w:rsidR="009F4314">
        <w:rPr>
          <w:szCs w:val="28"/>
          <w:lang w:val="en-US"/>
        </w:rPr>
        <w:t xml:space="preserve"> được</w:t>
      </w:r>
      <w:r w:rsidR="006428D4">
        <w:rPr>
          <w:szCs w:val="28"/>
          <w:lang w:val="en-US"/>
        </w:rPr>
        <w:t xml:space="preserve"> phát hành thư tín dụng bằng ngoại tệ. </w:t>
      </w:r>
    </w:p>
    <w:p w:rsidR="003D0095" w:rsidRPr="00BB201A" w:rsidRDefault="004D654C" w:rsidP="00BB201A">
      <w:pPr>
        <w:spacing w:after="120" w:line="240" w:lineRule="auto"/>
        <w:ind w:firstLine="567"/>
        <w:jc w:val="both"/>
        <w:rPr>
          <w:b/>
          <w:i/>
          <w:szCs w:val="28"/>
          <w:lang w:val="en-US"/>
        </w:rPr>
      </w:pPr>
      <w:r w:rsidRPr="00BB201A">
        <w:rPr>
          <w:b/>
          <w:i/>
          <w:szCs w:val="28"/>
          <w:lang w:val="en-US"/>
        </w:rPr>
        <w:t>2.5</w:t>
      </w:r>
      <w:r w:rsidR="003D0095" w:rsidRPr="00BB201A">
        <w:rPr>
          <w:b/>
          <w:i/>
          <w:szCs w:val="28"/>
          <w:lang w:val="en-US"/>
        </w:rPr>
        <w:t xml:space="preserve">. Về </w:t>
      </w:r>
      <w:r w:rsidR="000E5E76">
        <w:rPr>
          <w:b/>
          <w:i/>
          <w:szCs w:val="28"/>
          <w:lang w:val="en-US"/>
        </w:rPr>
        <w:t xml:space="preserve">đồng tiền </w:t>
      </w:r>
      <w:r w:rsidR="003D0095" w:rsidRPr="00BB201A">
        <w:rPr>
          <w:b/>
          <w:i/>
          <w:szCs w:val="28"/>
          <w:lang w:val="en-US"/>
        </w:rPr>
        <w:t>cấp tín dụ</w:t>
      </w:r>
      <w:r w:rsidR="000E5E76">
        <w:rPr>
          <w:b/>
          <w:i/>
          <w:szCs w:val="28"/>
          <w:lang w:val="en-US"/>
        </w:rPr>
        <w:t>ng</w:t>
      </w:r>
      <w:r w:rsidR="003D0095" w:rsidRPr="00BB201A">
        <w:rPr>
          <w:b/>
          <w:i/>
          <w:szCs w:val="28"/>
          <w:lang w:val="en-US"/>
        </w:rPr>
        <w:t>, cấp tín dụng cho người không cư trú:</w:t>
      </w:r>
    </w:p>
    <w:p w:rsidR="0095032B" w:rsidRDefault="003D0095" w:rsidP="00BB201A">
      <w:pPr>
        <w:spacing w:after="120" w:line="240" w:lineRule="auto"/>
        <w:ind w:firstLine="567"/>
        <w:jc w:val="both"/>
        <w:rPr>
          <w:szCs w:val="28"/>
          <w:lang w:val="en-US"/>
        </w:rPr>
      </w:pPr>
      <w:r>
        <w:rPr>
          <w:szCs w:val="28"/>
          <w:lang w:val="en-US"/>
        </w:rPr>
        <w:t>- Đối với nghiệp vụ phát hành thư tín dụng: Nếu khách hàng không thuộc đối tượng được cho vay ngoại tệ theo quy định hiện hành về cho vay ngoại tệ thì ngân hàng phát hành chỉ được cấp tín dụng bằng VND cho khách hàng, kể cả trong trường hợp thư tín dụng được phát hành bằng ngoại tệ.</w:t>
      </w:r>
      <w:r w:rsidR="0095032B">
        <w:rPr>
          <w:szCs w:val="28"/>
          <w:lang w:val="en-US"/>
        </w:rPr>
        <w:t xml:space="preserve"> Đ</w:t>
      </w:r>
      <w:r w:rsidR="0095032B">
        <w:rPr>
          <w:szCs w:val="28"/>
        </w:rPr>
        <w:t xml:space="preserve">ến ngày </w:t>
      </w:r>
      <w:r w:rsidR="0095032B">
        <w:rPr>
          <w:szCs w:val="28"/>
          <w:lang w:val="en-US"/>
        </w:rPr>
        <w:t>thanh toán thư tín dụng</w:t>
      </w:r>
      <w:r w:rsidR="0095032B">
        <w:rPr>
          <w:szCs w:val="28"/>
        </w:rPr>
        <w:t>, ngân hàng</w:t>
      </w:r>
      <w:r w:rsidR="0095032B">
        <w:rPr>
          <w:szCs w:val="28"/>
          <w:lang w:val="en-US"/>
        </w:rPr>
        <w:t xml:space="preserve"> sẽ g</w:t>
      </w:r>
      <w:r w:rsidR="0095032B">
        <w:rPr>
          <w:szCs w:val="28"/>
        </w:rPr>
        <w:t>iải ngân bằng VND</w:t>
      </w:r>
      <w:r w:rsidR="0095032B">
        <w:rPr>
          <w:szCs w:val="28"/>
          <w:lang w:val="en-US"/>
        </w:rPr>
        <w:t xml:space="preserve"> để thanh toán thư tín dụng, </w:t>
      </w:r>
      <w:r w:rsidR="0095032B">
        <w:rPr>
          <w:szCs w:val="28"/>
        </w:rPr>
        <w:t xml:space="preserve">khách hàng dùng số tiền </w:t>
      </w:r>
      <w:r w:rsidR="0095032B">
        <w:rPr>
          <w:szCs w:val="28"/>
          <w:lang w:val="en-US"/>
        </w:rPr>
        <w:t>ngân hàng giải ngân để</w:t>
      </w:r>
      <w:r w:rsidR="0095032B">
        <w:rPr>
          <w:szCs w:val="28"/>
        </w:rPr>
        <w:t xml:space="preserve"> mua ngoại tệ thanh toán thư tín dụng. </w:t>
      </w:r>
      <w:r w:rsidR="0095032B">
        <w:rPr>
          <w:szCs w:val="28"/>
          <w:lang w:val="en-US"/>
        </w:rPr>
        <w:t>Trường hợp</w:t>
      </w:r>
      <w:r w:rsidR="0095032B">
        <w:rPr>
          <w:szCs w:val="28"/>
        </w:rPr>
        <w:t xml:space="preserve"> tỷ </w:t>
      </w:r>
      <w:r w:rsidR="0095032B">
        <w:rPr>
          <w:szCs w:val="28"/>
          <w:lang w:val="en-US"/>
        </w:rPr>
        <w:t xml:space="preserve">giá </w:t>
      </w:r>
      <w:r w:rsidR="0095032B">
        <w:rPr>
          <w:szCs w:val="28"/>
        </w:rPr>
        <w:t>ngoại tệ tại thời điểm thanh toán</w:t>
      </w:r>
      <w:r w:rsidR="0095032B">
        <w:rPr>
          <w:szCs w:val="28"/>
          <w:lang w:val="en-US"/>
        </w:rPr>
        <w:t xml:space="preserve"> thư tín dụng</w:t>
      </w:r>
      <w:r w:rsidR="0095032B">
        <w:rPr>
          <w:szCs w:val="28"/>
        </w:rPr>
        <w:t xml:space="preserve"> tăng, </w:t>
      </w:r>
      <w:r w:rsidR="0095032B">
        <w:rPr>
          <w:szCs w:val="28"/>
          <w:lang w:val="en-US"/>
        </w:rPr>
        <w:t>dẫn đến số tiền VND ngân hàng ký hợp đồng tín dụng với khách hàng không đủ mua số ngoại tệ phải thanh toán thư tín dụng thì ngân hàng được giải ngân đủ số tiền VND để mua ngoại tệ thanh toán cho bên thụ hưởng, nhưng phải đảm bảo không được vượt giới hạn cấp tín dụng cho khách hàng, khách hàng và người có liên quan</w:t>
      </w:r>
      <w:r w:rsidR="0095032B">
        <w:rPr>
          <w:szCs w:val="28"/>
        </w:rPr>
        <w:t xml:space="preserve">. </w:t>
      </w:r>
    </w:p>
    <w:p w:rsidR="003D0095" w:rsidRPr="00BB201A" w:rsidRDefault="004D654C" w:rsidP="0095032B">
      <w:pPr>
        <w:spacing w:after="120" w:line="240" w:lineRule="auto"/>
        <w:ind w:firstLine="567"/>
        <w:jc w:val="both"/>
        <w:rPr>
          <w:color w:val="000000"/>
          <w:szCs w:val="28"/>
          <w:shd w:val="clear" w:color="auto" w:fill="FFFFFF"/>
        </w:rPr>
      </w:pPr>
      <w:r>
        <w:rPr>
          <w:szCs w:val="28"/>
          <w:lang w:val="en-US"/>
        </w:rPr>
        <w:t xml:space="preserve"> </w:t>
      </w:r>
      <w:r w:rsidRPr="00942549">
        <w:rPr>
          <w:color w:val="000000"/>
          <w:szCs w:val="28"/>
          <w:shd w:val="clear" w:color="auto" w:fill="FFFFFF"/>
        </w:rPr>
        <w:t>Ngân hàng chỉ xem xét, quyết định phát hành thư tín dụng cho khách hàng là người không cư trú khi khách hàng là doanh nghiệp được thành lập và hoạt động tại nước ngoài có vốn góp của doanh nghiệp Việt Nam dưới hình thức đầu tư trực tiếp ra nước ngoài theo quy định tại Luật Đầu tư</w:t>
      </w:r>
      <w:r>
        <w:rPr>
          <w:color w:val="000000"/>
          <w:szCs w:val="28"/>
          <w:shd w:val="clear" w:color="auto" w:fill="FFFFFF"/>
          <w:lang w:val="en-US"/>
        </w:rPr>
        <w:t xml:space="preserve"> để phù </w:t>
      </w:r>
      <w:r w:rsidRPr="00BB201A">
        <w:rPr>
          <w:color w:val="000000"/>
          <w:szCs w:val="28"/>
          <w:shd w:val="clear" w:color="auto" w:fill="FFFFFF"/>
        </w:rPr>
        <w:t>hợp quy định tại Điều 8 về bên vay nước ngoài Thông tư 45/2011/TT-NHNN quy định về quản lý ngoại hối đối với việc cho vay, thu hồi nợ nước ngoài của TCTD.</w:t>
      </w:r>
    </w:p>
    <w:p w:rsidR="004D654C" w:rsidRDefault="003D0095" w:rsidP="00BB201A">
      <w:pPr>
        <w:spacing w:after="120" w:line="240" w:lineRule="auto"/>
        <w:ind w:firstLine="720"/>
        <w:jc w:val="both"/>
        <w:rPr>
          <w:lang w:val="en-US"/>
        </w:rPr>
      </w:pPr>
      <w:r>
        <w:rPr>
          <w:szCs w:val="28"/>
          <w:lang w:val="en-US"/>
        </w:rPr>
        <w:t xml:space="preserve">- Đối với nghiệp vụ xác nhận, hoàn trả thư tín dụng: </w:t>
      </w:r>
      <w:r w:rsidR="000E5E76" w:rsidRPr="00804BD2">
        <w:rPr>
          <w:szCs w:val="28"/>
          <w:lang w:val="nl-NL"/>
        </w:rPr>
        <w:t>Ngân hàng xác nh</w:t>
      </w:r>
      <w:r w:rsidR="000E5E76" w:rsidRPr="00376486">
        <w:rPr>
          <w:szCs w:val="28"/>
          <w:lang w:val="nl-NL"/>
        </w:rPr>
        <w:t>ậ</w:t>
      </w:r>
      <w:r w:rsidR="000E5E76">
        <w:rPr>
          <w:szCs w:val="28"/>
          <w:lang w:val="nl-NL"/>
        </w:rPr>
        <w:t xml:space="preserve">n, hoàn trả </w:t>
      </w:r>
      <w:r w:rsidR="000E5E76" w:rsidRPr="00376486">
        <w:rPr>
          <w:szCs w:val="28"/>
          <w:lang w:val="nl-NL"/>
        </w:rPr>
        <w:t xml:space="preserve">và </w:t>
      </w:r>
      <w:r w:rsidR="000E5E76">
        <w:rPr>
          <w:szCs w:val="28"/>
          <w:lang w:val="nl-NL"/>
        </w:rPr>
        <w:t>khách hàng được</w:t>
      </w:r>
      <w:r w:rsidR="000E5E76" w:rsidRPr="00376486">
        <w:rPr>
          <w:szCs w:val="28"/>
          <w:lang w:val="nl-NL"/>
        </w:rPr>
        <w:t xml:space="preserve"> thỏa thuận về việc cấp tín dụng bằng đồng Việt Nam hoặc bằng ngoại tệ phù hợp với đồng tiền phát hành thư tín dụng. </w:t>
      </w:r>
      <w:r w:rsidR="004D654C" w:rsidRPr="00942549">
        <w:rPr>
          <w:color w:val="000000"/>
          <w:szCs w:val="28"/>
          <w:shd w:val="clear" w:color="auto" w:fill="FFFFFF"/>
        </w:rPr>
        <w:t xml:space="preserve">Chi nhánh ngân hàng nước ngoài chỉ </w:t>
      </w:r>
      <w:r w:rsidR="004D654C">
        <w:rPr>
          <w:color w:val="000000"/>
          <w:szCs w:val="28"/>
          <w:shd w:val="clear" w:color="auto" w:fill="FFFFFF"/>
          <w:lang w:val="en-US"/>
        </w:rPr>
        <w:t xml:space="preserve">được </w:t>
      </w:r>
      <w:r w:rsidR="004D654C" w:rsidRPr="00942549">
        <w:rPr>
          <w:color w:val="000000"/>
          <w:szCs w:val="28"/>
          <w:shd w:val="clear" w:color="auto" w:fill="FFFFFF"/>
        </w:rPr>
        <w:t>xem xét, quyết định xác nhận</w:t>
      </w:r>
      <w:r w:rsidR="004D654C">
        <w:rPr>
          <w:color w:val="000000"/>
          <w:szCs w:val="28"/>
          <w:shd w:val="clear" w:color="auto" w:fill="FFFFFF"/>
          <w:lang w:val="en-US"/>
        </w:rPr>
        <w:t>, hoàn trả</w:t>
      </w:r>
      <w:r w:rsidR="004D654C" w:rsidRPr="00942549">
        <w:rPr>
          <w:color w:val="000000"/>
          <w:szCs w:val="28"/>
          <w:shd w:val="clear" w:color="auto" w:fill="FFFFFF"/>
        </w:rPr>
        <w:t xml:space="preserve"> thư tín dụng cho khách hàng là người không cư trú khi bên thụ hưởng là người cư trú</w:t>
      </w:r>
      <w:r w:rsidR="004D654C">
        <w:rPr>
          <w:color w:val="000000"/>
          <w:szCs w:val="28"/>
          <w:shd w:val="clear" w:color="auto" w:fill="FFFFFF"/>
          <w:lang w:val="en-US"/>
        </w:rPr>
        <w:t xml:space="preserve"> để phù hợp với </w:t>
      </w:r>
      <w:r w:rsidR="004D654C" w:rsidRPr="00942549">
        <w:t>quy định tại K2 Đ131 Luật Các TCTD 2024: “</w:t>
      </w:r>
      <w:r w:rsidR="004D654C" w:rsidRPr="00BB201A">
        <w:rPr>
          <w:i/>
        </w:rPr>
        <w:t>Chi nhánh ngân hàng nước ngoài được cung ứng một số dịch vụ ngoại hối trên thị trường quốc tế cho khách hàng tại Việt Nam theo quy định của pháp luật về ngoại hối</w:t>
      </w:r>
      <w:r w:rsidR="004D654C" w:rsidRPr="00942549">
        <w:t>”.</w:t>
      </w:r>
      <w:r w:rsidR="000E5E76">
        <w:rPr>
          <w:lang w:val="en-US"/>
        </w:rPr>
        <w:t xml:space="preserve"> </w:t>
      </w:r>
    </w:p>
    <w:p w:rsidR="00684B71" w:rsidRDefault="00684B71" w:rsidP="00BB201A">
      <w:pPr>
        <w:spacing w:after="120" w:line="240" w:lineRule="auto"/>
        <w:ind w:firstLine="555"/>
        <w:jc w:val="both"/>
        <w:rPr>
          <w:color w:val="000000"/>
          <w:szCs w:val="28"/>
          <w:shd w:val="clear" w:color="auto" w:fill="FFFFFF"/>
          <w:lang w:val="en-US"/>
        </w:rPr>
      </w:pPr>
      <w:r>
        <w:rPr>
          <w:lang w:val="en-US"/>
        </w:rPr>
        <w:t xml:space="preserve">- Đối với nghiệp vụ </w:t>
      </w:r>
      <w:r>
        <w:rPr>
          <w:szCs w:val="28"/>
          <w:lang w:val="en-US"/>
        </w:rPr>
        <w:t>thương lượng thư tín dụng:</w:t>
      </w:r>
      <w:r>
        <w:rPr>
          <w:color w:val="000000"/>
          <w:szCs w:val="28"/>
          <w:shd w:val="clear" w:color="auto" w:fill="FFFFFF"/>
        </w:rPr>
        <w:t xml:space="preserve"> </w:t>
      </w:r>
      <w:r>
        <w:rPr>
          <w:color w:val="000000"/>
          <w:szCs w:val="28"/>
          <w:shd w:val="clear" w:color="auto" w:fill="FFFFFF"/>
          <w:lang w:val="en-US"/>
        </w:rPr>
        <w:t>Ngân hàng được t</w:t>
      </w:r>
      <w:r w:rsidRPr="00376486">
        <w:rPr>
          <w:color w:val="000000"/>
          <w:szCs w:val="28"/>
          <w:shd w:val="clear" w:color="auto" w:fill="FFFFFF"/>
        </w:rPr>
        <w:t>hương lượng thanh toán bằng ngoại tệ ghi trên thư tín dụng đối với khách hàng được phép thu và sử dụng ngoại tệ trên lãnh thổ Việt Nam theo quy định của pháp luật về quản lý ngoại hối hoặc khách hàng sử dụng tiền thương lượng thanh toán để thực hiện giao dịch thanh toán mà pháp luật quy định đồng tiền giao dịch phải bằng ngoại tệ</w:t>
      </w:r>
      <w:r>
        <w:rPr>
          <w:color w:val="000000"/>
          <w:szCs w:val="28"/>
          <w:shd w:val="clear" w:color="auto" w:fill="FFFFFF"/>
          <w:lang w:val="en-US"/>
        </w:rPr>
        <w:t xml:space="preserve">. </w:t>
      </w:r>
      <w:r w:rsidRPr="00942549">
        <w:rPr>
          <w:color w:val="000000"/>
          <w:szCs w:val="28"/>
          <w:shd w:val="clear" w:color="auto" w:fill="FFFFFF"/>
        </w:rPr>
        <w:t xml:space="preserve">Ngân hàng chỉ xem xét, quyết định </w:t>
      </w:r>
      <w:r>
        <w:rPr>
          <w:color w:val="000000"/>
          <w:szCs w:val="28"/>
          <w:shd w:val="clear" w:color="auto" w:fill="FFFFFF"/>
        </w:rPr>
        <w:t>thương lượng thanh toán bộ chứng từ theo</w:t>
      </w:r>
      <w:r w:rsidRPr="00942549">
        <w:rPr>
          <w:color w:val="000000"/>
          <w:szCs w:val="28"/>
          <w:shd w:val="clear" w:color="auto" w:fill="FFFFFF"/>
        </w:rPr>
        <w:t xml:space="preserve"> thư tín dụng cho khách hàng là người không cư trú khi khách hàng là doanh nghiệp được thành lập và hoạt động tại nước ngoài có vốn góp của doanh nghiệp Việt Nam dưới hình thức đầu tư trực tiếp ra nước ngoài theo quy định tại Luật Đầu tư</w:t>
      </w:r>
      <w:r>
        <w:rPr>
          <w:color w:val="000000"/>
          <w:szCs w:val="28"/>
          <w:shd w:val="clear" w:color="auto" w:fill="FFFFFF"/>
          <w:lang w:val="en-US"/>
        </w:rPr>
        <w:t xml:space="preserve"> để phù </w:t>
      </w:r>
      <w:r w:rsidRPr="00081B6D">
        <w:rPr>
          <w:color w:val="000000"/>
          <w:szCs w:val="28"/>
          <w:shd w:val="clear" w:color="auto" w:fill="FFFFFF"/>
        </w:rPr>
        <w:t>hợp quy định tại Điều 8 về bên vay nước ngoài Thông tư 45/2011/TT-NHNN quy định về quản lý ngoại hối đối với việc cho vay, thu hồi nợ nước ngoài của TCTD</w:t>
      </w:r>
      <w:r>
        <w:rPr>
          <w:color w:val="000000"/>
          <w:szCs w:val="28"/>
          <w:shd w:val="clear" w:color="auto" w:fill="FFFFFF"/>
          <w:lang w:val="en-US"/>
        </w:rPr>
        <w:t>.</w:t>
      </w:r>
    </w:p>
    <w:p w:rsidR="00684B71" w:rsidRPr="00BB201A" w:rsidRDefault="00684B71" w:rsidP="00BB201A">
      <w:pPr>
        <w:spacing w:after="120" w:line="240" w:lineRule="auto"/>
        <w:ind w:firstLine="555"/>
        <w:jc w:val="both"/>
        <w:rPr>
          <w:b/>
          <w:i/>
          <w:color w:val="000000"/>
          <w:szCs w:val="28"/>
          <w:shd w:val="clear" w:color="auto" w:fill="FFFFFF"/>
          <w:lang w:val="en-US"/>
        </w:rPr>
      </w:pPr>
      <w:r>
        <w:rPr>
          <w:color w:val="000000"/>
          <w:szCs w:val="28"/>
          <w:shd w:val="clear" w:color="auto" w:fill="FFFFFF"/>
          <w:lang w:val="en-US"/>
        </w:rPr>
        <w:tab/>
      </w:r>
      <w:r w:rsidRPr="00BB201A">
        <w:rPr>
          <w:b/>
          <w:i/>
          <w:color w:val="000000"/>
          <w:szCs w:val="28"/>
          <w:shd w:val="clear" w:color="auto" w:fill="FFFFFF"/>
          <w:lang w:val="en-US"/>
        </w:rPr>
        <w:t>2.6. Về các dịch vụ liên quan đến thư tín dụng được cung ứng cho khách hàng:</w:t>
      </w:r>
    </w:p>
    <w:p w:rsidR="00684B71" w:rsidRDefault="00684B71" w:rsidP="00BB201A">
      <w:pPr>
        <w:spacing w:after="120" w:line="240" w:lineRule="auto"/>
        <w:jc w:val="both"/>
        <w:rPr>
          <w:color w:val="000000"/>
          <w:szCs w:val="28"/>
          <w:shd w:val="clear" w:color="auto" w:fill="FFFFFF"/>
          <w:lang w:val="en-US"/>
        </w:rPr>
      </w:pPr>
      <w:r>
        <w:rPr>
          <w:color w:val="000000"/>
          <w:szCs w:val="28"/>
          <w:shd w:val="clear" w:color="auto" w:fill="FFFFFF"/>
          <w:lang w:val="en-US"/>
        </w:rPr>
        <w:tab/>
        <w:t>Dự thảo đang quy định theo 02 Phương án:</w:t>
      </w:r>
    </w:p>
    <w:p w:rsidR="00684B71" w:rsidRDefault="00684B71">
      <w:pPr>
        <w:spacing w:after="120" w:line="240" w:lineRule="auto"/>
        <w:ind w:firstLine="709"/>
        <w:jc w:val="both"/>
        <w:rPr>
          <w:rFonts w:eastAsia="Times New Roman"/>
          <w:bCs/>
          <w:szCs w:val="28"/>
        </w:rPr>
      </w:pPr>
      <w:r w:rsidRPr="00FB3124">
        <w:rPr>
          <w:b/>
          <w:szCs w:val="28"/>
          <w:lang w:val="nb-NO"/>
        </w:rPr>
        <w:t>PA1:</w:t>
      </w:r>
      <w:r>
        <w:rPr>
          <w:szCs w:val="28"/>
          <w:lang w:val="nb-NO"/>
        </w:rPr>
        <w:t xml:space="preserve"> </w:t>
      </w:r>
      <w:r w:rsidRPr="00942549">
        <w:rPr>
          <w:szCs w:val="28"/>
          <w:lang w:val="nb-NO"/>
        </w:rPr>
        <w:t>Ngân hàng được cung cấp cho khách hàng</w:t>
      </w:r>
      <w:r w:rsidRPr="00942549">
        <w:rPr>
          <w:rFonts w:eastAsia="Times New Roman"/>
          <w:b/>
          <w:bCs/>
          <w:szCs w:val="28"/>
        </w:rPr>
        <w:t xml:space="preserve"> </w:t>
      </w:r>
      <w:r w:rsidRPr="00942549">
        <w:rPr>
          <w:rFonts w:eastAsia="Times New Roman"/>
          <w:bCs/>
          <w:szCs w:val="28"/>
        </w:rPr>
        <w:t>các dịch vụ khác liên quan đến thư tín dụng</w:t>
      </w:r>
      <w:r>
        <w:rPr>
          <w:rFonts w:eastAsia="Times New Roman"/>
          <w:bCs/>
          <w:szCs w:val="28"/>
        </w:rPr>
        <w:t xml:space="preserve"> theo quy định tại điểm e khoản 1 Điều 114 Luật Các tổ chức tín dụng </w:t>
      </w:r>
      <w:r w:rsidRPr="00FB3124">
        <w:rPr>
          <w:rFonts w:eastAsia="Times New Roman"/>
          <w:bCs/>
          <w:szCs w:val="28"/>
          <w:u w:val="single"/>
        </w:rPr>
        <w:t>phù hợp với tập quán quốc tế về thư tín dụng</w:t>
      </w:r>
      <w:r>
        <w:rPr>
          <w:rFonts w:eastAsia="Times New Roman"/>
          <w:bCs/>
          <w:szCs w:val="28"/>
        </w:rPr>
        <w:t>.</w:t>
      </w:r>
    </w:p>
    <w:p w:rsidR="00684B71" w:rsidRPr="00FB3124" w:rsidRDefault="00684B71">
      <w:pPr>
        <w:spacing w:after="120" w:line="240" w:lineRule="auto"/>
        <w:ind w:firstLine="709"/>
        <w:jc w:val="both"/>
        <w:rPr>
          <w:rFonts w:eastAsia="Times New Roman"/>
          <w:szCs w:val="28"/>
          <w:u w:val="single"/>
          <w:lang w:eastAsia="vi-VN"/>
        </w:rPr>
      </w:pPr>
      <w:r w:rsidRPr="00FB3124">
        <w:rPr>
          <w:b/>
          <w:szCs w:val="28"/>
          <w:lang w:val="nb-NO"/>
        </w:rPr>
        <w:t>PA2:</w:t>
      </w:r>
      <w:r>
        <w:rPr>
          <w:szCs w:val="28"/>
          <w:lang w:val="nb-NO"/>
        </w:rPr>
        <w:t xml:space="preserve"> </w:t>
      </w:r>
      <w:r w:rsidRPr="00942549">
        <w:rPr>
          <w:szCs w:val="28"/>
          <w:lang w:val="nb-NO"/>
        </w:rPr>
        <w:t>Ngân hàng được cung cấp cho khách hàng</w:t>
      </w:r>
      <w:r w:rsidRPr="00942549">
        <w:rPr>
          <w:rFonts w:eastAsia="Times New Roman"/>
          <w:b/>
          <w:bCs/>
          <w:szCs w:val="28"/>
        </w:rPr>
        <w:t xml:space="preserve"> </w:t>
      </w:r>
      <w:r w:rsidRPr="00942549">
        <w:rPr>
          <w:rFonts w:eastAsia="Times New Roman"/>
          <w:bCs/>
          <w:szCs w:val="28"/>
        </w:rPr>
        <w:t>các dịch vụ khác liên quan đến thư tín dụng, gồm: Th</w:t>
      </w:r>
      <w:r w:rsidRPr="00942549">
        <w:rPr>
          <w:szCs w:val="28"/>
          <w:lang w:val="nb-NO"/>
        </w:rPr>
        <w:t>ông báo thư tín dụng xuất khẩu; thông báo sửa đổi, kiểm tra, xử lý bộ chứng từ xuất khẩu;</w:t>
      </w:r>
      <w:r w:rsidRPr="00942549">
        <w:rPr>
          <w:szCs w:val="28"/>
        </w:rPr>
        <w:t xml:space="preserve"> Hủy thư tín dụng theo yêu cầu;</w:t>
      </w:r>
      <w:r w:rsidRPr="00942549">
        <w:rPr>
          <w:szCs w:val="28"/>
          <w:lang w:val="nb-NO"/>
        </w:rPr>
        <w:t xml:space="preserve"> </w:t>
      </w:r>
      <w:r w:rsidRPr="00942549">
        <w:rPr>
          <w:szCs w:val="28"/>
        </w:rPr>
        <w:t>Chuyển nhượng thư tín dụng xuất khẩu</w:t>
      </w:r>
      <w:r w:rsidRPr="00942549">
        <w:rPr>
          <w:szCs w:val="28"/>
          <w:lang w:val="nb-NO"/>
        </w:rPr>
        <w:t>;</w:t>
      </w:r>
      <w:r w:rsidRPr="00942549">
        <w:rPr>
          <w:szCs w:val="28"/>
        </w:rPr>
        <w:t xml:space="preserve"> Sửa đổi thư tín dụng chuyển nhượng;</w:t>
      </w:r>
      <w:r w:rsidRPr="00942549">
        <w:rPr>
          <w:szCs w:val="28"/>
          <w:lang w:val="nb-NO"/>
        </w:rPr>
        <w:t xml:space="preserve"> </w:t>
      </w:r>
      <w:r w:rsidRPr="00942549">
        <w:rPr>
          <w:szCs w:val="28"/>
        </w:rPr>
        <w:t>Hủy thư tín dụng chuyển nhượng;</w:t>
      </w:r>
      <w:r w:rsidRPr="00942549">
        <w:rPr>
          <w:szCs w:val="28"/>
          <w:lang w:val="nb-NO"/>
        </w:rPr>
        <w:t xml:space="preserve"> điện swift; chuyển phát bộ chứng từ;</w:t>
      </w:r>
      <w:r w:rsidRPr="00942549">
        <w:rPr>
          <w:rFonts w:eastAsia="Times New Roman"/>
          <w:szCs w:val="28"/>
          <w:lang w:eastAsia="vi-VN"/>
        </w:rPr>
        <w:t xml:space="preserve"> xuất trình bộ chứng từ theo thư tín dụng xuất khẩu; </w:t>
      </w:r>
      <w:r w:rsidRPr="00942549">
        <w:rPr>
          <w:szCs w:val="28"/>
        </w:rPr>
        <w:t>Sửa đổi/ điều chỉnh thư đòi tiền theo yêu cầu của khách hàng; Lập bộ chứng từ theo thư tín dụng cho khách hàng theo yêu cầu của khách hàng; Kiểm nháp chứng từ, tư vấn nghiệp vụ thanh toán, xử lý bộ chứng từ; kiểm sai sót bộ chứng từ chuyển nhượng</w:t>
      </w:r>
      <w:r w:rsidRPr="00942549">
        <w:rPr>
          <w:rFonts w:eastAsia="Times New Roman"/>
          <w:szCs w:val="28"/>
          <w:lang w:eastAsia="vi-VN"/>
        </w:rPr>
        <w:t xml:space="preserve"> </w:t>
      </w:r>
      <w:r w:rsidRPr="00FB3124">
        <w:rPr>
          <w:rFonts w:eastAsia="Times New Roman"/>
          <w:szCs w:val="28"/>
          <w:u w:val="single"/>
          <w:lang w:eastAsia="vi-VN"/>
        </w:rPr>
        <w:t>và các dịch vụ khác phù hợp với t</w:t>
      </w:r>
      <w:r>
        <w:rPr>
          <w:rFonts w:eastAsia="Times New Roman"/>
          <w:szCs w:val="28"/>
          <w:u w:val="single"/>
          <w:lang w:eastAsia="vi-VN"/>
        </w:rPr>
        <w:t>ậ</w:t>
      </w:r>
      <w:r w:rsidRPr="00FB3124">
        <w:rPr>
          <w:rFonts w:eastAsia="Times New Roman"/>
          <w:szCs w:val="28"/>
          <w:u w:val="single"/>
          <w:lang w:eastAsia="vi-VN"/>
        </w:rPr>
        <w:t>p quán quốc tế về thư tín dụng</w:t>
      </w:r>
    </w:p>
    <w:p w:rsidR="00F3554E" w:rsidRPr="00BB201A" w:rsidRDefault="00723EBE" w:rsidP="00BB201A">
      <w:pPr>
        <w:spacing w:after="120" w:line="240" w:lineRule="auto"/>
        <w:ind w:firstLine="720"/>
        <w:jc w:val="both"/>
        <w:rPr>
          <w:b/>
          <w:i/>
          <w:szCs w:val="28"/>
          <w:lang w:val="en-US"/>
        </w:rPr>
      </w:pPr>
      <w:r w:rsidRPr="00BB201A">
        <w:rPr>
          <w:b/>
          <w:i/>
          <w:szCs w:val="28"/>
          <w:lang w:val="en-US"/>
        </w:rPr>
        <w:t>2.</w:t>
      </w:r>
      <w:r w:rsidR="00684B71" w:rsidRPr="00BB201A">
        <w:rPr>
          <w:b/>
          <w:i/>
          <w:szCs w:val="28"/>
          <w:lang w:val="en-US"/>
        </w:rPr>
        <w:t>7</w:t>
      </w:r>
      <w:r w:rsidRPr="00BB201A">
        <w:rPr>
          <w:b/>
          <w:i/>
          <w:szCs w:val="28"/>
          <w:lang w:val="en-US"/>
        </w:rPr>
        <w:t>.</w:t>
      </w:r>
      <w:r w:rsidR="00F3554E" w:rsidRPr="00BB201A">
        <w:rPr>
          <w:b/>
          <w:i/>
          <w:szCs w:val="28"/>
        </w:rPr>
        <w:t xml:space="preserve"> </w:t>
      </w:r>
      <w:r w:rsidR="00684B71" w:rsidRPr="00BB201A">
        <w:rPr>
          <w:b/>
          <w:i/>
          <w:szCs w:val="28"/>
          <w:lang w:val="en-US"/>
        </w:rPr>
        <w:t>Về</w:t>
      </w:r>
      <w:r w:rsidR="00F3554E" w:rsidRPr="00BB201A">
        <w:rPr>
          <w:b/>
          <w:i/>
          <w:szCs w:val="28"/>
          <w:lang w:val="en-US"/>
        </w:rPr>
        <w:t xml:space="preserve"> </w:t>
      </w:r>
      <w:r w:rsidR="008105FC" w:rsidRPr="00BB201A">
        <w:rPr>
          <w:b/>
          <w:i/>
          <w:szCs w:val="28"/>
          <w:lang w:val="en-US"/>
        </w:rPr>
        <w:t xml:space="preserve">hoạt động </w:t>
      </w:r>
      <w:r w:rsidR="00837329" w:rsidRPr="00BB201A">
        <w:rPr>
          <w:b/>
          <w:i/>
          <w:szCs w:val="28"/>
          <w:lang w:val="en-US"/>
        </w:rPr>
        <w:t xml:space="preserve">mua hẳn </w:t>
      </w:r>
      <w:r w:rsidR="00B805F3" w:rsidRPr="00BB201A">
        <w:rPr>
          <w:b/>
          <w:i/>
          <w:szCs w:val="28"/>
          <w:lang w:val="en-US"/>
        </w:rPr>
        <w:t xml:space="preserve">không có bảo lưu quyền truy đòi bộ chứng từ </w:t>
      </w:r>
      <w:r w:rsidR="00684B71" w:rsidRPr="00BB201A">
        <w:rPr>
          <w:b/>
          <w:i/>
          <w:szCs w:val="28"/>
          <w:lang w:val="en-US"/>
        </w:rPr>
        <w:t>theo</w:t>
      </w:r>
      <w:r w:rsidR="00B805F3" w:rsidRPr="00BB201A">
        <w:rPr>
          <w:b/>
          <w:i/>
          <w:szCs w:val="28"/>
          <w:lang w:val="en-US"/>
        </w:rPr>
        <w:t xml:space="preserve"> thư tín dụng</w:t>
      </w:r>
      <w:r w:rsidR="00837329" w:rsidRPr="00BB201A">
        <w:rPr>
          <w:b/>
          <w:i/>
          <w:szCs w:val="28"/>
          <w:lang w:val="en-US"/>
        </w:rPr>
        <w:t>.</w:t>
      </w:r>
    </w:p>
    <w:p w:rsidR="00684B71" w:rsidRPr="00BB201A" w:rsidRDefault="00684B71" w:rsidP="00BB201A">
      <w:pPr>
        <w:pStyle w:val="FootnoteText"/>
        <w:spacing w:after="120"/>
        <w:ind w:firstLine="720"/>
        <w:jc w:val="both"/>
        <w:rPr>
          <w:sz w:val="28"/>
          <w:szCs w:val="28"/>
        </w:rPr>
      </w:pPr>
      <w:r w:rsidRPr="00BB201A">
        <w:rPr>
          <w:sz w:val="28"/>
          <w:szCs w:val="28"/>
        </w:rPr>
        <w:t xml:space="preserve">Chỉ cho phép mua hẳn bộ chứng từ </w:t>
      </w:r>
      <w:r>
        <w:rPr>
          <w:sz w:val="28"/>
          <w:szCs w:val="28"/>
          <w:lang w:val="en-US"/>
        </w:rPr>
        <w:t xml:space="preserve">đã </w:t>
      </w:r>
      <w:r w:rsidRPr="00BB201A">
        <w:rPr>
          <w:sz w:val="28"/>
          <w:szCs w:val="28"/>
        </w:rPr>
        <w:t>được chấp nhận thanh toán để giảm rủi ro bộ chứng từ bị từ chối thanh toán vì không phù hợp theo thư tín dụng.</w:t>
      </w:r>
    </w:p>
    <w:p w:rsidR="00D1669E" w:rsidRDefault="00D51ADE" w:rsidP="00BB201A">
      <w:pPr>
        <w:widowControl w:val="0"/>
        <w:spacing w:after="120" w:line="240" w:lineRule="auto"/>
        <w:ind w:firstLine="567"/>
        <w:jc w:val="both"/>
        <w:rPr>
          <w:szCs w:val="28"/>
          <w:lang w:val="es-ES"/>
        </w:rPr>
      </w:pPr>
      <w:r w:rsidRPr="000A7DB3">
        <w:rPr>
          <w:b/>
          <w:color w:val="000000"/>
          <w:szCs w:val="28"/>
          <w:shd w:val="clear" w:color="auto" w:fill="FFFFFF"/>
          <w:lang w:val="nl-NL"/>
        </w:rPr>
        <w:t>V. Đánh giá tác động:</w:t>
      </w:r>
      <w:r w:rsidR="00D1669E" w:rsidRPr="00D1669E">
        <w:rPr>
          <w:szCs w:val="28"/>
          <w:lang w:val="es-ES"/>
        </w:rPr>
        <w:t xml:space="preserve"> </w:t>
      </w:r>
    </w:p>
    <w:p w:rsidR="00D51ADE" w:rsidRPr="000A7DB3" w:rsidRDefault="005073B8" w:rsidP="00BB201A">
      <w:pPr>
        <w:spacing w:after="120" w:line="240" w:lineRule="auto"/>
        <w:ind w:firstLine="567"/>
        <w:jc w:val="both"/>
        <w:rPr>
          <w:szCs w:val="28"/>
          <w:lang w:val="pt-BR"/>
        </w:rPr>
      </w:pPr>
      <w:r>
        <w:rPr>
          <w:szCs w:val="28"/>
          <w:lang w:val="pt-BR"/>
        </w:rPr>
        <w:t xml:space="preserve">Dự thảo thông tư quy định tổng thể về nghiệp vụ thư tín dụng </w:t>
      </w:r>
      <w:r w:rsidR="00D51ADE" w:rsidRPr="000A7DB3">
        <w:rPr>
          <w:szCs w:val="28"/>
          <w:lang w:val="pt-BR"/>
        </w:rPr>
        <w:t>cho thấy:</w:t>
      </w:r>
    </w:p>
    <w:p w:rsidR="00D51ADE" w:rsidRPr="000A7DB3" w:rsidRDefault="00D51ADE" w:rsidP="00BB201A">
      <w:pPr>
        <w:spacing w:after="120" w:line="240" w:lineRule="auto"/>
        <w:ind w:firstLine="567"/>
        <w:jc w:val="both"/>
        <w:rPr>
          <w:szCs w:val="28"/>
          <w:lang w:val="pt-BR"/>
        </w:rPr>
      </w:pPr>
      <w:r w:rsidRPr="000A7DB3">
        <w:rPr>
          <w:szCs w:val="28"/>
          <w:lang w:val="pt-BR"/>
        </w:rPr>
        <w:t>- Việc ban hành Thông tư nhằm tạo cơ sở pháp lý cho hoạt động</w:t>
      </w:r>
      <w:r w:rsidR="0095032B">
        <w:rPr>
          <w:szCs w:val="28"/>
          <w:lang w:val="pt-BR"/>
        </w:rPr>
        <w:t xml:space="preserve"> về</w:t>
      </w:r>
      <w:r w:rsidR="002846AA">
        <w:rPr>
          <w:szCs w:val="28"/>
          <w:lang w:val="pt-BR"/>
        </w:rPr>
        <w:t xml:space="preserve"> nghiệp vụ</w:t>
      </w:r>
      <w:r w:rsidRPr="000A7DB3">
        <w:rPr>
          <w:szCs w:val="28"/>
          <w:lang w:val="pt-BR"/>
        </w:rPr>
        <w:t xml:space="preserve"> </w:t>
      </w:r>
      <w:r w:rsidR="005073B8">
        <w:rPr>
          <w:szCs w:val="28"/>
          <w:lang w:val="pt-BR"/>
        </w:rPr>
        <w:t>thư tín dụng</w:t>
      </w:r>
      <w:r w:rsidR="002846AA">
        <w:rPr>
          <w:szCs w:val="28"/>
          <w:lang w:val="pt-BR"/>
        </w:rPr>
        <w:t xml:space="preserve"> và các dịch vụ liên quan đến thư tín dụng</w:t>
      </w:r>
      <w:r w:rsidR="005073B8">
        <w:rPr>
          <w:szCs w:val="28"/>
          <w:lang w:val="pt-BR"/>
        </w:rPr>
        <w:t xml:space="preserve"> của tổ chức tín dụng</w:t>
      </w:r>
      <w:r w:rsidR="002846AA">
        <w:rPr>
          <w:szCs w:val="28"/>
          <w:lang w:val="pt-BR"/>
        </w:rPr>
        <w:t xml:space="preserve"> được thực hiện</w:t>
      </w:r>
      <w:r w:rsidR="005073B8">
        <w:rPr>
          <w:szCs w:val="28"/>
          <w:lang w:val="pt-BR"/>
        </w:rPr>
        <w:t xml:space="preserve"> thống nhất, đầy đủ, phân định rõ ràng </w:t>
      </w:r>
      <w:r w:rsidR="003E0F4F">
        <w:rPr>
          <w:szCs w:val="28"/>
          <w:lang w:val="pt-BR"/>
        </w:rPr>
        <w:t xml:space="preserve">các </w:t>
      </w:r>
      <w:r w:rsidR="005073B8">
        <w:rPr>
          <w:szCs w:val="28"/>
          <w:lang w:val="pt-BR"/>
        </w:rPr>
        <w:t>nghiệp vụ thư tín dụng để quản lý hoạt động này theo đúng bản chất nghiệp vụ, đảm bảo hoạt động nghiệp vụ thư tín dụng của các TCTD được thông suốt, an toàn.</w:t>
      </w:r>
    </w:p>
    <w:p w:rsidR="00167DD2" w:rsidRDefault="00D51ADE" w:rsidP="00BB201A">
      <w:pPr>
        <w:spacing w:after="120" w:line="240" w:lineRule="auto"/>
        <w:ind w:firstLine="709"/>
        <w:jc w:val="both"/>
        <w:rPr>
          <w:szCs w:val="28"/>
          <w:lang w:val="nl-NL"/>
        </w:rPr>
      </w:pPr>
      <w:r w:rsidRPr="000A7DB3">
        <w:rPr>
          <w:szCs w:val="28"/>
          <w:lang w:val="pt-BR"/>
        </w:rPr>
        <w:t xml:space="preserve">- </w:t>
      </w:r>
      <w:r w:rsidR="00F65A8D">
        <w:rPr>
          <w:szCs w:val="28"/>
          <w:lang w:val="pt-BR"/>
        </w:rPr>
        <w:t>T</w:t>
      </w:r>
      <w:r w:rsidR="005073B8">
        <w:rPr>
          <w:szCs w:val="28"/>
          <w:lang w:val="pt-BR"/>
        </w:rPr>
        <w:t xml:space="preserve">rên cơ sở quy định tại Luật Các TCTD năm 2024, </w:t>
      </w:r>
      <w:r w:rsidR="006F2C5F">
        <w:rPr>
          <w:szCs w:val="28"/>
          <w:lang w:val="pt-BR"/>
        </w:rPr>
        <w:t>tập quán quốc tế về thư tín dụng, các quy định pháp luậ</w:t>
      </w:r>
      <w:r w:rsidR="005308ED">
        <w:rPr>
          <w:szCs w:val="28"/>
          <w:lang w:val="pt-BR"/>
        </w:rPr>
        <w:t>t liên quan, dự thảo thông tư quy định</w:t>
      </w:r>
      <w:r w:rsidR="000F077F">
        <w:rPr>
          <w:szCs w:val="28"/>
          <w:lang w:val="pt-BR"/>
        </w:rPr>
        <w:t xml:space="preserve"> nghiệp</w:t>
      </w:r>
      <w:r w:rsidR="006D667A">
        <w:rPr>
          <w:szCs w:val="28"/>
          <w:lang w:val="pt-BR"/>
        </w:rPr>
        <w:t xml:space="preserve"> vụ</w:t>
      </w:r>
      <w:r w:rsidR="000F077F">
        <w:rPr>
          <w:szCs w:val="28"/>
          <w:lang w:val="pt-BR"/>
        </w:rPr>
        <w:t xml:space="preserve"> phát hành, xác nhận, thương lượng thanh toán, hoàn trả thư tín dụng </w:t>
      </w:r>
      <w:r w:rsidR="00F65A8D">
        <w:rPr>
          <w:szCs w:val="28"/>
          <w:lang w:val="pt-BR"/>
        </w:rPr>
        <w:t>là hình thức cấp tín dụ</w:t>
      </w:r>
      <w:r w:rsidR="00463CE1">
        <w:rPr>
          <w:szCs w:val="28"/>
          <w:lang w:val="pt-BR"/>
        </w:rPr>
        <w:t>ng</w:t>
      </w:r>
      <w:r w:rsidR="00A61CC1">
        <w:rPr>
          <w:szCs w:val="28"/>
          <w:lang w:val="pt-BR"/>
        </w:rPr>
        <w:t xml:space="preserve">. Vì vậy, </w:t>
      </w:r>
      <w:r w:rsidR="00A61CC1">
        <w:rPr>
          <w:szCs w:val="28"/>
          <w:lang w:val="nl-NL"/>
        </w:rPr>
        <w:t xml:space="preserve">phải thay đổi quy trình tác nghiệp của các TCTD liên quan đến L/C, theo đó, </w:t>
      </w:r>
      <w:r w:rsidR="00A61CC1" w:rsidRPr="0068673B">
        <w:rPr>
          <w:szCs w:val="28"/>
          <w:u w:val="single"/>
          <w:lang w:val="nl-NL"/>
        </w:rPr>
        <w:t>không còn hoạt động cho vay để thanh toán L/C</w:t>
      </w:r>
      <w:r w:rsidR="00A61CC1">
        <w:rPr>
          <w:szCs w:val="28"/>
          <w:lang w:val="nl-NL"/>
        </w:rPr>
        <w:t xml:space="preserve"> </w:t>
      </w:r>
      <w:r w:rsidR="00A61CC1" w:rsidRPr="00D43FA0">
        <w:rPr>
          <w:szCs w:val="28"/>
          <w:lang w:val="nl-NL"/>
        </w:rPr>
        <w:t>mà khâu cho vay chỉ là quy trình giải ngân của khoản cấp tín dụng thông qua phát hành L/C. Như vậy,</w:t>
      </w:r>
      <w:r w:rsidR="00A61CC1">
        <w:rPr>
          <w:szCs w:val="28"/>
          <w:lang w:val="nl-NL"/>
        </w:rPr>
        <w:t xml:space="preserve"> việc cấp tín dụng thông qua phát hành và thanh toán L/</w:t>
      </w:r>
      <w:r w:rsidR="00A61CC1" w:rsidRPr="00A61CC1">
        <w:rPr>
          <w:szCs w:val="28"/>
          <w:lang w:val="nl-NL"/>
        </w:rPr>
        <w:t xml:space="preserve">C là </w:t>
      </w:r>
      <w:r w:rsidR="00A61CC1" w:rsidRPr="00BB201A">
        <w:rPr>
          <w:szCs w:val="28"/>
          <w:lang w:val="nl-NL"/>
        </w:rPr>
        <w:t>một quy trình cấp tín dụng thống nhất</w:t>
      </w:r>
      <w:r w:rsidR="00A61CC1">
        <w:rPr>
          <w:szCs w:val="28"/>
          <w:lang w:val="nl-NL"/>
        </w:rPr>
        <w:t xml:space="preserve">, </w:t>
      </w:r>
      <w:r w:rsidR="00A61CC1">
        <w:rPr>
          <w:szCs w:val="28"/>
          <w:lang w:val="pt-BR"/>
        </w:rPr>
        <w:t>các ngân hàng</w:t>
      </w:r>
      <w:r w:rsidR="00463CE1">
        <w:rPr>
          <w:szCs w:val="28"/>
          <w:lang w:val="pt-BR"/>
        </w:rPr>
        <w:t xml:space="preserve"> </w:t>
      </w:r>
      <w:r w:rsidR="006D667A">
        <w:rPr>
          <w:szCs w:val="28"/>
          <w:lang w:val="pt-BR"/>
        </w:rPr>
        <w:t xml:space="preserve">phải </w:t>
      </w:r>
      <w:r w:rsidR="00463CE1">
        <w:rPr>
          <w:szCs w:val="28"/>
          <w:lang w:val="pt-BR"/>
        </w:rPr>
        <w:t xml:space="preserve">tuân thủ các quy định cấp tín dụng </w:t>
      </w:r>
      <w:r w:rsidR="00B504AC">
        <w:rPr>
          <w:szCs w:val="28"/>
          <w:lang w:val="pt-BR"/>
        </w:rPr>
        <w:t>hiện hành</w:t>
      </w:r>
      <w:r w:rsidR="00A61CC1">
        <w:rPr>
          <w:szCs w:val="28"/>
          <w:lang w:val="pt-BR"/>
        </w:rPr>
        <w:t xml:space="preserve"> tại Luật Các TCTD năm 2024</w:t>
      </w:r>
      <w:r w:rsidR="00B504AC">
        <w:rPr>
          <w:szCs w:val="28"/>
          <w:lang w:val="pt-BR"/>
        </w:rPr>
        <w:t xml:space="preserve"> </w:t>
      </w:r>
      <w:r w:rsidR="00463CE1">
        <w:rPr>
          <w:szCs w:val="28"/>
          <w:lang w:val="pt-BR"/>
        </w:rPr>
        <w:t>về điều kiện cấp tín dụng, nguyên tắc thực hiện, thỏa thuận cấp tín dụ</w:t>
      </w:r>
      <w:r w:rsidR="00B504AC">
        <w:rPr>
          <w:szCs w:val="28"/>
          <w:lang w:val="pt-BR"/>
        </w:rPr>
        <w:t>ng, hồ sơ, thẩm định cấp tín dụng, giải ngân, nhận nợ, lãi suất,</w:t>
      </w:r>
      <w:r w:rsidR="006D667A">
        <w:rPr>
          <w:szCs w:val="28"/>
          <w:lang w:val="pt-BR"/>
        </w:rPr>
        <w:t xml:space="preserve"> hạn mức cấp tín dụng,</w:t>
      </w:r>
      <w:r w:rsidR="00B504AC">
        <w:rPr>
          <w:szCs w:val="28"/>
          <w:lang w:val="pt-BR"/>
        </w:rPr>
        <w:t xml:space="preserve"> chuyển nợ quá hạn, phân loại, mức trích, phương pháp trích lập dự phòng rủi ro.....  để các TCTD thực hiện thống nhấ</w:t>
      </w:r>
      <w:r w:rsidR="002846AA">
        <w:rPr>
          <w:szCs w:val="28"/>
          <w:lang w:val="pt-BR"/>
        </w:rPr>
        <w:t>t.</w:t>
      </w:r>
      <w:r w:rsidR="00B504AC">
        <w:rPr>
          <w:szCs w:val="28"/>
          <w:lang w:val="pt-BR"/>
        </w:rPr>
        <w:t xml:space="preserve"> </w:t>
      </w:r>
    </w:p>
    <w:p w:rsidR="00A61CC1" w:rsidRPr="00BB201A" w:rsidRDefault="00C20FD6" w:rsidP="00BB201A">
      <w:pPr>
        <w:spacing w:after="120" w:line="240" w:lineRule="auto"/>
        <w:ind w:firstLine="567"/>
        <w:jc w:val="both"/>
        <w:rPr>
          <w:szCs w:val="28"/>
          <w:lang w:val="en-US"/>
        </w:rPr>
      </w:pPr>
      <w:r>
        <w:rPr>
          <w:szCs w:val="28"/>
          <w:lang w:val="nl-NL"/>
        </w:rPr>
        <w:t xml:space="preserve">Dự thảo </w:t>
      </w:r>
      <w:r w:rsidR="00167DD2">
        <w:rPr>
          <w:szCs w:val="28"/>
          <w:lang w:val="nl-NL"/>
        </w:rPr>
        <w:t xml:space="preserve">đồng thời </w:t>
      </w:r>
      <w:r>
        <w:rPr>
          <w:szCs w:val="28"/>
          <w:lang w:val="nl-NL"/>
        </w:rPr>
        <w:t>quy định</w:t>
      </w:r>
      <w:r w:rsidR="00A61CC1">
        <w:rPr>
          <w:szCs w:val="28"/>
          <w:lang w:val="nl-NL"/>
        </w:rPr>
        <w:t xml:space="preserve"> v</w:t>
      </w:r>
      <w:r w:rsidR="00A61CC1" w:rsidRPr="00942549">
        <w:rPr>
          <w:rFonts w:eastAsia="Times New Roman"/>
          <w:szCs w:val="28"/>
        </w:rPr>
        <w:t>iệc kiểm tra bộ chứng từ, quy trình thanh toán thư tín dụng được thực hiện theo thỏa thuận giữa các bên, phù hợp với tập quán quốc tế về thư tín dụng</w:t>
      </w:r>
      <w:r w:rsidR="00A61CC1">
        <w:rPr>
          <w:rFonts w:eastAsia="Times New Roman"/>
          <w:szCs w:val="28"/>
          <w:lang w:val="en-US"/>
        </w:rPr>
        <w:t xml:space="preserve"> đảm bảo hoạt động thư tín dụng đã được quy định tại tập quán quốc tế về thư tín dụng vẫn tiếp tục được áp dụng.</w:t>
      </w:r>
    </w:p>
    <w:p w:rsidR="00D51ADE" w:rsidRPr="000A7DB3" w:rsidRDefault="00D51ADE" w:rsidP="00BB201A">
      <w:pPr>
        <w:spacing w:after="120" w:line="240" w:lineRule="auto"/>
        <w:ind w:firstLine="720"/>
        <w:jc w:val="both"/>
        <w:rPr>
          <w:b/>
          <w:szCs w:val="28"/>
          <w:lang w:val="nl-NL"/>
        </w:rPr>
      </w:pPr>
      <w:r w:rsidRPr="000A7DB3">
        <w:rPr>
          <w:szCs w:val="28"/>
          <w:lang w:val="pt-BR"/>
        </w:rPr>
        <w:t>C</w:t>
      </w:r>
      <w:r w:rsidRPr="000A7DB3">
        <w:rPr>
          <w:szCs w:val="28"/>
          <w:lang w:val="nl-NL"/>
        </w:rPr>
        <w:t>ác nội dung tại dự thảo Thông tư được quy định rõ ràng</w:t>
      </w:r>
      <w:r w:rsidR="006D4771">
        <w:rPr>
          <w:szCs w:val="28"/>
          <w:lang w:val="nl-NL"/>
        </w:rPr>
        <w:t>, thông suốt toàn bộ</w:t>
      </w:r>
      <w:r w:rsidR="001E6B12">
        <w:rPr>
          <w:szCs w:val="28"/>
          <w:lang w:val="nl-NL"/>
        </w:rPr>
        <w:t xml:space="preserve"> quá trình cấp tín dụng thông qua nghiệp vụ </w:t>
      </w:r>
      <w:r w:rsidR="006D4771">
        <w:rPr>
          <w:szCs w:val="28"/>
          <w:lang w:val="nl-NL"/>
        </w:rPr>
        <w:t>thư tín dụng cho khách hàng</w:t>
      </w:r>
      <w:r w:rsidR="001E6B12">
        <w:rPr>
          <w:szCs w:val="28"/>
          <w:lang w:val="nl-NL"/>
        </w:rPr>
        <w:t xml:space="preserve"> đồng nhất với quy trình cấp tín dụng dưới hình thức</w:t>
      </w:r>
      <w:r w:rsidR="00167DD2">
        <w:rPr>
          <w:szCs w:val="28"/>
          <w:lang w:val="nl-NL"/>
        </w:rPr>
        <w:t xml:space="preserve"> khác như</w:t>
      </w:r>
      <w:r w:rsidR="001E6B12">
        <w:rPr>
          <w:szCs w:val="28"/>
          <w:lang w:val="nl-NL"/>
        </w:rPr>
        <w:t xml:space="preserve"> cho vay, chiết khấu, cho vay bằng ngoại tệ,</w:t>
      </w:r>
      <w:r w:rsidRPr="000A7DB3">
        <w:rPr>
          <w:szCs w:val="28"/>
          <w:lang w:val="nl-NL"/>
        </w:rPr>
        <w:t xml:space="preserve"> </w:t>
      </w:r>
      <w:r w:rsidR="001F5EDC">
        <w:rPr>
          <w:szCs w:val="28"/>
          <w:lang w:val="nl-NL"/>
        </w:rPr>
        <w:t>bảo lãnh, không chồng chéo,</w:t>
      </w:r>
      <w:r w:rsidRPr="000A7DB3">
        <w:rPr>
          <w:szCs w:val="28"/>
          <w:lang w:val="nl-NL"/>
        </w:rPr>
        <w:t xml:space="preserve"> mâu thuẫn với các nội dung quy định tại các văn bản pháp luật khác về cùng một vấn đề. Việc ban hành Thông tư </w:t>
      </w:r>
      <w:r w:rsidR="006D667A">
        <w:rPr>
          <w:szCs w:val="28"/>
          <w:lang w:val="nl-NL"/>
        </w:rPr>
        <w:t xml:space="preserve">quy định về thư tín dụng và các </w:t>
      </w:r>
      <w:r w:rsidR="00A61CC1">
        <w:rPr>
          <w:szCs w:val="28"/>
          <w:lang w:val="nl-NL"/>
        </w:rPr>
        <w:t>hoạt động kinh doanh khác</w:t>
      </w:r>
      <w:r w:rsidR="006D667A">
        <w:rPr>
          <w:szCs w:val="28"/>
          <w:lang w:val="nl-NL"/>
        </w:rPr>
        <w:t xml:space="preserve"> liên quan</w:t>
      </w:r>
      <w:r w:rsidR="00A61CC1">
        <w:rPr>
          <w:szCs w:val="28"/>
          <w:lang w:val="nl-NL"/>
        </w:rPr>
        <w:t xml:space="preserve"> đến thư tín dụng</w:t>
      </w:r>
      <w:r w:rsidR="006D667A">
        <w:rPr>
          <w:szCs w:val="28"/>
          <w:lang w:val="nl-NL"/>
        </w:rPr>
        <w:t xml:space="preserve"> </w:t>
      </w:r>
      <w:r w:rsidR="001E6B12">
        <w:rPr>
          <w:szCs w:val="28"/>
          <w:lang w:val="nl-NL"/>
        </w:rPr>
        <w:t xml:space="preserve">là </w:t>
      </w:r>
      <w:r w:rsidRPr="000A7DB3">
        <w:rPr>
          <w:szCs w:val="28"/>
          <w:lang w:val="nl-NL"/>
        </w:rPr>
        <w:t xml:space="preserve">cơ sở pháp lý </w:t>
      </w:r>
      <w:r w:rsidR="001E6B12">
        <w:rPr>
          <w:szCs w:val="28"/>
          <w:lang w:val="nl-NL"/>
        </w:rPr>
        <w:t xml:space="preserve">để </w:t>
      </w:r>
      <w:r w:rsidRPr="000A7DB3">
        <w:rPr>
          <w:szCs w:val="28"/>
          <w:lang w:val="nl-NL"/>
        </w:rPr>
        <w:t xml:space="preserve">các TCTD, tổ chức, cá nhân có liên quan thực hiện </w:t>
      </w:r>
      <w:r w:rsidR="001E6B12">
        <w:rPr>
          <w:szCs w:val="28"/>
          <w:lang w:val="nl-NL"/>
        </w:rPr>
        <w:t xml:space="preserve">thống nhất, </w:t>
      </w:r>
      <w:r w:rsidRPr="000A7DB3">
        <w:rPr>
          <w:szCs w:val="28"/>
          <w:lang w:val="nl-NL"/>
        </w:rPr>
        <w:t>an toàn, hiệu quả.</w:t>
      </w:r>
      <w:r w:rsidRPr="000A7DB3">
        <w:rPr>
          <w:b/>
          <w:szCs w:val="28"/>
          <w:lang w:val="nl-NL"/>
        </w:rPr>
        <w:t xml:space="preserve"> </w:t>
      </w:r>
    </w:p>
    <w:p w:rsidR="00852340" w:rsidRPr="002070AF" w:rsidRDefault="002070AF" w:rsidP="00BB201A">
      <w:pPr>
        <w:widowControl w:val="0"/>
        <w:spacing w:after="120" w:line="240" w:lineRule="auto"/>
        <w:jc w:val="right"/>
        <w:rPr>
          <w:b/>
          <w:sz w:val="26"/>
          <w:u w:val="single"/>
          <w:lang w:val="pl-PL"/>
        </w:rPr>
      </w:pPr>
      <w:r w:rsidRPr="002070AF">
        <w:rPr>
          <w:b/>
          <w:sz w:val="26"/>
          <w:u w:val="single"/>
          <w:lang w:val="pl-PL"/>
        </w:rPr>
        <w:t>NGÂN HÀNG NHÀ NƯỚC VIỆT NAM</w:t>
      </w:r>
    </w:p>
    <w:p w:rsidR="00EA6900" w:rsidRPr="00467554" w:rsidRDefault="00EA6900" w:rsidP="00BB201A">
      <w:pPr>
        <w:widowControl w:val="0"/>
        <w:spacing w:after="120" w:line="240" w:lineRule="auto"/>
        <w:jc w:val="both"/>
        <w:rPr>
          <w:lang w:val="pl-PL"/>
        </w:rPr>
      </w:pPr>
    </w:p>
    <w:sectPr w:rsidR="00EA6900" w:rsidRPr="00467554" w:rsidSect="00BB201A">
      <w:headerReference w:type="default" r:id="rId12"/>
      <w:footerReference w:type="even" r:id="rId13"/>
      <w:footerReference w:type="default" r:id="rId14"/>
      <w:headerReference w:type="first" r:id="rId15"/>
      <w:pgSz w:w="11906" w:h="16838"/>
      <w:pgMar w:top="1134" w:right="851" w:bottom="567" w:left="1701" w:header="272"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737" w:rsidRDefault="00652737" w:rsidP="00C74E1F">
      <w:pPr>
        <w:spacing w:after="0" w:line="240" w:lineRule="auto"/>
      </w:pPr>
      <w:r>
        <w:separator/>
      </w:r>
    </w:p>
  </w:endnote>
  <w:endnote w:type="continuationSeparator" w:id="0">
    <w:p w:rsidR="00652737" w:rsidRDefault="00652737" w:rsidP="00C74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D93" w:rsidRDefault="00063D93" w:rsidP="00E71A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3D93" w:rsidRDefault="00063D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D93" w:rsidRDefault="00063D93">
    <w:pPr>
      <w:pStyle w:val="Footer"/>
      <w:jc w:val="right"/>
    </w:pPr>
  </w:p>
  <w:p w:rsidR="00063D93" w:rsidRDefault="00063D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737" w:rsidRDefault="00652737" w:rsidP="00C74E1F">
      <w:pPr>
        <w:spacing w:after="0" w:line="240" w:lineRule="auto"/>
      </w:pPr>
      <w:r>
        <w:separator/>
      </w:r>
    </w:p>
  </w:footnote>
  <w:footnote w:type="continuationSeparator" w:id="0">
    <w:p w:rsidR="00652737" w:rsidRDefault="00652737" w:rsidP="00C74E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6"/>
        <w:szCs w:val="26"/>
      </w:rPr>
      <w:id w:val="251778449"/>
      <w:docPartObj>
        <w:docPartGallery w:val="Page Numbers (Top of Page)"/>
        <w:docPartUnique/>
      </w:docPartObj>
    </w:sdtPr>
    <w:sdtEndPr>
      <w:rPr>
        <w:noProof/>
      </w:rPr>
    </w:sdtEndPr>
    <w:sdtContent>
      <w:p w:rsidR="00063D93" w:rsidRPr="00840C05" w:rsidRDefault="00063D93">
        <w:pPr>
          <w:pStyle w:val="Header"/>
          <w:jc w:val="center"/>
          <w:rPr>
            <w:sz w:val="26"/>
            <w:szCs w:val="26"/>
          </w:rPr>
        </w:pPr>
        <w:r w:rsidRPr="00840C05">
          <w:rPr>
            <w:sz w:val="26"/>
            <w:szCs w:val="26"/>
          </w:rPr>
          <w:fldChar w:fldCharType="begin"/>
        </w:r>
        <w:r w:rsidRPr="00840C05">
          <w:rPr>
            <w:sz w:val="26"/>
            <w:szCs w:val="26"/>
          </w:rPr>
          <w:instrText xml:space="preserve"> PAGE   \* MERGEFORMAT </w:instrText>
        </w:r>
        <w:r w:rsidRPr="00840C05">
          <w:rPr>
            <w:sz w:val="26"/>
            <w:szCs w:val="26"/>
          </w:rPr>
          <w:fldChar w:fldCharType="separate"/>
        </w:r>
        <w:r w:rsidR="00AB3ABA">
          <w:rPr>
            <w:noProof/>
            <w:sz w:val="26"/>
            <w:szCs w:val="26"/>
          </w:rPr>
          <w:t>2</w:t>
        </w:r>
        <w:r w:rsidRPr="00840C05">
          <w:rPr>
            <w:noProof/>
            <w:sz w:val="26"/>
            <w:szCs w:val="26"/>
          </w:rPr>
          <w:fldChar w:fldCharType="end"/>
        </w:r>
      </w:p>
    </w:sdtContent>
  </w:sdt>
  <w:p w:rsidR="00063D93" w:rsidRPr="00840C05" w:rsidRDefault="00063D93">
    <w:pPr>
      <w:pStyle w:val="Header"/>
      <w:rPr>
        <w:sz w:val="26"/>
        <w:szCs w:val="2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079228"/>
      <w:docPartObj>
        <w:docPartGallery w:val="Page Numbers (Top of Page)"/>
        <w:docPartUnique/>
      </w:docPartObj>
    </w:sdtPr>
    <w:sdtEndPr>
      <w:rPr>
        <w:noProof/>
        <w:color w:val="FFFFFF" w:themeColor="background1"/>
      </w:rPr>
    </w:sdtEndPr>
    <w:sdtContent>
      <w:p w:rsidR="00063D93" w:rsidRPr="000B5388" w:rsidRDefault="00063D93">
        <w:pPr>
          <w:pStyle w:val="Header"/>
          <w:jc w:val="center"/>
          <w:rPr>
            <w:color w:val="FFFFFF" w:themeColor="background1"/>
          </w:rPr>
        </w:pPr>
        <w:r w:rsidRPr="000B5388">
          <w:rPr>
            <w:color w:val="FFFFFF" w:themeColor="background1"/>
          </w:rPr>
          <w:fldChar w:fldCharType="begin"/>
        </w:r>
        <w:r w:rsidRPr="000B5388">
          <w:rPr>
            <w:color w:val="FFFFFF" w:themeColor="background1"/>
          </w:rPr>
          <w:instrText xml:space="preserve"> PAGE   \* MERGEFORMAT </w:instrText>
        </w:r>
        <w:r w:rsidRPr="000B5388">
          <w:rPr>
            <w:color w:val="FFFFFF" w:themeColor="background1"/>
          </w:rPr>
          <w:fldChar w:fldCharType="separate"/>
        </w:r>
        <w:r w:rsidR="00AB3ABA">
          <w:rPr>
            <w:noProof/>
            <w:color w:val="FFFFFF" w:themeColor="background1"/>
          </w:rPr>
          <w:t>1</w:t>
        </w:r>
        <w:r w:rsidRPr="000B5388">
          <w:rPr>
            <w:noProof/>
            <w:color w:val="FFFFFF" w:themeColor="background1"/>
          </w:rPr>
          <w:fldChar w:fldCharType="end"/>
        </w:r>
      </w:p>
    </w:sdtContent>
  </w:sdt>
  <w:p w:rsidR="00063D93" w:rsidRDefault="00063D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1E43"/>
    <w:multiLevelType w:val="hybridMultilevel"/>
    <w:tmpl w:val="DD105C1A"/>
    <w:lvl w:ilvl="0" w:tplc="B42689F4">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09E72727"/>
    <w:multiLevelType w:val="hybridMultilevel"/>
    <w:tmpl w:val="DFB836C0"/>
    <w:lvl w:ilvl="0" w:tplc="04DE291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D2029C8"/>
    <w:multiLevelType w:val="hybridMultilevel"/>
    <w:tmpl w:val="E57AFFEA"/>
    <w:lvl w:ilvl="0" w:tplc="A914F678">
      <w:start w:val="2"/>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2D45FA"/>
    <w:multiLevelType w:val="hybridMultilevel"/>
    <w:tmpl w:val="55063B00"/>
    <w:lvl w:ilvl="0" w:tplc="2EEEB662">
      <w:start w:val="1"/>
      <w:numFmt w:val="decimal"/>
      <w:lvlText w:val="%1."/>
      <w:lvlJc w:val="left"/>
      <w:pPr>
        <w:ind w:left="1080" w:hanging="360"/>
      </w:pPr>
      <w:rPr>
        <w:rFonts w:hint="default"/>
        <w:color w:val="00000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13125347"/>
    <w:multiLevelType w:val="hybridMultilevel"/>
    <w:tmpl w:val="BC161EE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178F7380"/>
    <w:multiLevelType w:val="hybridMultilevel"/>
    <w:tmpl w:val="E9540344"/>
    <w:lvl w:ilvl="0" w:tplc="95405E44">
      <w:start w:val="7"/>
      <w:numFmt w:val="bullet"/>
      <w:lvlText w:val="-"/>
      <w:lvlJc w:val="left"/>
      <w:pPr>
        <w:ind w:left="0" w:hanging="360"/>
      </w:pPr>
      <w:rPr>
        <w:rFonts w:ascii="Times New Roman" w:eastAsia="Times New Roman" w:hAnsi="Times New Roman"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6">
    <w:nsid w:val="1A81754F"/>
    <w:multiLevelType w:val="hybridMultilevel"/>
    <w:tmpl w:val="26FAAE22"/>
    <w:lvl w:ilvl="0" w:tplc="6EF410CE">
      <w:numFmt w:val="bullet"/>
      <w:lvlText w:val="-"/>
      <w:lvlJc w:val="left"/>
      <w:pPr>
        <w:ind w:left="1080" w:hanging="360"/>
      </w:pPr>
      <w:rPr>
        <w:rFonts w:ascii="Times New Roman" w:eastAsia="Arial"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nsid w:val="1FB225C1"/>
    <w:multiLevelType w:val="hybridMultilevel"/>
    <w:tmpl w:val="A6F6D20C"/>
    <w:lvl w:ilvl="0" w:tplc="B050A1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965759"/>
    <w:multiLevelType w:val="hybridMultilevel"/>
    <w:tmpl w:val="C5C6DE7A"/>
    <w:lvl w:ilvl="0" w:tplc="B366D10E">
      <w:start w:val="2"/>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9BE0A62"/>
    <w:multiLevelType w:val="hybridMultilevel"/>
    <w:tmpl w:val="D04C7548"/>
    <w:lvl w:ilvl="0" w:tplc="666A7F1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nsid w:val="329D654C"/>
    <w:multiLevelType w:val="hybridMultilevel"/>
    <w:tmpl w:val="6BFACF1C"/>
    <w:lvl w:ilvl="0" w:tplc="56F67B30">
      <w:start w:val="1"/>
      <w:numFmt w:val="decimal"/>
      <w:lvlText w:val="%1."/>
      <w:lvlJc w:val="left"/>
      <w:pPr>
        <w:ind w:left="927" w:hanging="360"/>
      </w:pPr>
      <w:rPr>
        <w:rFonts w:eastAsia="Arial" w:hint="default"/>
        <w:sz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6187459"/>
    <w:multiLevelType w:val="hybridMultilevel"/>
    <w:tmpl w:val="67DCC720"/>
    <w:lvl w:ilvl="0" w:tplc="B2560536">
      <w:start w:val="1"/>
      <w:numFmt w:val="bullet"/>
      <w:lvlText w:val="-"/>
      <w:lvlJc w:val="left"/>
      <w:pPr>
        <w:ind w:left="1080" w:hanging="360"/>
      </w:pPr>
      <w:rPr>
        <w:rFonts w:ascii="Times New Roman" w:eastAsia="Arial"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2">
    <w:nsid w:val="3829341C"/>
    <w:multiLevelType w:val="hybridMultilevel"/>
    <w:tmpl w:val="02CE0B28"/>
    <w:lvl w:ilvl="0" w:tplc="89CCDB3A">
      <w:start w:val="2"/>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C0F58BB"/>
    <w:multiLevelType w:val="multilevel"/>
    <w:tmpl w:val="595EE6B6"/>
    <w:lvl w:ilvl="0">
      <w:start w:val="1"/>
      <w:numFmt w:val="decimal"/>
      <w:lvlText w:val="%1."/>
      <w:lvlJc w:val="left"/>
      <w:pPr>
        <w:tabs>
          <w:tab w:val="num" w:pos="1740"/>
        </w:tabs>
        <w:ind w:left="1740" w:hanging="1020"/>
      </w:pPr>
      <w:rPr>
        <w:rFonts w:hint="default"/>
        <w:b w:val="0"/>
        <w:i w:val="0"/>
      </w:rPr>
    </w:lvl>
    <w:lvl w:ilvl="1">
      <w:start w:val="1"/>
      <w:numFmt w:val="decimal"/>
      <w:lvlRestart w:val="0"/>
      <w:pStyle w:val="Heading2"/>
      <w:lvlText w:val="Điều %2."/>
      <w:lvlJc w:val="left"/>
      <w:pPr>
        <w:tabs>
          <w:tab w:val="num" w:pos="2160"/>
        </w:tabs>
        <w:ind w:left="1800" w:firstLine="0"/>
      </w:pPr>
      <w:rPr>
        <w:rFonts w:ascii="Times New Roman" w:hAnsi="Times New Roman" w:hint="default"/>
        <w:b w:val="0"/>
        <w:bCs w:val="0"/>
        <w:i w:val="0"/>
        <w:iCs w:val="0"/>
        <w:caps w:val="0"/>
        <w:smallCaps w:val="0"/>
        <w:strike w:val="0"/>
        <w:dstrike w:val="0"/>
        <w:color w:val="auto"/>
        <w:spacing w:val="-2"/>
        <w:w w:val="100"/>
        <w:kern w:val="0"/>
        <w:position w:val="0"/>
        <w:sz w:val="27"/>
        <w:szCs w:val="28"/>
        <w:u w:val="none"/>
        <w:effect w:val="none"/>
        <w:bdr w:val="none" w:sz="0" w:space="0" w:color="auto"/>
        <w:shd w:val="clear" w:color="auto" w:fill="auto"/>
        <w:em w:val="none"/>
        <w:lang w:val="sv-SE"/>
      </w:rPr>
    </w:lvl>
    <w:lvl w:ilvl="2">
      <w:start w:val="1"/>
      <w:numFmt w:val="decimal"/>
      <w:lvlRestart w:val="1"/>
      <w:pStyle w:val="Heading3"/>
      <w:lvlText w:val="Mục %3."/>
      <w:lvlJc w:val="center"/>
      <w:pPr>
        <w:tabs>
          <w:tab w:val="num" w:pos="3420"/>
        </w:tabs>
        <w:ind w:left="3060" w:firstLine="0"/>
      </w:pPr>
      <w:rPr>
        <w:rFonts w:ascii="Times New Roman" w:hAnsi="Times New Roman" w:hint="default"/>
        <w:b/>
        <w:i w:val="0"/>
        <w:sz w:val="28"/>
        <w:szCs w:val="28"/>
      </w:rPr>
    </w:lvl>
    <w:lvl w:ilvl="3">
      <w:start w:val="1"/>
      <w:numFmt w:val="lowerLetter"/>
      <w:pStyle w:val="Heading4"/>
      <w:lvlText w:val="%4)"/>
      <w:lvlJc w:val="left"/>
      <w:pPr>
        <w:tabs>
          <w:tab w:val="num" w:pos="3780"/>
        </w:tabs>
        <w:ind w:left="3420" w:firstLine="0"/>
      </w:pPr>
      <w:rPr>
        <w:rFonts w:hint="default"/>
      </w:rPr>
    </w:lvl>
    <w:lvl w:ilvl="4">
      <w:start w:val="1"/>
      <w:numFmt w:val="decimal"/>
      <w:lvlText w:val="%5."/>
      <w:lvlJc w:val="left"/>
      <w:pPr>
        <w:tabs>
          <w:tab w:val="num" w:pos="2340"/>
        </w:tabs>
        <w:ind w:left="2340" w:hanging="360"/>
      </w:pPr>
      <w:rPr>
        <w:rFonts w:hint="default"/>
        <w:b w:val="0"/>
        <w:i w:val="0"/>
        <w:strike w:val="0"/>
      </w:rPr>
    </w:lvl>
    <w:lvl w:ilvl="5">
      <w:start w:val="1"/>
      <w:numFmt w:val="lowerLetter"/>
      <w:pStyle w:val="Heading6"/>
      <w:lvlText w:val="(%6)"/>
      <w:lvlJc w:val="left"/>
      <w:pPr>
        <w:tabs>
          <w:tab w:val="num" w:pos="5220"/>
        </w:tabs>
        <w:ind w:left="4860" w:firstLine="0"/>
      </w:pPr>
      <w:rPr>
        <w:rFonts w:hint="default"/>
      </w:rPr>
    </w:lvl>
    <w:lvl w:ilvl="6">
      <w:start w:val="1"/>
      <w:numFmt w:val="decimal"/>
      <w:pStyle w:val="Heading7"/>
      <w:lvlText w:val="%7."/>
      <w:lvlJc w:val="left"/>
      <w:pPr>
        <w:tabs>
          <w:tab w:val="num" w:pos="5940"/>
        </w:tabs>
        <w:ind w:left="5580" w:firstLine="0"/>
      </w:pPr>
      <w:rPr>
        <w:rFonts w:ascii="Times New Roman" w:eastAsia="Times New Roman" w:hAnsi="Times New Roman" w:cs="Times New Roman" w:hint="default"/>
        <w:sz w:val="28"/>
        <w:szCs w:val="28"/>
      </w:rPr>
    </w:lvl>
    <w:lvl w:ilvl="7">
      <w:start w:val="1"/>
      <w:numFmt w:val="lowerLetter"/>
      <w:pStyle w:val="Heading8"/>
      <w:lvlText w:val="(%8)"/>
      <w:lvlJc w:val="left"/>
      <w:pPr>
        <w:tabs>
          <w:tab w:val="num" w:pos="6660"/>
        </w:tabs>
        <w:ind w:left="6300" w:firstLine="0"/>
      </w:pPr>
      <w:rPr>
        <w:rFonts w:hint="default"/>
      </w:rPr>
    </w:lvl>
    <w:lvl w:ilvl="8">
      <w:start w:val="1"/>
      <w:numFmt w:val="lowerRoman"/>
      <w:pStyle w:val="Heading9"/>
      <w:lvlText w:val="(%9)"/>
      <w:lvlJc w:val="left"/>
      <w:pPr>
        <w:tabs>
          <w:tab w:val="num" w:pos="7380"/>
        </w:tabs>
        <w:ind w:left="7020" w:firstLine="0"/>
      </w:pPr>
      <w:rPr>
        <w:rFonts w:hint="default"/>
      </w:rPr>
    </w:lvl>
  </w:abstractNum>
  <w:abstractNum w:abstractNumId="14">
    <w:nsid w:val="3D523E7B"/>
    <w:multiLevelType w:val="hybridMultilevel"/>
    <w:tmpl w:val="39F24A08"/>
    <w:lvl w:ilvl="0" w:tplc="1DA8392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5">
    <w:nsid w:val="463119A3"/>
    <w:multiLevelType w:val="hybridMultilevel"/>
    <w:tmpl w:val="FAEE26F4"/>
    <w:lvl w:ilvl="0" w:tplc="7C60F914">
      <w:start w:val="4"/>
      <w:numFmt w:val="bullet"/>
      <w:lvlText w:val="-"/>
      <w:lvlJc w:val="left"/>
      <w:pPr>
        <w:ind w:left="1080" w:hanging="360"/>
      </w:pPr>
      <w:rPr>
        <w:rFonts w:ascii="Times New Roman" w:eastAsia="Arial"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6">
    <w:nsid w:val="46696FA9"/>
    <w:multiLevelType w:val="hybridMultilevel"/>
    <w:tmpl w:val="1004CBB4"/>
    <w:lvl w:ilvl="0" w:tplc="102E132E">
      <w:start w:val="2"/>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AD63F14"/>
    <w:multiLevelType w:val="hybridMultilevel"/>
    <w:tmpl w:val="B08090CA"/>
    <w:lvl w:ilvl="0" w:tplc="DB8ACE30">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8">
    <w:nsid w:val="4FE83370"/>
    <w:multiLevelType w:val="hybridMultilevel"/>
    <w:tmpl w:val="D77C2FB2"/>
    <w:lvl w:ilvl="0" w:tplc="3760CCDE">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63DA6EB5"/>
    <w:multiLevelType w:val="hybridMultilevel"/>
    <w:tmpl w:val="724A13EA"/>
    <w:lvl w:ilvl="0" w:tplc="39304BA6">
      <w:start w:val="3"/>
      <w:numFmt w:val="bullet"/>
      <w:lvlText w:val="-"/>
      <w:lvlJc w:val="left"/>
      <w:pPr>
        <w:ind w:left="1080" w:hanging="360"/>
      </w:pPr>
      <w:rPr>
        <w:rFonts w:ascii="Times New Roman" w:eastAsia="Arial"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4"/>
  </w:num>
  <w:num w:numId="2">
    <w:abstractNumId w:val="13"/>
  </w:num>
  <w:num w:numId="3">
    <w:abstractNumId w:val="13"/>
  </w:num>
  <w:num w:numId="4">
    <w:abstractNumId w:val="15"/>
  </w:num>
  <w:num w:numId="5">
    <w:abstractNumId w:val="14"/>
  </w:num>
  <w:num w:numId="6">
    <w:abstractNumId w:val="17"/>
  </w:num>
  <w:num w:numId="7">
    <w:abstractNumId w:val="13"/>
  </w:num>
  <w:num w:numId="8">
    <w:abstractNumId w:val="7"/>
  </w:num>
  <w:num w:numId="9">
    <w:abstractNumId w:val="5"/>
  </w:num>
  <w:num w:numId="10">
    <w:abstractNumId w:val="9"/>
  </w:num>
  <w:num w:numId="11">
    <w:abstractNumId w:val="11"/>
  </w:num>
  <w:num w:numId="12">
    <w:abstractNumId w:val="0"/>
  </w:num>
  <w:num w:numId="13">
    <w:abstractNumId w:val="19"/>
  </w:num>
  <w:num w:numId="14">
    <w:abstractNumId w:val="3"/>
  </w:num>
  <w:num w:numId="15">
    <w:abstractNumId w:val="6"/>
  </w:num>
  <w:num w:numId="16">
    <w:abstractNumId w:val="16"/>
  </w:num>
  <w:num w:numId="17">
    <w:abstractNumId w:val="8"/>
  </w:num>
  <w:num w:numId="18">
    <w:abstractNumId w:val="12"/>
  </w:num>
  <w:num w:numId="19">
    <w:abstractNumId w:val="2"/>
  </w:num>
  <w:num w:numId="20">
    <w:abstractNumId w:val="1"/>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340"/>
    <w:rsid w:val="0000195B"/>
    <w:rsid w:val="00003467"/>
    <w:rsid w:val="000070D2"/>
    <w:rsid w:val="000078BA"/>
    <w:rsid w:val="00007D18"/>
    <w:rsid w:val="00007D31"/>
    <w:rsid w:val="0001184C"/>
    <w:rsid w:val="00012AA4"/>
    <w:rsid w:val="00012BB1"/>
    <w:rsid w:val="00013948"/>
    <w:rsid w:val="000173E9"/>
    <w:rsid w:val="0002360C"/>
    <w:rsid w:val="00032B1A"/>
    <w:rsid w:val="00041BCD"/>
    <w:rsid w:val="00045DD9"/>
    <w:rsid w:val="000476C6"/>
    <w:rsid w:val="00051348"/>
    <w:rsid w:val="000514D6"/>
    <w:rsid w:val="00053C05"/>
    <w:rsid w:val="00054965"/>
    <w:rsid w:val="0005604E"/>
    <w:rsid w:val="00062F6B"/>
    <w:rsid w:val="00063D93"/>
    <w:rsid w:val="00066077"/>
    <w:rsid w:val="000660F3"/>
    <w:rsid w:val="00071EB1"/>
    <w:rsid w:val="0007663F"/>
    <w:rsid w:val="00085DC4"/>
    <w:rsid w:val="00096B9D"/>
    <w:rsid w:val="000973FE"/>
    <w:rsid w:val="000977D3"/>
    <w:rsid w:val="000A227A"/>
    <w:rsid w:val="000A5A0B"/>
    <w:rsid w:val="000A6FDD"/>
    <w:rsid w:val="000A7DB3"/>
    <w:rsid w:val="000B5388"/>
    <w:rsid w:val="000B5494"/>
    <w:rsid w:val="000B5DCB"/>
    <w:rsid w:val="000C2AA5"/>
    <w:rsid w:val="000C51A2"/>
    <w:rsid w:val="000D176D"/>
    <w:rsid w:val="000D27FE"/>
    <w:rsid w:val="000D44BF"/>
    <w:rsid w:val="000E1574"/>
    <w:rsid w:val="000E372D"/>
    <w:rsid w:val="000E5E76"/>
    <w:rsid w:val="000F0742"/>
    <w:rsid w:val="000F077F"/>
    <w:rsid w:val="000F3A70"/>
    <w:rsid w:val="000F6CE5"/>
    <w:rsid w:val="00104697"/>
    <w:rsid w:val="00105412"/>
    <w:rsid w:val="00106EA3"/>
    <w:rsid w:val="00110C44"/>
    <w:rsid w:val="0012018E"/>
    <w:rsid w:val="001211F0"/>
    <w:rsid w:val="00121C46"/>
    <w:rsid w:val="00123186"/>
    <w:rsid w:val="00126621"/>
    <w:rsid w:val="0013108F"/>
    <w:rsid w:val="00135F4A"/>
    <w:rsid w:val="0013751A"/>
    <w:rsid w:val="00140034"/>
    <w:rsid w:val="0014162C"/>
    <w:rsid w:val="001452A8"/>
    <w:rsid w:val="001553E3"/>
    <w:rsid w:val="001578AF"/>
    <w:rsid w:val="00167DD2"/>
    <w:rsid w:val="0017150A"/>
    <w:rsid w:val="00171793"/>
    <w:rsid w:val="001724D4"/>
    <w:rsid w:val="00173FDE"/>
    <w:rsid w:val="00174E13"/>
    <w:rsid w:val="00180C48"/>
    <w:rsid w:val="00181B9F"/>
    <w:rsid w:val="001826BB"/>
    <w:rsid w:val="00182B31"/>
    <w:rsid w:val="001831B6"/>
    <w:rsid w:val="00191C10"/>
    <w:rsid w:val="00191E28"/>
    <w:rsid w:val="00192221"/>
    <w:rsid w:val="001932DE"/>
    <w:rsid w:val="00194082"/>
    <w:rsid w:val="00194B04"/>
    <w:rsid w:val="00197F80"/>
    <w:rsid w:val="001A51AE"/>
    <w:rsid w:val="001C0E7D"/>
    <w:rsid w:val="001C1708"/>
    <w:rsid w:val="001C3498"/>
    <w:rsid w:val="001C4413"/>
    <w:rsid w:val="001C6052"/>
    <w:rsid w:val="001C668F"/>
    <w:rsid w:val="001C73ED"/>
    <w:rsid w:val="001D35A7"/>
    <w:rsid w:val="001D392A"/>
    <w:rsid w:val="001D6BC4"/>
    <w:rsid w:val="001E6B12"/>
    <w:rsid w:val="001F5EDC"/>
    <w:rsid w:val="0020239D"/>
    <w:rsid w:val="002070AF"/>
    <w:rsid w:val="002115A1"/>
    <w:rsid w:val="00213337"/>
    <w:rsid w:val="00216198"/>
    <w:rsid w:val="00224536"/>
    <w:rsid w:val="0023388D"/>
    <w:rsid w:val="00235581"/>
    <w:rsid w:val="002371B4"/>
    <w:rsid w:val="00241812"/>
    <w:rsid w:val="00242911"/>
    <w:rsid w:val="00251DF4"/>
    <w:rsid w:val="0025276B"/>
    <w:rsid w:val="00255136"/>
    <w:rsid w:val="00255871"/>
    <w:rsid w:val="00261EFD"/>
    <w:rsid w:val="002652CE"/>
    <w:rsid w:val="00270275"/>
    <w:rsid w:val="00271366"/>
    <w:rsid w:val="00274E8D"/>
    <w:rsid w:val="00276665"/>
    <w:rsid w:val="00280E0A"/>
    <w:rsid w:val="002846AA"/>
    <w:rsid w:val="00290692"/>
    <w:rsid w:val="0029112B"/>
    <w:rsid w:val="00293B5C"/>
    <w:rsid w:val="002A1D6B"/>
    <w:rsid w:val="002A3467"/>
    <w:rsid w:val="002A42B2"/>
    <w:rsid w:val="002A4C4E"/>
    <w:rsid w:val="002A4D0E"/>
    <w:rsid w:val="002A5349"/>
    <w:rsid w:val="002A6259"/>
    <w:rsid w:val="002B0951"/>
    <w:rsid w:val="002B1A3C"/>
    <w:rsid w:val="002C2B17"/>
    <w:rsid w:val="002C3A76"/>
    <w:rsid w:val="002C3D04"/>
    <w:rsid w:val="002C4812"/>
    <w:rsid w:val="002C4B4D"/>
    <w:rsid w:val="002D010B"/>
    <w:rsid w:val="002D6C49"/>
    <w:rsid w:val="002D748C"/>
    <w:rsid w:val="002D7B2C"/>
    <w:rsid w:val="002E0140"/>
    <w:rsid w:val="002E051F"/>
    <w:rsid w:val="002E0594"/>
    <w:rsid w:val="002F02B6"/>
    <w:rsid w:val="002F70F3"/>
    <w:rsid w:val="00301D06"/>
    <w:rsid w:val="00302CBE"/>
    <w:rsid w:val="00302E9D"/>
    <w:rsid w:val="003030FA"/>
    <w:rsid w:val="00303AC0"/>
    <w:rsid w:val="0030470D"/>
    <w:rsid w:val="003067F3"/>
    <w:rsid w:val="00307612"/>
    <w:rsid w:val="00313EDC"/>
    <w:rsid w:val="00317716"/>
    <w:rsid w:val="00321ED3"/>
    <w:rsid w:val="003257B8"/>
    <w:rsid w:val="00326732"/>
    <w:rsid w:val="003275DF"/>
    <w:rsid w:val="003310C9"/>
    <w:rsid w:val="0033152E"/>
    <w:rsid w:val="003334FD"/>
    <w:rsid w:val="003356EA"/>
    <w:rsid w:val="00335E14"/>
    <w:rsid w:val="0035352F"/>
    <w:rsid w:val="00353578"/>
    <w:rsid w:val="00360F1C"/>
    <w:rsid w:val="00365EEE"/>
    <w:rsid w:val="00372100"/>
    <w:rsid w:val="003756B3"/>
    <w:rsid w:val="00387F3B"/>
    <w:rsid w:val="003918B6"/>
    <w:rsid w:val="00395A4B"/>
    <w:rsid w:val="0039772E"/>
    <w:rsid w:val="003A0F69"/>
    <w:rsid w:val="003A2DFD"/>
    <w:rsid w:val="003A52E0"/>
    <w:rsid w:val="003A5ADD"/>
    <w:rsid w:val="003B04AD"/>
    <w:rsid w:val="003B121E"/>
    <w:rsid w:val="003B3670"/>
    <w:rsid w:val="003B42EA"/>
    <w:rsid w:val="003C0F69"/>
    <w:rsid w:val="003C6F61"/>
    <w:rsid w:val="003D0095"/>
    <w:rsid w:val="003D2EFD"/>
    <w:rsid w:val="003D4AD2"/>
    <w:rsid w:val="003D5021"/>
    <w:rsid w:val="003E04B7"/>
    <w:rsid w:val="003E0F4F"/>
    <w:rsid w:val="003E21D5"/>
    <w:rsid w:val="003E44B0"/>
    <w:rsid w:val="003E5C03"/>
    <w:rsid w:val="003F5458"/>
    <w:rsid w:val="00402221"/>
    <w:rsid w:val="004023AC"/>
    <w:rsid w:val="004104D9"/>
    <w:rsid w:val="00411884"/>
    <w:rsid w:val="00417561"/>
    <w:rsid w:val="00430DB3"/>
    <w:rsid w:val="00434867"/>
    <w:rsid w:val="00450D20"/>
    <w:rsid w:val="00451158"/>
    <w:rsid w:val="004553DC"/>
    <w:rsid w:val="004578D4"/>
    <w:rsid w:val="00463CE1"/>
    <w:rsid w:val="00465E52"/>
    <w:rsid w:val="00467554"/>
    <w:rsid w:val="004726EB"/>
    <w:rsid w:val="00472BF5"/>
    <w:rsid w:val="00482BE8"/>
    <w:rsid w:val="00487620"/>
    <w:rsid w:val="00491AC9"/>
    <w:rsid w:val="004A4700"/>
    <w:rsid w:val="004A6BA3"/>
    <w:rsid w:val="004B115B"/>
    <w:rsid w:val="004B4A51"/>
    <w:rsid w:val="004D654C"/>
    <w:rsid w:val="004E3763"/>
    <w:rsid w:val="004E6A48"/>
    <w:rsid w:val="004E6D18"/>
    <w:rsid w:val="004E70E5"/>
    <w:rsid w:val="004E7E41"/>
    <w:rsid w:val="005011FF"/>
    <w:rsid w:val="00502F5E"/>
    <w:rsid w:val="00503271"/>
    <w:rsid w:val="005073B8"/>
    <w:rsid w:val="005075D1"/>
    <w:rsid w:val="00517CD7"/>
    <w:rsid w:val="00517F93"/>
    <w:rsid w:val="0052741F"/>
    <w:rsid w:val="005308ED"/>
    <w:rsid w:val="00530EE3"/>
    <w:rsid w:val="005326DB"/>
    <w:rsid w:val="00537ACD"/>
    <w:rsid w:val="00540DCE"/>
    <w:rsid w:val="00541C27"/>
    <w:rsid w:val="00550EA7"/>
    <w:rsid w:val="00556803"/>
    <w:rsid w:val="00561AA4"/>
    <w:rsid w:val="005778AC"/>
    <w:rsid w:val="00581883"/>
    <w:rsid w:val="00586F5A"/>
    <w:rsid w:val="00591778"/>
    <w:rsid w:val="00596830"/>
    <w:rsid w:val="00597E1A"/>
    <w:rsid w:val="005A28FA"/>
    <w:rsid w:val="005A3CDC"/>
    <w:rsid w:val="005A7615"/>
    <w:rsid w:val="005A7A0B"/>
    <w:rsid w:val="005B0343"/>
    <w:rsid w:val="005B246A"/>
    <w:rsid w:val="005B7112"/>
    <w:rsid w:val="005C6623"/>
    <w:rsid w:val="005D756C"/>
    <w:rsid w:val="005E0FB2"/>
    <w:rsid w:val="005E151C"/>
    <w:rsid w:val="005E5F1A"/>
    <w:rsid w:val="005F041D"/>
    <w:rsid w:val="005F11D4"/>
    <w:rsid w:val="005F4442"/>
    <w:rsid w:val="005F4C0B"/>
    <w:rsid w:val="00602140"/>
    <w:rsid w:val="0060492D"/>
    <w:rsid w:val="006066DD"/>
    <w:rsid w:val="00612BAB"/>
    <w:rsid w:val="0062107F"/>
    <w:rsid w:val="00625AC8"/>
    <w:rsid w:val="00626930"/>
    <w:rsid w:val="00633E06"/>
    <w:rsid w:val="00637971"/>
    <w:rsid w:val="00637C0F"/>
    <w:rsid w:val="006428D4"/>
    <w:rsid w:val="00644387"/>
    <w:rsid w:val="00652737"/>
    <w:rsid w:val="0065360E"/>
    <w:rsid w:val="006536B0"/>
    <w:rsid w:val="00655979"/>
    <w:rsid w:val="006570B2"/>
    <w:rsid w:val="006601EB"/>
    <w:rsid w:val="0067154C"/>
    <w:rsid w:val="006727C9"/>
    <w:rsid w:val="0068345C"/>
    <w:rsid w:val="00684B71"/>
    <w:rsid w:val="00684BC2"/>
    <w:rsid w:val="006906E1"/>
    <w:rsid w:val="0069082C"/>
    <w:rsid w:val="006912FD"/>
    <w:rsid w:val="006A1D37"/>
    <w:rsid w:val="006A251C"/>
    <w:rsid w:val="006A28CB"/>
    <w:rsid w:val="006A28F6"/>
    <w:rsid w:val="006A4433"/>
    <w:rsid w:val="006A4517"/>
    <w:rsid w:val="006A57DC"/>
    <w:rsid w:val="006A698B"/>
    <w:rsid w:val="006B255A"/>
    <w:rsid w:val="006B6CAD"/>
    <w:rsid w:val="006B738E"/>
    <w:rsid w:val="006B7513"/>
    <w:rsid w:val="006C2E7A"/>
    <w:rsid w:val="006C3A15"/>
    <w:rsid w:val="006C462B"/>
    <w:rsid w:val="006D000B"/>
    <w:rsid w:val="006D0369"/>
    <w:rsid w:val="006D0B39"/>
    <w:rsid w:val="006D1F9C"/>
    <w:rsid w:val="006D3DE9"/>
    <w:rsid w:val="006D4771"/>
    <w:rsid w:val="006D609A"/>
    <w:rsid w:val="006D667A"/>
    <w:rsid w:val="006D7308"/>
    <w:rsid w:val="006E0236"/>
    <w:rsid w:val="006E12EC"/>
    <w:rsid w:val="006F2C5F"/>
    <w:rsid w:val="006F5BE8"/>
    <w:rsid w:val="006F70A7"/>
    <w:rsid w:val="006F7677"/>
    <w:rsid w:val="00702024"/>
    <w:rsid w:val="00702A8B"/>
    <w:rsid w:val="007048E6"/>
    <w:rsid w:val="0070551F"/>
    <w:rsid w:val="00723EBE"/>
    <w:rsid w:val="0072687D"/>
    <w:rsid w:val="00727A07"/>
    <w:rsid w:val="007300FB"/>
    <w:rsid w:val="00731679"/>
    <w:rsid w:val="00731A07"/>
    <w:rsid w:val="00732833"/>
    <w:rsid w:val="0073406D"/>
    <w:rsid w:val="007411FA"/>
    <w:rsid w:val="00747C10"/>
    <w:rsid w:val="00750AEB"/>
    <w:rsid w:val="00767DD9"/>
    <w:rsid w:val="007744F9"/>
    <w:rsid w:val="00774867"/>
    <w:rsid w:val="0079762B"/>
    <w:rsid w:val="007A1967"/>
    <w:rsid w:val="007A1F4A"/>
    <w:rsid w:val="007A65B3"/>
    <w:rsid w:val="007B1997"/>
    <w:rsid w:val="007C10FC"/>
    <w:rsid w:val="007C6A8D"/>
    <w:rsid w:val="007D081F"/>
    <w:rsid w:val="007D1979"/>
    <w:rsid w:val="007D5223"/>
    <w:rsid w:val="007E3AFA"/>
    <w:rsid w:val="007E6572"/>
    <w:rsid w:val="007F21CE"/>
    <w:rsid w:val="007F3566"/>
    <w:rsid w:val="007F39A5"/>
    <w:rsid w:val="007F639D"/>
    <w:rsid w:val="008105FC"/>
    <w:rsid w:val="00810864"/>
    <w:rsid w:val="0081450E"/>
    <w:rsid w:val="00814B79"/>
    <w:rsid w:val="00821CD4"/>
    <w:rsid w:val="0082482A"/>
    <w:rsid w:val="00833EDD"/>
    <w:rsid w:val="00836E00"/>
    <w:rsid w:val="00837329"/>
    <w:rsid w:val="00840C05"/>
    <w:rsid w:val="00852340"/>
    <w:rsid w:val="00853225"/>
    <w:rsid w:val="0085702F"/>
    <w:rsid w:val="00861E70"/>
    <w:rsid w:val="0086757B"/>
    <w:rsid w:val="00872630"/>
    <w:rsid w:val="008732EC"/>
    <w:rsid w:val="00873FF0"/>
    <w:rsid w:val="00880159"/>
    <w:rsid w:val="00880CDB"/>
    <w:rsid w:val="00883436"/>
    <w:rsid w:val="00892D73"/>
    <w:rsid w:val="008936A2"/>
    <w:rsid w:val="008A40E0"/>
    <w:rsid w:val="008A4106"/>
    <w:rsid w:val="008A4567"/>
    <w:rsid w:val="008A78B7"/>
    <w:rsid w:val="008B1657"/>
    <w:rsid w:val="008B28FB"/>
    <w:rsid w:val="008B7497"/>
    <w:rsid w:val="008C608D"/>
    <w:rsid w:val="008D307C"/>
    <w:rsid w:val="008D4E2F"/>
    <w:rsid w:val="008D7DE7"/>
    <w:rsid w:val="008E17B3"/>
    <w:rsid w:val="008E1A16"/>
    <w:rsid w:val="008F064C"/>
    <w:rsid w:val="008F17B4"/>
    <w:rsid w:val="008F1B9D"/>
    <w:rsid w:val="008F2146"/>
    <w:rsid w:val="009012EE"/>
    <w:rsid w:val="00902F47"/>
    <w:rsid w:val="009035DF"/>
    <w:rsid w:val="00903A2D"/>
    <w:rsid w:val="00904494"/>
    <w:rsid w:val="00907195"/>
    <w:rsid w:val="0091793E"/>
    <w:rsid w:val="00922F84"/>
    <w:rsid w:val="009363C7"/>
    <w:rsid w:val="0094413F"/>
    <w:rsid w:val="0094609C"/>
    <w:rsid w:val="00946398"/>
    <w:rsid w:val="00946FAF"/>
    <w:rsid w:val="0095032B"/>
    <w:rsid w:val="00950367"/>
    <w:rsid w:val="009519A5"/>
    <w:rsid w:val="00953DE9"/>
    <w:rsid w:val="0095444B"/>
    <w:rsid w:val="00964BF6"/>
    <w:rsid w:val="00967BC8"/>
    <w:rsid w:val="00967E19"/>
    <w:rsid w:val="00971348"/>
    <w:rsid w:val="00973837"/>
    <w:rsid w:val="0097714F"/>
    <w:rsid w:val="00984B6C"/>
    <w:rsid w:val="009878BD"/>
    <w:rsid w:val="009A04D9"/>
    <w:rsid w:val="009A4CE5"/>
    <w:rsid w:val="009B123D"/>
    <w:rsid w:val="009B5C0C"/>
    <w:rsid w:val="009B6F4A"/>
    <w:rsid w:val="009C1AF6"/>
    <w:rsid w:val="009C323C"/>
    <w:rsid w:val="009C38B9"/>
    <w:rsid w:val="009C5481"/>
    <w:rsid w:val="009C708D"/>
    <w:rsid w:val="009D1DA6"/>
    <w:rsid w:val="009D2F46"/>
    <w:rsid w:val="009D5475"/>
    <w:rsid w:val="009E1C2C"/>
    <w:rsid w:val="009E3305"/>
    <w:rsid w:val="009E44AF"/>
    <w:rsid w:val="009E4721"/>
    <w:rsid w:val="009F1CAC"/>
    <w:rsid w:val="009F30C8"/>
    <w:rsid w:val="009F4314"/>
    <w:rsid w:val="009F45EC"/>
    <w:rsid w:val="009F5AE9"/>
    <w:rsid w:val="009F7234"/>
    <w:rsid w:val="009F7B21"/>
    <w:rsid w:val="00A03150"/>
    <w:rsid w:val="00A07106"/>
    <w:rsid w:val="00A11A6B"/>
    <w:rsid w:val="00A13261"/>
    <w:rsid w:val="00A22380"/>
    <w:rsid w:val="00A24012"/>
    <w:rsid w:val="00A27AB3"/>
    <w:rsid w:val="00A304FC"/>
    <w:rsid w:val="00A346A3"/>
    <w:rsid w:val="00A3502E"/>
    <w:rsid w:val="00A42BF4"/>
    <w:rsid w:val="00A433CA"/>
    <w:rsid w:val="00A46C3B"/>
    <w:rsid w:val="00A50C1A"/>
    <w:rsid w:val="00A53D30"/>
    <w:rsid w:val="00A54004"/>
    <w:rsid w:val="00A60C34"/>
    <w:rsid w:val="00A61741"/>
    <w:rsid w:val="00A61CC1"/>
    <w:rsid w:val="00A674DB"/>
    <w:rsid w:val="00A70348"/>
    <w:rsid w:val="00A7261B"/>
    <w:rsid w:val="00A774ED"/>
    <w:rsid w:val="00A77CE7"/>
    <w:rsid w:val="00A85A73"/>
    <w:rsid w:val="00A90486"/>
    <w:rsid w:val="00A922A1"/>
    <w:rsid w:val="00A948FF"/>
    <w:rsid w:val="00A977E1"/>
    <w:rsid w:val="00AB22B7"/>
    <w:rsid w:val="00AB3ABA"/>
    <w:rsid w:val="00AB407A"/>
    <w:rsid w:val="00AB74C2"/>
    <w:rsid w:val="00AC1B6C"/>
    <w:rsid w:val="00AC1FE5"/>
    <w:rsid w:val="00AC3E30"/>
    <w:rsid w:val="00AD010B"/>
    <w:rsid w:val="00AD2066"/>
    <w:rsid w:val="00AD6D3F"/>
    <w:rsid w:val="00AE1146"/>
    <w:rsid w:val="00AE1646"/>
    <w:rsid w:val="00AE1831"/>
    <w:rsid w:val="00AE27E8"/>
    <w:rsid w:val="00AF315E"/>
    <w:rsid w:val="00AF7176"/>
    <w:rsid w:val="00AF7A44"/>
    <w:rsid w:val="00B15340"/>
    <w:rsid w:val="00B21517"/>
    <w:rsid w:val="00B21E7F"/>
    <w:rsid w:val="00B31B69"/>
    <w:rsid w:val="00B32356"/>
    <w:rsid w:val="00B33B20"/>
    <w:rsid w:val="00B415F8"/>
    <w:rsid w:val="00B4434C"/>
    <w:rsid w:val="00B443DF"/>
    <w:rsid w:val="00B44EBD"/>
    <w:rsid w:val="00B504AC"/>
    <w:rsid w:val="00B510D3"/>
    <w:rsid w:val="00B51CD5"/>
    <w:rsid w:val="00B538C2"/>
    <w:rsid w:val="00B542F4"/>
    <w:rsid w:val="00B5475F"/>
    <w:rsid w:val="00B606C2"/>
    <w:rsid w:val="00B60F28"/>
    <w:rsid w:val="00B618F6"/>
    <w:rsid w:val="00B63DAE"/>
    <w:rsid w:val="00B64EA1"/>
    <w:rsid w:val="00B71678"/>
    <w:rsid w:val="00B73A0C"/>
    <w:rsid w:val="00B805F3"/>
    <w:rsid w:val="00B806D8"/>
    <w:rsid w:val="00B809D3"/>
    <w:rsid w:val="00B84713"/>
    <w:rsid w:val="00B8607E"/>
    <w:rsid w:val="00BA16C7"/>
    <w:rsid w:val="00BA31B6"/>
    <w:rsid w:val="00BA4C43"/>
    <w:rsid w:val="00BA54C1"/>
    <w:rsid w:val="00BA57B7"/>
    <w:rsid w:val="00BB201A"/>
    <w:rsid w:val="00BB377F"/>
    <w:rsid w:val="00BB3CC9"/>
    <w:rsid w:val="00BB52B3"/>
    <w:rsid w:val="00BB58B3"/>
    <w:rsid w:val="00BB7C86"/>
    <w:rsid w:val="00BC0F7A"/>
    <w:rsid w:val="00BD05CD"/>
    <w:rsid w:val="00BD6AF0"/>
    <w:rsid w:val="00BE32DA"/>
    <w:rsid w:val="00BE4815"/>
    <w:rsid w:val="00BE4BE8"/>
    <w:rsid w:val="00BF0538"/>
    <w:rsid w:val="00BF0C37"/>
    <w:rsid w:val="00BF10F0"/>
    <w:rsid w:val="00BF3DDE"/>
    <w:rsid w:val="00BF59F2"/>
    <w:rsid w:val="00BF6167"/>
    <w:rsid w:val="00BF628B"/>
    <w:rsid w:val="00BF65DD"/>
    <w:rsid w:val="00C01D4C"/>
    <w:rsid w:val="00C02187"/>
    <w:rsid w:val="00C0514E"/>
    <w:rsid w:val="00C05C5A"/>
    <w:rsid w:val="00C1211B"/>
    <w:rsid w:val="00C131C3"/>
    <w:rsid w:val="00C132AB"/>
    <w:rsid w:val="00C14ED8"/>
    <w:rsid w:val="00C15449"/>
    <w:rsid w:val="00C15E42"/>
    <w:rsid w:val="00C16F8B"/>
    <w:rsid w:val="00C20FD6"/>
    <w:rsid w:val="00C229D3"/>
    <w:rsid w:val="00C3681C"/>
    <w:rsid w:val="00C41F0C"/>
    <w:rsid w:val="00C45787"/>
    <w:rsid w:val="00C47369"/>
    <w:rsid w:val="00C4779E"/>
    <w:rsid w:val="00C5083A"/>
    <w:rsid w:val="00C63D35"/>
    <w:rsid w:val="00C6441B"/>
    <w:rsid w:val="00C645F6"/>
    <w:rsid w:val="00C70EC6"/>
    <w:rsid w:val="00C71B05"/>
    <w:rsid w:val="00C74E1F"/>
    <w:rsid w:val="00C75D5D"/>
    <w:rsid w:val="00C91611"/>
    <w:rsid w:val="00C92BF7"/>
    <w:rsid w:val="00C93EE4"/>
    <w:rsid w:val="00CA183F"/>
    <w:rsid w:val="00CA3161"/>
    <w:rsid w:val="00CA4C53"/>
    <w:rsid w:val="00CA6B01"/>
    <w:rsid w:val="00CB3E0E"/>
    <w:rsid w:val="00CB49B4"/>
    <w:rsid w:val="00CB6575"/>
    <w:rsid w:val="00CB6D75"/>
    <w:rsid w:val="00CC0EAA"/>
    <w:rsid w:val="00CD08B4"/>
    <w:rsid w:val="00CD1F89"/>
    <w:rsid w:val="00CE3039"/>
    <w:rsid w:val="00CE52A7"/>
    <w:rsid w:val="00CE605C"/>
    <w:rsid w:val="00CE6EB7"/>
    <w:rsid w:val="00CF3DC6"/>
    <w:rsid w:val="00CF6D65"/>
    <w:rsid w:val="00D050BC"/>
    <w:rsid w:val="00D11C24"/>
    <w:rsid w:val="00D15585"/>
    <w:rsid w:val="00D1669E"/>
    <w:rsid w:val="00D20AFC"/>
    <w:rsid w:val="00D20D94"/>
    <w:rsid w:val="00D27D41"/>
    <w:rsid w:val="00D31B61"/>
    <w:rsid w:val="00D320C2"/>
    <w:rsid w:val="00D43531"/>
    <w:rsid w:val="00D43599"/>
    <w:rsid w:val="00D51ADE"/>
    <w:rsid w:val="00D61224"/>
    <w:rsid w:val="00D62249"/>
    <w:rsid w:val="00D64026"/>
    <w:rsid w:val="00D6494A"/>
    <w:rsid w:val="00D709EA"/>
    <w:rsid w:val="00D71199"/>
    <w:rsid w:val="00D713D9"/>
    <w:rsid w:val="00D71DBC"/>
    <w:rsid w:val="00D728D8"/>
    <w:rsid w:val="00D75586"/>
    <w:rsid w:val="00D77543"/>
    <w:rsid w:val="00D80FC1"/>
    <w:rsid w:val="00D8287F"/>
    <w:rsid w:val="00D83376"/>
    <w:rsid w:val="00D84463"/>
    <w:rsid w:val="00D93362"/>
    <w:rsid w:val="00D93C05"/>
    <w:rsid w:val="00D95521"/>
    <w:rsid w:val="00D967B8"/>
    <w:rsid w:val="00DA239C"/>
    <w:rsid w:val="00DA273E"/>
    <w:rsid w:val="00DA3B70"/>
    <w:rsid w:val="00DA490C"/>
    <w:rsid w:val="00DA6C1D"/>
    <w:rsid w:val="00DB1344"/>
    <w:rsid w:val="00DB146D"/>
    <w:rsid w:val="00DB24E9"/>
    <w:rsid w:val="00DB426B"/>
    <w:rsid w:val="00DB5229"/>
    <w:rsid w:val="00DB750C"/>
    <w:rsid w:val="00DC38C6"/>
    <w:rsid w:val="00DC671B"/>
    <w:rsid w:val="00DD2541"/>
    <w:rsid w:val="00DD3E78"/>
    <w:rsid w:val="00DD4D97"/>
    <w:rsid w:val="00DD5B72"/>
    <w:rsid w:val="00DE4E71"/>
    <w:rsid w:val="00DE71D1"/>
    <w:rsid w:val="00DF0D44"/>
    <w:rsid w:val="00E010B6"/>
    <w:rsid w:val="00E014FC"/>
    <w:rsid w:val="00E03F0E"/>
    <w:rsid w:val="00E06502"/>
    <w:rsid w:val="00E1075D"/>
    <w:rsid w:val="00E1203F"/>
    <w:rsid w:val="00E169B3"/>
    <w:rsid w:val="00E219AF"/>
    <w:rsid w:val="00E21DC9"/>
    <w:rsid w:val="00E23130"/>
    <w:rsid w:val="00E4129C"/>
    <w:rsid w:val="00E42BE9"/>
    <w:rsid w:val="00E43AB4"/>
    <w:rsid w:val="00E528EB"/>
    <w:rsid w:val="00E53A1B"/>
    <w:rsid w:val="00E6000D"/>
    <w:rsid w:val="00E617C3"/>
    <w:rsid w:val="00E640C1"/>
    <w:rsid w:val="00E644DC"/>
    <w:rsid w:val="00E64C80"/>
    <w:rsid w:val="00E71A2F"/>
    <w:rsid w:val="00E7530C"/>
    <w:rsid w:val="00E76EF6"/>
    <w:rsid w:val="00E812BF"/>
    <w:rsid w:val="00E82C43"/>
    <w:rsid w:val="00E84566"/>
    <w:rsid w:val="00E910DD"/>
    <w:rsid w:val="00E941D8"/>
    <w:rsid w:val="00E95A57"/>
    <w:rsid w:val="00E962AA"/>
    <w:rsid w:val="00EA6900"/>
    <w:rsid w:val="00EA7299"/>
    <w:rsid w:val="00EB4210"/>
    <w:rsid w:val="00EB4C14"/>
    <w:rsid w:val="00ED1FDD"/>
    <w:rsid w:val="00EE2C6E"/>
    <w:rsid w:val="00EE2EDA"/>
    <w:rsid w:val="00EE3E2F"/>
    <w:rsid w:val="00EE43DB"/>
    <w:rsid w:val="00EE5C4B"/>
    <w:rsid w:val="00EF32D4"/>
    <w:rsid w:val="00EF3C7C"/>
    <w:rsid w:val="00EF4E21"/>
    <w:rsid w:val="00EF7F8D"/>
    <w:rsid w:val="00F0071F"/>
    <w:rsid w:val="00F00E95"/>
    <w:rsid w:val="00F01D90"/>
    <w:rsid w:val="00F11A36"/>
    <w:rsid w:val="00F14F56"/>
    <w:rsid w:val="00F1733D"/>
    <w:rsid w:val="00F215D1"/>
    <w:rsid w:val="00F32CB9"/>
    <w:rsid w:val="00F342DB"/>
    <w:rsid w:val="00F3554E"/>
    <w:rsid w:val="00F426F1"/>
    <w:rsid w:val="00F461DB"/>
    <w:rsid w:val="00F47C2A"/>
    <w:rsid w:val="00F50018"/>
    <w:rsid w:val="00F555C7"/>
    <w:rsid w:val="00F55D7E"/>
    <w:rsid w:val="00F57244"/>
    <w:rsid w:val="00F60F72"/>
    <w:rsid w:val="00F65992"/>
    <w:rsid w:val="00F65A8D"/>
    <w:rsid w:val="00F6643B"/>
    <w:rsid w:val="00F72027"/>
    <w:rsid w:val="00F723FF"/>
    <w:rsid w:val="00F778FE"/>
    <w:rsid w:val="00F8138F"/>
    <w:rsid w:val="00F82E00"/>
    <w:rsid w:val="00F9014C"/>
    <w:rsid w:val="00FA5B0F"/>
    <w:rsid w:val="00FA62BA"/>
    <w:rsid w:val="00FB154D"/>
    <w:rsid w:val="00FB360A"/>
    <w:rsid w:val="00FD2900"/>
    <w:rsid w:val="00FD2CBE"/>
    <w:rsid w:val="00FD2CC0"/>
    <w:rsid w:val="00FD4246"/>
    <w:rsid w:val="00FE111F"/>
    <w:rsid w:val="00FE6DE7"/>
    <w:rsid w:val="00FE6FEE"/>
    <w:rsid w:val="00FE7EC9"/>
    <w:rsid w:val="00FF2FE7"/>
    <w:rsid w:val="00FF3DB6"/>
    <w:rsid w:val="00FF4956"/>
    <w:rsid w:val="00FF573D"/>
    <w:rsid w:val="00FF5914"/>
    <w:rsid w:val="00FF7C36"/>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340"/>
    <w:rPr>
      <w:rFonts w:ascii="Times New Roman" w:eastAsia="Arial" w:hAnsi="Times New Roman" w:cs="Times New Roman"/>
      <w:sz w:val="28"/>
    </w:rPr>
  </w:style>
  <w:style w:type="paragraph" w:styleId="Heading2">
    <w:name w:val="heading 2"/>
    <w:basedOn w:val="Normal"/>
    <w:next w:val="Normal"/>
    <w:link w:val="Heading2Char"/>
    <w:qFormat/>
    <w:rsid w:val="00880CDB"/>
    <w:pPr>
      <w:keepNext/>
      <w:numPr>
        <w:ilvl w:val="1"/>
        <w:numId w:val="2"/>
      </w:numPr>
      <w:spacing w:before="240" w:after="60" w:line="240" w:lineRule="auto"/>
      <w:outlineLvl w:val="1"/>
    </w:pPr>
    <w:rPr>
      <w:rFonts w:ascii="Arial" w:eastAsia="Times New Roman" w:hAnsi="Arial" w:cs="Arial"/>
      <w:b/>
      <w:bCs/>
      <w:i/>
      <w:iCs/>
      <w:szCs w:val="28"/>
      <w:lang w:val="en-US"/>
    </w:rPr>
  </w:style>
  <w:style w:type="paragraph" w:styleId="Heading3">
    <w:name w:val="heading 3"/>
    <w:basedOn w:val="Normal"/>
    <w:next w:val="Normal"/>
    <w:link w:val="Heading3Char"/>
    <w:qFormat/>
    <w:rsid w:val="00880CDB"/>
    <w:pPr>
      <w:keepNext/>
      <w:numPr>
        <w:ilvl w:val="2"/>
        <w:numId w:val="2"/>
      </w:numPr>
      <w:spacing w:before="240" w:after="60" w:line="240" w:lineRule="auto"/>
      <w:jc w:val="center"/>
      <w:outlineLvl w:val="2"/>
    </w:pPr>
    <w:rPr>
      <w:rFonts w:eastAsia="Times New Roman"/>
      <w:b/>
      <w:bCs/>
      <w:szCs w:val="26"/>
      <w:lang w:val="en-US"/>
    </w:rPr>
  </w:style>
  <w:style w:type="paragraph" w:styleId="Heading4">
    <w:name w:val="heading 4"/>
    <w:basedOn w:val="Normal"/>
    <w:next w:val="Normal"/>
    <w:link w:val="Heading4Char"/>
    <w:qFormat/>
    <w:rsid w:val="00880CDB"/>
    <w:pPr>
      <w:keepNext/>
      <w:numPr>
        <w:ilvl w:val="3"/>
        <w:numId w:val="2"/>
      </w:numPr>
      <w:spacing w:before="240" w:after="60" w:line="240" w:lineRule="auto"/>
      <w:outlineLvl w:val="3"/>
    </w:pPr>
    <w:rPr>
      <w:rFonts w:eastAsia="Times New Roman"/>
      <w:b/>
      <w:bCs/>
      <w:szCs w:val="28"/>
      <w:lang w:val="en-US"/>
    </w:rPr>
  </w:style>
  <w:style w:type="paragraph" w:styleId="Heading6">
    <w:name w:val="heading 6"/>
    <w:basedOn w:val="Normal"/>
    <w:next w:val="Normal"/>
    <w:link w:val="Heading6Char"/>
    <w:qFormat/>
    <w:rsid w:val="00880CDB"/>
    <w:pPr>
      <w:numPr>
        <w:ilvl w:val="5"/>
        <w:numId w:val="2"/>
      </w:numPr>
      <w:spacing w:before="240" w:after="60" w:line="240" w:lineRule="auto"/>
      <w:outlineLvl w:val="5"/>
    </w:pPr>
    <w:rPr>
      <w:rFonts w:eastAsia="Times New Roman"/>
      <w:b/>
      <w:bCs/>
      <w:sz w:val="22"/>
      <w:lang w:val="en-US"/>
    </w:rPr>
  </w:style>
  <w:style w:type="paragraph" w:styleId="Heading7">
    <w:name w:val="heading 7"/>
    <w:aliases w:val=" Char"/>
    <w:basedOn w:val="Normal"/>
    <w:next w:val="Normal"/>
    <w:link w:val="Heading7Char"/>
    <w:qFormat/>
    <w:rsid w:val="00880CDB"/>
    <w:pPr>
      <w:numPr>
        <w:ilvl w:val="6"/>
        <w:numId w:val="2"/>
      </w:numPr>
      <w:spacing w:before="240" w:after="60" w:line="240" w:lineRule="auto"/>
      <w:outlineLvl w:val="6"/>
    </w:pPr>
    <w:rPr>
      <w:rFonts w:eastAsia="Times New Roman"/>
      <w:sz w:val="24"/>
      <w:szCs w:val="24"/>
      <w:lang w:val="en-US"/>
    </w:rPr>
  </w:style>
  <w:style w:type="paragraph" w:styleId="Heading8">
    <w:name w:val="heading 8"/>
    <w:basedOn w:val="Normal"/>
    <w:next w:val="Normal"/>
    <w:link w:val="Heading8Char"/>
    <w:qFormat/>
    <w:rsid w:val="00880CDB"/>
    <w:pPr>
      <w:numPr>
        <w:ilvl w:val="7"/>
        <w:numId w:val="2"/>
      </w:numPr>
      <w:spacing w:before="240" w:after="60" w:line="240" w:lineRule="auto"/>
      <w:outlineLvl w:val="7"/>
    </w:pPr>
    <w:rPr>
      <w:rFonts w:eastAsia="Times New Roman"/>
      <w:i/>
      <w:iCs/>
      <w:sz w:val="24"/>
      <w:szCs w:val="24"/>
      <w:lang w:val="en-US"/>
    </w:rPr>
  </w:style>
  <w:style w:type="paragraph" w:styleId="Heading9">
    <w:name w:val="heading 9"/>
    <w:basedOn w:val="Normal"/>
    <w:next w:val="Normal"/>
    <w:link w:val="Heading9Char"/>
    <w:qFormat/>
    <w:rsid w:val="00880CDB"/>
    <w:pPr>
      <w:numPr>
        <w:ilvl w:val="8"/>
        <w:numId w:val="2"/>
      </w:numPr>
      <w:spacing w:before="240" w:after="60" w:line="240" w:lineRule="auto"/>
      <w:outlineLvl w:val="8"/>
    </w:pPr>
    <w:rPr>
      <w:rFonts w:ascii="Arial" w:eastAsia="Times New Roman" w:hAnsi="Arial" w:cs="Arial"/>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
    <w:name w:val="normal-p"/>
    <w:basedOn w:val="Normal"/>
    <w:rsid w:val="00852340"/>
    <w:pPr>
      <w:spacing w:after="0" w:line="240" w:lineRule="auto"/>
    </w:pPr>
    <w:rPr>
      <w:rFonts w:eastAsia="Times New Roman"/>
      <w:sz w:val="20"/>
      <w:szCs w:val="20"/>
      <w:lang w:val="en-US"/>
    </w:rPr>
  </w:style>
  <w:style w:type="paragraph" w:styleId="ListParagraph">
    <w:name w:val="List Paragraph"/>
    <w:aliases w:val="bullet 1,bullet,List Paragraph1,List Paragraph11,List Paragraph12,List Paragraph2,Thang2,Bullet 1,bullet 2,List Paragraph111,Dot 1,Level 2,VNA - List Paragraph,1.,Table Sequence,Colorful List - Accent 11,list 123,Lít bullet 2,H1,BẢNG,Norm"/>
    <w:basedOn w:val="Normal"/>
    <w:link w:val="ListParagraphChar"/>
    <w:uiPriority w:val="34"/>
    <w:qFormat/>
    <w:rsid w:val="00852340"/>
    <w:pPr>
      <w:spacing w:after="0" w:line="240" w:lineRule="auto"/>
      <w:ind w:left="720"/>
      <w:contextualSpacing/>
    </w:pPr>
    <w:rPr>
      <w:rFonts w:eastAsia="Times New Roman"/>
      <w:sz w:val="24"/>
      <w:szCs w:val="24"/>
      <w:lang w:val="en-US"/>
    </w:rPr>
  </w:style>
  <w:style w:type="paragraph" w:styleId="Footer">
    <w:name w:val="footer"/>
    <w:basedOn w:val="Normal"/>
    <w:link w:val="FooterChar"/>
    <w:uiPriority w:val="99"/>
    <w:rsid w:val="00852340"/>
    <w:pPr>
      <w:tabs>
        <w:tab w:val="center" w:pos="4320"/>
        <w:tab w:val="right" w:pos="8640"/>
      </w:tabs>
    </w:pPr>
  </w:style>
  <w:style w:type="character" w:customStyle="1" w:styleId="FooterChar">
    <w:name w:val="Footer Char"/>
    <w:basedOn w:val="DefaultParagraphFont"/>
    <w:link w:val="Footer"/>
    <w:uiPriority w:val="99"/>
    <w:rsid w:val="00852340"/>
    <w:rPr>
      <w:rFonts w:ascii="Times New Roman" w:eastAsia="Arial" w:hAnsi="Times New Roman" w:cs="Times New Roman"/>
      <w:sz w:val="28"/>
    </w:rPr>
  </w:style>
  <w:style w:type="character" w:styleId="PageNumber">
    <w:name w:val="page number"/>
    <w:basedOn w:val="DefaultParagraphFont"/>
    <w:rsid w:val="00852340"/>
  </w:style>
  <w:style w:type="character" w:customStyle="1" w:styleId="Heading2Char">
    <w:name w:val="Heading 2 Char"/>
    <w:basedOn w:val="DefaultParagraphFont"/>
    <w:link w:val="Heading2"/>
    <w:rsid w:val="00880CDB"/>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880CDB"/>
    <w:rPr>
      <w:rFonts w:ascii="Times New Roman" w:eastAsia="Times New Roman" w:hAnsi="Times New Roman" w:cs="Times New Roman"/>
      <w:b/>
      <w:bCs/>
      <w:sz w:val="28"/>
      <w:szCs w:val="26"/>
      <w:lang w:val="en-US"/>
    </w:rPr>
  </w:style>
  <w:style w:type="character" w:customStyle="1" w:styleId="Heading4Char">
    <w:name w:val="Heading 4 Char"/>
    <w:basedOn w:val="DefaultParagraphFont"/>
    <w:link w:val="Heading4"/>
    <w:rsid w:val="00880CDB"/>
    <w:rPr>
      <w:rFonts w:ascii="Times New Roman" w:eastAsia="Times New Roman" w:hAnsi="Times New Roman" w:cs="Times New Roman"/>
      <w:b/>
      <w:bCs/>
      <w:sz w:val="28"/>
      <w:szCs w:val="28"/>
      <w:lang w:val="en-US"/>
    </w:rPr>
  </w:style>
  <w:style w:type="character" w:customStyle="1" w:styleId="Heading6Char">
    <w:name w:val="Heading 6 Char"/>
    <w:basedOn w:val="DefaultParagraphFont"/>
    <w:link w:val="Heading6"/>
    <w:rsid w:val="00880CDB"/>
    <w:rPr>
      <w:rFonts w:ascii="Times New Roman" w:eastAsia="Times New Roman" w:hAnsi="Times New Roman" w:cs="Times New Roman"/>
      <w:b/>
      <w:bCs/>
      <w:lang w:val="en-US"/>
    </w:rPr>
  </w:style>
  <w:style w:type="character" w:customStyle="1" w:styleId="Heading7Char">
    <w:name w:val="Heading 7 Char"/>
    <w:aliases w:val=" Char Char"/>
    <w:basedOn w:val="DefaultParagraphFont"/>
    <w:link w:val="Heading7"/>
    <w:rsid w:val="00880CDB"/>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880CDB"/>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880CDB"/>
    <w:rPr>
      <w:rFonts w:ascii="Arial" w:eastAsia="Times New Roman" w:hAnsi="Arial" w:cs="Arial"/>
      <w:lang w:val="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single space,fn,footnote text"/>
    <w:basedOn w:val="Normal"/>
    <w:link w:val="FootnoteTextChar"/>
    <w:unhideWhenUsed/>
    <w:qFormat/>
    <w:rsid w:val="00C74E1F"/>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 Char1,Footnote Text Char Char Char Char Char Char Ch Char Char Char Char,Footnote Text Char Char Char Char Char Char Ch Char Char Char1"/>
    <w:basedOn w:val="DefaultParagraphFont"/>
    <w:link w:val="FootnoteText"/>
    <w:qFormat/>
    <w:rsid w:val="00C74E1F"/>
    <w:rPr>
      <w:rFonts w:ascii="Times New Roman" w:eastAsia="Arial" w:hAnsi="Times New Roman" w:cs="Times New Roman"/>
      <w:sz w:val="20"/>
      <w:szCs w:val="20"/>
    </w:rPr>
  </w:style>
  <w:style w:type="character" w:styleId="FootnoteReference">
    <w:name w:val="footnote reference"/>
    <w:aliases w:val="Footnote,Footnote text,ftref,BearingPoint,16 Point,Superscript 6 Point,fr,Footnote Text1,f,(NECG) Footnote Reference,BVI fnr,footnote ref,Ref,de nota al pie,Footnote + Arial,10 pt,Black,Footnote Text11,10 p,SUPERS,f1, BVI fnr,Re,10,R"/>
    <w:basedOn w:val="DefaultParagraphFont"/>
    <w:link w:val="CharChar1CharCharCharChar1CharCharCharCharCharCharCharChar"/>
    <w:uiPriority w:val="99"/>
    <w:unhideWhenUsed/>
    <w:qFormat/>
    <w:rsid w:val="00C74E1F"/>
    <w:rPr>
      <w:vertAlign w:val="superscript"/>
    </w:rPr>
  </w:style>
  <w:style w:type="paragraph" w:styleId="BalloonText">
    <w:name w:val="Balloon Text"/>
    <w:basedOn w:val="Normal"/>
    <w:link w:val="BalloonTextChar"/>
    <w:uiPriority w:val="99"/>
    <w:semiHidden/>
    <w:unhideWhenUsed/>
    <w:rsid w:val="00307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12"/>
    <w:rPr>
      <w:rFonts w:ascii="Tahoma" w:eastAsia="Arial" w:hAnsi="Tahoma" w:cs="Tahoma"/>
      <w:sz w:val="16"/>
      <w:szCs w:val="16"/>
    </w:rPr>
  </w:style>
  <w:style w:type="paragraph" w:styleId="Header">
    <w:name w:val="header"/>
    <w:basedOn w:val="Normal"/>
    <w:link w:val="HeaderChar"/>
    <w:uiPriority w:val="99"/>
    <w:unhideWhenUsed/>
    <w:rsid w:val="00967B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BC8"/>
    <w:rPr>
      <w:rFonts w:ascii="Times New Roman" w:eastAsia="Arial" w:hAnsi="Times New Roman" w:cs="Times New Roman"/>
      <w:sz w:val="28"/>
    </w:rPr>
  </w:style>
  <w:style w:type="character" w:customStyle="1" w:styleId="ListParagraphChar">
    <w:name w:val="List Paragraph Char"/>
    <w:aliases w:val="bullet 1 Char,bullet Char,List Paragraph1 Char,List Paragraph11 Char,List Paragraph12 Char,List Paragraph2 Char,Thang2 Char,Bullet 1 Char,bullet 2 Char,List Paragraph111 Char,Dot 1 Char,Level 2 Char,VNA - List Paragraph Char,1. Char"/>
    <w:link w:val="ListParagraph"/>
    <w:uiPriority w:val="34"/>
    <w:locked/>
    <w:rsid w:val="00DD4D97"/>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D51ADE"/>
    <w:pPr>
      <w:spacing w:before="100" w:beforeAutospacing="1" w:after="100" w:afterAutospacing="1" w:line="240" w:lineRule="auto"/>
    </w:pPr>
    <w:rPr>
      <w:rFonts w:eastAsia="Times New Roman"/>
      <w:sz w:val="24"/>
      <w:szCs w:val="24"/>
      <w:lang w:eastAsia="vi-VN"/>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link w:val="FootnoteReference"/>
    <w:uiPriority w:val="99"/>
    <w:qFormat/>
    <w:rsid w:val="00F47C2A"/>
    <w:pPr>
      <w:spacing w:after="160" w:line="240" w:lineRule="exact"/>
    </w:pPr>
    <w:rPr>
      <w:rFonts w:asciiTheme="minorHAnsi" w:eastAsiaTheme="minorHAnsi" w:hAnsiTheme="minorHAnsi" w:cstheme="minorBidi"/>
      <w:sz w:val="22"/>
      <w:vertAlign w:val="superscript"/>
    </w:rPr>
  </w:style>
  <w:style w:type="table" w:styleId="TableGrid">
    <w:name w:val="Table Grid"/>
    <w:basedOn w:val="TableNormal"/>
    <w:uiPriority w:val="39"/>
    <w:rsid w:val="007D081F"/>
    <w:pPr>
      <w:spacing w:after="0" w:line="240" w:lineRule="auto"/>
    </w:pPr>
    <w:rPr>
      <w:kern w:val="2"/>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3E04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340"/>
    <w:rPr>
      <w:rFonts w:ascii="Times New Roman" w:eastAsia="Arial" w:hAnsi="Times New Roman" w:cs="Times New Roman"/>
      <w:sz w:val="28"/>
    </w:rPr>
  </w:style>
  <w:style w:type="paragraph" w:styleId="Heading2">
    <w:name w:val="heading 2"/>
    <w:basedOn w:val="Normal"/>
    <w:next w:val="Normal"/>
    <w:link w:val="Heading2Char"/>
    <w:qFormat/>
    <w:rsid w:val="00880CDB"/>
    <w:pPr>
      <w:keepNext/>
      <w:numPr>
        <w:ilvl w:val="1"/>
        <w:numId w:val="2"/>
      </w:numPr>
      <w:spacing w:before="240" w:after="60" w:line="240" w:lineRule="auto"/>
      <w:outlineLvl w:val="1"/>
    </w:pPr>
    <w:rPr>
      <w:rFonts w:ascii="Arial" w:eastAsia="Times New Roman" w:hAnsi="Arial" w:cs="Arial"/>
      <w:b/>
      <w:bCs/>
      <w:i/>
      <w:iCs/>
      <w:szCs w:val="28"/>
      <w:lang w:val="en-US"/>
    </w:rPr>
  </w:style>
  <w:style w:type="paragraph" w:styleId="Heading3">
    <w:name w:val="heading 3"/>
    <w:basedOn w:val="Normal"/>
    <w:next w:val="Normal"/>
    <w:link w:val="Heading3Char"/>
    <w:qFormat/>
    <w:rsid w:val="00880CDB"/>
    <w:pPr>
      <w:keepNext/>
      <w:numPr>
        <w:ilvl w:val="2"/>
        <w:numId w:val="2"/>
      </w:numPr>
      <w:spacing w:before="240" w:after="60" w:line="240" w:lineRule="auto"/>
      <w:jc w:val="center"/>
      <w:outlineLvl w:val="2"/>
    </w:pPr>
    <w:rPr>
      <w:rFonts w:eastAsia="Times New Roman"/>
      <w:b/>
      <w:bCs/>
      <w:szCs w:val="26"/>
      <w:lang w:val="en-US"/>
    </w:rPr>
  </w:style>
  <w:style w:type="paragraph" w:styleId="Heading4">
    <w:name w:val="heading 4"/>
    <w:basedOn w:val="Normal"/>
    <w:next w:val="Normal"/>
    <w:link w:val="Heading4Char"/>
    <w:qFormat/>
    <w:rsid w:val="00880CDB"/>
    <w:pPr>
      <w:keepNext/>
      <w:numPr>
        <w:ilvl w:val="3"/>
        <w:numId w:val="2"/>
      </w:numPr>
      <w:spacing w:before="240" w:after="60" w:line="240" w:lineRule="auto"/>
      <w:outlineLvl w:val="3"/>
    </w:pPr>
    <w:rPr>
      <w:rFonts w:eastAsia="Times New Roman"/>
      <w:b/>
      <w:bCs/>
      <w:szCs w:val="28"/>
      <w:lang w:val="en-US"/>
    </w:rPr>
  </w:style>
  <w:style w:type="paragraph" w:styleId="Heading6">
    <w:name w:val="heading 6"/>
    <w:basedOn w:val="Normal"/>
    <w:next w:val="Normal"/>
    <w:link w:val="Heading6Char"/>
    <w:qFormat/>
    <w:rsid w:val="00880CDB"/>
    <w:pPr>
      <w:numPr>
        <w:ilvl w:val="5"/>
        <w:numId w:val="2"/>
      </w:numPr>
      <w:spacing w:before="240" w:after="60" w:line="240" w:lineRule="auto"/>
      <w:outlineLvl w:val="5"/>
    </w:pPr>
    <w:rPr>
      <w:rFonts w:eastAsia="Times New Roman"/>
      <w:b/>
      <w:bCs/>
      <w:sz w:val="22"/>
      <w:lang w:val="en-US"/>
    </w:rPr>
  </w:style>
  <w:style w:type="paragraph" w:styleId="Heading7">
    <w:name w:val="heading 7"/>
    <w:aliases w:val=" Char"/>
    <w:basedOn w:val="Normal"/>
    <w:next w:val="Normal"/>
    <w:link w:val="Heading7Char"/>
    <w:qFormat/>
    <w:rsid w:val="00880CDB"/>
    <w:pPr>
      <w:numPr>
        <w:ilvl w:val="6"/>
        <w:numId w:val="2"/>
      </w:numPr>
      <w:spacing w:before="240" w:after="60" w:line="240" w:lineRule="auto"/>
      <w:outlineLvl w:val="6"/>
    </w:pPr>
    <w:rPr>
      <w:rFonts w:eastAsia="Times New Roman"/>
      <w:sz w:val="24"/>
      <w:szCs w:val="24"/>
      <w:lang w:val="en-US"/>
    </w:rPr>
  </w:style>
  <w:style w:type="paragraph" w:styleId="Heading8">
    <w:name w:val="heading 8"/>
    <w:basedOn w:val="Normal"/>
    <w:next w:val="Normal"/>
    <w:link w:val="Heading8Char"/>
    <w:qFormat/>
    <w:rsid w:val="00880CDB"/>
    <w:pPr>
      <w:numPr>
        <w:ilvl w:val="7"/>
        <w:numId w:val="2"/>
      </w:numPr>
      <w:spacing w:before="240" w:after="60" w:line="240" w:lineRule="auto"/>
      <w:outlineLvl w:val="7"/>
    </w:pPr>
    <w:rPr>
      <w:rFonts w:eastAsia="Times New Roman"/>
      <w:i/>
      <w:iCs/>
      <w:sz w:val="24"/>
      <w:szCs w:val="24"/>
      <w:lang w:val="en-US"/>
    </w:rPr>
  </w:style>
  <w:style w:type="paragraph" w:styleId="Heading9">
    <w:name w:val="heading 9"/>
    <w:basedOn w:val="Normal"/>
    <w:next w:val="Normal"/>
    <w:link w:val="Heading9Char"/>
    <w:qFormat/>
    <w:rsid w:val="00880CDB"/>
    <w:pPr>
      <w:numPr>
        <w:ilvl w:val="8"/>
        <w:numId w:val="2"/>
      </w:numPr>
      <w:spacing w:before="240" w:after="60" w:line="240" w:lineRule="auto"/>
      <w:outlineLvl w:val="8"/>
    </w:pPr>
    <w:rPr>
      <w:rFonts w:ascii="Arial" w:eastAsia="Times New Roman" w:hAnsi="Arial" w:cs="Arial"/>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
    <w:name w:val="normal-p"/>
    <w:basedOn w:val="Normal"/>
    <w:rsid w:val="00852340"/>
    <w:pPr>
      <w:spacing w:after="0" w:line="240" w:lineRule="auto"/>
    </w:pPr>
    <w:rPr>
      <w:rFonts w:eastAsia="Times New Roman"/>
      <w:sz w:val="20"/>
      <w:szCs w:val="20"/>
      <w:lang w:val="en-US"/>
    </w:rPr>
  </w:style>
  <w:style w:type="paragraph" w:styleId="ListParagraph">
    <w:name w:val="List Paragraph"/>
    <w:aliases w:val="bullet 1,bullet,List Paragraph1,List Paragraph11,List Paragraph12,List Paragraph2,Thang2,Bullet 1,bullet 2,List Paragraph111,Dot 1,Level 2,VNA - List Paragraph,1.,Table Sequence,Colorful List - Accent 11,list 123,Lít bullet 2,H1,BẢNG,Norm"/>
    <w:basedOn w:val="Normal"/>
    <w:link w:val="ListParagraphChar"/>
    <w:uiPriority w:val="34"/>
    <w:qFormat/>
    <w:rsid w:val="00852340"/>
    <w:pPr>
      <w:spacing w:after="0" w:line="240" w:lineRule="auto"/>
      <w:ind w:left="720"/>
      <w:contextualSpacing/>
    </w:pPr>
    <w:rPr>
      <w:rFonts w:eastAsia="Times New Roman"/>
      <w:sz w:val="24"/>
      <w:szCs w:val="24"/>
      <w:lang w:val="en-US"/>
    </w:rPr>
  </w:style>
  <w:style w:type="paragraph" w:styleId="Footer">
    <w:name w:val="footer"/>
    <w:basedOn w:val="Normal"/>
    <w:link w:val="FooterChar"/>
    <w:uiPriority w:val="99"/>
    <w:rsid w:val="00852340"/>
    <w:pPr>
      <w:tabs>
        <w:tab w:val="center" w:pos="4320"/>
        <w:tab w:val="right" w:pos="8640"/>
      </w:tabs>
    </w:pPr>
  </w:style>
  <w:style w:type="character" w:customStyle="1" w:styleId="FooterChar">
    <w:name w:val="Footer Char"/>
    <w:basedOn w:val="DefaultParagraphFont"/>
    <w:link w:val="Footer"/>
    <w:uiPriority w:val="99"/>
    <w:rsid w:val="00852340"/>
    <w:rPr>
      <w:rFonts w:ascii="Times New Roman" w:eastAsia="Arial" w:hAnsi="Times New Roman" w:cs="Times New Roman"/>
      <w:sz w:val="28"/>
    </w:rPr>
  </w:style>
  <w:style w:type="character" w:styleId="PageNumber">
    <w:name w:val="page number"/>
    <w:basedOn w:val="DefaultParagraphFont"/>
    <w:rsid w:val="00852340"/>
  </w:style>
  <w:style w:type="character" w:customStyle="1" w:styleId="Heading2Char">
    <w:name w:val="Heading 2 Char"/>
    <w:basedOn w:val="DefaultParagraphFont"/>
    <w:link w:val="Heading2"/>
    <w:rsid w:val="00880CDB"/>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880CDB"/>
    <w:rPr>
      <w:rFonts w:ascii="Times New Roman" w:eastAsia="Times New Roman" w:hAnsi="Times New Roman" w:cs="Times New Roman"/>
      <w:b/>
      <w:bCs/>
      <w:sz w:val="28"/>
      <w:szCs w:val="26"/>
      <w:lang w:val="en-US"/>
    </w:rPr>
  </w:style>
  <w:style w:type="character" w:customStyle="1" w:styleId="Heading4Char">
    <w:name w:val="Heading 4 Char"/>
    <w:basedOn w:val="DefaultParagraphFont"/>
    <w:link w:val="Heading4"/>
    <w:rsid w:val="00880CDB"/>
    <w:rPr>
      <w:rFonts w:ascii="Times New Roman" w:eastAsia="Times New Roman" w:hAnsi="Times New Roman" w:cs="Times New Roman"/>
      <w:b/>
      <w:bCs/>
      <w:sz w:val="28"/>
      <w:szCs w:val="28"/>
      <w:lang w:val="en-US"/>
    </w:rPr>
  </w:style>
  <w:style w:type="character" w:customStyle="1" w:styleId="Heading6Char">
    <w:name w:val="Heading 6 Char"/>
    <w:basedOn w:val="DefaultParagraphFont"/>
    <w:link w:val="Heading6"/>
    <w:rsid w:val="00880CDB"/>
    <w:rPr>
      <w:rFonts w:ascii="Times New Roman" w:eastAsia="Times New Roman" w:hAnsi="Times New Roman" w:cs="Times New Roman"/>
      <w:b/>
      <w:bCs/>
      <w:lang w:val="en-US"/>
    </w:rPr>
  </w:style>
  <w:style w:type="character" w:customStyle="1" w:styleId="Heading7Char">
    <w:name w:val="Heading 7 Char"/>
    <w:aliases w:val=" Char Char"/>
    <w:basedOn w:val="DefaultParagraphFont"/>
    <w:link w:val="Heading7"/>
    <w:rsid w:val="00880CDB"/>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880CDB"/>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880CDB"/>
    <w:rPr>
      <w:rFonts w:ascii="Arial" w:eastAsia="Times New Roman" w:hAnsi="Arial" w:cs="Arial"/>
      <w:lang w:val="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single space,fn,footnote text"/>
    <w:basedOn w:val="Normal"/>
    <w:link w:val="FootnoteTextChar"/>
    <w:unhideWhenUsed/>
    <w:qFormat/>
    <w:rsid w:val="00C74E1F"/>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 Char1,Footnote Text Char Char Char Char Char Char Ch Char Char Char Char,Footnote Text Char Char Char Char Char Char Ch Char Char Char1"/>
    <w:basedOn w:val="DefaultParagraphFont"/>
    <w:link w:val="FootnoteText"/>
    <w:qFormat/>
    <w:rsid w:val="00C74E1F"/>
    <w:rPr>
      <w:rFonts w:ascii="Times New Roman" w:eastAsia="Arial" w:hAnsi="Times New Roman" w:cs="Times New Roman"/>
      <w:sz w:val="20"/>
      <w:szCs w:val="20"/>
    </w:rPr>
  </w:style>
  <w:style w:type="character" w:styleId="FootnoteReference">
    <w:name w:val="footnote reference"/>
    <w:aliases w:val="Footnote,Footnote text,ftref,BearingPoint,16 Point,Superscript 6 Point,fr,Footnote Text1,f,(NECG) Footnote Reference,BVI fnr,footnote ref,Ref,de nota al pie,Footnote + Arial,10 pt,Black,Footnote Text11,10 p,SUPERS,f1, BVI fnr,Re,10,R"/>
    <w:basedOn w:val="DefaultParagraphFont"/>
    <w:link w:val="CharChar1CharCharCharChar1CharCharCharCharCharCharCharChar"/>
    <w:uiPriority w:val="99"/>
    <w:unhideWhenUsed/>
    <w:qFormat/>
    <w:rsid w:val="00C74E1F"/>
    <w:rPr>
      <w:vertAlign w:val="superscript"/>
    </w:rPr>
  </w:style>
  <w:style w:type="paragraph" w:styleId="BalloonText">
    <w:name w:val="Balloon Text"/>
    <w:basedOn w:val="Normal"/>
    <w:link w:val="BalloonTextChar"/>
    <w:uiPriority w:val="99"/>
    <w:semiHidden/>
    <w:unhideWhenUsed/>
    <w:rsid w:val="00307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12"/>
    <w:rPr>
      <w:rFonts w:ascii="Tahoma" w:eastAsia="Arial" w:hAnsi="Tahoma" w:cs="Tahoma"/>
      <w:sz w:val="16"/>
      <w:szCs w:val="16"/>
    </w:rPr>
  </w:style>
  <w:style w:type="paragraph" w:styleId="Header">
    <w:name w:val="header"/>
    <w:basedOn w:val="Normal"/>
    <w:link w:val="HeaderChar"/>
    <w:uiPriority w:val="99"/>
    <w:unhideWhenUsed/>
    <w:rsid w:val="00967B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BC8"/>
    <w:rPr>
      <w:rFonts w:ascii="Times New Roman" w:eastAsia="Arial" w:hAnsi="Times New Roman" w:cs="Times New Roman"/>
      <w:sz w:val="28"/>
    </w:rPr>
  </w:style>
  <w:style w:type="character" w:customStyle="1" w:styleId="ListParagraphChar">
    <w:name w:val="List Paragraph Char"/>
    <w:aliases w:val="bullet 1 Char,bullet Char,List Paragraph1 Char,List Paragraph11 Char,List Paragraph12 Char,List Paragraph2 Char,Thang2 Char,Bullet 1 Char,bullet 2 Char,List Paragraph111 Char,Dot 1 Char,Level 2 Char,VNA - List Paragraph Char,1. Char"/>
    <w:link w:val="ListParagraph"/>
    <w:uiPriority w:val="34"/>
    <w:locked/>
    <w:rsid w:val="00DD4D97"/>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D51ADE"/>
    <w:pPr>
      <w:spacing w:before="100" w:beforeAutospacing="1" w:after="100" w:afterAutospacing="1" w:line="240" w:lineRule="auto"/>
    </w:pPr>
    <w:rPr>
      <w:rFonts w:eastAsia="Times New Roman"/>
      <w:sz w:val="24"/>
      <w:szCs w:val="24"/>
      <w:lang w:eastAsia="vi-VN"/>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link w:val="FootnoteReference"/>
    <w:uiPriority w:val="99"/>
    <w:qFormat/>
    <w:rsid w:val="00F47C2A"/>
    <w:pPr>
      <w:spacing w:after="160" w:line="240" w:lineRule="exact"/>
    </w:pPr>
    <w:rPr>
      <w:rFonts w:asciiTheme="minorHAnsi" w:eastAsiaTheme="minorHAnsi" w:hAnsiTheme="minorHAnsi" w:cstheme="minorBidi"/>
      <w:sz w:val="22"/>
      <w:vertAlign w:val="superscript"/>
    </w:rPr>
  </w:style>
  <w:style w:type="table" w:styleId="TableGrid">
    <w:name w:val="Table Grid"/>
    <w:basedOn w:val="TableNormal"/>
    <w:uiPriority w:val="39"/>
    <w:rsid w:val="007D081F"/>
    <w:pPr>
      <w:spacing w:after="0" w:line="240" w:lineRule="auto"/>
    </w:pPr>
    <w:rPr>
      <w:kern w:val="2"/>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3E04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725273">
      <w:bodyDiv w:val="1"/>
      <w:marLeft w:val="0"/>
      <w:marRight w:val="0"/>
      <w:marTop w:val="0"/>
      <w:marBottom w:val="0"/>
      <w:divBdr>
        <w:top w:val="none" w:sz="0" w:space="0" w:color="auto"/>
        <w:left w:val="none" w:sz="0" w:space="0" w:color="auto"/>
        <w:bottom w:val="none" w:sz="0" w:space="0" w:color="auto"/>
        <w:right w:val="none" w:sz="0" w:space="0" w:color="auto"/>
      </w:divBdr>
      <w:divsChild>
        <w:div w:id="213808286">
          <w:marLeft w:val="0"/>
          <w:marRight w:val="0"/>
          <w:marTop w:val="0"/>
          <w:marBottom w:val="0"/>
          <w:divBdr>
            <w:top w:val="none" w:sz="0" w:space="0" w:color="auto"/>
            <w:left w:val="none" w:sz="0" w:space="0" w:color="auto"/>
            <w:bottom w:val="none" w:sz="0" w:space="0" w:color="auto"/>
            <w:right w:val="none" w:sz="0" w:space="0" w:color="auto"/>
          </w:divBdr>
        </w:div>
        <w:div w:id="375014087">
          <w:marLeft w:val="0"/>
          <w:marRight w:val="0"/>
          <w:marTop w:val="0"/>
          <w:marBottom w:val="0"/>
          <w:divBdr>
            <w:top w:val="none" w:sz="0" w:space="0" w:color="auto"/>
            <w:left w:val="none" w:sz="0" w:space="0" w:color="auto"/>
            <w:bottom w:val="none" w:sz="0" w:space="0" w:color="auto"/>
            <w:right w:val="none" w:sz="0" w:space="0" w:color="auto"/>
          </w:divBdr>
        </w:div>
        <w:div w:id="1060598479">
          <w:marLeft w:val="0"/>
          <w:marRight w:val="0"/>
          <w:marTop w:val="0"/>
          <w:marBottom w:val="0"/>
          <w:divBdr>
            <w:top w:val="none" w:sz="0" w:space="0" w:color="auto"/>
            <w:left w:val="none" w:sz="0" w:space="0" w:color="auto"/>
            <w:bottom w:val="none" w:sz="0" w:space="0" w:color="auto"/>
            <w:right w:val="none" w:sz="0" w:space="0" w:color="auto"/>
          </w:divBdr>
        </w:div>
        <w:div w:id="1102215555">
          <w:marLeft w:val="0"/>
          <w:marRight w:val="0"/>
          <w:marTop w:val="0"/>
          <w:marBottom w:val="0"/>
          <w:divBdr>
            <w:top w:val="none" w:sz="0" w:space="0" w:color="auto"/>
            <w:left w:val="none" w:sz="0" w:space="0" w:color="auto"/>
            <w:bottom w:val="none" w:sz="0" w:space="0" w:color="auto"/>
            <w:right w:val="none" w:sz="0" w:space="0" w:color="auto"/>
          </w:divBdr>
        </w:div>
        <w:div w:id="1641963085">
          <w:marLeft w:val="0"/>
          <w:marRight w:val="0"/>
          <w:marTop w:val="0"/>
          <w:marBottom w:val="0"/>
          <w:divBdr>
            <w:top w:val="none" w:sz="0" w:space="0" w:color="auto"/>
            <w:left w:val="none" w:sz="0" w:space="0" w:color="auto"/>
            <w:bottom w:val="none" w:sz="0" w:space="0" w:color="auto"/>
            <w:right w:val="none" w:sz="0" w:space="0" w:color="auto"/>
          </w:divBdr>
        </w:div>
        <w:div w:id="1882783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5478D2C6DD5A4FBCA9633FB76EF110" ma:contentTypeVersion="0" ma:contentTypeDescription="Create a new document." ma:contentTypeScope="" ma:versionID="b6da3576b147be201284a637a4f33b0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11715-40D5-4FB7-B987-341D51FCF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0A540B0-2565-420E-9949-302E4DDC3B2E}">
  <ds:schemaRefs>
    <ds:schemaRef ds:uri="http://schemas.microsoft.com/sharepoint/v3/contenttype/forms"/>
  </ds:schemaRefs>
</ds:datastoreItem>
</file>

<file path=customXml/itemProps3.xml><?xml version="1.0" encoding="utf-8"?>
<ds:datastoreItem xmlns:ds="http://schemas.openxmlformats.org/officeDocument/2006/customXml" ds:itemID="{67F221F4-B0D5-486E-AFB2-066C49DCCA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BA4E97-D449-4296-9ADE-51B799D49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2452</Words>
  <Characters>13977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MinhDiem</cp:lastModifiedBy>
  <cp:revision>2</cp:revision>
  <cp:lastPrinted>2024-03-01T11:58:00Z</cp:lastPrinted>
  <dcterms:created xsi:type="dcterms:W3CDTF">2024-03-05T09:27:00Z</dcterms:created>
  <dcterms:modified xsi:type="dcterms:W3CDTF">2024-03-05T09:27:00Z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0x010100FB5478D2C6DD5A4FBCA9633FB76EF110</vt:lpwstr>
  </property>
</Properties>
</file>