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240" w:lineRule="auto"/>
        <w:jc w:val="center"/>
        <w:rPr>
          <w:rFonts w:ascii="Times New Roman" w:cs="Times New Roman" w:eastAsia="Times New Roman" w:hAnsi="Times New Roman"/>
          <w:b w:val="1"/>
          <w:color w:val="242424"/>
          <w:sz w:val="28"/>
          <w:szCs w:val="28"/>
        </w:rPr>
      </w:pPr>
      <w:r w:rsidDel="00000000" w:rsidR="00000000" w:rsidRPr="00000000">
        <w:rPr>
          <w:rFonts w:ascii="Times New Roman" w:cs="Times New Roman" w:eastAsia="Times New Roman" w:hAnsi="Times New Roman"/>
          <w:b w:val="1"/>
          <w:color w:val="242424"/>
          <w:sz w:val="28"/>
          <w:szCs w:val="28"/>
          <w:rtl w:val="0"/>
        </w:rPr>
        <w:t xml:space="preserve">HỘI THẢO </w:t>
      </w:r>
    </w:p>
    <w:p w:rsidR="00000000" w:rsidDel="00000000" w:rsidP="00000000" w:rsidRDefault="00000000" w:rsidRPr="00000000" w14:paraId="00000002">
      <w:pPr>
        <w:shd w:fill="ffffff" w:val="clear"/>
        <w:spacing w:after="240" w:before="120" w:line="240" w:lineRule="auto"/>
        <w:jc w:val="center"/>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CÔNG BỐ BÁO CÁO “ĐẦU TƯ THEO PHƯƠNG THỨC ĐỐI TÁC CÔNG TƯ TẠI VIỆT NAM HIỆN NAY: RÀO CẢN VÀ GIẢI PHÁP”</w:t>
      </w:r>
    </w:p>
    <w:p w:rsidR="00000000" w:rsidDel="00000000" w:rsidP="00000000" w:rsidRDefault="00000000" w:rsidRPr="00000000" w14:paraId="00000003">
      <w:pPr>
        <w:keepNext w:val="1"/>
        <w:spacing w:after="0" w:line="240" w:lineRule="auto"/>
        <w:jc w:val="center"/>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b w:val="1"/>
          <w:sz w:val="28"/>
          <w:szCs w:val="28"/>
          <w:rtl w:val="0"/>
        </w:rPr>
        <w:t xml:space="preserve">THAM LUẬN</w:t>
      </w:r>
      <w:r w:rsidDel="00000000" w:rsidR="00000000" w:rsidRPr="00000000">
        <w:rPr>
          <w:rtl w:val="0"/>
        </w:rPr>
      </w:r>
    </w:p>
    <w:p w:rsidR="00000000" w:rsidDel="00000000" w:rsidP="00000000" w:rsidRDefault="00000000" w:rsidRPr="00000000" w14:paraId="00000004">
      <w:pPr>
        <w:shd w:fill="ffffff" w:val="clear"/>
        <w:spacing w:after="240" w:before="120" w:line="240" w:lineRule="auto"/>
        <w:jc w:val="center"/>
        <w:rPr>
          <w:rFonts w:ascii="Times New Roman" w:cs="Times New Roman" w:eastAsia="Times New Roman" w:hAnsi="Times New Roman"/>
          <w:b w:val="1"/>
          <w:color w:val="242424"/>
          <w:sz w:val="28"/>
          <w:szCs w:val="28"/>
        </w:rPr>
      </w:pPr>
      <w:r w:rsidDel="00000000" w:rsidR="00000000" w:rsidRPr="00000000">
        <w:rPr>
          <w:rFonts w:ascii="Times New Roman" w:cs="Times New Roman" w:eastAsia="Times New Roman" w:hAnsi="Times New Roman"/>
          <w:b w:val="1"/>
          <w:color w:val="242424"/>
          <w:sz w:val="28"/>
          <w:szCs w:val="28"/>
          <w:rtl w:val="0"/>
        </w:rPr>
        <w:t xml:space="preserve">THÚC ĐẨY ĐẦU TƯ PPP TỪ GÓC NHÌN CƠ CHẾ CHIA SẺ RỦI RO</w:t>
      </w:r>
    </w:p>
    <w:p w:rsidR="00000000" w:rsidDel="00000000" w:rsidP="00000000" w:rsidRDefault="00000000" w:rsidRPr="00000000" w14:paraId="00000005">
      <w:pPr>
        <w:shd w:fill="ffffff" w:val="clear"/>
        <w:spacing w:after="0" w:before="0" w:line="240" w:lineRule="auto"/>
        <w:jc w:val="right"/>
        <w:rPr>
          <w:rFonts w:ascii="Times New Roman" w:cs="Times New Roman" w:eastAsia="Times New Roman" w:hAnsi="Times New Roman"/>
          <w:b w:val="1"/>
          <w:i w:val="1"/>
          <w:color w:val="242424"/>
          <w:sz w:val="28"/>
          <w:szCs w:val="28"/>
        </w:rPr>
      </w:pPr>
      <w:bookmarkStart w:colFirst="0" w:colLast="0" w:name="_heading=h.gjdgxs" w:id="0"/>
      <w:bookmarkEnd w:id="0"/>
      <w:r w:rsidDel="00000000" w:rsidR="00000000" w:rsidRPr="00000000">
        <w:rPr>
          <w:rFonts w:ascii="Times New Roman" w:cs="Times New Roman" w:eastAsia="Times New Roman" w:hAnsi="Times New Roman"/>
          <w:b w:val="1"/>
          <w:i w:val="1"/>
          <w:color w:val="242424"/>
          <w:sz w:val="28"/>
          <w:szCs w:val="28"/>
          <w:rtl w:val="0"/>
        </w:rPr>
        <w:t xml:space="preserve"> </w:t>
      </w:r>
      <w:r w:rsidDel="00000000" w:rsidR="00000000" w:rsidRPr="00000000">
        <w:rPr>
          <w:rFonts w:ascii="Times New Roman" w:cs="Times New Roman" w:eastAsia="Times New Roman" w:hAnsi="Times New Roman"/>
          <w:b w:val="1"/>
          <w:color w:val="242424"/>
          <w:sz w:val="28"/>
          <w:szCs w:val="28"/>
          <w:rtl w:val="0"/>
        </w:rPr>
        <w:t xml:space="preserve">Ông Lê Nết</w:t>
      </w:r>
      <w:r w:rsidDel="00000000" w:rsidR="00000000" w:rsidRPr="00000000">
        <w:rPr>
          <w:rtl w:val="0"/>
        </w:rPr>
      </w:r>
    </w:p>
    <w:p w:rsidR="00000000" w:rsidDel="00000000" w:rsidP="00000000" w:rsidRDefault="00000000" w:rsidRPr="00000000" w14:paraId="00000006">
      <w:pPr>
        <w:shd w:fill="ffffff" w:val="clear"/>
        <w:spacing w:after="0" w:before="0" w:line="240" w:lineRule="auto"/>
        <w:jc w:val="right"/>
        <w:rPr>
          <w:rFonts w:ascii="Times New Roman" w:cs="Times New Roman" w:eastAsia="Times New Roman" w:hAnsi="Times New Roman"/>
          <w:i w:val="1"/>
          <w:color w:val="242424"/>
          <w:sz w:val="28"/>
          <w:szCs w:val="28"/>
          <w:highlight w:val="white"/>
        </w:rPr>
      </w:pPr>
      <w:bookmarkStart w:colFirst="0" w:colLast="0" w:name="_heading=h.bx4xpqe0mvpo" w:id="1"/>
      <w:bookmarkEnd w:id="1"/>
      <w:r w:rsidDel="00000000" w:rsidR="00000000" w:rsidRPr="00000000">
        <w:rPr>
          <w:rFonts w:ascii="Times New Roman" w:cs="Times New Roman" w:eastAsia="Times New Roman" w:hAnsi="Times New Roman"/>
          <w:i w:val="1"/>
          <w:color w:val="242424"/>
          <w:sz w:val="28"/>
          <w:szCs w:val="28"/>
          <w:highlight w:val="white"/>
          <w:rtl w:val="0"/>
        </w:rPr>
        <w:t xml:space="preserve">Luật sư thành viên, </w:t>
      </w:r>
    </w:p>
    <w:p w:rsidR="00000000" w:rsidDel="00000000" w:rsidP="00000000" w:rsidRDefault="00000000" w:rsidRPr="00000000" w14:paraId="00000007">
      <w:pPr>
        <w:shd w:fill="ffffff" w:val="clear"/>
        <w:spacing w:after="240" w:before="0" w:line="240" w:lineRule="auto"/>
        <w:jc w:val="right"/>
        <w:rPr>
          <w:rFonts w:ascii="Times New Roman" w:cs="Times New Roman" w:eastAsia="Times New Roman" w:hAnsi="Times New Roman"/>
          <w:i w:val="1"/>
          <w:color w:val="242424"/>
          <w:sz w:val="28"/>
          <w:szCs w:val="28"/>
        </w:rPr>
      </w:pPr>
      <w:bookmarkStart w:colFirst="0" w:colLast="0" w:name="_heading=h.z0s38q31p5t3" w:id="2"/>
      <w:bookmarkEnd w:id="2"/>
      <w:r w:rsidDel="00000000" w:rsidR="00000000" w:rsidRPr="00000000">
        <w:rPr>
          <w:rFonts w:ascii="Times New Roman" w:cs="Times New Roman" w:eastAsia="Times New Roman" w:hAnsi="Times New Roman"/>
          <w:i w:val="1"/>
          <w:color w:val="242424"/>
          <w:sz w:val="28"/>
          <w:szCs w:val="28"/>
          <w:highlight w:val="white"/>
          <w:rtl w:val="0"/>
        </w:rPr>
        <w:t xml:space="preserve">Công ty Luật TNHH LNT &amp; Partners</w:t>
      </w:r>
      <w:r w:rsidDel="00000000" w:rsidR="00000000" w:rsidRPr="00000000">
        <w:rPr>
          <w:rtl w:val="0"/>
        </w:rPr>
      </w:r>
    </w:p>
    <w:p w:rsidR="00000000" w:rsidDel="00000000" w:rsidP="00000000" w:rsidRDefault="00000000" w:rsidRPr="00000000" w14:paraId="00000008">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Kính thưa quý vị đại biểu,</w:t>
      </w:r>
    </w:p>
    <w:p w:rsidR="00000000" w:rsidDel="00000000" w:rsidP="00000000" w:rsidRDefault="00000000" w:rsidRPr="00000000" w14:paraId="00000009">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Dự án Đối tác Công tư (PPP) đang trở thành một phương thức quan trọng để phát triển hạ tầng và dịch vụ công cộng trên khắp thế giới, bao gồm Việt Nam. Tuy nhiên, việc nhà nước hỗ trợ trong các dự án PPP cũng đối diện với nhiều khó khăn và thách thức. Dưới đây là một số khía cạnh khó khăn quan trọng:</w:t>
      </w:r>
    </w:p>
    <w:p w:rsidR="00000000" w:rsidDel="00000000" w:rsidP="00000000" w:rsidRDefault="00000000" w:rsidRPr="00000000" w14:paraId="0000000A">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1. Pháp lý và quy định phức tạp: Hệ thống pháp lý và quy định liên quan đến PPP thường phức tạp và thay đổi theo thời gian. Điều này có thể tạo ra rào cản cho việc triển khai dự án và tạo sự bất ổn cho các bên tham gia.</w:t>
      </w:r>
    </w:p>
    <w:p w:rsidR="00000000" w:rsidDel="00000000" w:rsidP="00000000" w:rsidRDefault="00000000" w:rsidRPr="00000000" w14:paraId="0000000B">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2. Nguồn lực tài chính hạn chế: Nhà nước thường phải đảm bảo nguồn lực tài chính cho các dự án PPP, nhưng việc cân nhắc giữa các dự án khác nhau có thể là một thách thức. Nguồn lực có thể hạn chế và đôi khi gây áp lực lên ngân sách quốc gia.</w:t>
      </w:r>
    </w:p>
    <w:p w:rsidR="00000000" w:rsidDel="00000000" w:rsidP="00000000" w:rsidRDefault="00000000" w:rsidRPr="00000000" w14:paraId="0000000C">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3. Rủi ro tài chính và quản lý: Dự án PPP có thể đối diện với rủi ro tài chính và quản lý đáng kể. Chính phủ cần đảm bảo rằng các rủi ro này được quản lý một cách hiệu quả để tránh những tác động tiêu cực đến ngân sách và dự án.</w:t>
      </w:r>
    </w:p>
    <w:p w:rsidR="00000000" w:rsidDel="00000000" w:rsidP="00000000" w:rsidRDefault="00000000" w:rsidRPr="00000000" w14:paraId="0000000D">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4. Kỹ năng và nhân lực: Triển khai dự án PPP đòi hỏi có đủ kỹ năng và nhân lực có kinh nghiệm trong việc quản lý dự án phức tạp và tiềm ẩn rủi ro. Đào tạo và thu hút nhân lực phù hợp có thể là một thách thức.</w:t>
      </w:r>
    </w:p>
    <w:p w:rsidR="00000000" w:rsidDel="00000000" w:rsidP="00000000" w:rsidRDefault="00000000" w:rsidRPr="00000000" w14:paraId="0000000E">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5. Tương tác và giao tiếp: Các bên trong dự án PPP, bao gồm chính phủ, đối tác tư nhân, và cộng đồng, cần phải tương tác và giao tiếp một cách hiệu quả. Việc này có thể đầy khó khăn, đặc biệt khi có sự không rõ ràng trong vai trò và trách nhiệm của mỗi bên.</w:t>
      </w:r>
    </w:p>
    <w:p w:rsidR="00000000" w:rsidDel="00000000" w:rsidP="00000000" w:rsidRDefault="00000000" w:rsidRPr="00000000" w14:paraId="0000000F">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6. Sự thay đổi chính trị và biểu đồ cấp trên: Thay đổi trong chính trị và biểu đồ quyết định cấp trên có thể ảnh hưởng đến việc hỗ trợ dự án PPP. Các dự án có thể bị trì hoãn hoặc thay đổi khi có sự thay đổi trong lãnh đạo chính phủ hoặc chính sách.</w:t>
      </w:r>
    </w:p>
    <w:p w:rsidR="00000000" w:rsidDel="00000000" w:rsidP="00000000" w:rsidRDefault="00000000" w:rsidRPr="00000000" w14:paraId="00000010">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Những khó khăn này không chỉ là thách thức cho nhà nước mà còn yêu cầu sự hợp tác mạnh mẽ và tư duy sáng tạo từ tất cả các bên liên quan. Việc xác định, đánh giá và giải quyết những khó khăn này là quan trọng để đảm bảo tính bền vững và hiệu quả của các dự án PPP.</w:t>
      </w:r>
    </w:p>
    <w:p w:rsidR="00000000" w:rsidDel="00000000" w:rsidP="00000000" w:rsidRDefault="00000000" w:rsidRPr="00000000" w14:paraId="00000011">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Việc nhà nước nên hỗ trợ trong các dự án Đối tác Công tư (PPP) đã được quy định cụ thể trong Luật PPP tại Việt Nam. Dưới đây là một số điểm quan trọng nên bổ sung:</w:t>
      </w:r>
    </w:p>
    <w:p w:rsidR="00000000" w:rsidDel="00000000" w:rsidP="00000000" w:rsidRDefault="00000000" w:rsidRPr="00000000" w14:paraId="00000012">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1. Hỗ trợ tài chính: Luật PPP nên bs quy định rằng nhà nước có thể hỗ trợ tài chính cho các dự án PPP qua việc cung cấp tài trợ vốn, cam kết mua sản phẩm hoặc dịch vụ từ dự án, hoặc thậm chí cung cấp đất ở giá ưu đãi cho dự án.</w:t>
      </w:r>
    </w:p>
    <w:p w:rsidR="00000000" w:rsidDel="00000000" w:rsidP="00000000" w:rsidRDefault="00000000" w:rsidRPr="00000000" w14:paraId="00000013">
      <w:pPr>
        <w:shd w:fill="ffffff" w:val="clear"/>
        <w:spacing w:after="120" w:before="120" w:line="240" w:lineRule="auto"/>
        <w:ind w:firstLine="567"/>
        <w:jc w:val="both"/>
        <w:rPr>
          <w:rFonts w:ascii="Times New Roman" w:cs="Times New Roman" w:eastAsia="Times New Roman" w:hAnsi="Times New Roman"/>
          <w:color w:val="242424"/>
          <w:sz w:val="28"/>
          <w:szCs w:val="28"/>
        </w:rPr>
      </w:pPr>
      <w:r w:rsidDel="00000000" w:rsidR="00000000" w:rsidRPr="00000000">
        <w:rPr>
          <w:rFonts w:ascii="Times New Roman" w:cs="Times New Roman" w:eastAsia="Times New Roman" w:hAnsi="Times New Roman"/>
          <w:color w:val="242424"/>
          <w:sz w:val="28"/>
          <w:szCs w:val="28"/>
          <w:rtl w:val="0"/>
        </w:rPr>
        <w:t xml:space="preserve">2. Quản lý rủi ro: Luật PPP nên yêu cầu nhà nước cùng với đối tác tư nhân xác định, đánh giá, và quản lý rủi ro trong quá trình triển khai dự án PPP. Điều này đảm bảo rằng cả hai bên chịu trách nhiệm trong việc kiểm soát rủi ro và đảm bảo tính bền vững của dự án.</w:t>
      </w:r>
    </w:p>
    <w:p w:rsidR="00000000" w:rsidDel="00000000" w:rsidP="00000000" w:rsidRDefault="00000000" w:rsidRPr="00000000" w14:paraId="00000014">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Cơ chế chia sẻ rủi ro doanh thu, như được quy định tại Điều 82 của Luật Đối tác Công tư (PPP), là một công cụ quan trọng nhằm đảm bảo tính công bằng và bền vững trong các dự án PPP. Tuy nhiên, trong thực tế, cách thức thực hiện cơ chế này có thể gặp khó khăn và tạo sự bất ổn cho các bên liên quan.</w:t>
      </w:r>
    </w:p>
    <w:p w:rsidR="00000000" w:rsidDel="00000000" w:rsidP="00000000" w:rsidRDefault="00000000" w:rsidRPr="00000000" w14:paraId="00000015">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Một trong những điểm quan trọng là việc điều chỉnh giá phí để thể hiện tăng giảm doanh thu. Quá trình này đôi khi mất nhiều thời gian và có thể gây khó khăn cho các đối tác khi đàm phán với ngân hàng hoặc khi Kiểm toán Nhà nước thực hiện kiểm tra. Thêm vào đó, việc xác định và bố trí nguồn dự phòng từ địa phương cũng có thể gặp khó khăn do nguồn lực hạn chế và ưu tiên phải được đặt vào các nhiệm vụ cấp bách khác.</w:t>
      </w:r>
    </w:p>
    <w:p w:rsidR="00000000" w:rsidDel="00000000" w:rsidP="00000000" w:rsidRDefault="00000000" w:rsidRPr="00000000" w14:paraId="00000016">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xuất về việc đơn giản hóa hoặc có hướng dẫn phù hợp hơn về cách chia sẻ rủi ro doanh thu là một ý tưởng quan trọng. Việc làm này có thể bao gồm việc xem xét cách thức tính toán và thực hiện cơ chế chia sẻ một cách hiệu quả hơn, giúp giảm bớt quy trình phức tạp và thời gian đáng kể. Ngoài ra, có thể xem xét các nguồn tài chính hợp pháp khác để đảm bảo tính bền vững cho cơ chế chia sẻ rủi ro doanh thu. Việc này sẽ giúp khắc phục một phần khó khăn trong việc thực hiện cơ chế chia sẻ rủi ro doanh thu trong các dự án PPP tại Việt Nam.</w:t>
      </w:r>
    </w:p>
    <w:p w:rsidR="00000000" w:rsidDel="00000000" w:rsidP="00000000" w:rsidRDefault="00000000" w:rsidRPr="00000000" w14:paraId="00000017">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Để tháo gỡ khó khăn trong việc chia sẻ rủi ro doanh thu trong các dự án Đối tác Công tư (PPP) và tạo điều kiện thuận lợi hơn, có một số gợi ý sau đây:</w:t>
      </w:r>
    </w:p>
    <w:p w:rsidR="00000000" w:rsidDel="00000000" w:rsidP="00000000" w:rsidRDefault="00000000" w:rsidRPr="00000000" w14:paraId="00000018">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Đơn giản hóa quy trình: Tối ưu hóa và đơn giản hóa quy trình kiểm tra và điều chỉnh giá phí dựa trên doanh thu. Điều này có thể giảm thời gian và tài nguyên cần thiết cho việc thực hiện cơ chế chia sẻ rủi ro.</w:t>
      </w:r>
    </w:p>
    <w:p w:rsidR="00000000" w:rsidDel="00000000" w:rsidP="00000000" w:rsidRDefault="00000000" w:rsidRPr="00000000" w14:paraId="00000019">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Đàm phán trước: Đối tác tư nhân và chính phủ có thể đàm phán trước về cách thức tính toán và điều chỉnh giá phí trong trường hợp tăng giảm doanh thu. Điều này có thể giúp đảm bảo tính minh bạch và sự đồng thuận giữa các bên.</w:t>
      </w:r>
    </w:p>
    <w:p w:rsidR="00000000" w:rsidDel="00000000" w:rsidP="00000000" w:rsidRDefault="00000000" w:rsidRPr="00000000" w14:paraId="0000001A">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Xem xét phân phối rủi ro ban đầu: Xem xét cách thức phân phối rủi ro ban đầu giữa chính phủ và đối tác tư nhân. Điều này có thể giúp xác định mức độ chia sẻ rủi ro doanh thu cơ bản.</w:t>
      </w:r>
    </w:p>
    <w:p w:rsidR="00000000" w:rsidDel="00000000" w:rsidP="00000000" w:rsidRDefault="00000000" w:rsidRPr="00000000" w14:paraId="0000001B">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Sử dụng cơ cấu tài chính linh hoạt: Sử dụng cơ cấu tài chính linh hoạt để đảm bảo tính ổn định trong việc bù đắp sụt giảm doanh thu. Các dự án PPP có thể sử dụng quỹ dự phòng, bảo hiểm, hoặc các biện pháp tài chính khác.</w:t>
      </w:r>
    </w:p>
    <w:p w:rsidR="00000000" w:rsidDel="00000000" w:rsidP="00000000" w:rsidRDefault="00000000" w:rsidRPr="00000000" w14:paraId="0000001C">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Đa dạng hóa nguồn tài chính: Khám phá các nguồn tài chính khác ngoài nguồn dự phòng từ địa phương. Điều này có thể bao gồm sử dụng tài trợ quốc tế, vốn đầu tư từ các tổ chức tài chính quốc tế, hoặc kêu gọi đầu tư từ tư nhân khác.</w:t>
      </w:r>
    </w:p>
    <w:p w:rsidR="00000000" w:rsidDel="00000000" w:rsidP="00000000" w:rsidRDefault="00000000" w:rsidRPr="00000000" w14:paraId="0000001D">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Đào tạo và nâng cao nhận thức: Cung cấp đào tạo và nâng cao nhận thức cho các địa phương về lợi ích và tính quan trọng của việc chia sẻ rủi ro doanh thu trong các dự án PPP.</w:t>
      </w:r>
    </w:p>
    <w:p w:rsidR="00000000" w:rsidDel="00000000" w:rsidP="00000000" w:rsidRDefault="00000000" w:rsidRPr="00000000" w14:paraId="0000001E">
      <w:pPr>
        <w:shd w:fill="ffffff" w:val="clear"/>
        <w:spacing w:after="120" w:before="12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Việc kết hợp các biện pháp trên có thể giúp tạo ra môi trường thuận lợi hơn cho việc thực hiện cơ chế chia sẻ rủi ro doanh thu trong các dự án PPP, đồng thời giảm bớt khó khăn cho nhà đầu tư và đối tác tư nhân trong quá trình triển khai.</w:t>
      </w:r>
    </w:p>
    <w:sectPr>
      <w:headerReference r:id="rId7" w:type="default"/>
      <w:pgSz w:h="16838" w:w="11906" w:orient="portrait"/>
      <w:pgMar w:bottom="1021" w:top="1021" w:left="1588"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654A2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54A24"/>
    <w:rPr>
      <w:sz w:val="20"/>
      <w:szCs w:val="20"/>
    </w:rPr>
  </w:style>
  <w:style w:type="character" w:styleId="FootnoteReference">
    <w:name w:val="footnote reference"/>
    <w:basedOn w:val="DefaultParagraphFont"/>
    <w:uiPriority w:val="99"/>
    <w:semiHidden w:val="1"/>
    <w:unhideWhenUsed w:val="1"/>
    <w:rsid w:val="00654A24"/>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ZTVdTqK50CEPm9mwJ5tvXiS63g==">AMUW2mX/TeiGCoEJBHpkn1FD4qSzwBfh3dWctYGNCT/oRNT2pbuxNiSx/ReGbq1TU14azoS7buxuoY3WKcfTWOQEUPF0CtzUXJLS/3d0ZIt6+WVEKYedY6qzPwmVGnsJfSnnsuBS9s8Uk2g8qCHdB18Ni4uPJs944IclB9RcI/s7pfqDZIl+NNM=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2023-11-07T02:03:00Z</dcterms:created>
  <dc:creator>Vu Thu Trang</dc:creator>
</cp:coreProperties>
</file>