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2679" w14:textId="5CAEED16" w:rsidR="00485986" w:rsidRDefault="00AC56B0" w:rsidP="00963F88">
      <w:pPr>
        <w:spacing w:before="60" w:after="120" w:line="320" w:lineRule="exact"/>
        <w:jc w:val="center"/>
        <w:rPr>
          <w:rFonts w:ascii="Times New Roman" w:hAnsi="Times New Roman" w:cs="Times New Roman"/>
          <w:b/>
          <w:bCs/>
          <w:sz w:val="28"/>
          <w:szCs w:val="28"/>
        </w:rPr>
      </w:pPr>
      <w:r w:rsidRPr="003174C0">
        <w:rPr>
          <w:rFonts w:ascii="Times New Roman" w:hAnsi="Times New Roman" w:cs="Times New Roman"/>
          <w:b/>
          <w:bCs/>
          <w:sz w:val="28"/>
          <w:szCs w:val="28"/>
        </w:rPr>
        <w:t>Ý KIẾN</w:t>
      </w:r>
      <w:r w:rsidR="005D364D" w:rsidRPr="003174C0">
        <w:rPr>
          <w:rFonts w:ascii="Times New Roman" w:hAnsi="Times New Roman" w:cs="Times New Roman"/>
          <w:b/>
          <w:bCs/>
          <w:sz w:val="28"/>
          <w:szCs w:val="28"/>
        </w:rPr>
        <w:t xml:space="preserve"> GÓP Ý VỀ</w:t>
      </w:r>
      <w:r w:rsidRPr="003174C0">
        <w:rPr>
          <w:rFonts w:ascii="Times New Roman" w:hAnsi="Times New Roman" w:cs="Times New Roman"/>
          <w:b/>
          <w:bCs/>
          <w:sz w:val="28"/>
          <w:szCs w:val="28"/>
        </w:rPr>
        <w:t xml:space="preserve"> DỰ THẢO</w:t>
      </w:r>
      <w:r w:rsidR="006778CE">
        <w:rPr>
          <w:rFonts w:ascii="Times New Roman" w:hAnsi="Times New Roman" w:cs="Times New Roman"/>
          <w:b/>
          <w:bCs/>
          <w:sz w:val="28"/>
          <w:szCs w:val="28"/>
        </w:rPr>
        <w:t xml:space="preserve"> THÔNG TƯ HƯỚNG DẪN </w:t>
      </w:r>
      <w:r w:rsidRPr="003174C0">
        <w:rPr>
          <w:rFonts w:ascii="Times New Roman" w:hAnsi="Times New Roman" w:cs="Times New Roman"/>
          <w:b/>
          <w:bCs/>
          <w:sz w:val="28"/>
          <w:szCs w:val="28"/>
        </w:rPr>
        <w:t xml:space="preserve"> LUẬT ĐẤU THẦU</w:t>
      </w:r>
      <w:r w:rsidR="006778CE">
        <w:rPr>
          <w:rFonts w:ascii="Times New Roman" w:hAnsi="Times New Roman" w:cs="Times New Roman"/>
          <w:b/>
          <w:bCs/>
          <w:sz w:val="28"/>
          <w:szCs w:val="28"/>
        </w:rPr>
        <w:t xml:space="preserve"> 2023</w:t>
      </w:r>
    </w:p>
    <w:p w14:paraId="326D58A7" w14:textId="03B98087" w:rsidR="00E04157" w:rsidRPr="00AB67DE" w:rsidRDefault="000972CA" w:rsidP="00963F88">
      <w:pPr>
        <w:spacing w:before="60" w:after="120" w:line="320" w:lineRule="exact"/>
        <w:jc w:val="center"/>
        <w:rPr>
          <w:rFonts w:ascii="Times New Roman" w:hAnsi="Times New Roman" w:cs="Times New Roman"/>
          <w:i/>
          <w:iCs/>
          <w:sz w:val="28"/>
          <w:szCs w:val="28"/>
        </w:rPr>
      </w:pPr>
      <w:r w:rsidRPr="00AB67DE">
        <w:rPr>
          <w:rFonts w:ascii="Times New Roman" w:hAnsi="Times New Roman" w:cs="Times New Roman"/>
          <w:i/>
          <w:iCs/>
          <w:sz w:val="28"/>
          <w:szCs w:val="28"/>
        </w:rPr>
        <w:t>(Công ty Cổ phần Tập đoàn Đạt Phương)</w:t>
      </w:r>
    </w:p>
    <w:tbl>
      <w:tblPr>
        <w:tblStyle w:val="TableGrid"/>
        <w:tblW w:w="14743" w:type="dxa"/>
        <w:tblInd w:w="-856" w:type="dxa"/>
        <w:tblLook w:val="04A0" w:firstRow="1" w:lastRow="0" w:firstColumn="1" w:lastColumn="0" w:noHBand="0" w:noVBand="1"/>
      </w:tblPr>
      <w:tblGrid>
        <w:gridCol w:w="846"/>
        <w:gridCol w:w="5953"/>
        <w:gridCol w:w="6810"/>
        <w:gridCol w:w="1134"/>
      </w:tblGrid>
      <w:tr w:rsidR="003174C0" w:rsidRPr="003174C0" w14:paraId="02E216D1" w14:textId="77777777" w:rsidTr="00752F3E">
        <w:trPr>
          <w:tblHeader/>
        </w:trPr>
        <w:tc>
          <w:tcPr>
            <w:tcW w:w="846" w:type="dxa"/>
          </w:tcPr>
          <w:p w14:paraId="0B3BC723" w14:textId="4FF1DC6C" w:rsidR="00AC56B0" w:rsidRPr="003174C0" w:rsidRDefault="00AC56B0" w:rsidP="001237CF">
            <w:pPr>
              <w:spacing w:before="60" w:after="120" w:line="320" w:lineRule="exact"/>
              <w:jc w:val="center"/>
              <w:rPr>
                <w:rFonts w:ascii="Times New Roman" w:hAnsi="Times New Roman" w:cs="Times New Roman"/>
                <w:b/>
                <w:bCs/>
                <w:sz w:val="26"/>
                <w:szCs w:val="26"/>
              </w:rPr>
            </w:pPr>
            <w:r w:rsidRPr="003174C0">
              <w:rPr>
                <w:rFonts w:ascii="Times New Roman" w:hAnsi="Times New Roman" w:cs="Times New Roman"/>
                <w:b/>
                <w:bCs/>
                <w:sz w:val="26"/>
                <w:szCs w:val="26"/>
              </w:rPr>
              <w:t>TT</w:t>
            </w:r>
          </w:p>
        </w:tc>
        <w:tc>
          <w:tcPr>
            <w:tcW w:w="5953" w:type="dxa"/>
          </w:tcPr>
          <w:p w14:paraId="0F53497B" w14:textId="7A9201AB" w:rsidR="00AC56B0" w:rsidRPr="003174C0" w:rsidRDefault="00AC56B0" w:rsidP="001237CF">
            <w:pPr>
              <w:spacing w:before="60" w:after="120" w:line="320" w:lineRule="exact"/>
              <w:jc w:val="center"/>
              <w:rPr>
                <w:rFonts w:ascii="Times New Roman" w:hAnsi="Times New Roman" w:cs="Times New Roman"/>
                <w:b/>
                <w:bCs/>
                <w:sz w:val="26"/>
                <w:szCs w:val="26"/>
              </w:rPr>
            </w:pPr>
            <w:r w:rsidRPr="003174C0">
              <w:rPr>
                <w:rFonts w:ascii="Times New Roman" w:hAnsi="Times New Roman" w:cs="Times New Roman"/>
                <w:b/>
                <w:bCs/>
                <w:sz w:val="26"/>
                <w:szCs w:val="26"/>
              </w:rPr>
              <w:t>Nội dung dự thảo nghị định hướng dẫn</w:t>
            </w:r>
          </w:p>
        </w:tc>
        <w:tc>
          <w:tcPr>
            <w:tcW w:w="6810" w:type="dxa"/>
          </w:tcPr>
          <w:p w14:paraId="0936BD44" w14:textId="531975E7" w:rsidR="00AC56B0" w:rsidRPr="003174C0" w:rsidRDefault="00AC56B0" w:rsidP="001237CF">
            <w:pPr>
              <w:spacing w:before="60" w:after="120" w:line="320" w:lineRule="exact"/>
              <w:jc w:val="center"/>
              <w:rPr>
                <w:rFonts w:ascii="Times New Roman" w:hAnsi="Times New Roman" w:cs="Times New Roman"/>
                <w:b/>
                <w:bCs/>
                <w:sz w:val="26"/>
                <w:szCs w:val="26"/>
              </w:rPr>
            </w:pPr>
            <w:r w:rsidRPr="003174C0">
              <w:rPr>
                <w:rFonts w:ascii="Times New Roman" w:hAnsi="Times New Roman" w:cs="Times New Roman"/>
                <w:b/>
                <w:bCs/>
                <w:sz w:val="26"/>
                <w:szCs w:val="26"/>
              </w:rPr>
              <w:t>Ý kiến và đề xuất sửa đổi</w:t>
            </w:r>
          </w:p>
        </w:tc>
        <w:tc>
          <w:tcPr>
            <w:tcW w:w="1134" w:type="dxa"/>
          </w:tcPr>
          <w:p w14:paraId="14079B6B" w14:textId="1B91192F" w:rsidR="00AC56B0" w:rsidRPr="003174C0" w:rsidRDefault="00AC56B0" w:rsidP="001237CF">
            <w:pPr>
              <w:spacing w:before="60" w:after="120" w:line="320" w:lineRule="exact"/>
              <w:jc w:val="center"/>
              <w:rPr>
                <w:rFonts w:ascii="Times New Roman" w:hAnsi="Times New Roman" w:cs="Times New Roman"/>
                <w:b/>
                <w:bCs/>
                <w:sz w:val="26"/>
                <w:szCs w:val="26"/>
              </w:rPr>
            </w:pPr>
            <w:r w:rsidRPr="003174C0">
              <w:rPr>
                <w:rFonts w:ascii="Times New Roman" w:hAnsi="Times New Roman" w:cs="Times New Roman"/>
                <w:b/>
                <w:bCs/>
                <w:sz w:val="26"/>
                <w:szCs w:val="26"/>
              </w:rPr>
              <w:t>Ghi chú</w:t>
            </w:r>
          </w:p>
        </w:tc>
      </w:tr>
      <w:tr w:rsidR="003174C0" w:rsidRPr="003174C0" w14:paraId="5C02CB97" w14:textId="77777777" w:rsidTr="00752F3E">
        <w:tc>
          <w:tcPr>
            <w:tcW w:w="846" w:type="dxa"/>
          </w:tcPr>
          <w:p w14:paraId="3691F338" w14:textId="120B7825" w:rsidR="00195081" w:rsidRPr="000D65B0" w:rsidRDefault="00195081" w:rsidP="000D65B0">
            <w:pPr>
              <w:pStyle w:val="ListParagraph"/>
              <w:numPr>
                <w:ilvl w:val="0"/>
                <w:numId w:val="4"/>
              </w:numPr>
              <w:spacing w:before="60" w:after="60" w:line="320" w:lineRule="exact"/>
              <w:rPr>
                <w:rFonts w:ascii="Times New Roman" w:hAnsi="Times New Roman" w:cs="Times New Roman"/>
                <w:sz w:val="26"/>
                <w:szCs w:val="26"/>
              </w:rPr>
            </w:pPr>
          </w:p>
        </w:tc>
        <w:tc>
          <w:tcPr>
            <w:tcW w:w="5953" w:type="dxa"/>
          </w:tcPr>
          <w:p w14:paraId="31A2A750" w14:textId="6067D968" w:rsidR="00AC56B0" w:rsidRPr="003174C0" w:rsidRDefault="00004DE9" w:rsidP="00F33483">
            <w:pPr>
              <w:spacing w:before="60" w:after="60" w:line="320" w:lineRule="exact"/>
              <w:jc w:val="both"/>
              <w:rPr>
                <w:rFonts w:ascii="Times New Roman" w:hAnsi="Times New Roman" w:cs="Times New Roman"/>
                <w:b/>
                <w:bCs/>
                <w:sz w:val="26"/>
                <w:szCs w:val="26"/>
              </w:rPr>
            </w:pPr>
            <w:r w:rsidRPr="003174C0">
              <w:rPr>
                <w:rFonts w:ascii="Times New Roman" w:hAnsi="Times New Roman" w:cs="Times New Roman"/>
                <w:b/>
                <w:bCs/>
                <w:sz w:val="26"/>
                <w:szCs w:val="26"/>
              </w:rPr>
              <w:t>Điều 15. Giá gói thầu và thời gian tổ chức lựa chọn nhà thầu</w:t>
            </w:r>
            <w:r w:rsidR="00B8329C" w:rsidRPr="003174C0">
              <w:rPr>
                <w:rFonts w:ascii="Times New Roman" w:hAnsi="Times New Roman" w:cs="Times New Roman"/>
                <w:b/>
                <w:bCs/>
                <w:sz w:val="26"/>
                <w:szCs w:val="26"/>
              </w:rPr>
              <w:t xml:space="preserve">                                                                                                                                                                      </w:t>
            </w:r>
          </w:p>
          <w:p w14:paraId="182C7407" w14:textId="47F97217" w:rsidR="00AC56B0" w:rsidRPr="003174C0" w:rsidRDefault="00AC56B0" w:rsidP="00F33483">
            <w:pPr>
              <w:spacing w:before="60" w:after="60" w:line="320" w:lineRule="exact"/>
              <w:jc w:val="both"/>
              <w:rPr>
                <w:rFonts w:ascii="Times New Roman" w:hAnsi="Times New Roman" w:cs="Times New Roman"/>
                <w:sz w:val="26"/>
                <w:szCs w:val="26"/>
              </w:rPr>
            </w:pPr>
            <w:r w:rsidRPr="003174C0">
              <w:rPr>
                <w:rFonts w:ascii="Times New Roman" w:hAnsi="Times New Roman" w:cs="Times New Roman"/>
                <w:sz w:val="26"/>
                <w:szCs w:val="26"/>
              </w:rPr>
              <w:t xml:space="preserve">1. Giá gói thầu được tính đúng, tính đủ toàn bộ chi phí để thực hiện gói thầu, kể cả chi phí dự phòng (chi phí dự phòng trượt giá, chi phí dự phòng phát sinh khối lượng), phí, lệ phí và thuế. </w:t>
            </w:r>
            <w:r w:rsidRPr="003174C0">
              <w:rPr>
                <w:rFonts w:ascii="Times New Roman" w:hAnsi="Times New Roman" w:cs="Times New Roman"/>
                <w:sz w:val="26"/>
                <w:szCs w:val="26"/>
                <w:highlight w:val="yellow"/>
              </w:rPr>
              <w:t>Đối với gói thầu xây lắp áp dụng loại hợp đồng theo đơn giá cố định và hợp đồng điều chỉnh giá, chi phí dự phòng bao gồm các khoản tạm tính (nếu có)</w:t>
            </w:r>
            <w:r w:rsidRPr="003174C0">
              <w:rPr>
                <w:rFonts w:ascii="Times New Roman" w:hAnsi="Times New Roman" w:cs="Times New Roman"/>
                <w:sz w:val="26"/>
                <w:szCs w:val="26"/>
              </w:rPr>
              <w:t xml:space="preserve"> và chỉ được sử dụng khi có phát sinh xảy ra. </w:t>
            </w:r>
            <w:r w:rsidRPr="003174C0">
              <w:rPr>
                <w:rFonts w:ascii="Times New Roman" w:hAnsi="Times New Roman" w:cs="Times New Roman"/>
                <w:sz w:val="26"/>
                <w:szCs w:val="26"/>
                <w:highlight w:val="green"/>
              </w:rPr>
              <w:t>Đối với các gói thầu có thời gian thực hiện gói thầu ngắn</w:t>
            </w:r>
            <w:r w:rsidRPr="003174C0">
              <w:rPr>
                <w:rFonts w:ascii="Times New Roman" w:hAnsi="Times New Roman" w:cs="Times New Roman"/>
                <w:sz w:val="26"/>
                <w:szCs w:val="26"/>
              </w:rPr>
              <w:t>, ít có khả năng phát sinh rủi ro, trượt giá thì chi phí dự phòng cho yếu tố trượt giá được tính bằng không. Chi phí dự phòng do chủ đầu tư xác định theo tính chất từng gói thầu nhưng không được vượt mức tối đa theo quy định của pháp luật (nếu có). Trường hợp pháp luật có quy định hàng hóa thuộc đối tượng được miễn thuế thì giá gói thầu không bao gồm các khoản thuế được miễn. Giá gói thầu có thể được cập nhật trong thời hạn 28 ngày trước ngày mở thầu. Trường hợp gói thầu gồm nhiều phần riêng biệt thì nêu rõ giá trị ước tính của từng phần</w:t>
            </w:r>
          </w:p>
        </w:tc>
        <w:tc>
          <w:tcPr>
            <w:tcW w:w="6810" w:type="dxa"/>
          </w:tcPr>
          <w:p w14:paraId="7D8286D4" w14:textId="5C2CED27" w:rsidR="00666DE2" w:rsidRPr="003174C0" w:rsidRDefault="007855CF" w:rsidP="00F33483">
            <w:pPr>
              <w:spacing w:before="60" w:after="60" w:line="320" w:lineRule="exact"/>
              <w:jc w:val="both"/>
              <w:rPr>
                <w:rFonts w:ascii="Times New Roman" w:hAnsi="Times New Roman" w:cs="Times New Roman"/>
                <w:sz w:val="26"/>
                <w:szCs w:val="26"/>
              </w:rPr>
            </w:pPr>
            <w:r w:rsidRPr="007855CF">
              <w:rPr>
                <w:rFonts w:ascii="Times New Roman" w:hAnsi="Times New Roman" w:cs="Times New Roman"/>
                <w:sz w:val="26"/>
                <w:szCs w:val="26"/>
              </w:rPr>
              <w:sym w:font="Wingdings" w:char="F0E0"/>
            </w:r>
            <w:r>
              <w:rPr>
                <w:rFonts w:ascii="Times New Roman" w:hAnsi="Times New Roman" w:cs="Times New Roman"/>
                <w:sz w:val="26"/>
                <w:szCs w:val="26"/>
              </w:rPr>
              <w:t xml:space="preserve"> Kiến nghị xem lại </w:t>
            </w:r>
            <w:r w:rsidRPr="00DE497F">
              <w:rPr>
                <w:rFonts w:ascii="Times New Roman" w:hAnsi="Times New Roman" w:cs="Times New Roman"/>
                <w:b/>
                <w:bCs/>
                <w:sz w:val="26"/>
                <w:szCs w:val="26"/>
              </w:rPr>
              <w:t xml:space="preserve">Khoản 1 </w:t>
            </w:r>
            <w:r w:rsidR="0096301F" w:rsidRPr="00DE497F">
              <w:rPr>
                <w:rFonts w:ascii="Times New Roman" w:hAnsi="Times New Roman" w:cs="Times New Roman"/>
                <w:b/>
                <w:bCs/>
                <w:sz w:val="26"/>
                <w:szCs w:val="26"/>
              </w:rPr>
              <w:t>-</w:t>
            </w:r>
            <w:r w:rsidRPr="00DE497F">
              <w:rPr>
                <w:rFonts w:ascii="Times New Roman" w:hAnsi="Times New Roman" w:cs="Times New Roman"/>
                <w:b/>
                <w:bCs/>
                <w:sz w:val="26"/>
                <w:szCs w:val="26"/>
              </w:rPr>
              <w:t xml:space="preserve"> Điều 15</w:t>
            </w:r>
            <w:r>
              <w:rPr>
                <w:rFonts w:ascii="Times New Roman" w:hAnsi="Times New Roman" w:cs="Times New Roman"/>
                <w:sz w:val="26"/>
                <w:szCs w:val="26"/>
              </w:rPr>
              <w:t xml:space="preserve">, cụ thể như sau: </w:t>
            </w:r>
          </w:p>
          <w:p w14:paraId="7366B022" w14:textId="1F9A4CD7" w:rsidR="00AC56B0" w:rsidRPr="003174C0" w:rsidRDefault="00AC56B0" w:rsidP="00F33483">
            <w:pPr>
              <w:spacing w:before="60" w:after="60" w:line="320" w:lineRule="exact"/>
              <w:jc w:val="both"/>
              <w:rPr>
                <w:rFonts w:ascii="Times New Roman" w:hAnsi="Times New Roman" w:cs="Times New Roman"/>
                <w:b/>
                <w:bCs/>
                <w:i/>
                <w:iCs/>
                <w:sz w:val="26"/>
                <w:szCs w:val="26"/>
              </w:rPr>
            </w:pPr>
            <w:r w:rsidRPr="003174C0">
              <w:rPr>
                <w:rFonts w:ascii="Times New Roman" w:hAnsi="Times New Roman" w:cs="Times New Roman"/>
                <w:sz w:val="26"/>
                <w:szCs w:val="26"/>
              </w:rPr>
              <w:t>“</w:t>
            </w:r>
            <w:r w:rsidRPr="003174C0">
              <w:rPr>
                <w:rFonts w:ascii="Times New Roman" w:hAnsi="Times New Roman" w:cs="Times New Roman"/>
                <w:sz w:val="26"/>
                <w:szCs w:val="26"/>
                <w:highlight w:val="yellow"/>
              </w:rPr>
              <w:t>Đối với gói thầu xây lắp áp dụng loại hợp đồng theo đơn giá cố định và hợp đồng điều chỉnh giá, chi phí dự phòng bao gồm các khoản tạm tính (nếu có)</w:t>
            </w:r>
            <w:r w:rsidRPr="003174C0">
              <w:rPr>
                <w:rFonts w:ascii="Times New Roman" w:hAnsi="Times New Roman" w:cs="Times New Roman"/>
                <w:sz w:val="26"/>
                <w:szCs w:val="26"/>
              </w:rPr>
              <w:t xml:space="preserve">” </w:t>
            </w: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rPr>
              <w:t xml:space="preserve"> Đề xuất làm rõ thêm trường hợp gói thầu thực hiện theo đơn giá cố định thì giá gói thầu có bao gồm dự phòng trượt giá trong quá trình thi công hay không. (Ví dụ: Hợp đồng thi công xây lắp gói thầu A, thi công trong thời gian 18 tháng, thực hiện theo đơn giá cố định; Giá gói thầu gói thầu A bao gồm (Chi phí xây dựng, chi phí khác, chi phí dự  phòng khối lượng, </w:t>
            </w:r>
            <w:r w:rsidRPr="003174C0">
              <w:rPr>
                <w:rFonts w:ascii="Times New Roman" w:hAnsi="Times New Roman" w:cs="Times New Roman"/>
                <w:b/>
                <w:bCs/>
                <w:i/>
                <w:iCs/>
                <w:sz w:val="26"/>
                <w:szCs w:val="26"/>
                <w:highlight w:val="yellow"/>
              </w:rPr>
              <w:t>dự phòng trượt giá</w:t>
            </w:r>
            <w:r w:rsidRPr="003174C0">
              <w:rPr>
                <w:rFonts w:ascii="Times New Roman" w:hAnsi="Times New Roman" w:cs="Times New Roman"/>
                <w:sz w:val="26"/>
                <w:szCs w:val="26"/>
              </w:rPr>
              <w:t>)</w:t>
            </w:r>
            <w:r w:rsidR="00267C8D" w:rsidRPr="003174C0">
              <w:rPr>
                <w:rFonts w:ascii="Times New Roman" w:hAnsi="Times New Roman" w:cs="Times New Roman"/>
                <w:sz w:val="26"/>
                <w:szCs w:val="26"/>
              </w:rPr>
              <w:t xml:space="preserve"> </w:t>
            </w:r>
            <w:r w:rsidR="00267C8D" w:rsidRPr="003174C0">
              <w:rPr>
                <w:rFonts w:ascii="Times New Roman" w:hAnsi="Times New Roman" w:cs="Times New Roman"/>
                <w:b/>
                <w:bCs/>
                <w:i/>
                <w:iCs/>
                <w:sz w:val="26"/>
                <w:szCs w:val="26"/>
              </w:rPr>
              <w:sym w:font="Wingdings" w:char="F0E0"/>
            </w:r>
            <w:r w:rsidR="00267C8D" w:rsidRPr="003174C0">
              <w:rPr>
                <w:rFonts w:ascii="Times New Roman" w:hAnsi="Times New Roman" w:cs="Times New Roman"/>
                <w:b/>
                <w:bCs/>
                <w:i/>
                <w:iCs/>
                <w:sz w:val="26"/>
                <w:szCs w:val="26"/>
              </w:rPr>
              <w:t xml:space="preserve"> Chi phí dự phòng trượt giá này có được phân bổ trong giá gói thầu hay không?</w:t>
            </w:r>
          </w:p>
          <w:p w14:paraId="7C6C025C" w14:textId="3667DB74" w:rsidR="006E5B51" w:rsidRPr="003174C0" w:rsidRDefault="006E5B51" w:rsidP="00F33483">
            <w:pPr>
              <w:spacing w:before="60" w:after="60" w:line="320" w:lineRule="exact"/>
              <w:jc w:val="both"/>
              <w:rPr>
                <w:rFonts w:ascii="Times New Roman" w:hAnsi="Times New Roman" w:cs="Times New Roman"/>
                <w:sz w:val="26"/>
                <w:szCs w:val="26"/>
              </w:rPr>
            </w:pPr>
            <w:r w:rsidRPr="003174C0">
              <w:rPr>
                <w:rFonts w:ascii="Times New Roman" w:hAnsi="Times New Roman" w:cs="Times New Roman"/>
                <w:sz w:val="26"/>
                <w:szCs w:val="26"/>
              </w:rPr>
              <w:t>“</w:t>
            </w:r>
            <w:r w:rsidRPr="003174C0">
              <w:rPr>
                <w:rFonts w:ascii="Times New Roman" w:hAnsi="Times New Roman" w:cs="Times New Roman"/>
                <w:sz w:val="26"/>
                <w:szCs w:val="26"/>
                <w:highlight w:val="green"/>
              </w:rPr>
              <w:t>Đối với các gói thầu có thời gian thực hiện gói thầu ngắn</w:t>
            </w:r>
            <w:r w:rsidRPr="003174C0">
              <w:rPr>
                <w:rFonts w:ascii="Times New Roman" w:hAnsi="Times New Roman" w:cs="Times New Roman"/>
                <w:sz w:val="26"/>
                <w:szCs w:val="26"/>
              </w:rPr>
              <w:t xml:space="preserve">” </w:t>
            </w: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rPr>
              <w:t xml:space="preserve"> Đề xuất làm rõ chi tiết thời gian thực hiện ngắn là bao lâu? Vì trong thực tế thực hiện sẽ xảy ra nhiều trường hợp khiến Chủ đầu tư và nhà thầu khó định lượng được.</w:t>
            </w:r>
          </w:p>
        </w:tc>
        <w:tc>
          <w:tcPr>
            <w:tcW w:w="1134" w:type="dxa"/>
          </w:tcPr>
          <w:p w14:paraId="56A3911C" w14:textId="77777777" w:rsidR="00AC56B0" w:rsidRPr="003174C0" w:rsidRDefault="00AC56B0" w:rsidP="00963F88">
            <w:pPr>
              <w:spacing w:before="60" w:after="120" w:line="320" w:lineRule="exact"/>
              <w:jc w:val="both"/>
              <w:rPr>
                <w:rFonts w:ascii="Times New Roman" w:hAnsi="Times New Roman" w:cs="Times New Roman"/>
                <w:sz w:val="26"/>
                <w:szCs w:val="26"/>
                <w:lang w:val="vi-VN"/>
              </w:rPr>
            </w:pPr>
          </w:p>
        </w:tc>
      </w:tr>
      <w:tr w:rsidR="0019621A" w:rsidRPr="003174C0" w14:paraId="47F6B051" w14:textId="77777777" w:rsidTr="00752F3E">
        <w:tc>
          <w:tcPr>
            <w:tcW w:w="846" w:type="dxa"/>
          </w:tcPr>
          <w:p w14:paraId="68B28DA6" w14:textId="77777777" w:rsidR="0019621A" w:rsidRPr="000D65B0" w:rsidRDefault="0019621A" w:rsidP="000D65B0">
            <w:pPr>
              <w:pStyle w:val="ListParagraph"/>
              <w:numPr>
                <w:ilvl w:val="0"/>
                <w:numId w:val="4"/>
              </w:numPr>
              <w:spacing w:before="60" w:after="60" w:line="320" w:lineRule="exact"/>
              <w:jc w:val="center"/>
              <w:rPr>
                <w:rFonts w:ascii="Times New Roman" w:hAnsi="Times New Roman" w:cs="Times New Roman"/>
                <w:sz w:val="26"/>
                <w:szCs w:val="26"/>
              </w:rPr>
            </w:pPr>
          </w:p>
        </w:tc>
        <w:tc>
          <w:tcPr>
            <w:tcW w:w="5953" w:type="dxa"/>
          </w:tcPr>
          <w:p w14:paraId="58065AA9" w14:textId="77777777" w:rsidR="0019621A" w:rsidRDefault="0019621A" w:rsidP="00F33483">
            <w:pPr>
              <w:spacing w:before="60" w:after="60" w:line="320" w:lineRule="exact"/>
              <w:jc w:val="both"/>
              <w:rPr>
                <w:rFonts w:ascii="Times New Roman" w:hAnsi="Times New Roman" w:cs="Times New Roman"/>
                <w:b/>
                <w:bCs/>
                <w:sz w:val="26"/>
                <w:szCs w:val="26"/>
                <w:lang w:val="x-none"/>
              </w:rPr>
            </w:pPr>
            <w:r w:rsidRPr="0019621A">
              <w:rPr>
                <w:rFonts w:ascii="Times New Roman" w:hAnsi="Times New Roman" w:cs="Times New Roman"/>
                <w:b/>
                <w:bCs/>
                <w:sz w:val="26"/>
                <w:szCs w:val="26"/>
                <w:lang w:val="x-none"/>
              </w:rPr>
              <w:t>Điều 17. Đánh giá, xếp hạng về uy tín của nhà thầu, chất lượng hàng hóa đã sử dụng</w:t>
            </w:r>
          </w:p>
          <w:p w14:paraId="24F0FDDC" w14:textId="0EC06479" w:rsidR="0019621A" w:rsidRPr="0019621A" w:rsidRDefault="0019621A" w:rsidP="00F33483">
            <w:pPr>
              <w:spacing w:before="60" w:after="60" w:line="320" w:lineRule="exact"/>
              <w:jc w:val="both"/>
              <w:rPr>
                <w:rFonts w:ascii="Times New Roman" w:hAnsi="Times New Roman" w:cs="Times New Roman"/>
                <w:sz w:val="26"/>
                <w:szCs w:val="26"/>
                <w:lang w:val="x-none"/>
              </w:rPr>
            </w:pPr>
          </w:p>
        </w:tc>
        <w:tc>
          <w:tcPr>
            <w:tcW w:w="6810" w:type="dxa"/>
          </w:tcPr>
          <w:p w14:paraId="4C47B19F" w14:textId="31577EF5" w:rsidR="0019621A" w:rsidRPr="003174C0" w:rsidRDefault="0019621A" w:rsidP="00F33483">
            <w:pPr>
              <w:spacing w:before="60" w:after="60" w:line="320" w:lineRule="exact"/>
              <w:jc w:val="both"/>
              <w:rPr>
                <w:rFonts w:ascii="Times New Roman" w:hAnsi="Times New Roman" w:cs="Times New Roman"/>
                <w:sz w:val="26"/>
                <w:szCs w:val="26"/>
              </w:rPr>
            </w:pPr>
            <w:r w:rsidRPr="0019621A">
              <w:rPr>
                <w:rFonts w:ascii="Times New Roman" w:hAnsi="Times New Roman" w:cs="Times New Roman"/>
                <w:sz w:val="26"/>
                <w:szCs w:val="26"/>
              </w:rPr>
              <w:sym w:font="Wingdings" w:char="F0E0"/>
            </w:r>
            <w:r>
              <w:rPr>
                <w:rFonts w:ascii="Times New Roman" w:hAnsi="Times New Roman" w:cs="Times New Roman"/>
                <w:sz w:val="26"/>
                <w:szCs w:val="26"/>
              </w:rPr>
              <w:t xml:space="preserve"> Kiến nghị có thông tư hướng dẫn chi tiết hơn về cách đánh giá và xếp hạng mang tính định lượng</w:t>
            </w:r>
            <w:r w:rsidR="00146D70" w:rsidRPr="00146D70">
              <w:rPr>
                <w:rFonts w:ascii="Times New Roman" w:hAnsi="Times New Roman" w:cs="Times New Roman"/>
                <w:sz w:val="26"/>
                <w:szCs w:val="26"/>
              </w:rPr>
              <w:t>, thang điểm thật chặt chẽ chính xác, để đảm bảo áp dụng công bằng</w:t>
            </w:r>
            <w:r w:rsidR="00146D70">
              <w:rPr>
                <w:rFonts w:ascii="Times New Roman" w:hAnsi="Times New Roman" w:cs="Times New Roman"/>
                <w:sz w:val="26"/>
                <w:szCs w:val="26"/>
              </w:rPr>
              <w:t xml:space="preserve"> trong việc xếp hạng nhà thầu.</w:t>
            </w:r>
          </w:p>
        </w:tc>
        <w:tc>
          <w:tcPr>
            <w:tcW w:w="1134" w:type="dxa"/>
          </w:tcPr>
          <w:p w14:paraId="7575EC49" w14:textId="77777777" w:rsidR="0019621A" w:rsidRPr="003174C0" w:rsidRDefault="0019621A" w:rsidP="00963F88">
            <w:pPr>
              <w:spacing w:before="60" w:after="120" w:line="320" w:lineRule="exact"/>
              <w:jc w:val="both"/>
              <w:rPr>
                <w:rFonts w:ascii="Times New Roman" w:hAnsi="Times New Roman" w:cs="Times New Roman"/>
                <w:sz w:val="26"/>
                <w:szCs w:val="26"/>
                <w:lang w:val="vi-VN"/>
              </w:rPr>
            </w:pPr>
          </w:p>
        </w:tc>
      </w:tr>
      <w:tr w:rsidR="003174C0" w:rsidRPr="003174C0" w14:paraId="65ABCFDE" w14:textId="77777777" w:rsidTr="00752F3E">
        <w:tc>
          <w:tcPr>
            <w:tcW w:w="846" w:type="dxa"/>
          </w:tcPr>
          <w:p w14:paraId="2131B390" w14:textId="1EA9ED4B" w:rsidR="005B5980" w:rsidRPr="000D65B0" w:rsidRDefault="005B5980" w:rsidP="000D65B0">
            <w:pPr>
              <w:pStyle w:val="ListParagraph"/>
              <w:numPr>
                <w:ilvl w:val="0"/>
                <w:numId w:val="4"/>
              </w:numPr>
              <w:spacing w:before="60" w:after="60" w:line="320" w:lineRule="exact"/>
              <w:jc w:val="center"/>
              <w:rPr>
                <w:rFonts w:ascii="Times New Roman" w:hAnsi="Times New Roman" w:cs="Times New Roman"/>
                <w:sz w:val="26"/>
                <w:szCs w:val="26"/>
              </w:rPr>
            </w:pPr>
          </w:p>
        </w:tc>
        <w:tc>
          <w:tcPr>
            <w:tcW w:w="5953" w:type="dxa"/>
          </w:tcPr>
          <w:p w14:paraId="48BEF528" w14:textId="77777777" w:rsidR="005B5980" w:rsidRPr="003174C0" w:rsidRDefault="005B5980" w:rsidP="005B5980">
            <w:pPr>
              <w:spacing w:before="60" w:after="60" w:line="320" w:lineRule="exact"/>
              <w:jc w:val="both"/>
              <w:rPr>
                <w:rFonts w:ascii="Times New Roman" w:hAnsi="Times New Roman" w:cs="Times New Roman"/>
                <w:b/>
                <w:bCs/>
                <w:sz w:val="26"/>
                <w:szCs w:val="26"/>
                <w:lang w:val="vi-VN"/>
              </w:rPr>
            </w:pPr>
            <w:r w:rsidRPr="003174C0">
              <w:rPr>
                <w:rFonts w:ascii="Times New Roman" w:hAnsi="Times New Roman" w:cs="Times New Roman"/>
                <w:b/>
                <w:bCs/>
                <w:sz w:val="26"/>
                <w:szCs w:val="26"/>
                <w:lang w:val="vi-VN"/>
              </w:rPr>
              <w:t>Điều 26. Nguyên tắc đánh giá hồ sơ dự thầu</w:t>
            </w:r>
          </w:p>
          <w:p w14:paraId="0AC24CB2" w14:textId="60CFE01D" w:rsidR="005B5980" w:rsidRPr="003174C0" w:rsidRDefault="005B5980" w:rsidP="005B5980">
            <w:pPr>
              <w:spacing w:before="60" w:after="60" w:line="320" w:lineRule="exact"/>
              <w:jc w:val="both"/>
              <w:rPr>
                <w:rFonts w:ascii="Times New Roman" w:hAnsi="Times New Roman" w:cs="Times New Roman"/>
                <w:b/>
                <w:bCs/>
                <w:sz w:val="26"/>
                <w:szCs w:val="26"/>
                <w:lang w:val="vi-VN"/>
              </w:rPr>
            </w:pPr>
            <w:r w:rsidRPr="003174C0">
              <w:rPr>
                <w:rFonts w:ascii="Times New Roman" w:hAnsi="Times New Roman" w:cs="Times New Roman"/>
                <w:sz w:val="26"/>
                <w:szCs w:val="26"/>
                <w:lang w:val="vi-VN"/>
              </w:rPr>
              <w:t>8. Chủ đầu tư, bên mời thầu không được chấp thuận cho nhà thầu chính sử dụng nhà thầu phụ mà nhà thầu phụ này có tham gia thực hiện cung cấp dịch vụ tư vấn cho gói thầu mà nhà thầu chính đã trúng thầu và các công việc tư vấn này bao gồm: lập, thẩm tra, thẩm định thiết kế kỹ thuật, thiết kế bản vẽ thi công, dự toán, thiết kế FEED; thẩm định giá; giám sát thực hiện hợp đồng, kiểm định; lập, thẩm định hồ sơ mời sơ tuyển, hồ sơ mời thầu; đánh giá hồ sơ dự sơ tuyển, hồ sơ dự thầu; thẩm định kết quả sơ tuyển, kết quả lựa chọn nhà thầu; dịch vụ tư vấn liên quan trực tiếp tới gói thầu, gồm tư vấn quản lý dự án, quản lý hợp đồng và tư vấn khác</w:t>
            </w:r>
          </w:p>
        </w:tc>
        <w:tc>
          <w:tcPr>
            <w:tcW w:w="6810" w:type="dxa"/>
          </w:tcPr>
          <w:p w14:paraId="21D5978C" w14:textId="5D268C31"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lang w:val="vi-VN"/>
              </w:rPr>
              <w:t xml:space="preserve"> </w:t>
            </w:r>
            <w:r w:rsidR="006B3206" w:rsidRPr="006B3206">
              <w:rPr>
                <w:rFonts w:ascii="Times New Roman" w:hAnsi="Times New Roman" w:cs="Times New Roman"/>
                <w:sz w:val="26"/>
                <w:szCs w:val="26"/>
                <w:lang w:val="vi-VN"/>
              </w:rPr>
              <w:t>Kiến ngh</w:t>
            </w:r>
            <w:r w:rsidR="006B3206" w:rsidRPr="00C83E83">
              <w:rPr>
                <w:rFonts w:ascii="Times New Roman" w:hAnsi="Times New Roman" w:cs="Times New Roman"/>
                <w:sz w:val="26"/>
                <w:szCs w:val="26"/>
                <w:lang w:val="vi-VN"/>
              </w:rPr>
              <w:t>ị</w:t>
            </w:r>
            <w:r w:rsidRPr="003174C0">
              <w:rPr>
                <w:rFonts w:ascii="Times New Roman" w:hAnsi="Times New Roman" w:cs="Times New Roman"/>
                <w:sz w:val="26"/>
                <w:szCs w:val="26"/>
                <w:lang w:val="vi-VN"/>
              </w:rPr>
              <w:t xml:space="preserve"> xem lại </w:t>
            </w:r>
            <w:r w:rsidR="00C83E83" w:rsidRPr="00C83E83">
              <w:rPr>
                <w:rFonts w:ascii="Times New Roman" w:hAnsi="Times New Roman" w:cs="Times New Roman"/>
                <w:b/>
                <w:bCs/>
                <w:sz w:val="26"/>
                <w:szCs w:val="26"/>
                <w:lang w:val="vi-VN"/>
              </w:rPr>
              <w:t>K</w:t>
            </w:r>
            <w:r w:rsidRPr="00C83E83">
              <w:rPr>
                <w:rFonts w:ascii="Times New Roman" w:hAnsi="Times New Roman" w:cs="Times New Roman"/>
                <w:b/>
                <w:bCs/>
                <w:sz w:val="26"/>
                <w:szCs w:val="26"/>
                <w:lang w:val="vi-VN"/>
              </w:rPr>
              <w:t>hoản 8 Điều 26</w:t>
            </w:r>
            <w:r w:rsidRPr="003174C0">
              <w:rPr>
                <w:rFonts w:ascii="Times New Roman" w:hAnsi="Times New Roman" w:cs="Times New Roman"/>
                <w:sz w:val="26"/>
                <w:szCs w:val="26"/>
                <w:lang w:val="vi-VN"/>
              </w:rPr>
              <w:t xml:space="preserve"> </w:t>
            </w: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lang w:val="vi-VN"/>
              </w:rPr>
              <w:t xml:space="preserve"> Có đang đá với Khoản 5 - Điều 3 Đảm bảo cạnh tranh trong đấu thầu “5. Trừ trường hợp nhà thầu thực hiện công việc thiết kế của gói thầu EPC, EP, EC, chìa khóa trao tay phải độc lập về pháp lý và độc lập về tài chính với các nhà thầu tư vấn quy định tại các khoản a, b, c, d và đ khoản 3 Điều này, điểm a, b, c khoản 4 Điều này, nhà thầu tư vấn có thể tham gia cung cấp một hoặc nhiều dịch vụ tư vấn cho cùng một dự án, gói thầu bao gồm:</w:t>
            </w:r>
          </w:p>
          <w:p w14:paraId="1A2395A0" w14:textId="77777777"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 xml:space="preserve">a) Lập, thẩm tra, thẩm định báo cáo đề xuất chủ trương đầu tư; </w:t>
            </w:r>
          </w:p>
          <w:p w14:paraId="622FE4B4" w14:textId="77777777"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 xml:space="preserve">b) Lập, thẩm tra, thẩm định báo cáo nghiên cứu tiền khả thi; </w:t>
            </w:r>
          </w:p>
          <w:p w14:paraId="6265B577" w14:textId="77777777"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 xml:space="preserve">c) Lập, thẩm tra, thẩm định báo cáo nghiên cứu khả thi; </w:t>
            </w:r>
          </w:p>
          <w:p w14:paraId="72EF7B88" w14:textId="77777777"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 xml:space="preserve">d) Lập, thẩm tra, thẩm định báo cáo kinh tế kỹ thuật; </w:t>
            </w:r>
          </w:p>
          <w:p w14:paraId="6863006C" w14:textId="77777777"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đ) Khảo sát xây dựng;</w:t>
            </w:r>
          </w:p>
          <w:p w14:paraId="39141E5B" w14:textId="77777777"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 xml:space="preserve">e) Lập, thẩm tra, thẩm định hồ sơ thiết kế, dự toán; </w:t>
            </w:r>
          </w:p>
          <w:p w14:paraId="53DD4AD8" w14:textId="77777777"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g) Lập, thẩm định kế hoạch tổng thể lựa chọn nhà thầu, kế hoạch lựa chọn nhà thầu, hồ sơ mời sơ tuyển, hồ sơ mời quan tâm, hồ sơ mời thầu, hồ sơ yêu cầu; đánh giá hồ sơ dự sơ tuyển, hồ sơ quan tâm, hồ sơ dự thầu, hồ sơ đề xuất; thẩm định kết quả đánh giá hồ sơ dự sơ tuyển, kết quả đánh giá hồ sơ quan tâm, kết quả lựa chọn nhà thầu.</w:t>
            </w:r>
          </w:p>
          <w:p w14:paraId="6B8D2CBD" w14:textId="77777777"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h) Tư vấn giám sát.</w:t>
            </w:r>
          </w:p>
          <w:p w14:paraId="5B04F0AD" w14:textId="21FA3A8F"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 xml:space="preserve">Đối với từng nội dung quy định tại các điểm a, b, c, d , đ, e và g khoản này, nhà thầu chỉ được thực hiện lập hoặc thẩm tra hoặc thẩm định” </w:t>
            </w: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lang w:val="vi-VN"/>
              </w:rPr>
              <w:t xml:space="preserve"> Như vậy đơn vị tư vấn vẫn có thể tham gia gói thầu TKBVTC của gói thầu </w:t>
            </w: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lang w:val="vi-VN"/>
              </w:rPr>
              <w:t xml:space="preserve"> Kiến nghị xem lại.</w:t>
            </w:r>
          </w:p>
        </w:tc>
        <w:tc>
          <w:tcPr>
            <w:tcW w:w="1134" w:type="dxa"/>
          </w:tcPr>
          <w:p w14:paraId="6791F689" w14:textId="77777777" w:rsidR="005B5980" w:rsidRPr="003174C0" w:rsidRDefault="005B5980" w:rsidP="005B5980">
            <w:pPr>
              <w:spacing w:before="60" w:after="120" w:line="320" w:lineRule="exact"/>
              <w:jc w:val="both"/>
              <w:rPr>
                <w:rFonts w:ascii="Times New Roman" w:hAnsi="Times New Roman" w:cs="Times New Roman"/>
                <w:sz w:val="26"/>
                <w:szCs w:val="26"/>
                <w:lang w:val="vi-VN"/>
              </w:rPr>
            </w:pPr>
          </w:p>
        </w:tc>
      </w:tr>
      <w:tr w:rsidR="003174C0" w:rsidRPr="003174C0" w14:paraId="0303047B" w14:textId="77777777" w:rsidTr="00752F3E">
        <w:tc>
          <w:tcPr>
            <w:tcW w:w="846" w:type="dxa"/>
          </w:tcPr>
          <w:p w14:paraId="627E9233" w14:textId="78012837" w:rsidR="005B5980" w:rsidRPr="000D65B0" w:rsidRDefault="005B5980" w:rsidP="000D65B0">
            <w:pPr>
              <w:pStyle w:val="ListParagraph"/>
              <w:numPr>
                <w:ilvl w:val="0"/>
                <w:numId w:val="4"/>
              </w:numPr>
              <w:spacing w:before="60" w:after="60" w:line="320" w:lineRule="exact"/>
              <w:jc w:val="center"/>
              <w:rPr>
                <w:rFonts w:ascii="Times New Roman" w:hAnsi="Times New Roman" w:cs="Times New Roman"/>
                <w:sz w:val="26"/>
                <w:szCs w:val="26"/>
              </w:rPr>
            </w:pPr>
          </w:p>
        </w:tc>
        <w:tc>
          <w:tcPr>
            <w:tcW w:w="5953" w:type="dxa"/>
          </w:tcPr>
          <w:p w14:paraId="2CBB99C0" w14:textId="7FD8A0DA" w:rsidR="005B5980" w:rsidRPr="003174C0" w:rsidRDefault="005B5980" w:rsidP="005B5980">
            <w:pPr>
              <w:spacing w:before="60" w:after="60" w:line="320" w:lineRule="exact"/>
              <w:jc w:val="both"/>
              <w:rPr>
                <w:rFonts w:ascii="Times New Roman" w:hAnsi="Times New Roman" w:cs="Times New Roman"/>
                <w:b/>
                <w:bCs/>
                <w:sz w:val="26"/>
                <w:szCs w:val="26"/>
                <w:lang w:val="vi-VN"/>
              </w:rPr>
            </w:pPr>
            <w:r w:rsidRPr="003174C0">
              <w:rPr>
                <w:rFonts w:ascii="Times New Roman" w:hAnsi="Times New Roman" w:cs="Times New Roman"/>
                <w:b/>
                <w:bCs/>
                <w:sz w:val="26"/>
                <w:szCs w:val="26"/>
                <w:lang w:val="vi-VN"/>
              </w:rPr>
              <w:t xml:space="preserve">Điều 106. Điều chỉnh giá hợp đồng </w:t>
            </w:r>
            <w:r w:rsidRPr="003174C0">
              <w:rPr>
                <w:rFonts w:ascii="Times New Roman" w:hAnsi="Times New Roman" w:cs="Times New Roman"/>
                <w:b/>
                <w:bCs/>
                <w:sz w:val="26"/>
                <w:szCs w:val="26"/>
                <w:highlight w:val="yellow"/>
                <w:lang w:val="vi-VN"/>
              </w:rPr>
              <w:t>do lạm phát, giảm phát</w:t>
            </w:r>
          </w:p>
        </w:tc>
        <w:tc>
          <w:tcPr>
            <w:tcW w:w="6810" w:type="dxa"/>
          </w:tcPr>
          <w:p w14:paraId="340631D1" w14:textId="349FBFDC" w:rsidR="005B5980" w:rsidRPr="003174C0" w:rsidRDefault="005B5980" w:rsidP="005B5980">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Mục này đề xuất bỏ chữ “</w:t>
            </w:r>
            <w:r w:rsidRPr="003174C0">
              <w:rPr>
                <w:rFonts w:ascii="Times New Roman" w:hAnsi="Times New Roman" w:cs="Times New Roman"/>
                <w:b/>
                <w:bCs/>
                <w:sz w:val="26"/>
                <w:szCs w:val="26"/>
                <w:lang w:val="vi-VN"/>
              </w:rPr>
              <w:t xml:space="preserve">do lạm phát, giảm phát” </w:t>
            </w:r>
            <w:r w:rsidRPr="003174C0">
              <w:rPr>
                <w:rFonts w:ascii="Times New Roman" w:hAnsi="Times New Roman" w:cs="Times New Roman"/>
                <w:b/>
                <w:bCs/>
                <w:sz w:val="26"/>
                <w:szCs w:val="26"/>
              </w:rPr>
              <w:sym w:font="Wingdings" w:char="F0E0"/>
            </w:r>
            <w:r w:rsidRPr="003174C0">
              <w:rPr>
                <w:rFonts w:ascii="Times New Roman" w:hAnsi="Times New Roman" w:cs="Times New Roman"/>
                <w:b/>
                <w:bCs/>
                <w:sz w:val="26"/>
                <w:szCs w:val="26"/>
                <w:lang w:val="vi-VN"/>
              </w:rPr>
              <w:t xml:space="preserve"> Chỉ ghi là “Điều chỉnh giá hợp đồng” </w:t>
            </w:r>
            <w:r w:rsidRPr="003174C0">
              <w:rPr>
                <w:rFonts w:ascii="Times New Roman" w:hAnsi="Times New Roman" w:cs="Times New Roman"/>
                <w:sz w:val="26"/>
                <w:szCs w:val="26"/>
                <w:lang w:val="vi-VN"/>
              </w:rPr>
              <w:t xml:space="preserve"> </w:t>
            </w: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lang w:val="vi-VN"/>
              </w:rPr>
              <w:t xml:space="preserve"> Tránh hiểu nhầm hoặc nhầm lẫn với chỉ số lạm phát chung</w:t>
            </w:r>
          </w:p>
        </w:tc>
        <w:tc>
          <w:tcPr>
            <w:tcW w:w="1134" w:type="dxa"/>
          </w:tcPr>
          <w:p w14:paraId="6CB1FB4F" w14:textId="77777777" w:rsidR="005B5980" w:rsidRPr="003174C0" w:rsidRDefault="005B5980" w:rsidP="005B5980">
            <w:pPr>
              <w:spacing w:before="60" w:after="120" w:line="320" w:lineRule="exact"/>
              <w:jc w:val="both"/>
              <w:rPr>
                <w:rFonts w:ascii="Times New Roman" w:hAnsi="Times New Roman" w:cs="Times New Roman"/>
                <w:sz w:val="26"/>
                <w:szCs w:val="26"/>
                <w:lang w:val="vi-VN"/>
              </w:rPr>
            </w:pPr>
          </w:p>
        </w:tc>
      </w:tr>
      <w:tr w:rsidR="003174C0" w:rsidRPr="003174C0" w14:paraId="6817EEDE" w14:textId="77777777" w:rsidTr="00752F3E">
        <w:tc>
          <w:tcPr>
            <w:tcW w:w="846" w:type="dxa"/>
          </w:tcPr>
          <w:p w14:paraId="26272008" w14:textId="5F70BB3E" w:rsidR="00A877CE" w:rsidRPr="000D65B0" w:rsidRDefault="00A877CE" w:rsidP="000D65B0">
            <w:pPr>
              <w:pStyle w:val="ListParagraph"/>
              <w:numPr>
                <w:ilvl w:val="0"/>
                <w:numId w:val="4"/>
              </w:numPr>
              <w:spacing w:before="60" w:after="60" w:line="320" w:lineRule="exact"/>
              <w:jc w:val="center"/>
              <w:rPr>
                <w:rFonts w:ascii="Times New Roman" w:hAnsi="Times New Roman" w:cs="Times New Roman"/>
                <w:sz w:val="26"/>
                <w:szCs w:val="26"/>
              </w:rPr>
            </w:pPr>
          </w:p>
        </w:tc>
        <w:tc>
          <w:tcPr>
            <w:tcW w:w="5953" w:type="dxa"/>
          </w:tcPr>
          <w:p w14:paraId="77A3B5A2" w14:textId="4E4829EA" w:rsidR="00A877CE" w:rsidRPr="003174C0" w:rsidRDefault="00D152DA" w:rsidP="00F33483">
            <w:pPr>
              <w:spacing w:before="60" w:after="60" w:line="320" w:lineRule="exact"/>
              <w:jc w:val="both"/>
              <w:rPr>
                <w:rFonts w:ascii="Times New Roman" w:hAnsi="Times New Roman" w:cs="Times New Roman"/>
                <w:b/>
                <w:bCs/>
                <w:sz w:val="26"/>
                <w:szCs w:val="26"/>
              </w:rPr>
            </w:pPr>
            <w:r w:rsidRPr="003174C0">
              <w:rPr>
                <w:rFonts w:ascii="Times New Roman" w:hAnsi="Times New Roman" w:cs="Times New Roman"/>
                <w:b/>
                <w:bCs/>
                <w:sz w:val="26"/>
                <w:szCs w:val="26"/>
              </w:rPr>
              <w:t>Điều 122. Xử lý tình huống trong đấu thầu qua mạng và không qua mạng</w:t>
            </w:r>
            <w:r w:rsidR="00D05E88" w:rsidRPr="003174C0">
              <w:rPr>
                <w:rFonts w:ascii="Times New Roman" w:hAnsi="Times New Roman" w:cs="Times New Roman"/>
                <w:b/>
                <w:bCs/>
                <w:sz w:val="26"/>
                <w:szCs w:val="26"/>
              </w:rPr>
              <w:t>.</w:t>
            </w:r>
          </w:p>
          <w:p w14:paraId="096EE2ED" w14:textId="77777777" w:rsidR="00D152DA" w:rsidRPr="003174C0" w:rsidRDefault="00D152DA" w:rsidP="00F33483">
            <w:pPr>
              <w:spacing w:before="60" w:after="60" w:line="320" w:lineRule="exact"/>
              <w:jc w:val="both"/>
              <w:rPr>
                <w:rFonts w:ascii="Times New Roman" w:hAnsi="Times New Roman" w:cs="Times New Roman"/>
                <w:sz w:val="26"/>
                <w:szCs w:val="26"/>
              </w:rPr>
            </w:pPr>
            <w:r w:rsidRPr="003174C0">
              <w:rPr>
                <w:rFonts w:ascii="Times New Roman" w:hAnsi="Times New Roman" w:cs="Times New Roman"/>
                <w:sz w:val="26"/>
                <w:szCs w:val="26"/>
                <w:highlight w:val="yellow"/>
              </w:rPr>
              <w:t>19. Trường hợp một hoặc một số thành viên liên danh vi phạm hợp đồng, không còn năng lực để tiếp tục thực hiện hợp đồng, làm ảnh hưởng nghiêm trọng đến tiến độ, chất lượng, hiệu quả của gói thầu thì xử lý như sau:</w:t>
            </w:r>
          </w:p>
          <w:p w14:paraId="7E046101" w14:textId="7400AB9B" w:rsidR="00D152DA" w:rsidRPr="003174C0" w:rsidRDefault="00D152DA" w:rsidP="00F33483">
            <w:pPr>
              <w:spacing w:before="60" w:after="60" w:line="320" w:lineRule="exact"/>
              <w:jc w:val="both"/>
              <w:rPr>
                <w:rFonts w:ascii="Times New Roman" w:hAnsi="Times New Roman" w:cs="Times New Roman"/>
                <w:sz w:val="26"/>
                <w:szCs w:val="26"/>
              </w:rPr>
            </w:pPr>
            <w:r w:rsidRPr="003174C0">
              <w:rPr>
                <w:rFonts w:ascii="Times New Roman" w:hAnsi="Times New Roman" w:cs="Times New Roman"/>
                <w:sz w:val="26"/>
                <w:szCs w:val="26"/>
              </w:rPr>
              <w:t>a) Phạt hợp đồng theo quy định trong hợp đồng đối với tất cả các thành viên liên danh;</w:t>
            </w:r>
          </w:p>
          <w:p w14:paraId="090A6B70" w14:textId="00A1FD38" w:rsidR="00D152DA" w:rsidRPr="003174C0" w:rsidRDefault="00D152DA" w:rsidP="00F33483">
            <w:pPr>
              <w:spacing w:before="60" w:after="60" w:line="320" w:lineRule="exact"/>
              <w:jc w:val="both"/>
              <w:rPr>
                <w:rFonts w:ascii="Times New Roman" w:hAnsi="Times New Roman" w:cs="Times New Roman"/>
                <w:sz w:val="26"/>
                <w:szCs w:val="26"/>
              </w:rPr>
            </w:pPr>
            <w:r w:rsidRPr="003174C0">
              <w:rPr>
                <w:rFonts w:ascii="Times New Roman" w:hAnsi="Times New Roman" w:cs="Times New Roman"/>
                <w:sz w:val="26"/>
                <w:szCs w:val="26"/>
              </w:rPr>
              <w:t>b) Tịch thu giá trị bảo đảm thực hiện hợp đồng của tất cả thành viên liên danh;</w:t>
            </w:r>
          </w:p>
          <w:p w14:paraId="25394585" w14:textId="77777777" w:rsidR="00900104" w:rsidRPr="003174C0" w:rsidRDefault="00900104" w:rsidP="00F33483">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 xml:space="preserve">22. Trường hợp nhà thầu đang trong quá trình tham dự thầu nhưng bị sáp nhập hoặc chia tách thì được xem xét, quyết định việc cho phép nhà thầu đã bị sáp nhập hoặc chia tách đó tiếp tục tham gia đấu thầu. </w:t>
            </w:r>
            <w:r w:rsidRPr="003174C0">
              <w:rPr>
                <w:rFonts w:ascii="Times New Roman" w:hAnsi="Times New Roman" w:cs="Times New Roman"/>
                <w:sz w:val="26"/>
                <w:szCs w:val="26"/>
                <w:highlight w:val="yellow"/>
                <w:lang w:val="vi-VN"/>
              </w:rPr>
              <w:t>Trường hợp pháp nhân được tách trước đó không phải là một đơn vị hoạt động độc lập về nhân sự, máy móc, thiết bị gồm chi nhánh, xí nghiệp, văn phòng đại diện thì sau khi tách, pháp nhân được tách không được thừa hưởng năng lực, kinh nghiệm trong đấu thầu của pháp nhân bị tách.</w:t>
            </w:r>
          </w:p>
          <w:p w14:paraId="4604AB19" w14:textId="57FA5ADF" w:rsidR="00900104" w:rsidRPr="003174C0" w:rsidRDefault="00900104" w:rsidP="00F33483">
            <w:pPr>
              <w:spacing w:before="60" w:after="60" w:line="320" w:lineRule="exact"/>
              <w:jc w:val="both"/>
              <w:rPr>
                <w:rFonts w:ascii="Times New Roman" w:hAnsi="Times New Roman" w:cs="Times New Roman"/>
                <w:sz w:val="26"/>
                <w:szCs w:val="26"/>
                <w:lang w:val="vi-VN"/>
              </w:rPr>
            </w:pPr>
          </w:p>
        </w:tc>
        <w:tc>
          <w:tcPr>
            <w:tcW w:w="6810" w:type="dxa"/>
          </w:tcPr>
          <w:p w14:paraId="24C5E42B" w14:textId="77777777" w:rsidR="00D36C37" w:rsidRPr="003174C0" w:rsidRDefault="00D36C37" w:rsidP="00F33483">
            <w:pPr>
              <w:spacing w:before="60" w:after="60" w:line="320" w:lineRule="exact"/>
              <w:jc w:val="both"/>
              <w:rPr>
                <w:rFonts w:ascii="Times New Roman" w:hAnsi="Times New Roman" w:cs="Times New Roman"/>
                <w:sz w:val="26"/>
                <w:szCs w:val="26"/>
              </w:rPr>
            </w:pPr>
          </w:p>
          <w:p w14:paraId="2E10ECCD" w14:textId="7F66C36A" w:rsidR="00736716" w:rsidRPr="003174C0" w:rsidRDefault="00736716" w:rsidP="00F33483">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lang w:val="vi-VN"/>
              </w:rPr>
              <w:t xml:space="preserve"> Đ</w:t>
            </w:r>
            <w:r w:rsidR="00737449" w:rsidRPr="003174C0">
              <w:rPr>
                <w:rFonts w:ascii="Times New Roman" w:hAnsi="Times New Roman" w:cs="Times New Roman"/>
                <w:sz w:val="26"/>
                <w:szCs w:val="26"/>
              </w:rPr>
              <w:t>ề xuất xem lại Mục a, b  khoản 19 điều 122</w:t>
            </w:r>
            <w:r w:rsidRPr="003174C0">
              <w:rPr>
                <w:rFonts w:ascii="Times New Roman" w:hAnsi="Times New Roman" w:cs="Times New Roman"/>
                <w:sz w:val="26"/>
                <w:szCs w:val="26"/>
                <w:lang w:val="vi-VN"/>
              </w:rPr>
              <w:t>: “a) Phạt hợp đồng theo quy định trong hợp đồng đối với tất cả các thành viên liên danh;</w:t>
            </w:r>
          </w:p>
          <w:p w14:paraId="593A2EA5" w14:textId="77777777" w:rsidR="00A877CE" w:rsidRPr="003174C0" w:rsidRDefault="00736716" w:rsidP="00F33483">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lang w:val="vi-VN"/>
              </w:rPr>
              <w:t xml:space="preserve">b) Tịch thu giá trị bảo đảm thực hiện hợp đồng của tất cả thành viên liên danh;” </w:t>
            </w: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lang w:val="vi-VN"/>
              </w:rPr>
              <w:t xml:space="preserve"> Đề nghị chỉ áp dụng đối với thành viên liên danh vi phạm hợp đồng</w:t>
            </w:r>
            <w:r w:rsidR="006C3A1E" w:rsidRPr="003174C0">
              <w:rPr>
                <w:rFonts w:ascii="Times New Roman" w:hAnsi="Times New Roman" w:cs="Times New Roman"/>
                <w:sz w:val="26"/>
                <w:szCs w:val="26"/>
                <w:lang w:val="vi-VN"/>
              </w:rPr>
              <w:t xml:space="preserve"> vì trong 1 liên danh có thể từ 2, đến nhiều nhà thầu trong khi các thành viên không thể chịu trách nhiệm đối với phần khối lượng công việc của các thành viên khác được.</w:t>
            </w:r>
          </w:p>
          <w:p w14:paraId="2FBDBD71" w14:textId="77777777" w:rsidR="006A59FB" w:rsidRPr="003174C0" w:rsidRDefault="006A59FB" w:rsidP="00F33483">
            <w:pPr>
              <w:spacing w:before="60" w:after="60" w:line="320" w:lineRule="exact"/>
              <w:jc w:val="both"/>
              <w:rPr>
                <w:rFonts w:ascii="Times New Roman" w:hAnsi="Times New Roman" w:cs="Times New Roman"/>
                <w:sz w:val="26"/>
                <w:szCs w:val="26"/>
              </w:rPr>
            </w:pPr>
          </w:p>
          <w:p w14:paraId="4B25CD63" w14:textId="21896A3F" w:rsidR="00D62A2C" w:rsidRPr="003174C0" w:rsidRDefault="004B34B1" w:rsidP="00F33483">
            <w:pPr>
              <w:spacing w:before="60" w:after="60" w:line="320" w:lineRule="exact"/>
              <w:jc w:val="both"/>
              <w:rPr>
                <w:rFonts w:ascii="Times New Roman" w:hAnsi="Times New Roman" w:cs="Times New Roman"/>
                <w:sz w:val="26"/>
                <w:szCs w:val="26"/>
                <w:lang w:val="vi-VN"/>
              </w:rPr>
            </w:pPr>
            <w:r w:rsidRPr="003174C0">
              <w:rPr>
                <w:rFonts w:ascii="Times New Roman" w:hAnsi="Times New Roman" w:cs="Times New Roman"/>
                <w:sz w:val="26"/>
                <w:szCs w:val="26"/>
              </w:rPr>
              <w:sym w:font="Wingdings" w:char="F0E0"/>
            </w:r>
            <w:r w:rsidRPr="003174C0">
              <w:rPr>
                <w:rFonts w:ascii="Times New Roman" w:hAnsi="Times New Roman" w:cs="Times New Roman"/>
                <w:sz w:val="26"/>
                <w:szCs w:val="26"/>
                <w:lang w:val="vi-VN"/>
              </w:rPr>
              <w:t xml:space="preserve"> </w:t>
            </w:r>
            <w:r w:rsidR="00266C6A" w:rsidRPr="003174C0">
              <w:rPr>
                <w:rFonts w:ascii="Times New Roman" w:hAnsi="Times New Roman" w:cs="Times New Roman"/>
                <w:sz w:val="26"/>
                <w:szCs w:val="26"/>
                <w:lang w:val="vi-VN"/>
              </w:rPr>
              <w:t>Đề xuất làm rõ hơ</w:t>
            </w:r>
            <w:r w:rsidR="00D36C37" w:rsidRPr="003174C0">
              <w:rPr>
                <w:rFonts w:ascii="Times New Roman" w:hAnsi="Times New Roman" w:cs="Times New Roman"/>
                <w:sz w:val="26"/>
                <w:szCs w:val="26"/>
                <w:lang w:val="vi-VN"/>
              </w:rPr>
              <w:t>n</w:t>
            </w:r>
            <w:r w:rsidR="00D36C37" w:rsidRPr="003174C0">
              <w:rPr>
                <w:rFonts w:ascii="Times New Roman" w:hAnsi="Times New Roman" w:cs="Times New Roman"/>
                <w:sz w:val="26"/>
                <w:szCs w:val="26"/>
                <w:lang w:val="vi-VN"/>
              </w:rPr>
              <w:t xml:space="preserve"> về trường hợp: </w:t>
            </w:r>
            <w:r w:rsidR="00D36C37" w:rsidRPr="003174C0">
              <w:rPr>
                <w:rFonts w:ascii="Times New Roman" w:hAnsi="Times New Roman" w:cs="Times New Roman"/>
                <w:sz w:val="26"/>
                <w:szCs w:val="26"/>
                <w:highlight w:val="yellow"/>
                <w:lang w:val="vi-VN"/>
              </w:rPr>
              <w:t xml:space="preserve">Pháp nhân được tách ra là một đơn vị </w:t>
            </w:r>
            <w:r w:rsidR="00D36C37" w:rsidRPr="003174C0">
              <w:rPr>
                <w:rFonts w:ascii="Times New Roman" w:hAnsi="Times New Roman" w:cs="Times New Roman"/>
                <w:b/>
                <w:bCs/>
                <w:sz w:val="26"/>
                <w:szCs w:val="26"/>
                <w:highlight w:val="yellow"/>
                <w:lang w:val="vi-VN"/>
              </w:rPr>
              <w:t>hạch toán độc lập</w:t>
            </w:r>
            <w:r w:rsidR="00D36C37" w:rsidRPr="003174C0">
              <w:rPr>
                <w:rFonts w:ascii="Times New Roman" w:hAnsi="Times New Roman" w:cs="Times New Roman"/>
                <w:sz w:val="26"/>
                <w:szCs w:val="26"/>
                <w:highlight w:val="yellow"/>
                <w:lang w:val="vi-VN"/>
              </w:rPr>
              <w:t xml:space="preserve"> về nhân sự, máy móc, thiết bị gồm chi nhánh, xí nghiệp, văn phòng đại diện thì sau khi tách, pháp nhân được tách </w:t>
            </w:r>
            <w:r w:rsidR="00D36C37" w:rsidRPr="003174C0">
              <w:rPr>
                <w:rFonts w:ascii="Times New Roman" w:hAnsi="Times New Roman" w:cs="Times New Roman"/>
                <w:b/>
                <w:bCs/>
                <w:sz w:val="26"/>
                <w:szCs w:val="26"/>
                <w:highlight w:val="yellow"/>
                <w:lang w:val="vi-VN"/>
              </w:rPr>
              <w:t>có</w:t>
            </w:r>
            <w:r w:rsidR="00D36C37" w:rsidRPr="003174C0">
              <w:rPr>
                <w:rFonts w:ascii="Times New Roman" w:hAnsi="Times New Roman" w:cs="Times New Roman"/>
                <w:sz w:val="26"/>
                <w:szCs w:val="26"/>
                <w:highlight w:val="yellow"/>
                <w:lang w:val="vi-VN"/>
              </w:rPr>
              <w:t xml:space="preserve"> được thừa hưởng năng lực, kinh nghiệm trong đấu thầu của pháp nhân bị tách hay không?</w:t>
            </w:r>
            <w:r w:rsidR="00D36C37" w:rsidRPr="003174C0">
              <w:rPr>
                <w:rFonts w:ascii="Times New Roman" w:hAnsi="Times New Roman" w:cs="Times New Roman"/>
                <w:sz w:val="26"/>
                <w:szCs w:val="26"/>
                <w:lang w:val="vi-VN"/>
              </w:rPr>
              <w:t xml:space="preserve"> </w:t>
            </w:r>
            <w:r w:rsidR="00D36C37" w:rsidRPr="003174C0">
              <w:rPr>
                <w:rFonts w:ascii="Times New Roman" w:hAnsi="Times New Roman" w:cs="Times New Roman"/>
                <w:sz w:val="26"/>
                <w:szCs w:val="26"/>
              </w:rPr>
              <w:sym w:font="Wingdings" w:char="F0E0"/>
            </w:r>
            <w:r w:rsidR="00D36C37" w:rsidRPr="003174C0">
              <w:rPr>
                <w:rFonts w:ascii="Times New Roman" w:hAnsi="Times New Roman" w:cs="Times New Roman"/>
                <w:sz w:val="26"/>
                <w:szCs w:val="26"/>
                <w:lang w:val="vi-VN"/>
              </w:rPr>
              <w:t xml:space="preserve"> Rất mong được làm rõ và giải đáp vấn đề này?</w:t>
            </w:r>
            <w:r w:rsidR="00B35760" w:rsidRPr="003174C0">
              <w:rPr>
                <w:rFonts w:ascii="Times New Roman" w:hAnsi="Times New Roman" w:cs="Times New Roman"/>
                <w:sz w:val="26"/>
                <w:szCs w:val="26"/>
                <w:lang w:val="vi-VN"/>
              </w:rPr>
              <w:t xml:space="preserve">                                                                                                                                                                                     </w:t>
            </w:r>
          </w:p>
          <w:p w14:paraId="3C24AFE7" w14:textId="294EE7C3" w:rsidR="0056420E" w:rsidRPr="003174C0" w:rsidRDefault="0056420E" w:rsidP="00F33483">
            <w:pPr>
              <w:spacing w:before="60" w:after="60" w:line="320" w:lineRule="exact"/>
              <w:jc w:val="both"/>
              <w:rPr>
                <w:rFonts w:ascii="Times New Roman" w:hAnsi="Times New Roman" w:cs="Times New Roman"/>
                <w:sz w:val="26"/>
                <w:szCs w:val="26"/>
                <w:lang w:val="vi-VN"/>
              </w:rPr>
            </w:pPr>
          </w:p>
        </w:tc>
        <w:tc>
          <w:tcPr>
            <w:tcW w:w="1134" w:type="dxa"/>
          </w:tcPr>
          <w:p w14:paraId="667D183E" w14:textId="77777777" w:rsidR="00A877CE" w:rsidRPr="003174C0" w:rsidRDefault="00A877CE" w:rsidP="00963F88">
            <w:pPr>
              <w:spacing w:before="60" w:after="120" w:line="320" w:lineRule="exact"/>
              <w:jc w:val="both"/>
              <w:rPr>
                <w:rFonts w:ascii="Times New Roman" w:hAnsi="Times New Roman" w:cs="Times New Roman"/>
                <w:sz w:val="26"/>
                <w:szCs w:val="26"/>
                <w:lang w:val="vi-VN"/>
              </w:rPr>
            </w:pPr>
          </w:p>
        </w:tc>
      </w:tr>
    </w:tbl>
    <w:p w14:paraId="0202EA82" w14:textId="6D8B35E4" w:rsidR="00AC56B0" w:rsidRPr="003174C0" w:rsidRDefault="00AC56B0" w:rsidP="00963F88">
      <w:pPr>
        <w:spacing w:before="60" w:after="120" w:line="320" w:lineRule="exact"/>
        <w:jc w:val="both"/>
        <w:rPr>
          <w:rFonts w:ascii="Times New Roman" w:hAnsi="Times New Roman" w:cs="Times New Roman"/>
          <w:sz w:val="26"/>
          <w:szCs w:val="26"/>
          <w:lang w:val="vi-VN"/>
        </w:rPr>
      </w:pPr>
    </w:p>
    <w:p w14:paraId="0AE3DBA9" w14:textId="77777777" w:rsidR="00AC56B0" w:rsidRPr="003174C0" w:rsidRDefault="00AC56B0" w:rsidP="00963F88">
      <w:pPr>
        <w:spacing w:before="60" w:after="120" w:line="320" w:lineRule="exact"/>
        <w:jc w:val="both"/>
        <w:rPr>
          <w:rFonts w:ascii="Times New Roman" w:hAnsi="Times New Roman" w:cs="Times New Roman"/>
          <w:sz w:val="26"/>
          <w:szCs w:val="26"/>
          <w:lang w:val="vi-VN"/>
        </w:rPr>
      </w:pPr>
    </w:p>
    <w:sectPr w:rsidR="00AC56B0" w:rsidRPr="003174C0" w:rsidSect="0076624D">
      <w:pgSz w:w="15840" w:h="12240" w:orient="landscape"/>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27E9" w14:textId="77777777" w:rsidR="002950B2" w:rsidRDefault="002950B2" w:rsidP="0076624D">
      <w:pPr>
        <w:spacing w:after="0" w:line="240" w:lineRule="auto"/>
      </w:pPr>
      <w:r>
        <w:separator/>
      </w:r>
    </w:p>
  </w:endnote>
  <w:endnote w:type="continuationSeparator" w:id="0">
    <w:p w14:paraId="6DEEFC73" w14:textId="77777777" w:rsidR="002950B2" w:rsidRDefault="002950B2" w:rsidP="0076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045A" w14:textId="77777777" w:rsidR="002950B2" w:rsidRDefault="002950B2" w:rsidP="0076624D">
      <w:pPr>
        <w:spacing w:after="0" w:line="240" w:lineRule="auto"/>
      </w:pPr>
      <w:r>
        <w:separator/>
      </w:r>
    </w:p>
  </w:footnote>
  <w:footnote w:type="continuationSeparator" w:id="0">
    <w:p w14:paraId="311F1786" w14:textId="77777777" w:rsidR="002950B2" w:rsidRDefault="002950B2" w:rsidP="00766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C97"/>
    <w:multiLevelType w:val="hybridMultilevel"/>
    <w:tmpl w:val="8652933C"/>
    <w:lvl w:ilvl="0" w:tplc="1696CCA6">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2E98"/>
    <w:multiLevelType w:val="hybridMultilevel"/>
    <w:tmpl w:val="51B4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3446E"/>
    <w:multiLevelType w:val="hybridMultilevel"/>
    <w:tmpl w:val="DE920292"/>
    <w:lvl w:ilvl="0" w:tplc="D778A3FE">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B7AF5"/>
    <w:multiLevelType w:val="hybridMultilevel"/>
    <w:tmpl w:val="34B8EA2E"/>
    <w:lvl w:ilvl="0" w:tplc="E7624E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44389029">
    <w:abstractNumId w:val="3"/>
  </w:num>
  <w:num w:numId="2" w16cid:durableId="1453747707">
    <w:abstractNumId w:val="0"/>
  </w:num>
  <w:num w:numId="3" w16cid:durableId="1399016565">
    <w:abstractNumId w:val="2"/>
  </w:num>
  <w:num w:numId="4" w16cid:durableId="935285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B2"/>
    <w:rsid w:val="00004DE9"/>
    <w:rsid w:val="000474B6"/>
    <w:rsid w:val="00047983"/>
    <w:rsid w:val="00090C3F"/>
    <w:rsid w:val="000972CA"/>
    <w:rsid w:val="000D65B0"/>
    <w:rsid w:val="000D6D9A"/>
    <w:rsid w:val="00100A77"/>
    <w:rsid w:val="001078A1"/>
    <w:rsid w:val="001237CF"/>
    <w:rsid w:val="00146D70"/>
    <w:rsid w:val="00150CC8"/>
    <w:rsid w:val="00195081"/>
    <w:rsid w:val="0019621A"/>
    <w:rsid w:val="002370E6"/>
    <w:rsid w:val="00266C6A"/>
    <w:rsid w:val="00267C8D"/>
    <w:rsid w:val="002809A8"/>
    <w:rsid w:val="00280A3F"/>
    <w:rsid w:val="002950B2"/>
    <w:rsid w:val="002D0E61"/>
    <w:rsid w:val="003174C0"/>
    <w:rsid w:val="0038446E"/>
    <w:rsid w:val="00387CD3"/>
    <w:rsid w:val="003A5848"/>
    <w:rsid w:val="004237F7"/>
    <w:rsid w:val="00471FD0"/>
    <w:rsid w:val="00485986"/>
    <w:rsid w:val="004B34B1"/>
    <w:rsid w:val="0056420E"/>
    <w:rsid w:val="005B5980"/>
    <w:rsid w:val="005D1ED1"/>
    <w:rsid w:val="005D364D"/>
    <w:rsid w:val="00606784"/>
    <w:rsid w:val="00666DE2"/>
    <w:rsid w:val="006778CE"/>
    <w:rsid w:val="006A59FB"/>
    <w:rsid w:val="006B3206"/>
    <w:rsid w:val="006C3A1E"/>
    <w:rsid w:val="006E5B51"/>
    <w:rsid w:val="00736716"/>
    <w:rsid w:val="00737449"/>
    <w:rsid w:val="00752F3E"/>
    <w:rsid w:val="0076624D"/>
    <w:rsid w:val="007716F5"/>
    <w:rsid w:val="00782BBF"/>
    <w:rsid w:val="007855CF"/>
    <w:rsid w:val="008448B4"/>
    <w:rsid w:val="00866590"/>
    <w:rsid w:val="008915A1"/>
    <w:rsid w:val="00900104"/>
    <w:rsid w:val="00950A4F"/>
    <w:rsid w:val="0096301F"/>
    <w:rsid w:val="00963F88"/>
    <w:rsid w:val="00965427"/>
    <w:rsid w:val="00974C7E"/>
    <w:rsid w:val="009C22AD"/>
    <w:rsid w:val="009C78AC"/>
    <w:rsid w:val="00A877CE"/>
    <w:rsid w:val="00AA445C"/>
    <w:rsid w:val="00AB67DE"/>
    <w:rsid w:val="00AC56B0"/>
    <w:rsid w:val="00AD1D7B"/>
    <w:rsid w:val="00B35760"/>
    <w:rsid w:val="00B40ACE"/>
    <w:rsid w:val="00B412A7"/>
    <w:rsid w:val="00B57B14"/>
    <w:rsid w:val="00B72BFC"/>
    <w:rsid w:val="00B8329C"/>
    <w:rsid w:val="00C12B36"/>
    <w:rsid w:val="00C763A0"/>
    <w:rsid w:val="00C83E83"/>
    <w:rsid w:val="00CB54AF"/>
    <w:rsid w:val="00CD3829"/>
    <w:rsid w:val="00D05E88"/>
    <w:rsid w:val="00D152DA"/>
    <w:rsid w:val="00D326B2"/>
    <w:rsid w:val="00D36C37"/>
    <w:rsid w:val="00D62A2C"/>
    <w:rsid w:val="00D86EEA"/>
    <w:rsid w:val="00DE497F"/>
    <w:rsid w:val="00E018C4"/>
    <w:rsid w:val="00E04157"/>
    <w:rsid w:val="00E36E4C"/>
    <w:rsid w:val="00F03A94"/>
    <w:rsid w:val="00F3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3971"/>
  <w15:chartTrackingRefBased/>
  <w15:docId w15:val="{7FBC8265-B0F1-4B38-8BA0-A6011806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24D"/>
  </w:style>
  <w:style w:type="paragraph" w:styleId="Footer">
    <w:name w:val="footer"/>
    <w:basedOn w:val="Normal"/>
    <w:link w:val="FooterChar"/>
    <w:uiPriority w:val="99"/>
    <w:unhideWhenUsed/>
    <w:rsid w:val="00766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24D"/>
  </w:style>
  <w:style w:type="paragraph" w:styleId="ListParagraph">
    <w:name w:val="List Paragraph"/>
    <w:basedOn w:val="Normal"/>
    <w:uiPriority w:val="34"/>
    <w:qFormat/>
    <w:rsid w:val="0026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 Pham</dc:creator>
  <cp:keywords/>
  <dc:description/>
  <cp:lastModifiedBy>Tuyen Pham</cp:lastModifiedBy>
  <cp:revision>2</cp:revision>
  <cp:lastPrinted>2023-10-31T08:11:00Z</cp:lastPrinted>
  <dcterms:created xsi:type="dcterms:W3CDTF">2023-10-31T09:37:00Z</dcterms:created>
  <dcterms:modified xsi:type="dcterms:W3CDTF">2023-10-31T09:37:00Z</dcterms:modified>
</cp:coreProperties>
</file>