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jc w:val="center"/>
        <w:tblLayout w:type="fixed"/>
        <w:tblLook w:val="0000" w:firstRow="0" w:lastRow="0" w:firstColumn="0" w:lastColumn="0" w:noHBand="0" w:noVBand="0"/>
      </w:tblPr>
      <w:tblGrid>
        <w:gridCol w:w="3686"/>
        <w:gridCol w:w="5780"/>
      </w:tblGrid>
      <w:tr w:rsidR="00BA319F" w:rsidRPr="00E154D1" w14:paraId="70E5C20D" w14:textId="77777777" w:rsidTr="00D14F7C">
        <w:trPr>
          <w:trHeight w:val="774"/>
          <w:jc w:val="center"/>
        </w:trPr>
        <w:tc>
          <w:tcPr>
            <w:tcW w:w="3686" w:type="dxa"/>
          </w:tcPr>
          <w:p w14:paraId="57FB5547" w14:textId="361748D3" w:rsidR="00BA319F" w:rsidRPr="00E154D1" w:rsidRDefault="00BA319F" w:rsidP="00155E44">
            <w:pPr>
              <w:jc w:val="center"/>
              <w:rPr>
                <w:rFonts w:asciiTheme="majorHAnsi" w:hAnsiTheme="majorHAnsi" w:cstheme="majorHAnsi"/>
                <w:sz w:val="26"/>
              </w:rPr>
            </w:pPr>
            <w:r w:rsidRPr="00E154D1">
              <w:rPr>
                <w:rFonts w:asciiTheme="majorHAnsi" w:hAnsiTheme="majorHAnsi" w:cstheme="majorHAnsi"/>
                <w:sz w:val="26"/>
              </w:rPr>
              <w:t>BỘ GIAO THÔNG VẬN TẢI</w:t>
            </w:r>
          </w:p>
          <w:p w14:paraId="1B64D890" w14:textId="3651A164" w:rsidR="00D14F7C" w:rsidRPr="00E154D1" w:rsidRDefault="00D14F7C" w:rsidP="00155E44">
            <w:pPr>
              <w:jc w:val="center"/>
              <w:rPr>
                <w:rFonts w:asciiTheme="majorHAnsi" w:hAnsiTheme="majorHAnsi" w:cstheme="majorHAnsi"/>
                <w:b/>
                <w:sz w:val="26"/>
                <w:szCs w:val="26"/>
                <w:lang w:val="vi-VN"/>
              </w:rPr>
            </w:pPr>
            <w:r w:rsidRPr="00E154D1">
              <w:rPr>
                <w:rFonts w:asciiTheme="majorHAnsi" w:hAnsiTheme="majorHAnsi" w:cstheme="majorHAnsi"/>
                <w:b/>
                <w:sz w:val="26"/>
                <w:szCs w:val="26"/>
              </w:rPr>
              <mc:AlternateContent>
                <mc:Choice Requires="wps">
                  <w:drawing>
                    <wp:anchor distT="0" distB="0" distL="114300" distR="114300" simplePos="0" relativeHeight="251665408" behindDoc="0" locked="0" layoutInCell="1" allowOverlap="1" wp14:anchorId="68E4CEA4" wp14:editId="58ED2066">
                      <wp:simplePos x="0" y="0"/>
                      <wp:positionH relativeFrom="column">
                        <wp:posOffset>512594</wp:posOffset>
                      </wp:positionH>
                      <wp:positionV relativeFrom="paragraph">
                        <wp:posOffset>261433</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10FB5D5" id="_x0000_t32" coordsize="21600,21600" o:spt="32" o:oned="t" path="m,l21600,21600e" filled="f">
                      <v:path arrowok="t" fillok="f" o:connecttype="none"/>
                      <o:lock v:ext="edit" shapetype="t"/>
                    </v:shapetype>
                    <v:shape id="Straight Arrow Connector 6" o:spid="_x0000_s1026" type="#_x0000_t32" style="position:absolute;margin-left:40.35pt;margin-top:20.6pt;width:9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N5/vbnhAAAADQEAAA8AAABkcnMvZG93bnJldi54bWxM&#10;j0FPwzAMhe9I/IfISFwQS1oB27qm0wTiwJFtEtes8dpC41RNupb9eow4jIsl+9nP78vXk2vFCfvQ&#10;eNKQzBQIpNLbhioN+93r/QJEiIasaT2hhm8MsC6ur3KTWT/SO562sRJsQiEzGuoYu0zKUNboTJj5&#10;Dom1o++didz2lbS9GdnctTJV6kk60xB/qE2HzzWWX9vBacAwPCZqs3TV/u083n2k58+x22l9ezO9&#10;rLhsViAiTvFyAb8MnB8KDnbwA9kgWg0LNedNDQ9JCoL1dJ4wz+FvIItc/qcofgAAAP//AwBQSwEC&#10;LQAUAAYACAAAACEAtoM4kv4AAADhAQAAEwAAAAAAAAAAAAAAAAAAAAAAW0NvbnRlbnRfVHlwZXNd&#10;LnhtbFBLAQItABQABgAIAAAAIQA4/SH/1gAAAJQBAAALAAAAAAAAAAAAAAAAAC8BAABfcmVscy8u&#10;cmVsc1BLAQItABQABgAIAAAAIQAdVVNvJQIAAEoEAAAOAAAAAAAAAAAAAAAAAC4CAABkcnMvZTJv&#10;RG9jLnhtbFBLAQItABQABgAIAAAAIQDef7254QAAAA0BAAAPAAAAAAAAAAAAAAAAAH8EAABkcnMv&#10;ZG93bnJldi54bWxQSwUGAAAAAAQABADzAAAAjQUAAAAA&#10;"/>
                  </w:pict>
                </mc:Fallback>
              </mc:AlternateContent>
            </w:r>
            <w:r w:rsidRPr="00E154D1">
              <w:rPr>
                <w:rFonts w:asciiTheme="majorHAnsi" w:hAnsiTheme="majorHAnsi" w:cstheme="majorHAnsi"/>
                <w:b/>
                <w:sz w:val="26"/>
                <w:szCs w:val="26"/>
                <w:lang w:val="vi-VN"/>
              </w:rPr>
              <w:t>CỤC HÀNG HẢI VIỆT NAM</w:t>
            </w:r>
          </w:p>
        </w:tc>
        <w:tc>
          <w:tcPr>
            <w:tcW w:w="5780" w:type="dxa"/>
          </w:tcPr>
          <w:p w14:paraId="06D4DCDD" w14:textId="77777777" w:rsidR="00BA319F" w:rsidRPr="00E154D1" w:rsidRDefault="00BA319F" w:rsidP="00155E44">
            <w:pPr>
              <w:jc w:val="center"/>
              <w:rPr>
                <w:rFonts w:asciiTheme="majorHAnsi" w:hAnsiTheme="majorHAnsi" w:cstheme="majorHAnsi"/>
                <w:b/>
                <w:sz w:val="26"/>
              </w:rPr>
            </w:pPr>
            <w:r w:rsidRPr="00E154D1">
              <w:rPr>
                <w:rFonts w:asciiTheme="majorHAnsi" w:hAnsiTheme="majorHAnsi" w:cstheme="majorHAnsi"/>
                <w:b/>
                <w:sz w:val="26"/>
              </w:rPr>
              <w:t>CỘNG HÒA XÃ HỘI CHỦ NGHĨA VIỆT NAM</w:t>
            </w:r>
          </w:p>
          <w:p w14:paraId="2F29C7E1" w14:textId="77777777" w:rsidR="00BA319F" w:rsidRPr="00E154D1" w:rsidRDefault="00BA319F" w:rsidP="00155E44">
            <w:pPr>
              <w:jc w:val="center"/>
              <w:rPr>
                <w:rFonts w:asciiTheme="majorHAnsi" w:hAnsiTheme="majorHAnsi" w:cstheme="majorHAnsi"/>
                <w:i/>
              </w:rPr>
            </w:pPr>
            <w:r w:rsidRPr="00E154D1">
              <w:rPr>
                <w:rFonts w:asciiTheme="majorHAnsi" w:hAnsiTheme="majorHAnsi" w:cstheme="majorHAnsi"/>
              </w:rPr>
              <mc:AlternateContent>
                <mc:Choice Requires="wps">
                  <w:drawing>
                    <wp:anchor distT="0" distB="0" distL="114300" distR="114300" simplePos="0" relativeHeight="251664384" behindDoc="0" locked="0" layoutInCell="1" allowOverlap="1" wp14:anchorId="0334284B" wp14:editId="02FA6E03">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9FB2B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E154D1">
              <w:rPr>
                <w:rFonts w:asciiTheme="majorHAnsi" w:hAnsiTheme="majorHAnsi" w:cstheme="majorHAnsi"/>
                <w:b/>
              </w:rPr>
              <w:t>Độc lập - Tự do - Hạnh phúc</w:t>
            </w:r>
          </w:p>
        </w:tc>
      </w:tr>
    </w:tbl>
    <w:p w14:paraId="39525938" w14:textId="77777777" w:rsidR="00BA319F" w:rsidRPr="00E154D1" w:rsidRDefault="00BA319F" w:rsidP="00A047F9">
      <w:pPr>
        <w:jc w:val="center"/>
        <w:rPr>
          <w:rFonts w:asciiTheme="majorHAnsi" w:hAnsiTheme="majorHAnsi" w:cstheme="majorHAnsi"/>
          <w:b/>
          <w:szCs w:val="32"/>
        </w:rPr>
      </w:pPr>
    </w:p>
    <w:p w14:paraId="6A34A4E3" w14:textId="77777777" w:rsidR="00C65629" w:rsidRPr="00E154D1" w:rsidRDefault="00C65629" w:rsidP="0026407D">
      <w:pPr>
        <w:rPr>
          <w:rFonts w:asciiTheme="majorHAnsi" w:hAnsiTheme="majorHAnsi" w:cstheme="majorHAnsi"/>
          <w:b/>
          <w:szCs w:val="32"/>
        </w:rPr>
      </w:pPr>
    </w:p>
    <w:p w14:paraId="4D7342B6" w14:textId="43608E01" w:rsidR="00A047F9" w:rsidRPr="00E154D1" w:rsidRDefault="00A047F9" w:rsidP="00A047F9">
      <w:pPr>
        <w:jc w:val="center"/>
        <w:rPr>
          <w:rFonts w:asciiTheme="majorHAnsi" w:hAnsiTheme="majorHAnsi" w:cstheme="majorHAnsi"/>
          <w:b/>
          <w:szCs w:val="32"/>
        </w:rPr>
      </w:pPr>
      <w:r w:rsidRPr="00E154D1">
        <w:rPr>
          <w:rFonts w:asciiTheme="majorHAnsi" w:hAnsiTheme="majorHAnsi" w:cstheme="majorHAnsi"/>
          <w:b/>
          <w:szCs w:val="32"/>
        </w:rPr>
        <w:t xml:space="preserve">BÁO CÁO </w:t>
      </w:r>
    </w:p>
    <w:p w14:paraId="3EBE73F2" w14:textId="77777777" w:rsidR="00FD38A3" w:rsidRPr="00E154D1" w:rsidRDefault="00FD38A3" w:rsidP="00FD38A3">
      <w:pPr>
        <w:jc w:val="center"/>
        <w:rPr>
          <w:rFonts w:asciiTheme="majorHAnsi" w:hAnsiTheme="majorHAnsi" w:cstheme="majorHAnsi"/>
          <w:b/>
          <w:lang w:val="vi-VN"/>
        </w:rPr>
      </w:pPr>
      <w:r w:rsidRPr="00E154D1">
        <w:rPr>
          <w:rFonts w:asciiTheme="majorHAnsi" w:hAnsiTheme="majorHAnsi" w:cstheme="majorHAnsi"/>
          <w:b/>
          <w:bCs/>
        </w:rPr>
        <w:t>Đánh giá tác động chính sách mới t</w:t>
      </w:r>
      <w:r w:rsidRPr="00E154D1">
        <w:rPr>
          <w:rFonts w:asciiTheme="majorHAnsi" w:hAnsiTheme="majorHAnsi" w:cstheme="majorHAnsi"/>
          <w:b/>
        </w:rPr>
        <w:t>rong Thông tư</w:t>
      </w:r>
      <w:r w:rsidRPr="00E154D1">
        <w:rPr>
          <w:rFonts w:asciiTheme="majorHAnsi" w:hAnsiTheme="majorHAnsi" w:cstheme="majorHAnsi"/>
          <w:b/>
          <w:lang w:val="vi-VN"/>
        </w:rPr>
        <w:t xml:space="preserve"> quy định Chương trình đào tạo, huấn luyện thuyền viên, hoa tiêu hàng hải </w:t>
      </w:r>
      <w:r w:rsidRPr="00E154D1">
        <w:rPr>
          <w:rFonts w:asciiTheme="majorHAnsi" w:hAnsiTheme="majorHAnsi" w:cstheme="majorHAnsi"/>
          <w:b/>
        </w:rPr>
        <w:t>(thay thế Quyết</w:t>
      </w:r>
      <w:r w:rsidRPr="00E154D1">
        <w:rPr>
          <w:rFonts w:asciiTheme="majorHAnsi" w:hAnsiTheme="majorHAnsi" w:cstheme="majorHAnsi"/>
          <w:b/>
          <w:lang w:val="vi-VN"/>
        </w:rPr>
        <w:t xml:space="preserve"> định</w:t>
      </w:r>
      <w:r w:rsidRPr="00E154D1">
        <w:rPr>
          <w:rFonts w:asciiTheme="majorHAnsi" w:hAnsiTheme="majorHAnsi" w:cstheme="majorHAnsi"/>
          <w:b/>
        </w:rPr>
        <w:t xml:space="preserve"> số </w:t>
      </w:r>
      <w:r w:rsidRPr="00E154D1">
        <w:rPr>
          <w:rFonts w:asciiTheme="majorHAnsi" w:hAnsiTheme="majorHAnsi" w:cstheme="majorHAnsi"/>
          <w:b/>
          <w:lang w:val="vi-VN"/>
        </w:rPr>
        <w:t>2908</w:t>
      </w:r>
      <w:r w:rsidRPr="00E154D1">
        <w:rPr>
          <w:rFonts w:asciiTheme="majorHAnsi" w:hAnsiTheme="majorHAnsi" w:cstheme="majorHAnsi"/>
          <w:b/>
        </w:rPr>
        <w:t>/QĐ-BGTVT ngày 2</w:t>
      </w:r>
      <w:r w:rsidRPr="00E154D1">
        <w:rPr>
          <w:rFonts w:asciiTheme="majorHAnsi" w:hAnsiTheme="majorHAnsi" w:cstheme="majorHAnsi"/>
          <w:b/>
          <w:lang w:val="vi-VN"/>
        </w:rPr>
        <w:t>8</w:t>
      </w:r>
      <w:r w:rsidRPr="00E154D1">
        <w:rPr>
          <w:rFonts w:asciiTheme="majorHAnsi" w:hAnsiTheme="majorHAnsi" w:cstheme="majorHAnsi"/>
          <w:b/>
        </w:rPr>
        <w:t>/</w:t>
      </w:r>
      <w:r w:rsidRPr="00E154D1">
        <w:rPr>
          <w:rFonts w:asciiTheme="majorHAnsi" w:hAnsiTheme="majorHAnsi" w:cstheme="majorHAnsi"/>
          <w:b/>
          <w:lang w:val="vi-VN"/>
        </w:rPr>
        <w:t>12</w:t>
      </w:r>
      <w:r w:rsidRPr="00E154D1">
        <w:rPr>
          <w:rFonts w:asciiTheme="majorHAnsi" w:hAnsiTheme="majorHAnsi" w:cstheme="majorHAnsi"/>
          <w:b/>
        </w:rPr>
        <w:t>/20</w:t>
      </w:r>
      <w:r w:rsidRPr="00E154D1">
        <w:rPr>
          <w:rFonts w:asciiTheme="majorHAnsi" w:hAnsiTheme="majorHAnsi" w:cstheme="majorHAnsi"/>
          <w:b/>
          <w:lang w:val="vi-VN"/>
        </w:rPr>
        <w:t>18</w:t>
      </w:r>
      <w:r w:rsidRPr="00E154D1">
        <w:rPr>
          <w:rFonts w:asciiTheme="majorHAnsi" w:hAnsiTheme="majorHAnsi" w:cstheme="majorHAnsi"/>
          <w:b/>
        </w:rPr>
        <w:t xml:space="preserve"> của Bộ trưởng Bộ Giao thông vận tải)</w:t>
      </w:r>
    </w:p>
    <w:p w14:paraId="4BB01C05" w14:textId="77777777" w:rsidR="00A047F9" w:rsidRPr="00E154D1" w:rsidRDefault="00A047F9" w:rsidP="00A047F9">
      <w:pPr>
        <w:spacing w:line="264" w:lineRule="auto"/>
        <w:jc w:val="center"/>
        <w:rPr>
          <w:rFonts w:asciiTheme="majorHAnsi" w:hAnsiTheme="majorHAnsi" w:cstheme="majorHAnsi"/>
          <w:b/>
          <w:lang w:val="pt-BR"/>
        </w:rPr>
      </w:pPr>
      <w:r w:rsidRPr="00E154D1">
        <w:rPr>
          <w:rFonts w:asciiTheme="majorHAnsi" w:hAnsiTheme="majorHAnsi" w:cstheme="majorHAnsi"/>
          <w:b/>
        </w:rPr>
        <mc:AlternateContent>
          <mc:Choice Requires="wps">
            <w:drawing>
              <wp:anchor distT="0" distB="0" distL="114300" distR="114300" simplePos="0" relativeHeight="251659264" behindDoc="0" locked="0" layoutInCell="1" allowOverlap="1" wp14:anchorId="5C5B1560" wp14:editId="2D4FDBC3">
                <wp:simplePos x="0" y="0"/>
                <wp:positionH relativeFrom="column">
                  <wp:posOffset>2178050</wp:posOffset>
                </wp:positionH>
                <wp:positionV relativeFrom="paragraph">
                  <wp:posOffset>47625</wp:posOffset>
                </wp:positionV>
                <wp:extent cx="1663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09F8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5pt,3.75pt" to="3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3UtAEAALcDAAAOAAAAZHJzL2Uyb0RvYy54bWysU02P0zAQvSPxHyzfadJF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Xq7buWW6Cvb80jMVLK&#10;HwG9KJteOhuKbNWpw6eUORlDrxA+lELOqesunxwUsAtfwbCUkqyy6xDB1pE4KG7/8KPK4FgVWSjG&#10;OjeT2n+TLthCgzpY/0uc0TUjhjwTvQ1If8uaj9dSzRl/VX3WWmQ/4HCqjah28HRUly6TXMbv93Ol&#10;P/5vm18AAAD//wMAUEsDBBQABgAIAAAAIQBnRoN72wAAAAcBAAAPAAAAZHJzL2Rvd25yZXYueG1s&#10;TI+7TsQwEEV7JP7BGiQ6dgLLPhTirBCPCooQKCi98ZBEG4+j2JsEvp6BBsqrOzr3TLabXadGGkLr&#10;WcPlIgFFXHnbcq3h7fXxYgsqRMPWdJ5JwycF2OWnJ5lJrZ/4hcYy1kogHFKjoYmxTxFD1ZAzYeF7&#10;Yuk+/OBMlDjUaAczCdx1eJUka3SmZVloTE93DVWH8ug0bB6eyqKf7p+/CtxgUYw+bg/vWp+fzbc3&#10;oCLN8e8YfvRFHXJx2vsj26A6DcvrpfwSBbYCJf06WUne/2bMM/zvn38DAAD//wMAUEsBAi0AFAAG&#10;AAgAAAAhALaDOJL+AAAA4QEAABMAAAAAAAAAAAAAAAAAAAAAAFtDb250ZW50X1R5cGVzXS54bWxQ&#10;SwECLQAUAAYACAAAACEAOP0h/9YAAACUAQAACwAAAAAAAAAAAAAAAAAvAQAAX3JlbHMvLnJlbHNQ&#10;SwECLQAUAAYACAAAACEA6p091LQBAAC3AwAADgAAAAAAAAAAAAAAAAAuAgAAZHJzL2Uyb0RvYy54&#10;bWxQSwECLQAUAAYACAAAACEAZ0aDe9sAAAAHAQAADwAAAAAAAAAAAAAAAAAOBAAAZHJzL2Rvd25y&#10;ZXYueG1sUEsFBgAAAAAEAAQA8wAAABYFAAAAAA==&#10;" strokecolor="black [3040]"/>
            </w:pict>
          </mc:Fallback>
        </mc:AlternateContent>
      </w:r>
    </w:p>
    <w:p w14:paraId="3E2FD2C5" w14:textId="77777777" w:rsidR="00BC4307" w:rsidRPr="00E154D1" w:rsidRDefault="00BC4307" w:rsidP="00A047F9">
      <w:pPr>
        <w:spacing w:before="100"/>
        <w:ind w:firstLine="720"/>
        <w:jc w:val="center"/>
        <w:rPr>
          <w:rFonts w:asciiTheme="majorHAnsi" w:hAnsiTheme="majorHAnsi" w:cstheme="majorHAnsi"/>
          <w:lang w:val="pt-BR"/>
        </w:rPr>
      </w:pPr>
    </w:p>
    <w:p w14:paraId="6A2A2B5D" w14:textId="77777777" w:rsidR="0000770F" w:rsidRPr="00E154D1" w:rsidRDefault="0000770F" w:rsidP="003C3B08">
      <w:pPr>
        <w:spacing w:before="120" w:after="120" w:line="360" w:lineRule="exact"/>
        <w:jc w:val="both"/>
        <w:rPr>
          <w:rFonts w:asciiTheme="majorHAnsi" w:hAnsiTheme="majorHAnsi" w:cstheme="majorHAnsi"/>
          <w:b/>
          <w:lang w:val="nl-NL"/>
        </w:rPr>
      </w:pPr>
      <w:r w:rsidRPr="00E154D1">
        <w:rPr>
          <w:rFonts w:asciiTheme="majorHAnsi" w:hAnsiTheme="majorHAnsi" w:cstheme="majorHAnsi"/>
          <w:b/>
          <w:lang w:val="nl-NL"/>
        </w:rPr>
        <w:tab/>
        <w:t>I. Vấn đề bất cập</w:t>
      </w:r>
    </w:p>
    <w:p w14:paraId="6ECE7E6D" w14:textId="77777777" w:rsidR="0000770F" w:rsidRPr="00E154D1" w:rsidRDefault="0000770F" w:rsidP="003C3B08">
      <w:pPr>
        <w:spacing w:before="120" w:after="120" w:line="360" w:lineRule="exact"/>
        <w:jc w:val="both"/>
        <w:rPr>
          <w:rFonts w:asciiTheme="majorHAnsi" w:hAnsiTheme="majorHAnsi" w:cstheme="majorHAnsi"/>
          <w:lang w:val="nl-NL"/>
        </w:rPr>
      </w:pPr>
      <w:r w:rsidRPr="00E154D1">
        <w:rPr>
          <w:rFonts w:asciiTheme="majorHAnsi" w:hAnsiTheme="majorHAnsi" w:cstheme="majorHAnsi"/>
          <w:lang w:val="nl-NL"/>
        </w:rPr>
        <w:tab/>
        <w:t>1. Bối cảnh xây dựng chính sách</w:t>
      </w:r>
    </w:p>
    <w:p w14:paraId="49EC4298" w14:textId="6776764B" w:rsidR="00927B53" w:rsidRPr="00E154D1" w:rsidRDefault="008F241E" w:rsidP="008F241E">
      <w:pPr>
        <w:spacing w:before="120"/>
        <w:ind w:firstLine="709"/>
        <w:jc w:val="both"/>
        <w:rPr>
          <w:rFonts w:asciiTheme="majorHAnsi" w:hAnsiTheme="majorHAnsi" w:cstheme="majorHAnsi"/>
          <w:lang w:val="pl-PL"/>
        </w:rPr>
      </w:pPr>
      <w:r w:rsidRPr="00E154D1">
        <w:rPr>
          <w:rFonts w:asciiTheme="majorHAnsi" w:hAnsiTheme="majorHAnsi" w:cstheme="majorHAnsi"/>
          <w:lang w:val="vi-VN"/>
        </w:rPr>
        <w:t xml:space="preserve">Hiện nay các cơ sở đào tạo, huấn luyện thuyền viên, hoa tiêu hàng hải đang áp dụng Quyết định 2908/QĐ-BGTVT </w:t>
      </w:r>
      <w:r w:rsidRPr="00E154D1">
        <w:rPr>
          <w:rFonts w:asciiTheme="majorHAnsi" w:hAnsiTheme="majorHAnsi" w:cstheme="majorHAnsi"/>
          <w:lang w:val="pl-PL"/>
        </w:rPr>
        <w:t>ngày 28/12/2018 về việc ban hành Chương trình đào tạo, huấn luyện thuyền viên hàng hải, hoa tiêu hàng hải và bộ ngân hàng câu hỏi, hướng dẫn trả lời câu hỏi thi sỹ quan hàng hải, tiếng Anh hàng hải</w:t>
      </w:r>
      <w:r w:rsidRPr="00E154D1">
        <w:rPr>
          <w:rFonts w:asciiTheme="majorHAnsi" w:hAnsiTheme="majorHAnsi" w:cstheme="majorHAnsi"/>
          <w:lang w:val="vi-VN"/>
        </w:rPr>
        <w:t xml:space="preserve"> (Quyết định 2908/QĐ-BGTVT) để đào tạo, huấn luyện thuyền viên, hoa tiêu hàng hải. T</w:t>
      </w:r>
      <w:r w:rsidRPr="00E154D1">
        <w:rPr>
          <w:rFonts w:asciiTheme="majorHAnsi" w:hAnsiTheme="majorHAnsi" w:cstheme="majorHAnsi"/>
          <w:lang w:val="pl-PL"/>
        </w:rPr>
        <w:t>uy nhiên trong quá trình triển khai cần cập nhật</w:t>
      </w:r>
      <w:r w:rsidRPr="00E154D1">
        <w:rPr>
          <w:rFonts w:asciiTheme="majorHAnsi" w:hAnsiTheme="majorHAnsi" w:cstheme="majorHAnsi"/>
          <w:lang w:val="vi-VN"/>
        </w:rPr>
        <w:t xml:space="preserve">, bổ sung </w:t>
      </w:r>
      <w:r w:rsidRPr="00E154D1">
        <w:rPr>
          <w:rFonts w:asciiTheme="majorHAnsi" w:hAnsiTheme="majorHAnsi" w:cstheme="majorHAnsi"/>
          <w:lang w:val="pl-PL"/>
        </w:rPr>
        <w:t xml:space="preserve">những nội dung chương trình đào tạo, huấn luyện của </w:t>
      </w:r>
      <w:r w:rsidR="00E13595" w:rsidRPr="00E154D1">
        <w:rPr>
          <w:rFonts w:asciiTheme="majorHAnsi" w:hAnsiTheme="majorHAnsi" w:cstheme="majorHAnsi"/>
          <w:lang w:val="pl-PL"/>
        </w:rPr>
        <w:t>Chương</w:t>
      </w:r>
      <w:r w:rsidR="00E13595" w:rsidRPr="00E154D1">
        <w:rPr>
          <w:rFonts w:asciiTheme="majorHAnsi" w:hAnsiTheme="majorHAnsi" w:cstheme="majorHAnsi"/>
          <w:lang w:val="vi-VN"/>
        </w:rPr>
        <w:t xml:space="preserve"> trình mẫu của Tổ chức hàng hải quốc tế (</w:t>
      </w:r>
      <w:r w:rsidRPr="00E154D1">
        <w:rPr>
          <w:rFonts w:asciiTheme="majorHAnsi" w:hAnsiTheme="majorHAnsi" w:cstheme="majorHAnsi"/>
          <w:lang w:val="pl-PL"/>
        </w:rPr>
        <w:t>IMO Model Course</w:t>
      </w:r>
      <w:r w:rsidR="00E13595" w:rsidRPr="00E154D1">
        <w:rPr>
          <w:rFonts w:asciiTheme="majorHAnsi" w:hAnsiTheme="majorHAnsi" w:cstheme="majorHAnsi"/>
          <w:lang w:val="vi-VN"/>
        </w:rPr>
        <w:t>)</w:t>
      </w:r>
      <w:r w:rsidRPr="00E154D1">
        <w:rPr>
          <w:rFonts w:asciiTheme="majorHAnsi" w:hAnsiTheme="majorHAnsi" w:cstheme="majorHAnsi"/>
          <w:lang w:val="pl-PL"/>
        </w:rPr>
        <w:t xml:space="preserve"> quy định, pháp luật của Việt Nam và cần loại bỏ một số chương trình đào tạo, huấn luyện không còn phù hợp với thực tế</w:t>
      </w:r>
      <w:r w:rsidRPr="00E154D1">
        <w:rPr>
          <w:rFonts w:asciiTheme="majorHAnsi" w:hAnsiTheme="majorHAnsi" w:cstheme="majorHAnsi"/>
          <w:lang w:val="vi-VN"/>
        </w:rPr>
        <w:t xml:space="preserve">. </w:t>
      </w:r>
    </w:p>
    <w:p w14:paraId="3D60A4FD" w14:textId="5A4C7A91" w:rsidR="00FE1983" w:rsidRPr="00E154D1" w:rsidRDefault="0000770F" w:rsidP="008F241E">
      <w:pPr>
        <w:spacing w:before="120" w:after="120" w:line="360" w:lineRule="exact"/>
        <w:ind w:firstLine="720"/>
        <w:jc w:val="both"/>
        <w:rPr>
          <w:rFonts w:asciiTheme="majorHAnsi" w:hAnsiTheme="majorHAnsi" w:cstheme="majorHAnsi"/>
          <w:lang w:val="nl-NL"/>
        </w:rPr>
      </w:pPr>
      <w:r w:rsidRPr="00E154D1">
        <w:rPr>
          <w:rFonts w:asciiTheme="majorHAnsi" w:hAnsiTheme="majorHAnsi" w:cstheme="majorHAnsi"/>
          <w:lang w:val="nl-NL"/>
        </w:rPr>
        <w:t>2. Mục tiêu xây dựng chính sách</w:t>
      </w:r>
      <w:r w:rsidR="00FE1983" w:rsidRPr="00E154D1">
        <w:rPr>
          <w:rFonts w:asciiTheme="majorHAnsi" w:hAnsiTheme="majorHAnsi" w:cstheme="majorHAnsi"/>
          <w:position w:val="-2"/>
          <w:lang w:val="nl-NL"/>
        </w:rPr>
        <w:t xml:space="preserve"> </w:t>
      </w:r>
    </w:p>
    <w:p w14:paraId="2546580C" w14:textId="77777777" w:rsidR="00EE3429" w:rsidRPr="00E154D1" w:rsidRDefault="008F241E" w:rsidP="00EE3429">
      <w:pPr>
        <w:spacing w:before="120"/>
        <w:ind w:firstLine="709"/>
        <w:jc w:val="both"/>
        <w:rPr>
          <w:rFonts w:asciiTheme="majorHAnsi" w:hAnsiTheme="majorHAnsi" w:cstheme="majorHAnsi"/>
          <w:lang w:val="pl-PL"/>
        </w:rPr>
      </w:pPr>
      <w:r w:rsidRPr="00E154D1">
        <w:rPr>
          <w:rFonts w:asciiTheme="majorHAnsi" w:hAnsiTheme="majorHAnsi" w:cstheme="majorHAnsi"/>
          <w:lang w:val="vi-VN"/>
        </w:rPr>
        <w:t>Việc xây dựng Thông tư</w:t>
      </w:r>
      <w:r w:rsidRPr="00E154D1">
        <w:rPr>
          <w:rFonts w:asciiTheme="majorHAnsi" w:hAnsiTheme="majorHAnsi" w:cstheme="majorHAnsi"/>
          <w:lang w:val="pl-PL"/>
        </w:rPr>
        <w:t xml:space="preserve"> thay thế Quyết định 2908/QĐ-BGTVT ban hành dưới dạng hình thức Thông tư và ban hành dưới dạng khung đào tạo, huấn luyện nhằm đảm bảo sự đồng bộ, thống nhất trong khuôn khổ pháp luật của tiêu chuẩn chương trình đào tạo, huấn luyện thuyền viên, hoa tiêu hàng hải và pháp luật khác liên quan.</w:t>
      </w:r>
    </w:p>
    <w:p w14:paraId="2F85C05E" w14:textId="77777777" w:rsidR="00EE3429" w:rsidRPr="00E154D1" w:rsidRDefault="0000770F" w:rsidP="00EE3429">
      <w:pPr>
        <w:spacing w:before="120"/>
        <w:ind w:firstLine="709"/>
        <w:jc w:val="both"/>
        <w:rPr>
          <w:rFonts w:asciiTheme="majorHAnsi" w:hAnsiTheme="majorHAnsi" w:cstheme="majorHAnsi"/>
          <w:b/>
          <w:lang w:val="pl-PL"/>
        </w:rPr>
      </w:pPr>
      <w:r w:rsidRPr="00E154D1">
        <w:rPr>
          <w:rFonts w:asciiTheme="majorHAnsi" w:hAnsiTheme="majorHAnsi" w:cstheme="majorHAnsi"/>
          <w:b/>
          <w:lang w:val="nl-NL"/>
        </w:rPr>
        <w:t>II. Đánh giá tác động chính sách</w:t>
      </w:r>
    </w:p>
    <w:p w14:paraId="51BE128C" w14:textId="6ACF5892" w:rsidR="0000770F" w:rsidRPr="00E154D1" w:rsidRDefault="006D7F97" w:rsidP="00EE3429">
      <w:pPr>
        <w:spacing w:before="120"/>
        <w:ind w:firstLine="709"/>
        <w:jc w:val="both"/>
        <w:rPr>
          <w:rFonts w:asciiTheme="majorHAnsi" w:hAnsiTheme="majorHAnsi" w:cstheme="majorHAnsi"/>
          <w:b/>
          <w:lang w:val="pl-PL"/>
        </w:rPr>
      </w:pPr>
      <w:r w:rsidRPr="00E154D1">
        <w:rPr>
          <w:rFonts w:asciiTheme="majorHAnsi" w:hAnsiTheme="majorHAnsi" w:cstheme="majorHAnsi"/>
          <w:lang w:val="nl-NL"/>
        </w:rPr>
        <w:t>1.</w:t>
      </w:r>
      <w:r w:rsidR="0000770F" w:rsidRPr="00E154D1">
        <w:rPr>
          <w:rFonts w:asciiTheme="majorHAnsi" w:hAnsiTheme="majorHAnsi" w:cstheme="majorHAnsi"/>
          <w:lang w:val="nl-NL"/>
        </w:rPr>
        <w:t xml:space="preserve"> Xác định vấn đề bất cập</w:t>
      </w:r>
    </w:p>
    <w:p w14:paraId="1B515803" w14:textId="67FED646" w:rsidR="006857EA" w:rsidRPr="00E154D1" w:rsidRDefault="006857EA" w:rsidP="006857EA">
      <w:pPr>
        <w:spacing w:before="120"/>
        <w:ind w:firstLine="709"/>
        <w:rPr>
          <w:rFonts w:asciiTheme="majorHAnsi" w:hAnsiTheme="majorHAnsi" w:cstheme="majorHAnsi"/>
          <w:i/>
          <w:lang w:val="vi-VN"/>
        </w:rPr>
      </w:pPr>
      <w:r w:rsidRPr="00E154D1">
        <w:rPr>
          <w:rFonts w:asciiTheme="majorHAnsi" w:hAnsiTheme="majorHAnsi" w:cstheme="majorHAnsi"/>
          <w:i/>
          <w:lang w:val="vi-VN"/>
        </w:rPr>
        <w:t xml:space="preserve">a)  Thay thế và bãi bỏ một số chương trình đào tạo, huấn luyện </w:t>
      </w:r>
    </w:p>
    <w:p w14:paraId="1AAA18F3" w14:textId="77777777" w:rsidR="006857EA" w:rsidRPr="00E154D1" w:rsidRDefault="006857EA" w:rsidP="006857EA">
      <w:pPr>
        <w:spacing w:before="120"/>
        <w:ind w:firstLine="709"/>
        <w:jc w:val="both"/>
        <w:rPr>
          <w:rFonts w:asciiTheme="majorHAnsi" w:hAnsiTheme="majorHAnsi" w:cstheme="majorHAnsi"/>
        </w:rPr>
      </w:pPr>
      <w:r w:rsidRPr="00E154D1">
        <w:rPr>
          <w:rFonts w:asciiTheme="majorHAnsi" w:hAnsiTheme="majorHAnsi" w:cstheme="majorHAnsi"/>
          <w:lang w:val="vi-VN"/>
        </w:rPr>
        <w:t>- Chương trình đào tạo ngành Điều khiển tàu biển trình độ sơ cấp thay thế bằng Chương trình đào tạo, huấn luyện thuỷ thủ</w:t>
      </w:r>
      <w:r w:rsidRPr="00E154D1">
        <w:rPr>
          <w:rFonts w:asciiTheme="majorHAnsi" w:hAnsiTheme="majorHAnsi" w:cstheme="majorHAnsi"/>
        </w:rPr>
        <w:t xml:space="preserve">, lý do thay thế: Hiện nay các trường xây dựng chương trình đào tạo </w:t>
      </w:r>
      <w:r w:rsidRPr="00E154D1">
        <w:rPr>
          <w:rFonts w:asciiTheme="majorHAnsi" w:hAnsiTheme="majorHAnsi" w:cstheme="majorHAnsi"/>
          <w:lang w:val="vi-VN"/>
        </w:rPr>
        <w:t>Điều khiển tàu biển trình độ sơ cấp</w:t>
      </w:r>
      <w:r w:rsidRPr="00E154D1">
        <w:rPr>
          <w:rFonts w:asciiTheme="majorHAnsi" w:hAnsiTheme="majorHAnsi" w:cstheme="majorHAnsi"/>
        </w:rPr>
        <w:t xml:space="preserve"> theo Thông tư 42/2015/TT-BLĐTBXH ngày 20/10/2015 của Bộ Lao động Thương binh và Xã hội quy định về đào tạo trình độ sơ cấp, trong đó không xây dựng thời gian thực tập, huấn luyện 02 tháng theo quy định của Công ước STCW 78/2010 do vậy để thống nhất chương trình đào tạo ngành </w:t>
      </w:r>
      <w:r w:rsidRPr="00E154D1">
        <w:rPr>
          <w:rFonts w:asciiTheme="majorHAnsi" w:hAnsiTheme="majorHAnsi" w:cstheme="majorHAnsi"/>
          <w:lang w:val="vi-VN"/>
        </w:rPr>
        <w:t>Điều khiển tàu biển trình độ sơ cấp</w:t>
      </w:r>
      <w:r w:rsidRPr="00E154D1">
        <w:rPr>
          <w:rFonts w:asciiTheme="majorHAnsi" w:hAnsiTheme="majorHAnsi" w:cstheme="majorHAnsi"/>
        </w:rPr>
        <w:t xml:space="preserve"> cần phải ban hành </w:t>
      </w:r>
      <w:r w:rsidRPr="00E154D1">
        <w:rPr>
          <w:rFonts w:asciiTheme="majorHAnsi" w:hAnsiTheme="majorHAnsi" w:cstheme="majorHAnsi"/>
          <w:lang w:val="vi-VN"/>
        </w:rPr>
        <w:t>Chương trình đào tạo, huấn luyện thuỷ thủ</w:t>
      </w:r>
      <w:r w:rsidRPr="00E154D1">
        <w:rPr>
          <w:rFonts w:asciiTheme="majorHAnsi" w:hAnsiTheme="majorHAnsi" w:cstheme="majorHAnsi"/>
        </w:rPr>
        <w:t>.</w:t>
      </w:r>
    </w:p>
    <w:p w14:paraId="0A8BDC0D" w14:textId="77777777" w:rsidR="006857EA" w:rsidRPr="00E154D1" w:rsidRDefault="006857EA" w:rsidP="006857EA">
      <w:pPr>
        <w:spacing w:before="120"/>
        <w:ind w:firstLine="709"/>
        <w:jc w:val="both"/>
        <w:rPr>
          <w:rFonts w:asciiTheme="majorHAnsi" w:hAnsiTheme="majorHAnsi" w:cstheme="majorHAnsi"/>
        </w:rPr>
      </w:pPr>
      <w:r w:rsidRPr="00E154D1">
        <w:rPr>
          <w:rFonts w:asciiTheme="majorHAnsi" w:hAnsiTheme="majorHAnsi" w:cstheme="majorHAnsi"/>
          <w:lang w:val="vi-VN"/>
        </w:rPr>
        <w:t xml:space="preserve">- Bãi bỏ chương trình bồi dưỡng nghiệp vụ </w:t>
      </w:r>
      <w:r w:rsidRPr="00E154D1">
        <w:rPr>
          <w:rFonts w:asciiTheme="majorHAnsi" w:hAnsiTheme="majorHAnsi" w:cstheme="majorHAnsi"/>
        </w:rPr>
        <w:t>T</w:t>
      </w:r>
      <w:r w:rsidRPr="00E154D1">
        <w:rPr>
          <w:rFonts w:asciiTheme="majorHAnsi" w:hAnsiTheme="majorHAnsi" w:cstheme="majorHAnsi"/>
          <w:lang w:val="vi-VN"/>
        </w:rPr>
        <w:t>huỷ thủ trưởng</w:t>
      </w:r>
      <w:r w:rsidRPr="00E154D1">
        <w:rPr>
          <w:rFonts w:asciiTheme="majorHAnsi" w:hAnsiTheme="majorHAnsi" w:cstheme="majorHAnsi"/>
        </w:rPr>
        <w:t xml:space="preserve">; </w:t>
      </w:r>
      <w:r w:rsidRPr="00E154D1">
        <w:rPr>
          <w:rFonts w:asciiTheme="majorHAnsi" w:hAnsiTheme="majorHAnsi" w:cstheme="majorHAnsi"/>
          <w:lang w:val="vi-VN"/>
        </w:rPr>
        <w:t xml:space="preserve">chương trình bồi dưỡng nghiệp vụ </w:t>
      </w:r>
      <w:r w:rsidRPr="00E154D1">
        <w:rPr>
          <w:rFonts w:asciiTheme="majorHAnsi" w:hAnsiTheme="majorHAnsi" w:cstheme="majorHAnsi"/>
        </w:rPr>
        <w:t>T</w:t>
      </w:r>
      <w:r w:rsidRPr="00E154D1">
        <w:rPr>
          <w:rFonts w:asciiTheme="majorHAnsi" w:hAnsiTheme="majorHAnsi" w:cstheme="majorHAnsi"/>
          <w:lang w:val="vi-VN"/>
        </w:rPr>
        <w:t>hợ máy chính</w:t>
      </w:r>
      <w:r w:rsidRPr="00E154D1">
        <w:rPr>
          <w:rFonts w:asciiTheme="majorHAnsi" w:hAnsiTheme="majorHAnsi" w:cstheme="majorHAnsi"/>
        </w:rPr>
        <w:t>, lý do: Hiện nay trong định biên an toàn tối thiểu không quy định chức danh T</w:t>
      </w:r>
      <w:r w:rsidRPr="00E154D1">
        <w:rPr>
          <w:rFonts w:asciiTheme="majorHAnsi" w:hAnsiTheme="majorHAnsi" w:cstheme="majorHAnsi"/>
          <w:lang w:val="vi-VN"/>
        </w:rPr>
        <w:t>huỷ thủ trưởng</w:t>
      </w:r>
      <w:r w:rsidRPr="00E154D1">
        <w:rPr>
          <w:rFonts w:asciiTheme="majorHAnsi" w:hAnsiTheme="majorHAnsi" w:cstheme="majorHAnsi"/>
        </w:rPr>
        <w:t>, Thợ máy chính. Giao cho các trường tự xây dựng chương trình và đào tạo theo nhu cầu của doanh nghiệp.</w:t>
      </w:r>
    </w:p>
    <w:p w14:paraId="328593EC" w14:textId="77777777" w:rsidR="006857EA" w:rsidRPr="00E154D1" w:rsidRDefault="006857EA" w:rsidP="006857EA">
      <w:pPr>
        <w:spacing w:before="120"/>
        <w:ind w:firstLine="709"/>
        <w:jc w:val="both"/>
        <w:rPr>
          <w:rFonts w:asciiTheme="majorHAnsi" w:hAnsiTheme="majorHAnsi" w:cstheme="majorHAnsi"/>
        </w:rPr>
      </w:pPr>
      <w:r w:rsidRPr="00E154D1">
        <w:rPr>
          <w:rFonts w:asciiTheme="majorHAnsi" w:hAnsiTheme="majorHAnsi" w:cstheme="majorHAnsi"/>
        </w:rPr>
        <w:lastRenderedPageBreak/>
        <w:t>- Bãi bỏ</w:t>
      </w:r>
      <w:r w:rsidRPr="00E154D1">
        <w:rPr>
          <w:rFonts w:asciiTheme="majorHAnsi" w:hAnsiTheme="majorHAnsi" w:cstheme="majorHAnsi"/>
          <w:lang w:val="vi-VN"/>
        </w:rPr>
        <w:t xml:space="preserve"> chương trình bổ túc ngành </w:t>
      </w:r>
      <w:r w:rsidRPr="00E154D1">
        <w:rPr>
          <w:rFonts w:asciiTheme="majorHAnsi" w:hAnsiTheme="majorHAnsi" w:cstheme="majorHAnsi"/>
        </w:rPr>
        <w:t>Đ</w:t>
      </w:r>
      <w:r w:rsidRPr="00E154D1">
        <w:rPr>
          <w:rFonts w:asciiTheme="majorHAnsi" w:hAnsiTheme="majorHAnsi" w:cstheme="majorHAnsi"/>
          <w:lang w:val="vi-VN"/>
        </w:rPr>
        <w:t>iều khiển tàu biển trình độ sơ cấp</w:t>
      </w:r>
      <w:r w:rsidRPr="00E154D1">
        <w:rPr>
          <w:rFonts w:asciiTheme="majorHAnsi" w:hAnsiTheme="majorHAnsi" w:cstheme="majorHAnsi"/>
        </w:rPr>
        <w:t xml:space="preserve">; </w:t>
      </w:r>
      <w:r w:rsidRPr="00E154D1">
        <w:rPr>
          <w:rFonts w:asciiTheme="majorHAnsi" w:hAnsiTheme="majorHAnsi" w:cstheme="majorHAnsi"/>
          <w:lang w:val="vi-VN"/>
        </w:rPr>
        <w:t xml:space="preserve">chương trình bổ túc ngành </w:t>
      </w:r>
      <w:r w:rsidRPr="00E154D1">
        <w:rPr>
          <w:rFonts w:asciiTheme="majorHAnsi" w:hAnsiTheme="majorHAnsi" w:cstheme="majorHAnsi"/>
        </w:rPr>
        <w:t>K</w:t>
      </w:r>
      <w:r w:rsidRPr="00E154D1">
        <w:rPr>
          <w:rFonts w:asciiTheme="majorHAnsi" w:hAnsiTheme="majorHAnsi" w:cstheme="majorHAnsi"/>
          <w:lang w:val="vi-VN"/>
        </w:rPr>
        <w:t>hai thác máy tàu biển trình độ sơ cấp</w:t>
      </w:r>
      <w:r w:rsidRPr="00E154D1">
        <w:rPr>
          <w:rFonts w:asciiTheme="majorHAnsi" w:hAnsiTheme="majorHAnsi" w:cstheme="majorHAnsi"/>
        </w:rPr>
        <w:t xml:space="preserve">; </w:t>
      </w:r>
      <w:r w:rsidRPr="00E154D1">
        <w:rPr>
          <w:rFonts w:asciiTheme="majorHAnsi" w:hAnsiTheme="majorHAnsi" w:cstheme="majorHAnsi"/>
          <w:lang w:val="vi-VN"/>
        </w:rPr>
        <w:t>chương trình bổ túc ngành kỹ thuật điện tàu biển trình độ sơ cấp</w:t>
      </w:r>
      <w:r w:rsidRPr="00E154D1">
        <w:rPr>
          <w:rFonts w:asciiTheme="majorHAnsi" w:hAnsiTheme="majorHAnsi" w:cstheme="majorHAnsi"/>
        </w:rPr>
        <w:t>, lý do: các Chương trình này không còn phù hợp với thực tế và không có học sinh tham gia học.</w:t>
      </w:r>
    </w:p>
    <w:p w14:paraId="49889D39" w14:textId="77777777" w:rsidR="006857EA" w:rsidRPr="00E154D1" w:rsidRDefault="006857EA" w:rsidP="006857EA">
      <w:pPr>
        <w:spacing w:before="120"/>
        <w:ind w:firstLine="709"/>
        <w:jc w:val="both"/>
        <w:rPr>
          <w:rFonts w:asciiTheme="majorHAnsi" w:hAnsiTheme="majorHAnsi" w:cstheme="majorHAnsi"/>
        </w:rPr>
      </w:pPr>
      <w:r w:rsidRPr="00E154D1">
        <w:rPr>
          <w:rFonts w:asciiTheme="majorHAnsi" w:hAnsiTheme="majorHAnsi" w:cstheme="majorHAnsi"/>
          <w:lang w:val="vi-VN"/>
        </w:rPr>
        <w:t xml:space="preserve">- Chương trình đào tạo ngành </w:t>
      </w:r>
      <w:r w:rsidRPr="00E154D1">
        <w:rPr>
          <w:rFonts w:asciiTheme="majorHAnsi" w:hAnsiTheme="majorHAnsi" w:cstheme="majorHAnsi"/>
        </w:rPr>
        <w:t>K</w:t>
      </w:r>
      <w:r w:rsidRPr="00E154D1">
        <w:rPr>
          <w:rFonts w:asciiTheme="majorHAnsi" w:hAnsiTheme="majorHAnsi" w:cstheme="majorHAnsi"/>
          <w:lang w:val="vi-VN"/>
        </w:rPr>
        <w:t>hai thác máy tàu biển trình độ sơ cấp thay thế bằng Chương trình đào tạo, huấn luyện thợ máy</w:t>
      </w:r>
      <w:r w:rsidRPr="00E154D1">
        <w:rPr>
          <w:rFonts w:asciiTheme="majorHAnsi" w:hAnsiTheme="majorHAnsi" w:cstheme="majorHAnsi"/>
        </w:rPr>
        <w:t xml:space="preserve">, lý do thay thế: Hiện nay các trường xây dựng chương trình đào tạo </w:t>
      </w:r>
      <w:r w:rsidRPr="00E154D1">
        <w:rPr>
          <w:rFonts w:asciiTheme="majorHAnsi" w:hAnsiTheme="majorHAnsi" w:cstheme="majorHAnsi"/>
          <w:lang w:val="vi-VN"/>
        </w:rPr>
        <w:t xml:space="preserve">ngành </w:t>
      </w:r>
      <w:r w:rsidRPr="00E154D1">
        <w:rPr>
          <w:rFonts w:asciiTheme="majorHAnsi" w:hAnsiTheme="majorHAnsi" w:cstheme="majorHAnsi"/>
        </w:rPr>
        <w:t>K</w:t>
      </w:r>
      <w:r w:rsidRPr="00E154D1">
        <w:rPr>
          <w:rFonts w:asciiTheme="majorHAnsi" w:hAnsiTheme="majorHAnsi" w:cstheme="majorHAnsi"/>
          <w:lang w:val="vi-VN"/>
        </w:rPr>
        <w:t>hai thác máy tàu biển trình độ sơ cấp</w:t>
      </w:r>
      <w:r w:rsidRPr="00E154D1">
        <w:rPr>
          <w:rFonts w:asciiTheme="majorHAnsi" w:hAnsiTheme="majorHAnsi" w:cstheme="majorHAnsi"/>
        </w:rPr>
        <w:t xml:space="preserve"> theo Thông tư 42/2015/TT-BLĐTBXH ngày 20/10/2015 của Bộ Lao động Thương binh và Xã hội quy định về đào tạo trình độ sơ cấp, trong đó không xây dựng thời gian thực tập, huấn luyện 02 tháng theo quy định của Công ước STCW 78/2010 do vậy để thống nhất chương trình đào tạo ngành K</w:t>
      </w:r>
      <w:r w:rsidRPr="00E154D1">
        <w:rPr>
          <w:rFonts w:asciiTheme="majorHAnsi" w:hAnsiTheme="majorHAnsi" w:cstheme="majorHAnsi"/>
          <w:lang w:val="vi-VN"/>
        </w:rPr>
        <w:t>hai thác máy tàu biển trình độ sơ cấp</w:t>
      </w:r>
      <w:r w:rsidRPr="00E154D1">
        <w:rPr>
          <w:rFonts w:asciiTheme="majorHAnsi" w:hAnsiTheme="majorHAnsi" w:cstheme="majorHAnsi"/>
        </w:rPr>
        <w:t xml:space="preserve"> cần phải ban hành </w:t>
      </w:r>
      <w:r w:rsidRPr="00E154D1">
        <w:rPr>
          <w:rFonts w:asciiTheme="majorHAnsi" w:hAnsiTheme="majorHAnsi" w:cstheme="majorHAnsi"/>
          <w:lang w:val="vi-VN"/>
        </w:rPr>
        <w:t>Chương trình đào tạo, huấn luyện thợ máy</w:t>
      </w:r>
      <w:r w:rsidRPr="00E154D1">
        <w:rPr>
          <w:rFonts w:asciiTheme="majorHAnsi" w:hAnsiTheme="majorHAnsi" w:cstheme="majorHAnsi"/>
        </w:rPr>
        <w:t>.</w:t>
      </w:r>
    </w:p>
    <w:p w14:paraId="19048168"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lang w:val="vi-VN"/>
        </w:rPr>
        <w:t xml:space="preserve">- Chương trình đào tạo ngành </w:t>
      </w:r>
      <w:r w:rsidRPr="00E154D1">
        <w:rPr>
          <w:rFonts w:asciiTheme="majorHAnsi" w:hAnsiTheme="majorHAnsi" w:cstheme="majorHAnsi"/>
        </w:rPr>
        <w:t>K</w:t>
      </w:r>
      <w:r w:rsidRPr="00E154D1">
        <w:rPr>
          <w:rFonts w:asciiTheme="majorHAnsi" w:hAnsiTheme="majorHAnsi" w:cstheme="majorHAnsi"/>
          <w:lang w:val="vi-VN"/>
        </w:rPr>
        <w:t xml:space="preserve">ỹ thuật điện tàu biển trình độ sơ cấp thay thế bằng Chương trình đào tạo, huấn luyện thợ </w:t>
      </w:r>
      <w:r w:rsidRPr="00E154D1">
        <w:rPr>
          <w:rFonts w:asciiTheme="majorHAnsi" w:hAnsiTheme="majorHAnsi" w:cstheme="majorHAnsi"/>
        </w:rPr>
        <w:t>K</w:t>
      </w:r>
      <w:r w:rsidRPr="00E154D1">
        <w:rPr>
          <w:rFonts w:asciiTheme="majorHAnsi" w:hAnsiTheme="majorHAnsi" w:cstheme="majorHAnsi"/>
          <w:lang w:val="vi-VN"/>
        </w:rPr>
        <w:t>ỹ thuật điện</w:t>
      </w:r>
      <w:r w:rsidRPr="00E154D1">
        <w:rPr>
          <w:rFonts w:asciiTheme="majorHAnsi" w:hAnsiTheme="majorHAnsi" w:cstheme="majorHAnsi"/>
        </w:rPr>
        <w:t xml:space="preserve">, lý do thay thế: Hiện nay các trường xây dựng chương trình đào tạo </w:t>
      </w:r>
      <w:r w:rsidRPr="00E154D1">
        <w:rPr>
          <w:rFonts w:asciiTheme="majorHAnsi" w:hAnsiTheme="majorHAnsi" w:cstheme="majorHAnsi"/>
          <w:lang w:val="vi-VN"/>
        </w:rPr>
        <w:t xml:space="preserve">ngành </w:t>
      </w:r>
      <w:r w:rsidRPr="00E154D1">
        <w:rPr>
          <w:rFonts w:asciiTheme="majorHAnsi" w:hAnsiTheme="majorHAnsi" w:cstheme="majorHAnsi"/>
        </w:rPr>
        <w:t>K</w:t>
      </w:r>
      <w:r w:rsidRPr="00E154D1">
        <w:rPr>
          <w:rFonts w:asciiTheme="majorHAnsi" w:hAnsiTheme="majorHAnsi" w:cstheme="majorHAnsi"/>
          <w:lang w:val="vi-VN"/>
        </w:rPr>
        <w:t>ỹ thuật điện tàu biển trình độ sơ cấp</w:t>
      </w:r>
      <w:r w:rsidRPr="00E154D1">
        <w:rPr>
          <w:rFonts w:asciiTheme="majorHAnsi" w:hAnsiTheme="majorHAnsi" w:cstheme="majorHAnsi"/>
        </w:rPr>
        <w:t xml:space="preserve"> theo Thông tư 42/2015/TT-BLĐTBXH ngày 20/10/2015 của Bộ Lao động Thương binh và Xã hội quy định về đào tạo trình độ sơ cấp, trong đó không xây dựng thời gian thực tập, huấn luyện 03 tháng theo quy định của Công ước STCW 78/2010 do vậy để thống nhất chương trình đào tạo ngành K</w:t>
      </w:r>
      <w:r w:rsidRPr="00E154D1">
        <w:rPr>
          <w:rFonts w:asciiTheme="majorHAnsi" w:hAnsiTheme="majorHAnsi" w:cstheme="majorHAnsi"/>
          <w:lang w:val="vi-VN"/>
        </w:rPr>
        <w:t>ỹ thuật điện tàu biển trình độ sơ cấp</w:t>
      </w:r>
      <w:r w:rsidRPr="00E154D1">
        <w:rPr>
          <w:rFonts w:asciiTheme="majorHAnsi" w:hAnsiTheme="majorHAnsi" w:cstheme="majorHAnsi"/>
        </w:rPr>
        <w:t xml:space="preserve"> cần phải ban hành </w:t>
      </w:r>
      <w:r w:rsidRPr="00E154D1">
        <w:rPr>
          <w:rFonts w:asciiTheme="majorHAnsi" w:hAnsiTheme="majorHAnsi" w:cstheme="majorHAnsi"/>
          <w:lang w:val="vi-VN"/>
        </w:rPr>
        <w:t xml:space="preserve">Chương trình đào tạo, huấn luyện </w:t>
      </w:r>
      <w:r w:rsidRPr="00E154D1">
        <w:rPr>
          <w:rFonts w:asciiTheme="majorHAnsi" w:hAnsiTheme="majorHAnsi" w:cstheme="majorHAnsi"/>
        </w:rPr>
        <w:t>K</w:t>
      </w:r>
      <w:r w:rsidRPr="00E154D1">
        <w:rPr>
          <w:rFonts w:asciiTheme="majorHAnsi" w:hAnsiTheme="majorHAnsi" w:cstheme="majorHAnsi"/>
          <w:lang w:val="vi-VN"/>
        </w:rPr>
        <w:t>ỹ thuật điện tàu biển</w:t>
      </w:r>
      <w:r w:rsidRPr="00E154D1">
        <w:rPr>
          <w:rFonts w:asciiTheme="majorHAnsi" w:hAnsiTheme="majorHAnsi" w:cstheme="majorHAnsi"/>
        </w:rPr>
        <w:t>.</w:t>
      </w:r>
    </w:p>
    <w:p w14:paraId="5CE52342"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Chương trình huấn luyện quan sát và đồ giải Radar; chương trình huấn luyện thiết bị đồ giải Radar tự động (ARPA) thay bằng chương trình c</w:t>
      </w:r>
      <w:r w:rsidRPr="00E154D1">
        <w:rPr>
          <w:rFonts w:asciiTheme="majorHAnsi" w:hAnsiTheme="majorHAnsi" w:cstheme="majorHAnsi"/>
        </w:rPr>
        <w:t>hương trình huấn luyện Sử dụng Radar và</w:t>
      </w:r>
      <w:r w:rsidRPr="00E154D1">
        <w:rPr>
          <w:rFonts w:asciiTheme="majorHAnsi" w:hAnsiTheme="majorHAnsi" w:cstheme="majorHAnsi"/>
          <w:lang w:val="vi-VN"/>
        </w:rPr>
        <w:t xml:space="preserve"> </w:t>
      </w:r>
      <w:r w:rsidRPr="00E154D1">
        <w:rPr>
          <w:rFonts w:asciiTheme="majorHAnsi" w:hAnsiTheme="majorHAnsi" w:cstheme="majorHAnsi"/>
        </w:rPr>
        <w:t>ARPA hàng hải mức vận hành</w:t>
      </w:r>
      <w:r w:rsidRPr="00E154D1">
        <w:rPr>
          <w:rFonts w:asciiTheme="majorHAnsi" w:hAnsiTheme="majorHAnsi" w:cstheme="majorHAnsi"/>
          <w:lang w:val="vi-VN"/>
        </w:rPr>
        <w:t>; c</w:t>
      </w:r>
      <w:r w:rsidRPr="00E154D1">
        <w:rPr>
          <w:rFonts w:asciiTheme="majorHAnsi" w:hAnsiTheme="majorHAnsi" w:cstheme="majorHAnsi"/>
        </w:rPr>
        <w:t xml:space="preserve">hương trình huấn luyện Sử dụng Radar và ARPA hàng hải mức quản lý </w:t>
      </w:r>
      <w:r w:rsidRPr="00E154D1">
        <w:rPr>
          <w:rFonts w:asciiTheme="majorHAnsi" w:hAnsiTheme="majorHAnsi" w:cstheme="majorHAnsi"/>
          <w:lang w:val="vi-VN"/>
        </w:rPr>
        <w:t xml:space="preserve">theo </w:t>
      </w:r>
      <w:r w:rsidRPr="00E154D1">
        <w:rPr>
          <w:rFonts w:asciiTheme="majorHAnsi" w:hAnsiTheme="majorHAnsi" w:cstheme="majorHAnsi"/>
        </w:rPr>
        <w:t>chương trình mẫu của Model course 1.07 và 1.08.</w:t>
      </w:r>
    </w:p>
    <w:p w14:paraId="5D8688D2"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Bãi</w:t>
      </w:r>
      <w:r w:rsidRPr="00E154D1">
        <w:rPr>
          <w:rFonts w:asciiTheme="majorHAnsi" w:hAnsiTheme="majorHAnsi" w:cstheme="majorHAnsi"/>
        </w:rPr>
        <w:t xml:space="preserve"> bỏ Chương trình huấn luyện An toàn tàu khách và tàu khách Ro-Ro vì nội dung này đã quy định tại </w:t>
      </w:r>
      <w:r w:rsidRPr="00E154D1">
        <w:rPr>
          <w:rFonts w:asciiTheme="majorHAnsi" w:hAnsiTheme="majorHAnsi" w:cstheme="majorHAnsi"/>
          <w:lang w:val="vi-VN"/>
        </w:rPr>
        <w:t>Chương trình huấn luyện Quản lý đám đông đối với tàu khách và tàu khách Ro-Ro; Chương trình huấn luyện an toàn cho nhân viên phục vụ trực tiếp trên khoang hành khách tàu khách và tàu khách Ro-Ro; Chương trình huấn luyện an toàn hành khách, an toàn hàng hóa và tính nguyên vẹn của vỏ tàu đối với tàu khách và tàu khách Ro-Ro; Chương trình huấn luyện Quản lý khủng hoảng và phản ứng của con người trên tàu khách và tàu khách Ro-Ro</w:t>
      </w:r>
      <w:r w:rsidRPr="00E154D1">
        <w:rPr>
          <w:rFonts w:asciiTheme="majorHAnsi" w:hAnsiTheme="majorHAnsi" w:cstheme="majorHAnsi"/>
        </w:rPr>
        <w:t>.</w:t>
      </w:r>
    </w:p>
    <w:p w14:paraId="0D3BC512" w14:textId="1DFF672B" w:rsidR="006857EA" w:rsidRPr="00E154D1" w:rsidRDefault="006857EA" w:rsidP="006857EA">
      <w:pPr>
        <w:spacing w:before="120"/>
        <w:ind w:firstLine="540"/>
        <w:jc w:val="both"/>
        <w:rPr>
          <w:rFonts w:asciiTheme="majorHAnsi" w:hAnsiTheme="majorHAnsi" w:cstheme="majorHAnsi"/>
          <w:i/>
          <w:lang w:val="vi-VN"/>
        </w:rPr>
      </w:pPr>
      <w:r w:rsidRPr="00E154D1">
        <w:rPr>
          <w:rFonts w:asciiTheme="majorHAnsi" w:hAnsiTheme="majorHAnsi" w:cstheme="majorHAnsi"/>
          <w:i/>
          <w:lang w:val="vi-VN"/>
        </w:rPr>
        <w:t>b) Bổ sung một số chương trình đào tạo, huấn luyện</w:t>
      </w:r>
    </w:p>
    <w:p w14:paraId="490402C7"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Chương trình bổ túc ngành Điều khiển tàu biển trình độ đại học</w:t>
      </w:r>
      <w:r w:rsidRPr="00E154D1">
        <w:rPr>
          <w:rFonts w:asciiTheme="majorHAnsi" w:hAnsiTheme="majorHAnsi" w:cstheme="majorHAnsi"/>
        </w:rPr>
        <w:t xml:space="preserve">; </w:t>
      </w:r>
      <w:r w:rsidRPr="00E154D1">
        <w:rPr>
          <w:rFonts w:asciiTheme="majorHAnsi" w:hAnsiTheme="majorHAnsi" w:cstheme="majorHAnsi"/>
          <w:lang w:val="vi-VN"/>
        </w:rPr>
        <w:t>Khai thác máy tàu biển trình độ Đại học; Kỹ thuật điện tàu biển trình độ Đại học</w:t>
      </w:r>
      <w:r w:rsidRPr="00E154D1">
        <w:rPr>
          <w:rFonts w:asciiTheme="majorHAnsi" w:hAnsiTheme="majorHAnsi" w:cstheme="majorHAnsi"/>
        </w:rPr>
        <w:t xml:space="preserve">, lý do: </w:t>
      </w:r>
      <w:r w:rsidRPr="00E154D1">
        <w:rPr>
          <w:rFonts w:asciiTheme="majorHAnsi" w:hAnsiTheme="majorHAnsi" w:cstheme="majorHAnsi"/>
          <w:lang w:val="vi-VN"/>
        </w:rPr>
        <w:t xml:space="preserve">Theo nhu cầu thực tế để sinh viên </w:t>
      </w:r>
      <w:r w:rsidRPr="00E154D1">
        <w:rPr>
          <w:rFonts w:asciiTheme="majorHAnsi" w:hAnsiTheme="majorHAnsi" w:cstheme="majorHAnsi"/>
        </w:rPr>
        <w:t xml:space="preserve">chuyên ngành cùng nhóm </w:t>
      </w:r>
      <w:r w:rsidRPr="00E154D1">
        <w:rPr>
          <w:rFonts w:asciiTheme="majorHAnsi" w:hAnsiTheme="majorHAnsi" w:cstheme="majorHAnsi"/>
          <w:lang w:val="vi-VN"/>
        </w:rPr>
        <w:t>ngành có thể học chuyển đổi để đi tàu</w:t>
      </w:r>
      <w:r w:rsidRPr="00E154D1">
        <w:rPr>
          <w:rFonts w:asciiTheme="majorHAnsi" w:hAnsiTheme="majorHAnsi" w:cstheme="majorHAnsi"/>
        </w:rPr>
        <w:t xml:space="preserve"> nhằm sử dụng hiệu quả nguồn lực xã hội cho sự phát triển của ngành hàng hải, thực tiễn hiện nay đang thiếu chương trình đào tạo, huấn luyện theo Điều 23 của Thông tư 03/2020/TT-BGTVT ngày 21/02/2020 của Bộ Giao thông vận tải quy định </w:t>
      </w:r>
      <w:r w:rsidRPr="00E154D1">
        <w:rPr>
          <w:rFonts w:asciiTheme="majorHAnsi" w:hAnsiTheme="majorHAnsi" w:cstheme="majorHAnsi"/>
        </w:rPr>
        <w:lastRenderedPageBreak/>
        <w:t>về tiêu chuẩn chuyên môn, chứng chỉ chuyên môn, đào tạo, huấn luyện thuyền viên và định biên an toàn tối thiểu của tàu biển Việt Nam.</w:t>
      </w:r>
    </w:p>
    <w:p w14:paraId="39EB71D2"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b/>
          <w:lang w:val="vi-VN"/>
        </w:rPr>
        <w:t xml:space="preserve">- </w:t>
      </w:r>
      <w:r w:rsidRPr="00E154D1">
        <w:rPr>
          <w:rFonts w:asciiTheme="majorHAnsi" w:hAnsiTheme="majorHAnsi" w:cstheme="majorHAnsi"/>
        </w:rPr>
        <w:t>Chương trình huấn luyện Cơ bản thuyền viên làm việc trên tàu cao tốc; Chương trình huấn luyện Nâng cao thuyền viên làm việc trên tàu cao tố</w:t>
      </w:r>
      <w:r w:rsidRPr="00E154D1">
        <w:rPr>
          <w:rFonts w:asciiTheme="majorHAnsi" w:hAnsiTheme="majorHAnsi" w:cstheme="majorHAnsi"/>
          <w:lang w:val="vi-VN"/>
        </w:rPr>
        <w:t xml:space="preserve">c </w:t>
      </w:r>
      <w:r w:rsidRPr="00E154D1">
        <w:rPr>
          <w:rFonts w:asciiTheme="majorHAnsi" w:hAnsiTheme="majorHAnsi" w:cstheme="majorHAnsi"/>
          <w:lang w:val="sv-SE"/>
        </w:rPr>
        <w:t>theo yêu cầu của Bộ luật HSC 2000.</w:t>
      </w:r>
    </w:p>
    <w:p w14:paraId="187A63DA"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xml:space="preserve">- </w:t>
      </w:r>
      <w:r w:rsidRPr="00E154D1">
        <w:rPr>
          <w:rFonts w:asciiTheme="majorHAnsi" w:hAnsiTheme="majorHAnsi" w:cstheme="majorHAnsi"/>
        </w:rPr>
        <w:t>Chương trình huấn luyện Cơ bản thuyền viên làm việc trên tàu hoạt động tại các vùng nước Cực</w:t>
      </w:r>
      <w:r w:rsidRPr="00E154D1">
        <w:rPr>
          <w:rFonts w:asciiTheme="majorHAnsi" w:hAnsiTheme="majorHAnsi" w:cstheme="majorHAnsi"/>
          <w:lang w:val="vi-VN"/>
        </w:rPr>
        <w:t xml:space="preserve"> theo t</w:t>
      </w:r>
      <w:r w:rsidRPr="00E154D1">
        <w:rPr>
          <w:rFonts w:asciiTheme="majorHAnsi" w:hAnsiTheme="majorHAnsi" w:cstheme="majorHAnsi"/>
          <w:lang w:val="sv-SE"/>
        </w:rPr>
        <w:t xml:space="preserve">heo chương trình mẫu của IMO </w:t>
      </w:r>
      <w:r w:rsidRPr="00E154D1">
        <w:rPr>
          <w:rFonts w:asciiTheme="majorHAnsi" w:hAnsiTheme="majorHAnsi" w:cstheme="majorHAnsi"/>
        </w:rPr>
        <w:t xml:space="preserve">Model Course 7.11 </w:t>
      </w:r>
      <w:r w:rsidRPr="00E154D1">
        <w:rPr>
          <w:rFonts w:asciiTheme="majorHAnsi" w:hAnsiTheme="majorHAnsi" w:cstheme="majorHAnsi"/>
          <w:spacing w:val="-4"/>
        </w:rPr>
        <w:t>theo hướng dẫn của MSC 478 (102) của IMO</w:t>
      </w:r>
      <w:r w:rsidRPr="00E154D1">
        <w:rPr>
          <w:rFonts w:asciiTheme="majorHAnsi" w:hAnsiTheme="majorHAnsi" w:cstheme="majorHAnsi"/>
        </w:rPr>
        <w:t>.</w:t>
      </w:r>
    </w:p>
    <w:p w14:paraId="2A555E84"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xml:space="preserve">- </w:t>
      </w:r>
      <w:r w:rsidRPr="00E154D1">
        <w:rPr>
          <w:rFonts w:asciiTheme="majorHAnsi" w:hAnsiTheme="majorHAnsi" w:cstheme="majorHAnsi"/>
        </w:rPr>
        <w:t>Chương trình huấn luyện Nâng cao thuyền viên làm việc trên tàu hoạt động tại các vùng nước Cực theo chương trình mẫu của IMO Model Course 7.12</w:t>
      </w:r>
      <w:r w:rsidRPr="00E154D1">
        <w:rPr>
          <w:rFonts w:asciiTheme="majorHAnsi" w:hAnsiTheme="majorHAnsi" w:cstheme="majorHAnsi"/>
          <w:spacing w:val="-4"/>
        </w:rPr>
        <w:t xml:space="preserve"> theo hướng dẫn của MSC 478 (102) của IMO</w:t>
      </w:r>
      <w:r w:rsidRPr="00E154D1">
        <w:rPr>
          <w:rFonts w:asciiTheme="majorHAnsi" w:hAnsiTheme="majorHAnsi" w:cstheme="majorHAnsi"/>
        </w:rPr>
        <w:t>.</w:t>
      </w:r>
    </w:p>
    <w:p w14:paraId="2817A9E6"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spacing w:val="-4"/>
          <w:lang w:val="vi-VN"/>
        </w:rPr>
        <w:t xml:space="preserve">- </w:t>
      </w:r>
      <w:r w:rsidRPr="00E154D1">
        <w:rPr>
          <w:rFonts w:asciiTheme="majorHAnsi" w:hAnsiTheme="majorHAnsi" w:cstheme="majorHAnsi"/>
          <w:spacing w:val="-4"/>
        </w:rPr>
        <w:t>Chương trình huấn luyện Cơ bản thuyền viên làm việc trên tàu sử dụng nhiên liệu có điểm cháy thấp theo Bộ luật IGF, xây dựng theo chương trình mẫu của IMO Model Course 7.13 và theo hướng dẫn của MSC 478 (102) của IMO.</w:t>
      </w:r>
    </w:p>
    <w:p w14:paraId="2EDD9C05" w14:textId="77777777" w:rsidR="006857EA" w:rsidRPr="00E154D1" w:rsidRDefault="006857EA" w:rsidP="006857EA">
      <w:pPr>
        <w:spacing w:before="120"/>
        <w:ind w:firstLine="540"/>
        <w:jc w:val="both"/>
        <w:rPr>
          <w:rFonts w:asciiTheme="majorHAnsi" w:hAnsiTheme="majorHAnsi" w:cstheme="majorHAnsi"/>
          <w:spacing w:val="-6"/>
        </w:rPr>
      </w:pPr>
      <w:r w:rsidRPr="00E154D1">
        <w:rPr>
          <w:rFonts w:asciiTheme="majorHAnsi" w:hAnsiTheme="majorHAnsi" w:cstheme="majorHAnsi"/>
          <w:spacing w:val="-6"/>
          <w:lang w:val="vi-VN"/>
        </w:rPr>
        <w:t xml:space="preserve">- </w:t>
      </w:r>
      <w:r w:rsidRPr="00E154D1">
        <w:rPr>
          <w:rFonts w:asciiTheme="majorHAnsi" w:hAnsiTheme="majorHAnsi" w:cstheme="majorHAnsi"/>
          <w:spacing w:val="-6"/>
        </w:rPr>
        <w:t xml:space="preserve">Chương trình huấn luyện Nâng cao thuyền viên làm việc trên tàu sử dụng nhiên liệu có điểm cháy thấp theo Bộ luật IGF, xây dựng theo chương trình mẫu của IMO Model Course 7.14 </w:t>
      </w:r>
      <w:r w:rsidRPr="00E154D1">
        <w:rPr>
          <w:rFonts w:asciiTheme="majorHAnsi" w:hAnsiTheme="majorHAnsi" w:cstheme="majorHAnsi"/>
          <w:spacing w:val="-4"/>
        </w:rPr>
        <w:t>theo hướng dẫn của MSC 478 (102) của IMO.</w:t>
      </w:r>
    </w:p>
    <w:p w14:paraId="06B73FE4"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Chương trình đào tạo sỹ quan hàng hải mức trách nhiệm vận hành ngành Điều khiển tàu biển hạng tàu từ 500 GT trở lên theo chương trình mẫu của IMO Model Course 7.03</w:t>
      </w:r>
      <w:r w:rsidRPr="00E154D1">
        <w:rPr>
          <w:rFonts w:asciiTheme="majorHAnsi" w:hAnsiTheme="majorHAnsi" w:cstheme="majorHAnsi"/>
        </w:rPr>
        <w:t>.</w:t>
      </w:r>
    </w:p>
    <w:p w14:paraId="3F1AB9A9" w14:textId="77777777" w:rsidR="006857EA" w:rsidRPr="00E154D1" w:rsidRDefault="006857EA" w:rsidP="006857EA">
      <w:pPr>
        <w:spacing w:before="120"/>
        <w:ind w:firstLine="540"/>
        <w:jc w:val="both"/>
        <w:rPr>
          <w:rFonts w:asciiTheme="majorHAnsi" w:hAnsiTheme="majorHAnsi" w:cstheme="majorHAnsi"/>
        </w:rPr>
      </w:pPr>
      <w:r w:rsidRPr="00E154D1">
        <w:rPr>
          <w:rFonts w:asciiTheme="majorHAnsi" w:hAnsiTheme="majorHAnsi" w:cstheme="majorHAnsi"/>
          <w:lang w:val="vi-VN"/>
        </w:rPr>
        <w:t>- Chương trình đào tạo sỹ quan hàng hải mức trách nhiệm vận hành ngành Khai thác máy tàu biển hạng tàu có tổng công suất máy chính từ 750 kW trở lên theo chương trình mẫu của IMO Model Course 7.04</w:t>
      </w:r>
      <w:r w:rsidRPr="00E154D1">
        <w:rPr>
          <w:rFonts w:asciiTheme="majorHAnsi" w:hAnsiTheme="majorHAnsi" w:cstheme="majorHAnsi"/>
        </w:rPr>
        <w:t>.</w:t>
      </w:r>
    </w:p>
    <w:p w14:paraId="7F516C32"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lang w:val="vi-VN"/>
        </w:rPr>
        <w:t>- Chương trình đào tạo nâng cao trình độ sơ cấp ngành Điều khiển tàu biển để cấp Giấy chứng nhận khả năng chuyên môn thuỷ thủ trực ca theo Quyết định 2908/QĐ-BGTVT.</w:t>
      </w:r>
    </w:p>
    <w:p w14:paraId="71B0B844"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lang w:val="vi-VN"/>
        </w:rPr>
        <w:t xml:space="preserve">- Chương trình đào tạo nâng cao trình độ sơ cấp ngành </w:t>
      </w:r>
      <w:r w:rsidRPr="00E154D1">
        <w:rPr>
          <w:rFonts w:asciiTheme="majorHAnsi" w:hAnsiTheme="majorHAnsi" w:cstheme="majorHAnsi"/>
        </w:rPr>
        <w:t>K</w:t>
      </w:r>
      <w:r w:rsidRPr="00E154D1">
        <w:rPr>
          <w:rFonts w:asciiTheme="majorHAnsi" w:hAnsiTheme="majorHAnsi" w:cstheme="majorHAnsi"/>
          <w:lang w:val="vi-VN"/>
        </w:rPr>
        <w:t>hai thác máy tàu biển để cấp Giấy chứng nhận khả năng chuyên môn thợ máy trực ca Quyết định 2908/QĐ-BGTVT.</w:t>
      </w:r>
    </w:p>
    <w:p w14:paraId="2399FD85"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lang w:val="vi-VN"/>
        </w:rPr>
        <w:t xml:space="preserve">- Chương trình đào tạo nâng cao trình độ sơ cấp để cấp Giấy chứng nhận khả năng chuyên môn thợ </w:t>
      </w:r>
      <w:r w:rsidRPr="00E154D1">
        <w:rPr>
          <w:rFonts w:asciiTheme="majorHAnsi" w:hAnsiTheme="majorHAnsi" w:cstheme="majorHAnsi"/>
        </w:rPr>
        <w:t>K</w:t>
      </w:r>
      <w:r w:rsidRPr="00E154D1">
        <w:rPr>
          <w:rFonts w:asciiTheme="majorHAnsi" w:hAnsiTheme="majorHAnsi" w:cstheme="majorHAnsi"/>
          <w:lang w:val="vi-VN"/>
        </w:rPr>
        <w:t>ỹ thuật điện tàu biển Quyết định 2908/QĐ-BGTVT.</w:t>
      </w:r>
    </w:p>
    <w:p w14:paraId="659F91AF"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lang w:val="vi-VN"/>
        </w:rPr>
        <w:t>- Sỹ quan an toàn tàu biển theo Thông tư 03/2020/TT-BGTVT ngày 21/02/2020.</w:t>
      </w:r>
    </w:p>
    <w:p w14:paraId="4B0E6D3B" w14:textId="77777777" w:rsidR="006857EA" w:rsidRPr="00E154D1" w:rsidRDefault="006857EA" w:rsidP="006857EA">
      <w:pPr>
        <w:spacing w:before="120"/>
        <w:ind w:firstLine="540"/>
        <w:jc w:val="both"/>
        <w:rPr>
          <w:rFonts w:asciiTheme="majorHAnsi" w:hAnsiTheme="majorHAnsi" w:cstheme="majorHAnsi"/>
          <w:lang w:val="vi-VN"/>
        </w:rPr>
      </w:pPr>
      <w:r w:rsidRPr="00E154D1">
        <w:rPr>
          <w:rFonts w:asciiTheme="majorHAnsi" w:hAnsiTheme="majorHAnsi" w:cstheme="majorHAnsi"/>
          <w:lang w:val="vi-VN"/>
        </w:rPr>
        <w:t>- Bếp trưởng, cấp dưỡng theo Thông tư 03/2020/TT-BGTVT ngày 21/02/2020.</w:t>
      </w:r>
    </w:p>
    <w:p w14:paraId="0F9478ED" w14:textId="77777777" w:rsidR="006857EA" w:rsidRPr="00E154D1" w:rsidRDefault="0000770F" w:rsidP="006857EA">
      <w:pPr>
        <w:spacing w:before="120"/>
        <w:ind w:firstLine="540"/>
        <w:jc w:val="both"/>
        <w:rPr>
          <w:rFonts w:asciiTheme="majorHAnsi" w:hAnsiTheme="majorHAnsi" w:cstheme="majorHAnsi"/>
          <w:lang w:val="vi-VN"/>
        </w:rPr>
      </w:pPr>
      <w:r w:rsidRPr="00E154D1">
        <w:rPr>
          <w:rFonts w:asciiTheme="majorHAnsi" w:hAnsiTheme="majorHAnsi" w:cstheme="majorHAnsi"/>
          <w:position w:val="-2"/>
          <w:lang w:val="nl-NL"/>
        </w:rPr>
        <w:t xml:space="preserve">2. Mục tiêu giải quyết vấn </w:t>
      </w:r>
      <w:r w:rsidR="001A4DEB" w:rsidRPr="00E154D1">
        <w:rPr>
          <w:rFonts w:asciiTheme="majorHAnsi" w:hAnsiTheme="majorHAnsi" w:cstheme="majorHAnsi"/>
          <w:position w:val="-2"/>
          <w:lang w:val="nl-NL"/>
        </w:rPr>
        <w:t>đề</w:t>
      </w:r>
    </w:p>
    <w:p w14:paraId="6BECD8D9" w14:textId="401A04DE" w:rsidR="00D3218A" w:rsidRPr="00E154D1" w:rsidRDefault="00CA26C2" w:rsidP="008E5E45">
      <w:pPr>
        <w:widowControl w:val="0"/>
        <w:spacing w:before="120"/>
        <w:ind w:firstLine="539"/>
        <w:jc w:val="both"/>
        <w:rPr>
          <w:rFonts w:asciiTheme="majorHAnsi" w:hAnsiTheme="majorHAnsi" w:cstheme="majorHAnsi"/>
          <w:lang w:val="vi-VN"/>
        </w:rPr>
      </w:pPr>
      <w:r w:rsidRPr="00E154D1">
        <w:rPr>
          <w:rFonts w:asciiTheme="majorHAnsi" w:hAnsiTheme="majorHAnsi" w:cstheme="majorHAnsi"/>
          <w:position w:val="-2"/>
          <w:lang w:val="vi-VN"/>
        </w:rPr>
        <w:t>Xây dựng các chương trình đào tạo, huấn luyện dưới dạng khung</w:t>
      </w:r>
      <w:r w:rsidR="00E13595" w:rsidRPr="00E154D1">
        <w:rPr>
          <w:rFonts w:asciiTheme="majorHAnsi" w:hAnsiTheme="majorHAnsi" w:cstheme="majorHAnsi"/>
          <w:position w:val="-2"/>
          <w:lang w:val="vi-VN"/>
        </w:rPr>
        <w:t xml:space="preserve">, phù hợp với các chương trình mẫu </w:t>
      </w:r>
      <w:r w:rsidR="00E13595" w:rsidRPr="00E154D1">
        <w:rPr>
          <w:rFonts w:asciiTheme="majorHAnsi" w:hAnsiTheme="majorHAnsi" w:cstheme="majorHAnsi"/>
          <w:lang w:val="pl-PL"/>
        </w:rPr>
        <w:t>IMO Model Course</w:t>
      </w:r>
      <w:r w:rsidR="00417850" w:rsidRPr="00E154D1">
        <w:rPr>
          <w:rFonts w:asciiTheme="majorHAnsi" w:hAnsiTheme="majorHAnsi" w:cstheme="majorHAnsi"/>
          <w:lang w:val="vi-VN"/>
        </w:rPr>
        <w:t xml:space="preserve">; </w:t>
      </w:r>
      <w:r w:rsidR="00B63032" w:rsidRPr="00E154D1">
        <w:rPr>
          <w:rFonts w:asciiTheme="majorHAnsi" w:hAnsiTheme="majorHAnsi" w:cstheme="majorHAnsi"/>
          <w:lang w:val="vi-VN"/>
        </w:rPr>
        <w:t>c</w:t>
      </w:r>
      <w:r w:rsidR="00D3218A" w:rsidRPr="00E154D1">
        <w:rPr>
          <w:rFonts w:asciiTheme="majorHAnsi" w:hAnsiTheme="majorHAnsi" w:cstheme="majorHAnsi"/>
        </w:rPr>
        <w:t>ơ cấu,</w:t>
      </w:r>
      <w:r w:rsidR="00B63032" w:rsidRPr="00E154D1">
        <w:rPr>
          <w:rFonts w:asciiTheme="majorHAnsi" w:hAnsiTheme="majorHAnsi" w:cstheme="majorHAnsi"/>
          <w:lang w:val="vi-VN"/>
        </w:rPr>
        <w:t xml:space="preserve"> </w:t>
      </w:r>
      <w:r w:rsidR="00D3218A" w:rsidRPr="00E154D1">
        <w:rPr>
          <w:rFonts w:asciiTheme="majorHAnsi" w:hAnsiTheme="majorHAnsi" w:cstheme="majorHAnsi"/>
        </w:rPr>
        <w:t xml:space="preserve">nội dung các </w:t>
      </w:r>
      <w:r w:rsidR="00B63032" w:rsidRPr="00E154D1">
        <w:rPr>
          <w:rFonts w:asciiTheme="majorHAnsi" w:hAnsiTheme="majorHAnsi" w:cstheme="majorHAnsi"/>
        </w:rPr>
        <w:t>chương</w:t>
      </w:r>
      <w:r w:rsidR="00B63032" w:rsidRPr="00E154D1">
        <w:rPr>
          <w:rFonts w:asciiTheme="majorHAnsi" w:hAnsiTheme="majorHAnsi" w:cstheme="majorHAnsi"/>
          <w:lang w:val="vi-VN"/>
        </w:rPr>
        <w:t xml:space="preserve"> trình đào tạo, huấn luyện</w:t>
      </w:r>
      <w:r w:rsidR="00D3218A" w:rsidRPr="00E154D1">
        <w:rPr>
          <w:rFonts w:asciiTheme="majorHAnsi" w:hAnsiTheme="majorHAnsi" w:cstheme="majorHAnsi"/>
        </w:rPr>
        <w:t xml:space="preserve"> cho phù hợp, bảo đảm tính trình tự và logic; bảo đảm </w:t>
      </w:r>
      <w:r w:rsidR="00B63032" w:rsidRPr="00E154D1">
        <w:rPr>
          <w:rFonts w:asciiTheme="majorHAnsi" w:hAnsiTheme="majorHAnsi" w:cstheme="majorHAnsi"/>
        </w:rPr>
        <w:t>các</w:t>
      </w:r>
      <w:r w:rsidR="00B63032" w:rsidRPr="00E154D1">
        <w:rPr>
          <w:rFonts w:asciiTheme="majorHAnsi" w:hAnsiTheme="majorHAnsi" w:cstheme="majorHAnsi"/>
          <w:lang w:val="vi-VN"/>
        </w:rPr>
        <w:t xml:space="preserve"> cho các cơ </w:t>
      </w:r>
      <w:r w:rsidR="00B63032" w:rsidRPr="00E154D1">
        <w:rPr>
          <w:rFonts w:asciiTheme="majorHAnsi" w:hAnsiTheme="majorHAnsi" w:cstheme="majorHAnsi"/>
          <w:lang w:val="vi-VN"/>
        </w:rPr>
        <w:lastRenderedPageBreak/>
        <w:t>sở đào tạo, huấn luyện dễ tiếp cận, dễ xây dựng chương trình bài giảng</w:t>
      </w:r>
      <w:r w:rsidR="00D3218A" w:rsidRPr="00E154D1">
        <w:rPr>
          <w:rFonts w:asciiTheme="majorHAnsi" w:hAnsiTheme="majorHAnsi" w:cstheme="majorHAnsi"/>
        </w:rPr>
        <w:t>, sát thực tế.</w:t>
      </w:r>
    </w:p>
    <w:p w14:paraId="0F2D3622" w14:textId="58A14F05" w:rsidR="0000770F" w:rsidRPr="00E154D1" w:rsidRDefault="00E47FC7" w:rsidP="008E34B2">
      <w:pPr>
        <w:spacing w:before="120" w:after="120" w:line="360" w:lineRule="exact"/>
        <w:ind w:firstLine="720"/>
        <w:jc w:val="both"/>
        <w:rPr>
          <w:rFonts w:asciiTheme="majorHAnsi" w:hAnsiTheme="majorHAnsi" w:cstheme="majorHAnsi"/>
          <w:position w:val="-2"/>
          <w:lang w:val="nl-NL"/>
        </w:rPr>
      </w:pPr>
      <w:r w:rsidRPr="00E154D1">
        <w:rPr>
          <w:rFonts w:asciiTheme="majorHAnsi" w:hAnsiTheme="majorHAnsi" w:cstheme="majorHAnsi"/>
          <w:position w:val="-2"/>
          <w:lang w:val="nl-NL"/>
        </w:rPr>
        <w:t>3. G</w:t>
      </w:r>
      <w:r w:rsidR="0000770F" w:rsidRPr="00E154D1">
        <w:rPr>
          <w:rFonts w:asciiTheme="majorHAnsi" w:hAnsiTheme="majorHAnsi" w:cstheme="majorHAnsi"/>
          <w:position w:val="-2"/>
          <w:lang w:val="nl-NL"/>
        </w:rPr>
        <w:t>iải pháp đề xuất giải quyết vấn đề</w:t>
      </w:r>
    </w:p>
    <w:p w14:paraId="70075A25" w14:textId="77777777" w:rsidR="00BF5994" w:rsidRPr="00E154D1" w:rsidRDefault="00BF5994" w:rsidP="00BF5994">
      <w:pPr>
        <w:spacing w:before="120"/>
        <w:ind w:firstLine="709"/>
        <w:jc w:val="both"/>
        <w:rPr>
          <w:rFonts w:asciiTheme="majorHAnsi" w:hAnsiTheme="majorHAnsi" w:cstheme="majorHAnsi"/>
          <w:szCs w:val="20"/>
        </w:rPr>
      </w:pPr>
      <w:r w:rsidRPr="00E154D1">
        <w:rPr>
          <w:rFonts w:asciiTheme="majorHAnsi" w:hAnsiTheme="majorHAnsi" w:cstheme="majorHAnsi"/>
        </w:rPr>
        <w:t xml:space="preserve">- Kế thừa những nội dung, quy định tại </w:t>
      </w:r>
      <w:r w:rsidRPr="00E154D1">
        <w:rPr>
          <w:rFonts w:asciiTheme="majorHAnsi" w:hAnsiTheme="majorHAnsi" w:cstheme="majorHAnsi"/>
          <w:lang w:val="vi-VN"/>
        </w:rPr>
        <w:t>Quyết định 2908/QĐ-BGTVT ngày 28/12/2018 của Bộ trưởng Bộ Giao thông vận tải</w:t>
      </w:r>
      <w:r w:rsidRPr="00E154D1">
        <w:rPr>
          <w:rFonts w:asciiTheme="majorHAnsi" w:hAnsiTheme="majorHAnsi" w:cstheme="majorHAnsi"/>
        </w:rPr>
        <w:t xml:space="preserve"> vẫn đang phù hợp; điều chỉnh, sửa đổi những nội dung còn bất cập.</w:t>
      </w:r>
    </w:p>
    <w:p w14:paraId="651A3A45" w14:textId="77777777" w:rsidR="00BF5994" w:rsidRPr="00E154D1" w:rsidRDefault="00BF5994" w:rsidP="00BF5994">
      <w:pPr>
        <w:spacing w:before="120"/>
        <w:ind w:firstLine="709"/>
        <w:jc w:val="both"/>
        <w:rPr>
          <w:rFonts w:asciiTheme="majorHAnsi" w:hAnsiTheme="majorHAnsi" w:cstheme="majorHAnsi"/>
          <w:szCs w:val="20"/>
        </w:rPr>
      </w:pPr>
      <w:r w:rsidRPr="00E154D1">
        <w:rPr>
          <w:rFonts w:asciiTheme="majorHAnsi" w:hAnsiTheme="majorHAnsi" w:cstheme="majorHAnsi"/>
        </w:rPr>
        <w:t>- Đáp ứng các quy định về hình thức, trình tự, thẩm quyền ban hành văn bản quy phạm pháp luật quy định tại Luật ban hành văn bản quy phạm pháp luật và các quy định pháp luật khác có liên quan.</w:t>
      </w:r>
    </w:p>
    <w:p w14:paraId="455191EA" w14:textId="7EF7A4C8" w:rsidR="00BF5994" w:rsidRPr="00E154D1" w:rsidRDefault="00BF5994" w:rsidP="00BF5994">
      <w:pPr>
        <w:spacing w:before="120"/>
        <w:ind w:firstLine="709"/>
        <w:jc w:val="both"/>
        <w:rPr>
          <w:rFonts w:asciiTheme="majorHAnsi" w:hAnsiTheme="majorHAnsi" w:cstheme="majorHAnsi"/>
          <w:szCs w:val="20"/>
        </w:rPr>
      </w:pPr>
      <w:r w:rsidRPr="00E154D1">
        <w:rPr>
          <w:rFonts w:asciiTheme="majorHAnsi" w:hAnsiTheme="majorHAnsi" w:cstheme="majorHAnsi"/>
        </w:rPr>
        <w:t>- Thông tư đảm bảo nguyên tắc phù hợp với thực tế khi áp dụng.</w:t>
      </w:r>
    </w:p>
    <w:p w14:paraId="075DDC03" w14:textId="7116E09E" w:rsidR="006D7BC6" w:rsidRPr="00E154D1" w:rsidRDefault="0000770F" w:rsidP="00F42CD7">
      <w:pPr>
        <w:spacing w:before="120"/>
        <w:ind w:firstLine="709"/>
        <w:jc w:val="both"/>
        <w:rPr>
          <w:rFonts w:asciiTheme="majorHAnsi" w:hAnsiTheme="majorHAnsi" w:cstheme="majorHAnsi"/>
          <w:szCs w:val="20"/>
        </w:rPr>
      </w:pPr>
      <w:r w:rsidRPr="00E154D1">
        <w:rPr>
          <w:rFonts w:asciiTheme="majorHAnsi" w:hAnsiTheme="majorHAnsi" w:cstheme="majorHAnsi"/>
          <w:position w:val="-2"/>
          <w:lang w:val="nl-NL"/>
        </w:rPr>
        <w:t>4. Đánh giá tác động của giải pháp đối với đối tượng chịu sự tác động trực tiếp của chính sách và đối tượng khác có liên quan.</w:t>
      </w:r>
    </w:p>
    <w:p w14:paraId="3535F124" w14:textId="4FF26AB1" w:rsidR="00DE72E9" w:rsidRPr="00E154D1" w:rsidRDefault="005F5B65" w:rsidP="00F42CD7">
      <w:pPr>
        <w:spacing w:before="120"/>
        <w:ind w:firstLine="709"/>
        <w:jc w:val="both"/>
        <w:rPr>
          <w:rFonts w:asciiTheme="majorHAnsi" w:hAnsiTheme="majorHAnsi" w:cstheme="majorHAnsi"/>
          <w:szCs w:val="20"/>
        </w:rPr>
      </w:pPr>
      <w:r w:rsidRPr="00E154D1">
        <w:rPr>
          <w:rFonts w:asciiTheme="majorHAnsi" w:hAnsiTheme="majorHAnsi" w:cstheme="majorHAnsi"/>
          <w:lang w:val="pt-BR"/>
        </w:rPr>
        <w:tab/>
      </w:r>
      <w:r w:rsidR="00896846" w:rsidRPr="00E154D1">
        <w:rPr>
          <w:rFonts w:asciiTheme="majorHAnsi" w:hAnsiTheme="majorHAnsi" w:cstheme="majorHAnsi"/>
          <w:lang w:val="pt-BR"/>
        </w:rPr>
        <w:t>-</w:t>
      </w:r>
      <w:r w:rsidR="00F42CD7" w:rsidRPr="00E154D1">
        <w:rPr>
          <w:rFonts w:asciiTheme="majorHAnsi" w:hAnsiTheme="majorHAnsi" w:cstheme="majorHAnsi"/>
        </w:rPr>
        <w:t xml:space="preserve"> Đảm bảo phù hợp, thống nhất với các quy định của pháp luật khác có liên quan thuộc hệ thống pháp luật nhà nước</w:t>
      </w:r>
      <w:r w:rsidR="00345C32" w:rsidRPr="00E154D1">
        <w:rPr>
          <w:rFonts w:asciiTheme="majorHAnsi" w:hAnsiTheme="majorHAnsi" w:cstheme="majorHAnsi"/>
        </w:rPr>
        <w:t>, từ đó giúp việc áp dụng các quy định có đầy đủ cơ sở pháp lý và hiệu quả hơn</w:t>
      </w:r>
      <w:r w:rsidR="00AE7DED" w:rsidRPr="00E154D1">
        <w:rPr>
          <w:rFonts w:asciiTheme="majorHAnsi" w:hAnsiTheme="majorHAnsi" w:cstheme="majorHAnsi"/>
        </w:rPr>
        <w:t xml:space="preserve">. </w:t>
      </w:r>
    </w:p>
    <w:p w14:paraId="4A087C85" w14:textId="4771BAC5" w:rsidR="00F42CD7" w:rsidRPr="00E154D1" w:rsidRDefault="00C76983" w:rsidP="00DE72E9">
      <w:pPr>
        <w:spacing w:before="120" w:after="120" w:line="360" w:lineRule="exact"/>
        <w:jc w:val="both"/>
        <w:rPr>
          <w:rFonts w:asciiTheme="majorHAnsi" w:hAnsiTheme="majorHAnsi" w:cstheme="majorHAnsi"/>
          <w:lang w:val="vi-VN"/>
        </w:rPr>
      </w:pPr>
      <w:r w:rsidRPr="00E154D1">
        <w:rPr>
          <w:rFonts w:asciiTheme="majorHAnsi" w:hAnsiTheme="majorHAnsi" w:cstheme="majorHAnsi"/>
        </w:rPr>
        <w:tab/>
        <w:t xml:space="preserve">- </w:t>
      </w:r>
      <w:r w:rsidR="00345C32" w:rsidRPr="00E154D1">
        <w:rPr>
          <w:rFonts w:asciiTheme="majorHAnsi" w:hAnsiTheme="majorHAnsi" w:cstheme="majorHAnsi"/>
        </w:rPr>
        <w:t xml:space="preserve">Bổ sung thêm các </w:t>
      </w:r>
      <w:r w:rsidR="00F42CD7" w:rsidRPr="00E154D1">
        <w:rPr>
          <w:rFonts w:asciiTheme="majorHAnsi" w:hAnsiTheme="majorHAnsi" w:cstheme="majorHAnsi"/>
        </w:rPr>
        <w:t>chương</w:t>
      </w:r>
      <w:r w:rsidR="00F42CD7" w:rsidRPr="00E154D1">
        <w:rPr>
          <w:rFonts w:asciiTheme="majorHAnsi" w:hAnsiTheme="majorHAnsi" w:cstheme="majorHAnsi"/>
          <w:lang w:val="vi-VN"/>
        </w:rPr>
        <w:t xml:space="preserve"> trình đào tạo, huấn luyện theo yêu cầu của IMO và thực tế </w:t>
      </w:r>
      <w:r w:rsidR="00A01DDB" w:rsidRPr="00E154D1">
        <w:rPr>
          <w:rFonts w:asciiTheme="majorHAnsi" w:hAnsiTheme="majorHAnsi" w:cstheme="majorHAnsi"/>
        </w:rPr>
        <w:t>để đáp ứng những quy định mới trong công tác quản lý nhà nước chuyên ngành hàng hải, nâng c</w:t>
      </w:r>
      <w:r w:rsidR="00F42CD7" w:rsidRPr="00E154D1">
        <w:rPr>
          <w:rFonts w:asciiTheme="majorHAnsi" w:hAnsiTheme="majorHAnsi" w:cstheme="majorHAnsi"/>
        </w:rPr>
        <w:t>ao</w:t>
      </w:r>
      <w:r w:rsidR="00A01DDB" w:rsidRPr="00E154D1">
        <w:rPr>
          <w:rFonts w:asciiTheme="majorHAnsi" w:hAnsiTheme="majorHAnsi" w:cstheme="majorHAnsi"/>
        </w:rPr>
        <w:t xml:space="preserve"> chất lượng </w:t>
      </w:r>
      <w:r w:rsidR="00345C32" w:rsidRPr="00E154D1">
        <w:rPr>
          <w:rFonts w:asciiTheme="majorHAnsi" w:hAnsiTheme="majorHAnsi" w:cstheme="majorHAnsi"/>
        </w:rPr>
        <w:t>công tác tổ chức, quản lý</w:t>
      </w:r>
      <w:r w:rsidR="00F42CD7" w:rsidRPr="00E154D1">
        <w:rPr>
          <w:rFonts w:asciiTheme="majorHAnsi" w:hAnsiTheme="majorHAnsi" w:cstheme="majorHAnsi"/>
          <w:lang w:val="vi-VN"/>
        </w:rPr>
        <w:t xml:space="preserve"> về đào tạo, huấn luyện thuyền viên, hoa tiêu hàng hải.</w:t>
      </w:r>
    </w:p>
    <w:p w14:paraId="2A1A7C63" w14:textId="77777777" w:rsidR="0000770F" w:rsidRPr="00E154D1" w:rsidRDefault="005F5B65" w:rsidP="003C3B08">
      <w:pPr>
        <w:spacing w:before="120" w:after="120" w:line="360" w:lineRule="exact"/>
        <w:jc w:val="both"/>
        <w:rPr>
          <w:rFonts w:asciiTheme="majorHAnsi" w:hAnsiTheme="majorHAnsi" w:cstheme="majorHAnsi"/>
          <w:b/>
          <w:position w:val="-2"/>
          <w:lang w:val="nl-NL"/>
        </w:rPr>
      </w:pPr>
      <w:r w:rsidRPr="00E154D1">
        <w:rPr>
          <w:rFonts w:asciiTheme="majorHAnsi" w:hAnsiTheme="majorHAnsi" w:cstheme="majorHAnsi"/>
          <w:lang w:val="pt-BR"/>
        </w:rPr>
        <w:tab/>
      </w:r>
      <w:r w:rsidR="0000770F" w:rsidRPr="00E154D1">
        <w:rPr>
          <w:rFonts w:asciiTheme="majorHAnsi" w:hAnsiTheme="majorHAnsi" w:cstheme="majorHAnsi"/>
          <w:b/>
          <w:position w:val="-2"/>
          <w:lang w:val="nl-NL"/>
        </w:rPr>
        <w:t>III. Lấy ý kiến</w:t>
      </w:r>
    </w:p>
    <w:p w14:paraId="4F8D6E5C" w14:textId="11898A39" w:rsidR="00A01DDB" w:rsidRPr="00E154D1" w:rsidRDefault="00A01DDB" w:rsidP="003C3B08">
      <w:pPr>
        <w:spacing w:before="120" w:after="120" w:line="360" w:lineRule="exact"/>
        <w:ind w:firstLine="720"/>
        <w:jc w:val="both"/>
        <w:rPr>
          <w:rFonts w:asciiTheme="majorHAnsi" w:hAnsiTheme="majorHAnsi" w:cstheme="majorHAnsi"/>
          <w:lang w:val="vi-VN"/>
        </w:rPr>
      </w:pPr>
      <w:r w:rsidRPr="00E154D1">
        <w:rPr>
          <w:rFonts w:asciiTheme="majorHAnsi" w:hAnsiTheme="majorHAnsi" w:cstheme="majorHAnsi"/>
          <w:lang w:val="pt-BR"/>
        </w:rPr>
        <w:t xml:space="preserve">Trong quá trình xây dựng dự thảo </w:t>
      </w:r>
      <w:r w:rsidR="00392095" w:rsidRPr="00E154D1">
        <w:rPr>
          <w:rFonts w:asciiTheme="majorHAnsi" w:hAnsiTheme="majorHAnsi" w:cstheme="majorHAnsi"/>
          <w:lang w:val="pt-BR"/>
        </w:rPr>
        <w:t>Thông</w:t>
      </w:r>
      <w:r w:rsidR="00392095" w:rsidRPr="00E154D1">
        <w:rPr>
          <w:rFonts w:asciiTheme="majorHAnsi" w:hAnsiTheme="majorHAnsi" w:cstheme="majorHAnsi"/>
          <w:lang w:val="vi-VN"/>
        </w:rPr>
        <w:t xml:space="preserve"> tư</w:t>
      </w:r>
      <w:r w:rsidRPr="00E154D1">
        <w:rPr>
          <w:rFonts w:asciiTheme="majorHAnsi" w:hAnsiTheme="majorHAnsi" w:cstheme="majorHAnsi"/>
          <w:lang w:val="pt-BR"/>
        </w:rPr>
        <w:t>, Cục Hàng hải Việt Nam luôn tham vấn ý kiến các tổ chức, đơn vị liên quan: Tổng công ty</w:t>
      </w:r>
      <w:r w:rsidRPr="00E154D1">
        <w:rPr>
          <w:rFonts w:asciiTheme="majorHAnsi" w:hAnsiTheme="majorHAnsi" w:cstheme="majorHAnsi"/>
        </w:rPr>
        <w:t xml:space="preserve"> Bảo đảm an toàn hàng hải</w:t>
      </w:r>
      <w:r w:rsidRPr="00E154D1">
        <w:rPr>
          <w:rFonts w:asciiTheme="majorHAnsi" w:hAnsiTheme="majorHAnsi" w:cstheme="majorHAnsi"/>
          <w:lang w:val="pt-BR"/>
        </w:rPr>
        <w:t xml:space="preserve"> miền Bắc, Tổng công ty</w:t>
      </w:r>
      <w:r w:rsidRPr="00E154D1">
        <w:rPr>
          <w:rFonts w:asciiTheme="majorHAnsi" w:hAnsiTheme="majorHAnsi" w:cstheme="majorHAnsi"/>
        </w:rPr>
        <w:t xml:space="preserve"> Bảo đảm an toàn hàng hải</w:t>
      </w:r>
      <w:r w:rsidRPr="00E154D1">
        <w:rPr>
          <w:rFonts w:asciiTheme="majorHAnsi" w:hAnsiTheme="majorHAnsi" w:cstheme="majorHAnsi"/>
          <w:lang w:val="pt-BR"/>
        </w:rPr>
        <w:t xml:space="preserve"> miền Nam, các Cảng vụ Hàng hải</w:t>
      </w:r>
      <w:r w:rsidR="00392095" w:rsidRPr="00E154D1">
        <w:rPr>
          <w:rFonts w:asciiTheme="majorHAnsi" w:hAnsiTheme="majorHAnsi" w:cstheme="majorHAnsi"/>
          <w:lang w:val="vi-VN"/>
        </w:rPr>
        <w:t>, Các cơ sở đào tạo, huấn luyện thuyền viên hàng hải, các Công ty hoa tiêu hàng hải, các doanh nghiệp vận tải biển.</w:t>
      </w:r>
    </w:p>
    <w:p w14:paraId="5522AFE4" w14:textId="46E3E82D" w:rsidR="0000770F" w:rsidRPr="00E154D1" w:rsidRDefault="0000770F" w:rsidP="003C3B08">
      <w:pPr>
        <w:spacing w:before="120" w:after="120" w:line="360" w:lineRule="exact"/>
        <w:ind w:firstLine="720"/>
        <w:jc w:val="both"/>
        <w:rPr>
          <w:rFonts w:asciiTheme="majorHAnsi" w:hAnsiTheme="majorHAnsi" w:cstheme="majorHAnsi"/>
          <w:lang w:val="pt-BR"/>
        </w:rPr>
      </w:pPr>
      <w:r w:rsidRPr="00E154D1">
        <w:rPr>
          <w:rFonts w:asciiTheme="majorHAnsi" w:hAnsiTheme="majorHAnsi" w:cstheme="majorHAnsi"/>
          <w:lang w:val="pt-BR"/>
        </w:rPr>
        <w:t xml:space="preserve">Trong quá trình xây dựng Dự thảo </w:t>
      </w:r>
      <w:r w:rsidR="00392095" w:rsidRPr="00E154D1">
        <w:rPr>
          <w:rFonts w:asciiTheme="majorHAnsi" w:hAnsiTheme="majorHAnsi" w:cstheme="majorHAnsi"/>
          <w:lang w:val="pt-BR"/>
        </w:rPr>
        <w:t>Thông</w:t>
      </w:r>
      <w:r w:rsidR="00392095" w:rsidRPr="00E154D1">
        <w:rPr>
          <w:rFonts w:asciiTheme="majorHAnsi" w:hAnsiTheme="majorHAnsi" w:cstheme="majorHAnsi"/>
          <w:lang w:val="vi-VN"/>
        </w:rPr>
        <w:t xml:space="preserve"> tư</w:t>
      </w:r>
      <w:r w:rsidRPr="00E154D1">
        <w:rPr>
          <w:rFonts w:asciiTheme="majorHAnsi" w:hAnsiTheme="majorHAnsi" w:cstheme="majorHAnsi"/>
          <w:lang w:val="pt-BR"/>
        </w:rPr>
        <w:t xml:space="preserve">, Cục </w:t>
      </w:r>
      <w:r w:rsidR="00A01DDB" w:rsidRPr="00E154D1">
        <w:rPr>
          <w:rFonts w:asciiTheme="majorHAnsi" w:hAnsiTheme="majorHAnsi" w:cstheme="majorHAnsi"/>
          <w:lang w:val="pt-BR"/>
        </w:rPr>
        <w:t>Hàng hải</w:t>
      </w:r>
      <w:r w:rsidRPr="00E154D1">
        <w:rPr>
          <w:rFonts w:asciiTheme="majorHAnsi" w:hAnsiTheme="majorHAnsi" w:cstheme="majorHAnsi"/>
          <w:lang w:val="pt-BR"/>
        </w:rPr>
        <w:t xml:space="preserve"> Việt Nam luôn tham vấn ý kiến các tổ chức, cá nhân có liên quan. Trên cơ sở ý kiến của các cơ quan, đơn vị liên quan, </w:t>
      </w:r>
      <w:r w:rsidR="00176506" w:rsidRPr="00E154D1">
        <w:rPr>
          <w:rFonts w:asciiTheme="majorHAnsi" w:hAnsiTheme="majorHAnsi" w:cstheme="majorHAnsi"/>
          <w:lang w:val="pt-BR"/>
        </w:rPr>
        <w:t xml:space="preserve">Cục </w:t>
      </w:r>
      <w:r w:rsidR="00A01DDB" w:rsidRPr="00E154D1">
        <w:rPr>
          <w:rFonts w:asciiTheme="majorHAnsi" w:hAnsiTheme="majorHAnsi" w:cstheme="majorHAnsi"/>
          <w:lang w:val="pt-BR"/>
        </w:rPr>
        <w:t>H</w:t>
      </w:r>
      <w:r w:rsidR="00785F48" w:rsidRPr="00E154D1">
        <w:rPr>
          <w:rFonts w:asciiTheme="majorHAnsi" w:hAnsiTheme="majorHAnsi" w:cstheme="majorHAnsi"/>
          <w:lang w:val="pt-BR"/>
        </w:rPr>
        <w:t>àng hải</w:t>
      </w:r>
      <w:r w:rsidRPr="00E154D1">
        <w:rPr>
          <w:rFonts w:asciiTheme="majorHAnsi" w:hAnsiTheme="majorHAnsi" w:cstheme="majorHAnsi"/>
          <w:lang w:val="pt-BR"/>
        </w:rPr>
        <w:t xml:space="preserve"> Việt Nam đã tổng hợp, nghiên cứu, xây dựng Dự thảo </w:t>
      </w:r>
      <w:r w:rsidR="00392095" w:rsidRPr="00E154D1">
        <w:rPr>
          <w:rFonts w:asciiTheme="majorHAnsi" w:hAnsiTheme="majorHAnsi" w:cstheme="majorHAnsi"/>
          <w:lang w:val="pt-BR"/>
        </w:rPr>
        <w:t>Thông</w:t>
      </w:r>
      <w:r w:rsidR="00392095" w:rsidRPr="00E154D1">
        <w:rPr>
          <w:rFonts w:asciiTheme="majorHAnsi" w:hAnsiTheme="majorHAnsi" w:cstheme="majorHAnsi"/>
          <w:lang w:val="vi-VN"/>
        </w:rPr>
        <w:t xml:space="preserve"> tư</w:t>
      </w:r>
      <w:r w:rsidRPr="00E154D1">
        <w:rPr>
          <w:rFonts w:asciiTheme="majorHAnsi" w:hAnsiTheme="majorHAnsi" w:cstheme="majorHAnsi"/>
          <w:lang w:val="pt-BR"/>
        </w:rPr>
        <w:t xml:space="preserve">. </w:t>
      </w:r>
    </w:p>
    <w:p w14:paraId="2EC29412" w14:textId="77777777" w:rsidR="0000770F" w:rsidRPr="00E154D1" w:rsidRDefault="0000770F" w:rsidP="003C3B08">
      <w:pPr>
        <w:spacing w:before="120" w:after="120" w:line="360" w:lineRule="exact"/>
        <w:ind w:firstLine="720"/>
        <w:jc w:val="both"/>
        <w:rPr>
          <w:rFonts w:asciiTheme="majorHAnsi" w:hAnsiTheme="majorHAnsi" w:cstheme="majorHAnsi"/>
          <w:b/>
          <w:position w:val="-2"/>
          <w:lang w:val="nl-NL"/>
        </w:rPr>
      </w:pPr>
      <w:r w:rsidRPr="00E154D1">
        <w:rPr>
          <w:rFonts w:asciiTheme="majorHAnsi" w:hAnsiTheme="majorHAnsi" w:cstheme="majorHAnsi"/>
          <w:b/>
          <w:position w:val="-2"/>
          <w:lang w:val="nl-NL"/>
        </w:rPr>
        <w:t>IV. Giám sát và đánh giá</w:t>
      </w:r>
    </w:p>
    <w:p w14:paraId="79B752FF" w14:textId="373B06B1" w:rsidR="0000770F" w:rsidRPr="00E154D1" w:rsidRDefault="0000770F" w:rsidP="003C3B08">
      <w:pPr>
        <w:spacing w:before="120" w:after="120" w:line="360" w:lineRule="exact"/>
        <w:jc w:val="both"/>
        <w:rPr>
          <w:rFonts w:asciiTheme="majorHAnsi" w:hAnsiTheme="majorHAnsi" w:cstheme="majorHAnsi"/>
          <w:lang w:val="pt-BR"/>
        </w:rPr>
      </w:pPr>
      <w:r w:rsidRPr="00E154D1">
        <w:rPr>
          <w:rFonts w:asciiTheme="majorHAnsi" w:hAnsiTheme="majorHAnsi" w:cstheme="majorHAnsi"/>
          <w:b/>
          <w:lang w:val="pt-BR"/>
        </w:rPr>
        <w:tab/>
      </w:r>
      <w:r w:rsidRPr="00E154D1">
        <w:rPr>
          <w:rFonts w:asciiTheme="majorHAnsi" w:hAnsiTheme="majorHAnsi" w:cstheme="majorHAnsi"/>
          <w:lang w:val="pt-BR"/>
        </w:rPr>
        <w:t xml:space="preserve">Sau khi </w:t>
      </w:r>
      <w:r w:rsidR="00392095" w:rsidRPr="00E154D1">
        <w:rPr>
          <w:rFonts w:asciiTheme="majorHAnsi" w:hAnsiTheme="majorHAnsi" w:cstheme="majorHAnsi"/>
          <w:lang w:val="pt-BR"/>
        </w:rPr>
        <w:t>Thông</w:t>
      </w:r>
      <w:r w:rsidR="00392095" w:rsidRPr="00E154D1">
        <w:rPr>
          <w:rFonts w:asciiTheme="majorHAnsi" w:hAnsiTheme="majorHAnsi" w:cstheme="majorHAnsi"/>
          <w:lang w:val="vi-VN"/>
        </w:rPr>
        <w:t xml:space="preserve"> tư</w:t>
      </w:r>
      <w:r w:rsidRPr="00E154D1">
        <w:rPr>
          <w:rFonts w:asciiTheme="majorHAnsi" w:hAnsiTheme="majorHAnsi" w:cstheme="majorHAnsi"/>
          <w:lang w:val="pt-BR"/>
        </w:rPr>
        <w:t xml:space="preserve"> được ban hành, các cơ quan từ Trung ương đến địa phương có trách nhiệm thi hành chính sách, giám sát và đánh giá việc thi hành chính sách:</w:t>
      </w:r>
    </w:p>
    <w:p w14:paraId="08F80663" w14:textId="3C0626D2" w:rsidR="0000770F" w:rsidRPr="00E154D1" w:rsidRDefault="0000770F" w:rsidP="008E5E45">
      <w:pPr>
        <w:widowControl w:val="0"/>
        <w:spacing w:before="120" w:after="120" w:line="360" w:lineRule="exact"/>
        <w:ind w:firstLine="720"/>
        <w:jc w:val="both"/>
        <w:rPr>
          <w:rFonts w:asciiTheme="majorHAnsi" w:hAnsiTheme="majorHAnsi" w:cstheme="majorHAnsi"/>
          <w:lang w:val="pt-BR"/>
        </w:rPr>
      </w:pPr>
      <w:bookmarkStart w:id="0" w:name="_GoBack"/>
      <w:r w:rsidRPr="00E154D1">
        <w:rPr>
          <w:rFonts w:asciiTheme="majorHAnsi" w:hAnsiTheme="majorHAnsi" w:cstheme="majorHAnsi"/>
          <w:lang w:val="pt-BR"/>
        </w:rPr>
        <w:t>- Cơ quan chịu trách nhiệm tổ chức thi hành chính sách: Bộ Giao thông vận tải và các Bộ, ngành liên quan; Cục Hàng hải Việt Nam, Các cơ quan khác có liên quan</w:t>
      </w:r>
      <w:r w:rsidR="006B1B3C" w:rsidRPr="00E154D1">
        <w:rPr>
          <w:rFonts w:asciiTheme="majorHAnsi" w:hAnsiTheme="majorHAnsi" w:cstheme="majorHAnsi"/>
          <w:lang w:val="pt-BR"/>
        </w:rPr>
        <w:t>.</w:t>
      </w:r>
    </w:p>
    <w:p w14:paraId="2E19C049" w14:textId="13112579" w:rsidR="0000770F" w:rsidRPr="00E154D1" w:rsidRDefault="0000770F" w:rsidP="008E5E45">
      <w:pPr>
        <w:widowControl w:val="0"/>
        <w:spacing w:before="120" w:after="120" w:line="360" w:lineRule="exact"/>
        <w:ind w:firstLine="720"/>
        <w:jc w:val="both"/>
        <w:rPr>
          <w:rFonts w:asciiTheme="majorHAnsi" w:hAnsiTheme="majorHAnsi" w:cstheme="majorHAnsi"/>
          <w:lang w:val="pt-BR"/>
        </w:rPr>
      </w:pPr>
      <w:r w:rsidRPr="00E154D1">
        <w:rPr>
          <w:rFonts w:asciiTheme="majorHAnsi" w:hAnsiTheme="majorHAnsi" w:cstheme="majorHAnsi"/>
          <w:lang w:val="pt-BR"/>
        </w:rPr>
        <w:t xml:space="preserve">- Cơ quan giám sát thực hiện chính sách: Chính phủ, Văn phòng Chính phủ, </w:t>
      </w:r>
      <w:r w:rsidRPr="00E154D1">
        <w:rPr>
          <w:rFonts w:asciiTheme="majorHAnsi" w:hAnsiTheme="majorHAnsi" w:cstheme="majorHAnsi"/>
          <w:lang w:val="pt-BR"/>
        </w:rPr>
        <w:lastRenderedPageBreak/>
        <w:t>các Bộ, ngành liên quan</w:t>
      </w:r>
      <w:r w:rsidR="006B1B3C" w:rsidRPr="00E154D1">
        <w:rPr>
          <w:rFonts w:asciiTheme="majorHAnsi" w:hAnsiTheme="majorHAnsi" w:cstheme="majorHAnsi"/>
          <w:lang w:val="pt-BR"/>
        </w:rPr>
        <w:t>.</w:t>
      </w:r>
    </w:p>
    <w:bookmarkEnd w:id="0"/>
    <w:p w14:paraId="2CF26C77" w14:textId="36463F46" w:rsidR="005757BF" w:rsidRPr="00E154D1" w:rsidRDefault="0000770F" w:rsidP="003C3B08">
      <w:pPr>
        <w:spacing w:before="120" w:after="120" w:line="360" w:lineRule="exact"/>
        <w:ind w:firstLine="720"/>
        <w:jc w:val="both"/>
        <w:rPr>
          <w:rFonts w:asciiTheme="majorHAnsi" w:hAnsiTheme="majorHAnsi" w:cstheme="majorHAnsi"/>
          <w:lang w:val="vi-VN"/>
        </w:rPr>
      </w:pPr>
      <w:r w:rsidRPr="00E154D1">
        <w:rPr>
          <w:rFonts w:asciiTheme="majorHAnsi" w:hAnsiTheme="majorHAnsi" w:cstheme="majorHAnsi"/>
          <w:lang w:val="pt-BR"/>
        </w:rPr>
        <w:t xml:space="preserve">Trên đây là báo cáo đánh giá tác động </w:t>
      </w:r>
      <w:r w:rsidR="00392095" w:rsidRPr="00E154D1">
        <w:rPr>
          <w:rFonts w:asciiTheme="majorHAnsi" w:hAnsiTheme="majorHAnsi" w:cstheme="majorHAnsi"/>
          <w:lang w:val="pt-BR"/>
        </w:rPr>
        <w:t>chính</w:t>
      </w:r>
      <w:r w:rsidR="00392095" w:rsidRPr="00E154D1">
        <w:rPr>
          <w:rFonts w:asciiTheme="majorHAnsi" w:hAnsiTheme="majorHAnsi" w:cstheme="majorHAnsi"/>
          <w:lang w:val="vi-VN"/>
        </w:rPr>
        <w:t xml:space="preserve"> sách </w:t>
      </w:r>
      <w:r w:rsidRPr="00E154D1">
        <w:rPr>
          <w:rFonts w:asciiTheme="majorHAnsi" w:hAnsiTheme="majorHAnsi" w:cstheme="majorHAnsi"/>
          <w:lang w:val="pt-BR"/>
        </w:rPr>
        <w:t xml:space="preserve">đối với </w:t>
      </w:r>
      <w:r w:rsidR="00A01DDB" w:rsidRPr="00E154D1">
        <w:rPr>
          <w:rFonts w:asciiTheme="majorHAnsi" w:hAnsiTheme="majorHAnsi" w:cstheme="majorHAnsi"/>
          <w:lang w:val="pt-BR"/>
        </w:rPr>
        <w:t xml:space="preserve">việc </w:t>
      </w:r>
      <w:r w:rsidR="00392095" w:rsidRPr="00E154D1">
        <w:rPr>
          <w:rFonts w:asciiTheme="majorHAnsi" w:hAnsiTheme="majorHAnsi" w:cstheme="majorHAnsi"/>
          <w:lang w:val="pt-BR"/>
        </w:rPr>
        <w:t>xây</w:t>
      </w:r>
      <w:r w:rsidR="00392095" w:rsidRPr="00E154D1">
        <w:rPr>
          <w:rFonts w:asciiTheme="majorHAnsi" w:hAnsiTheme="majorHAnsi" w:cstheme="majorHAnsi"/>
          <w:lang w:val="vi-VN"/>
        </w:rPr>
        <w:t xml:space="preserve"> dựng </w:t>
      </w:r>
      <w:r w:rsidR="00392095" w:rsidRPr="00E154D1">
        <w:rPr>
          <w:rFonts w:asciiTheme="majorHAnsi" w:hAnsiTheme="majorHAnsi" w:cstheme="majorHAnsi"/>
        </w:rPr>
        <w:t>Thông tư</w:t>
      </w:r>
      <w:r w:rsidR="00392095" w:rsidRPr="00E154D1">
        <w:rPr>
          <w:rFonts w:asciiTheme="majorHAnsi" w:hAnsiTheme="majorHAnsi" w:cstheme="majorHAnsi"/>
          <w:lang w:val="vi-VN"/>
        </w:rPr>
        <w:t xml:space="preserve"> quy định Chương trình đào tạo, huấn luyện thuyền viên, hoa tiêu hàng hải </w:t>
      </w:r>
      <w:r w:rsidR="00392095" w:rsidRPr="00E154D1">
        <w:rPr>
          <w:rFonts w:asciiTheme="majorHAnsi" w:hAnsiTheme="majorHAnsi" w:cstheme="majorHAnsi"/>
        </w:rPr>
        <w:t>(thay thế Quyết</w:t>
      </w:r>
      <w:r w:rsidR="00392095" w:rsidRPr="00E154D1">
        <w:rPr>
          <w:rFonts w:asciiTheme="majorHAnsi" w:hAnsiTheme="majorHAnsi" w:cstheme="majorHAnsi"/>
          <w:lang w:val="vi-VN"/>
        </w:rPr>
        <w:t xml:space="preserve"> định</w:t>
      </w:r>
      <w:r w:rsidR="00392095" w:rsidRPr="00E154D1">
        <w:rPr>
          <w:rFonts w:asciiTheme="majorHAnsi" w:hAnsiTheme="majorHAnsi" w:cstheme="majorHAnsi"/>
        </w:rPr>
        <w:t xml:space="preserve"> số </w:t>
      </w:r>
      <w:r w:rsidR="00392095" w:rsidRPr="00E154D1">
        <w:rPr>
          <w:rFonts w:asciiTheme="majorHAnsi" w:hAnsiTheme="majorHAnsi" w:cstheme="majorHAnsi"/>
          <w:lang w:val="vi-VN"/>
        </w:rPr>
        <w:t>2908</w:t>
      </w:r>
      <w:r w:rsidR="00392095" w:rsidRPr="00E154D1">
        <w:rPr>
          <w:rFonts w:asciiTheme="majorHAnsi" w:hAnsiTheme="majorHAnsi" w:cstheme="majorHAnsi"/>
        </w:rPr>
        <w:t>/QĐ-BGTVT ngày 2</w:t>
      </w:r>
      <w:r w:rsidR="00392095" w:rsidRPr="00E154D1">
        <w:rPr>
          <w:rFonts w:asciiTheme="majorHAnsi" w:hAnsiTheme="majorHAnsi" w:cstheme="majorHAnsi"/>
          <w:lang w:val="vi-VN"/>
        </w:rPr>
        <w:t>8</w:t>
      </w:r>
      <w:r w:rsidR="00392095" w:rsidRPr="00E154D1">
        <w:rPr>
          <w:rFonts w:asciiTheme="majorHAnsi" w:hAnsiTheme="majorHAnsi" w:cstheme="majorHAnsi"/>
        </w:rPr>
        <w:t>/</w:t>
      </w:r>
      <w:r w:rsidR="00392095" w:rsidRPr="00E154D1">
        <w:rPr>
          <w:rFonts w:asciiTheme="majorHAnsi" w:hAnsiTheme="majorHAnsi" w:cstheme="majorHAnsi"/>
          <w:lang w:val="vi-VN"/>
        </w:rPr>
        <w:t>12</w:t>
      </w:r>
      <w:r w:rsidR="00392095" w:rsidRPr="00E154D1">
        <w:rPr>
          <w:rFonts w:asciiTheme="majorHAnsi" w:hAnsiTheme="majorHAnsi" w:cstheme="majorHAnsi"/>
        </w:rPr>
        <w:t>/20</w:t>
      </w:r>
      <w:r w:rsidR="00392095" w:rsidRPr="00E154D1">
        <w:rPr>
          <w:rFonts w:asciiTheme="majorHAnsi" w:hAnsiTheme="majorHAnsi" w:cstheme="majorHAnsi"/>
          <w:lang w:val="vi-VN"/>
        </w:rPr>
        <w:t>18</w:t>
      </w:r>
      <w:r w:rsidR="00392095" w:rsidRPr="00E154D1">
        <w:rPr>
          <w:rFonts w:asciiTheme="majorHAnsi" w:hAnsiTheme="majorHAnsi" w:cstheme="majorHAnsi"/>
        </w:rPr>
        <w:t xml:space="preserve"> của Bộ trưởng Bộ Giao thông vận tải)</w:t>
      </w:r>
      <w:r w:rsidR="00392095" w:rsidRPr="00E154D1">
        <w:rPr>
          <w:rFonts w:asciiTheme="majorHAnsi" w:hAnsiTheme="majorHAnsi" w:cstheme="majorHAnsi"/>
          <w:lang w:val="vi-VN"/>
        </w:rPr>
        <w:t>./.</w:t>
      </w:r>
    </w:p>
    <w:p w14:paraId="6B37D0B1" w14:textId="6E7C9149" w:rsidR="00811E2A" w:rsidRPr="00E154D1" w:rsidRDefault="00A01DDB" w:rsidP="00A01DDB">
      <w:pPr>
        <w:spacing w:before="60"/>
        <w:ind w:firstLine="720"/>
        <w:jc w:val="center"/>
        <w:rPr>
          <w:rFonts w:asciiTheme="majorHAnsi" w:hAnsiTheme="majorHAnsi" w:cstheme="majorHAnsi"/>
          <w:lang w:val="pt-BR"/>
        </w:rPr>
      </w:pPr>
      <w:r w:rsidRPr="00E154D1">
        <w:rPr>
          <w:rFonts w:asciiTheme="majorHAnsi" w:hAnsiTheme="majorHAnsi" w:cstheme="majorHAnsi"/>
          <w:lang w:val="pt-BR"/>
        </w:rPr>
        <w:t xml:space="preserve">                                         </w:t>
      </w:r>
    </w:p>
    <w:p w14:paraId="574E10BC" w14:textId="77777777" w:rsidR="0000770F" w:rsidRPr="00E154D1" w:rsidRDefault="0000770F" w:rsidP="00884B39">
      <w:pPr>
        <w:spacing w:after="200" w:line="276" w:lineRule="auto"/>
        <w:rPr>
          <w:rFonts w:asciiTheme="majorHAnsi" w:hAnsiTheme="majorHAnsi" w:cstheme="majorHAnsi"/>
          <w:lang w:val="pt-BR"/>
        </w:rPr>
      </w:pPr>
    </w:p>
    <w:sectPr w:rsidR="0000770F" w:rsidRPr="00E154D1" w:rsidSect="00E154D1">
      <w:headerReference w:type="default" r:id="rId10"/>
      <w:footerReference w:type="default" r:id="rId11"/>
      <w:pgSz w:w="11907" w:h="16839" w:code="9"/>
      <w:pgMar w:top="1134" w:right="1134" w:bottom="567" w:left="1418" w:header="720" w:footer="57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0B88" w14:textId="77777777" w:rsidR="003B3DCA" w:rsidRDefault="003B3DCA">
      <w:r>
        <w:separator/>
      </w:r>
    </w:p>
  </w:endnote>
  <w:endnote w:type="continuationSeparator" w:id="0">
    <w:p w14:paraId="2BD56E98" w14:textId="77777777" w:rsidR="003B3DCA" w:rsidRDefault="003B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DD14" w14:textId="77777777" w:rsidR="00B57849" w:rsidRPr="00E923EC" w:rsidRDefault="003B3DCA">
    <w:pPr>
      <w:pStyle w:val="Footer"/>
      <w:jc w:val="center"/>
      <w:rPr>
        <w:rFonts w:ascii="Times New Roman" w:hAnsi="Times New Roman"/>
        <w:sz w:val="24"/>
        <w:szCs w:val="24"/>
      </w:rPr>
    </w:pPr>
  </w:p>
  <w:p w14:paraId="467A520F" w14:textId="77777777" w:rsidR="00B57849" w:rsidRDefault="003B3DCA" w:rsidP="00647570">
    <w:pPr>
      <w:pStyle w:val="Footer"/>
      <w:jc w:val="center"/>
      <w:rPr>
        <w:i/>
        <w:sz w:val="26"/>
      </w:rPr>
    </w:pPr>
  </w:p>
  <w:p w14:paraId="5DAAE4C9" w14:textId="77777777" w:rsidR="00B57849" w:rsidRPr="00BA1F5E" w:rsidRDefault="003B3DCA" w:rsidP="00647570">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D3DE5" w14:textId="77777777" w:rsidR="003B3DCA" w:rsidRDefault="003B3DCA">
      <w:r>
        <w:separator/>
      </w:r>
    </w:p>
  </w:footnote>
  <w:footnote w:type="continuationSeparator" w:id="0">
    <w:p w14:paraId="2FBA56DD" w14:textId="77777777" w:rsidR="003B3DCA" w:rsidRDefault="003B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noProof w:val="0"/>
      </w:rPr>
      <w:id w:val="112785752"/>
      <w:docPartObj>
        <w:docPartGallery w:val="Page Numbers (Top of Page)"/>
        <w:docPartUnique/>
      </w:docPartObj>
    </w:sdtPr>
    <w:sdtEndPr>
      <w:rPr>
        <w:noProof/>
      </w:rPr>
    </w:sdtEndPr>
    <w:sdtContent>
      <w:p w14:paraId="30D212F6" w14:textId="43726629" w:rsidR="00C17353" w:rsidRPr="006F3B4B" w:rsidRDefault="00064D5F">
        <w:pPr>
          <w:pStyle w:val="Header"/>
          <w:jc w:val="center"/>
          <w:rPr>
            <w:rFonts w:ascii="Times New Roman" w:hAnsi="Times New Roman"/>
          </w:rPr>
        </w:pPr>
        <w:r w:rsidRPr="006F3B4B">
          <w:rPr>
            <w:rFonts w:ascii="Times New Roman" w:hAnsi="Times New Roman"/>
            <w:noProof w:val="0"/>
          </w:rPr>
          <w:fldChar w:fldCharType="begin"/>
        </w:r>
        <w:r w:rsidRPr="006F3B4B">
          <w:rPr>
            <w:rFonts w:ascii="Times New Roman" w:hAnsi="Times New Roman"/>
          </w:rPr>
          <w:instrText xml:space="preserve"> PAGE   \* MERGEFORMAT </w:instrText>
        </w:r>
        <w:r w:rsidRPr="006F3B4B">
          <w:rPr>
            <w:rFonts w:ascii="Times New Roman" w:hAnsi="Times New Roman"/>
            <w:noProof w:val="0"/>
          </w:rPr>
          <w:fldChar w:fldCharType="separate"/>
        </w:r>
        <w:r w:rsidR="008E5E45">
          <w:rPr>
            <w:rFonts w:ascii="Times New Roman" w:hAnsi="Times New Roman"/>
          </w:rPr>
          <w:t>5</w:t>
        </w:r>
        <w:r w:rsidRPr="006F3B4B">
          <w:rPr>
            <w:rFonts w:ascii="Times New Roman" w:hAnsi="Times New Roman"/>
          </w:rPr>
          <w:fldChar w:fldCharType="end"/>
        </w:r>
      </w:p>
    </w:sdtContent>
  </w:sdt>
  <w:p w14:paraId="062E26C3" w14:textId="77777777" w:rsidR="00B57849" w:rsidRPr="0089561E" w:rsidRDefault="003B3DCA">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78DF"/>
    <w:multiLevelType w:val="hybridMultilevel"/>
    <w:tmpl w:val="B002EB4A"/>
    <w:lvl w:ilvl="0" w:tplc="9202E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246F1E"/>
    <w:multiLevelType w:val="hybridMultilevel"/>
    <w:tmpl w:val="AB9E625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5ED321FF"/>
    <w:multiLevelType w:val="hybridMultilevel"/>
    <w:tmpl w:val="E04442D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72876A93"/>
    <w:multiLevelType w:val="hybridMultilevel"/>
    <w:tmpl w:val="7A326494"/>
    <w:lvl w:ilvl="0" w:tplc="E36C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096A6F"/>
    <w:multiLevelType w:val="hybridMultilevel"/>
    <w:tmpl w:val="ED8A67F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F9"/>
    <w:rsid w:val="0000340D"/>
    <w:rsid w:val="00006F24"/>
    <w:rsid w:val="0000770F"/>
    <w:rsid w:val="00044650"/>
    <w:rsid w:val="000611CD"/>
    <w:rsid w:val="0006335C"/>
    <w:rsid w:val="000648B8"/>
    <w:rsid w:val="00064D5F"/>
    <w:rsid w:val="0006606C"/>
    <w:rsid w:val="00083D35"/>
    <w:rsid w:val="000A17C0"/>
    <w:rsid w:val="000B2127"/>
    <w:rsid w:val="00140F66"/>
    <w:rsid w:val="0016661D"/>
    <w:rsid w:val="0017004E"/>
    <w:rsid w:val="00176506"/>
    <w:rsid w:val="001939F9"/>
    <w:rsid w:val="001A015A"/>
    <w:rsid w:val="001A187F"/>
    <w:rsid w:val="001A4DEB"/>
    <w:rsid w:val="001B7107"/>
    <w:rsid w:val="001B747D"/>
    <w:rsid w:val="001C6C8E"/>
    <w:rsid w:val="001F0D81"/>
    <w:rsid w:val="001F3CAA"/>
    <w:rsid w:val="001F51DD"/>
    <w:rsid w:val="00203FF9"/>
    <w:rsid w:val="0022126E"/>
    <w:rsid w:val="0022134D"/>
    <w:rsid w:val="00253CDF"/>
    <w:rsid w:val="00261773"/>
    <w:rsid w:val="0026407D"/>
    <w:rsid w:val="002646CD"/>
    <w:rsid w:val="002728A4"/>
    <w:rsid w:val="00273D07"/>
    <w:rsid w:val="002B1913"/>
    <w:rsid w:val="002B5573"/>
    <w:rsid w:val="002D191A"/>
    <w:rsid w:val="002D70B2"/>
    <w:rsid w:val="002E051D"/>
    <w:rsid w:val="002E7028"/>
    <w:rsid w:val="00332A3F"/>
    <w:rsid w:val="00337174"/>
    <w:rsid w:val="00345C32"/>
    <w:rsid w:val="003477A5"/>
    <w:rsid w:val="003545B6"/>
    <w:rsid w:val="00366B6D"/>
    <w:rsid w:val="00367807"/>
    <w:rsid w:val="00374506"/>
    <w:rsid w:val="003837C5"/>
    <w:rsid w:val="00385752"/>
    <w:rsid w:val="00392095"/>
    <w:rsid w:val="003B109D"/>
    <w:rsid w:val="003B3DCA"/>
    <w:rsid w:val="003B6DF9"/>
    <w:rsid w:val="003C3B08"/>
    <w:rsid w:val="003C3CFA"/>
    <w:rsid w:val="003F557E"/>
    <w:rsid w:val="0040273C"/>
    <w:rsid w:val="00416A70"/>
    <w:rsid w:val="00417850"/>
    <w:rsid w:val="00427A27"/>
    <w:rsid w:val="00431C2E"/>
    <w:rsid w:val="00431F91"/>
    <w:rsid w:val="004969D3"/>
    <w:rsid w:val="004A34A5"/>
    <w:rsid w:val="004A720E"/>
    <w:rsid w:val="004F7C1F"/>
    <w:rsid w:val="00505D24"/>
    <w:rsid w:val="00511B3A"/>
    <w:rsid w:val="00534F2B"/>
    <w:rsid w:val="005405D1"/>
    <w:rsid w:val="005550D5"/>
    <w:rsid w:val="00557A19"/>
    <w:rsid w:val="005757BF"/>
    <w:rsid w:val="00581FF2"/>
    <w:rsid w:val="00582E9C"/>
    <w:rsid w:val="00597FF3"/>
    <w:rsid w:val="005B7E98"/>
    <w:rsid w:val="005C76FD"/>
    <w:rsid w:val="005D25DC"/>
    <w:rsid w:val="005D5F82"/>
    <w:rsid w:val="005E2D21"/>
    <w:rsid w:val="005F1759"/>
    <w:rsid w:val="005F308E"/>
    <w:rsid w:val="005F5B65"/>
    <w:rsid w:val="0061214A"/>
    <w:rsid w:val="00631477"/>
    <w:rsid w:val="00632D99"/>
    <w:rsid w:val="0065384A"/>
    <w:rsid w:val="0065501E"/>
    <w:rsid w:val="00666483"/>
    <w:rsid w:val="00681E68"/>
    <w:rsid w:val="006857EA"/>
    <w:rsid w:val="006A67F1"/>
    <w:rsid w:val="006A68B0"/>
    <w:rsid w:val="006B1B3C"/>
    <w:rsid w:val="006C4F0C"/>
    <w:rsid w:val="006D7BC6"/>
    <w:rsid w:val="006D7F97"/>
    <w:rsid w:val="006F3B4B"/>
    <w:rsid w:val="00700A5D"/>
    <w:rsid w:val="007119F9"/>
    <w:rsid w:val="00711C10"/>
    <w:rsid w:val="00711CBA"/>
    <w:rsid w:val="0071426C"/>
    <w:rsid w:val="0072495B"/>
    <w:rsid w:val="00770C97"/>
    <w:rsid w:val="00775DB4"/>
    <w:rsid w:val="00785F48"/>
    <w:rsid w:val="00792D8C"/>
    <w:rsid w:val="00794B4C"/>
    <w:rsid w:val="007A2D36"/>
    <w:rsid w:val="007A5936"/>
    <w:rsid w:val="007B4754"/>
    <w:rsid w:val="007B78C8"/>
    <w:rsid w:val="007D1BA9"/>
    <w:rsid w:val="007E4825"/>
    <w:rsid w:val="007E7B10"/>
    <w:rsid w:val="007F622B"/>
    <w:rsid w:val="00810640"/>
    <w:rsid w:val="00811E2A"/>
    <w:rsid w:val="00813341"/>
    <w:rsid w:val="00821ECE"/>
    <w:rsid w:val="00823AAE"/>
    <w:rsid w:val="00826210"/>
    <w:rsid w:val="008323A7"/>
    <w:rsid w:val="00834AE9"/>
    <w:rsid w:val="00840909"/>
    <w:rsid w:val="00853070"/>
    <w:rsid w:val="0085626E"/>
    <w:rsid w:val="00861CFE"/>
    <w:rsid w:val="00884B39"/>
    <w:rsid w:val="00886379"/>
    <w:rsid w:val="00896846"/>
    <w:rsid w:val="008A6682"/>
    <w:rsid w:val="008B3BEE"/>
    <w:rsid w:val="008B55F4"/>
    <w:rsid w:val="008C2BE4"/>
    <w:rsid w:val="008C32C1"/>
    <w:rsid w:val="008C45D6"/>
    <w:rsid w:val="008D0BBF"/>
    <w:rsid w:val="008E34B2"/>
    <w:rsid w:val="008E5E45"/>
    <w:rsid w:val="008F09D7"/>
    <w:rsid w:val="008F241E"/>
    <w:rsid w:val="009103BF"/>
    <w:rsid w:val="00927B53"/>
    <w:rsid w:val="0093499C"/>
    <w:rsid w:val="00955D47"/>
    <w:rsid w:val="00961AB3"/>
    <w:rsid w:val="009A6606"/>
    <w:rsid w:val="009C3CDA"/>
    <w:rsid w:val="009D2AF4"/>
    <w:rsid w:val="009D7BC7"/>
    <w:rsid w:val="009E1FA8"/>
    <w:rsid w:val="009F1731"/>
    <w:rsid w:val="00A01DDB"/>
    <w:rsid w:val="00A047F9"/>
    <w:rsid w:val="00A21534"/>
    <w:rsid w:val="00A27643"/>
    <w:rsid w:val="00A33BD9"/>
    <w:rsid w:val="00A54ABE"/>
    <w:rsid w:val="00A65341"/>
    <w:rsid w:val="00A77B17"/>
    <w:rsid w:val="00A87DB1"/>
    <w:rsid w:val="00AA26CD"/>
    <w:rsid w:val="00AA4971"/>
    <w:rsid w:val="00AE0970"/>
    <w:rsid w:val="00AE2AD4"/>
    <w:rsid w:val="00AE7DED"/>
    <w:rsid w:val="00AF0EED"/>
    <w:rsid w:val="00AF4C57"/>
    <w:rsid w:val="00B03FF7"/>
    <w:rsid w:val="00B04146"/>
    <w:rsid w:val="00B078D7"/>
    <w:rsid w:val="00B10B6C"/>
    <w:rsid w:val="00B234FB"/>
    <w:rsid w:val="00B254E5"/>
    <w:rsid w:val="00B36BC4"/>
    <w:rsid w:val="00B54F87"/>
    <w:rsid w:val="00B612FF"/>
    <w:rsid w:val="00B63032"/>
    <w:rsid w:val="00B70CFD"/>
    <w:rsid w:val="00BA319F"/>
    <w:rsid w:val="00BC4307"/>
    <w:rsid w:val="00BE4EA8"/>
    <w:rsid w:val="00BF3022"/>
    <w:rsid w:val="00BF588E"/>
    <w:rsid w:val="00BF5994"/>
    <w:rsid w:val="00BF664E"/>
    <w:rsid w:val="00C06F07"/>
    <w:rsid w:val="00C25184"/>
    <w:rsid w:val="00C25870"/>
    <w:rsid w:val="00C25A99"/>
    <w:rsid w:val="00C515EB"/>
    <w:rsid w:val="00C57F29"/>
    <w:rsid w:val="00C601E2"/>
    <w:rsid w:val="00C65629"/>
    <w:rsid w:val="00C76270"/>
    <w:rsid w:val="00C76346"/>
    <w:rsid w:val="00C76983"/>
    <w:rsid w:val="00C81BE9"/>
    <w:rsid w:val="00C843C0"/>
    <w:rsid w:val="00CA26C2"/>
    <w:rsid w:val="00CA428D"/>
    <w:rsid w:val="00CC6C3C"/>
    <w:rsid w:val="00CC73D4"/>
    <w:rsid w:val="00CD6B49"/>
    <w:rsid w:val="00CE2627"/>
    <w:rsid w:val="00CE4BCF"/>
    <w:rsid w:val="00D14F7C"/>
    <w:rsid w:val="00D15E55"/>
    <w:rsid w:val="00D21944"/>
    <w:rsid w:val="00D3218A"/>
    <w:rsid w:val="00D3305A"/>
    <w:rsid w:val="00D40D74"/>
    <w:rsid w:val="00D726E0"/>
    <w:rsid w:val="00D77ECE"/>
    <w:rsid w:val="00D83E68"/>
    <w:rsid w:val="00D962EC"/>
    <w:rsid w:val="00DB3971"/>
    <w:rsid w:val="00DC6527"/>
    <w:rsid w:val="00DD0C7B"/>
    <w:rsid w:val="00DD1E75"/>
    <w:rsid w:val="00DD53E9"/>
    <w:rsid w:val="00DE221E"/>
    <w:rsid w:val="00DE72E9"/>
    <w:rsid w:val="00DF1924"/>
    <w:rsid w:val="00E125EB"/>
    <w:rsid w:val="00E13595"/>
    <w:rsid w:val="00E154D1"/>
    <w:rsid w:val="00E20B7B"/>
    <w:rsid w:val="00E21096"/>
    <w:rsid w:val="00E353E7"/>
    <w:rsid w:val="00E41569"/>
    <w:rsid w:val="00E47FC7"/>
    <w:rsid w:val="00E64722"/>
    <w:rsid w:val="00E73E31"/>
    <w:rsid w:val="00E76F2E"/>
    <w:rsid w:val="00E84A98"/>
    <w:rsid w:val="00EA2B17"/>
    <w:rsid w:val="00EA374E"/>
    <w:rsid w:val="00EB1116"/>
    <w:rsid w:val="00EB1582"/>
    <w:rsid w:val="00ED2E24"/>
    <w:rsid w:val="00EE1C41"/>
    <w:rsid w:val="00EE1F4B"/>
    <w:rsid w:val="00EE2686"/>
    <w:rsid w:val="00EE3429"/>
    <w:rsid w:val="00F033C1"/>
    <w:rsid w:val="00F14D3C"/>
    <w:rsid w:val="00F227F3"/>
    <w:rsid w:val="00F30375"/>
    <w:rsid w:val="00F3086A"/>
    <w:rsid w:val="00F34E55"/>
    <w:rsid w:val="00F42CD7"/>
    <w:rsid w:val="00F51122"/>
    <w:rsid w:val="00F54615"/>
    <w:rsid w:val="00F61084"/>
    <w:rsid w:val="00F66062"/>
    <w:rsid w:val="00F66E81"/>
    <w:rsid w:val="00F73C27"/>
    <w:rsid w:val="00F80E54"/>
    <w:rsid w:val="00FA4893"/>
    <w:rsid w:val="00FA609A"/>
    <w:rsid w:val="00FC0608"/>
    <w:rsid w:val="00FD22A1"/>
    <w:rsid w:val="00FD38A3"/>
    <w:rsid w:val="00FD708D"/>
    <w:rsid w:val="00FE1983"/>
    <w:rsid w:val="00FF50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8521"/>
  <w15:docId w15:val="{082FCE66-52D2-4795-9701-7FDA6A7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F9"/>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47F9"/>
    <w:pPr>
      <w:tabs>
        <w:tab w:val="center" w:pos="4680"/>
        <w:tab w:val="right" w:pos="9360"/>
      </w:tabs>
    </w:pPr>
  </w:style>
  <w:style w:type="character" w:customStyle="1" w:styleId="FooterChar">
    <w:name w:val="Footer Char"/>
    <w:basedOn w:val="DefaultParagraphFont"/>
    <w:link w:val="Footer"/>
    <w:uiPriority w:val="99"/>
    <w:rsid w:val="00A047F9"/>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A047F9"/>
    <w:pPr>
      <w:tabs>
        <w:tab w:val="center" w:pos="4680"/>
        <w:tab w:val="right" w:pos="9360"/>
      </w:tabs>
    </w:pPr>
  </w:style>
  <w:style w:type="character" w:customStyle="1" w:styleId="HeaderChar">
    <w:name w:val="Header Char"/>
    <w:basedOn w:val="DefaultParagraphFont"/>
    <w:link w:val="Header"/>
    <w:uiPriority w:val="99"/>
    <w:rsid w:val="00A047F9"/>
    <w:rPr>
      <w:rFonts w:ascii=".VnTime" w:eastAsia="Times New Roman" w:hAnsi=".VnTime" w:cs="Times New Roman"/>
      <w:noProof/>
      <w:sz w:val="28"/>
      <w:szCs w:val="28"/>
      <w:lang w:val="en-US"/>
    </w:rPr>
  </w:style>
  <w:style w:type="character" w:customStyle="1" w:styleId="fontstyle01">
    <w:name w:val="fontstyle01"/>
    <w:basedOn w:val="DefaultParagraphFont"/>
    <w:rsid w:val="00A047F9"/>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047F9"/>
    <w:pPr>
      <w:ind w:left="720" w:firstLine="737"/>
      <w:contextualSpacing/>
      <w:jc w:val="both"/>
    </w:pPr>
    <w:rPr>
      <w:rFonts w:ascii="Arial" w:eastAsia="SimSun" w:hAnsi="Arial" w:cs="Arial"/>
      <w:noProof w:val="0"/>
      <w:lang w:eastAsia="zh-CN"/>
    </w:rPr>
  </w:style>
  <w:style w:type="paragraph" w:styleId="BalloonText">
    <w:name w:val="Balloon Text"/>
    <w:basedOn w:val="Normal"/>
    <w:link w:val="BalloonTextChar"/>
    <w:uiPriority w:val="99"/>
    <w:semiHidden/>
    <w:unhideWhenUsed/>
    <w:rsid w:val="00EE1C41"/>
    <w:rPr>
      <w:rFonts w:ascii="Tahoma" w:hAnsi="Tahoma" w:cs="Tahoma"/>
      <w:sz w:val="16"/>
      <w:szCs w:val="16"/>
    </w:rPr>
  </w:style>
  <w:style w:type="character" w:customStyle="1" w:styleId="BalloonTextChar">
    <w:name w:val="Balloon Text Char"/>
    <w:basedOn w:val="DefaultParagraphFont"/>
    <w:link w:val="BalloonText"/>
    <w:uiPriority w:val="99"/>
    <w:semiHidden/>
    <w:rsid w:val="00EE1C41"/>
    <w:rPr>
      <w:rFonts w:ascii="Tahoma" w:eastAsia="Times New Roman" w:hAnsi="Tahoma" w:cs="Tahoma"/>
      <w:noProof/>
      <w:sz w:val="16"/>
      <w:szCs w:val="16"/>
      <w:lang w:val="en-US"/>
    </w:rPr>
  </w:style>
  <w:style w:type="paragraph" w:styleId="NormalWeb">
    <w:name w:val="Normal (Web)"/>
    <w:basedOn w:val="Normal"/>
    <w:uiPriority w:val="99"/>
    <w:semiHidden/>
    <w:unhideWhenUsed/>
    <w:rsid w:val="00DD0C7B"/>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9940">
      <w:bodyDiv w:val="1"/>
      <w:marLeft w:val="0"/>
      <w:marRight w:val="0"/>
      <w:marTop w:val="0"/>
      <w:marBottom w:val="0"/>
      <w:divBdr>
        <w:top w:val="none" w:sz="0" w:space="0" w:color="auto"/>
        <w:left w:val="none" w:sz="0" w:space="0" w:color="auto"/>
        <w:bottom w:val="none" w:sz="0" w:space="0" w:color="auto"/>
        <w:right w:val="none" w:sz="0" w:space="0" w:color="auto"/>
      </w:divBdr>
    </w:div>
    <w:div w:id="243300708">
      <w:bodyDiv w:val="1"/>
      <w:marLeft w:val="0"/>
      <w:marRight w:val="0"/>
      <w:marTop w:val="0"/>
      <w:marBottom w:val="0"/>
      <w:divBdr>
        <w:top w:val="none" w:sz="0" w:space="0" w:color="auto"/>
        <w:left w:val="none" w:sz="0" w:space="0" w:color="auto"/>
        <w:bottom w:val="none" w:sz="0" w:space="0" w:color="auto"/>
        <w:right w:val="none" w:sz="0" w:space="0" w:color="auto"/>
      </w:divBdr>
    </w:div>
    <w:div w:id="366611714">
      <w:bodyDiv w:val="1"/>
      <w:marLeft w:val="0"/>
      <w:marRight w:val="0"/>
      <w:marTop w:val="0"/>
      <w:marBottom w:val="0"/>
      <w:divBdr>
        <w:top w:val="none" w:sz="0" w:space="0" w:color="auto"/>
        <w:left w:val="none" w:sz="0" w:space="0" w:color="auto"/>
        <w:bottom w:val="none" w:sz="0" w:space="0" w:color="auto"/>
        <w:right w:val="none" w:sz="0" w:space="0" w:color="auto"/>
      </w:divBdr>
    </w:div>
    <w:div w:id="690883534">
      <w:bodyDiv w:val="1"/>
      <w:marLeft w:val="0"/>
      <w:marRight w:val="0"/>
      <w:marTop w:val="0"/>
      <w:marBottom w:val="0"/>
      <w:divBdr>
        <w:top w:val="none" w:sz="0" w:space="0" w:color="auto"/>
        <w:left w:val="none" w:sz="0" w:space="0" w:color="auto"/>
        <w:bottom w:val="none" w:sz="0" w:space="0" w:color="auto"/>
        <w:right w:val="none" w:sz="0" w:space="0" w:color="auto"/>
      </w:divBdr>
    </w:div>
    <w:div w:id="1039817229">
      <w:bodyDiv w:val="1"/>
      <w:marLeft w:val="0"/>
      <w:marRight w:val="0"/>
      <w:marTop w:val="0"/>
      <w:marBottom w:val="0"/>
      <w:divBdr>
        <w:top w:val="none" w:sz="0" w:space="0" w:color="auto"/>
        <w:left w:val="none" w:sz="0" w:space="0" w:color="auto"/>
        <w:bottom w:val="none" w:sz="0" w:space="0" w:color="auto"/>
        <w:right w:val="none" w:sz="0" w:space="0" w:color="auto"/>
      </w:divBdr>
    </w:div>
    <w:div w:id="1075392946">
      <w:bodyDiv w:val="1"/>
      <w:marLeft w:val="0"/>
      <w:marRight w:val="0"/>
      <w:marTop w:val="0"/>
      <w:marBottom w:val="0"/>
      <w:divBdr>
        <w:top w:val="none" w:sz="0" w:space="0" w:color="auto"/>
        <w:left w:val="none" w:sz="0" w:space="0" w:color="auto"/>
        <w:bottom w:val="none" w:sz="0" w:space="0" w:color="auto"/>
        <w:right w:val="none" w:sz="0" w:space="0" w:color="auto"/>
      </w:divBdr>
    </w:div>
    <w:div w:id="1158568805">
      <w:bodyDiv w:val="1"/>
      <w:marLeft w:val="0"/>
      <w:marRight w:val="0"/>
      <w:marTop w:val="0"/>
      <w:marBottom w:val="0"/>
      <w:divBdr>
        <w:top w:val="none" w:sz="0" w:space="0" w:color="auto"/>
        <w:left w:val="none" w:sz="0" w:space="0" w:color="auto"/>
        <w:bottom w:val="none" w:sz="0" w:space="0" w:color="auto"/>
        <w:right w:val="none" w:sz="0" w:space="0" w:color="auto"/>
      </w:divBdr>
    </w:div>
    <w:div w:id="1597713687">
      <w:bodyDiv w:val="1"/>
      <w:marLeft w:val="0"/>
      <w:marRight w:val="0"/>
      <w:marTop w:val="0"/>
      <w:marBottom w:val="0"/>
      <w:divBdr>
        <w:top w:val="none" w:sz="0" w:space="0" w:color="auto"/>
        <w:left w:val="none" w:sz="0" w:space="0" w:color="auto"/>
        <w:bottom w:val="none" w:sz="0" w:space="0" w:color="auto"/>
        <w:right w:val="none" w:sz="0" w:space="0" w:color="auto"/>
      </w:divBdr>
    </w:div>
    <w:div w:id="21054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0C8B5-FFF4-43BE-A74C-6BE8A93D4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CD496-CA34-49F9-A65F-C0F8BC9F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E6BEE0-419C-437E-B6CB-5A0ED3C03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Microsoft account</cp:lastModifiedBy>
  <cp:revision>3</cp:revision>
  <cp:lastPrinted>2023-02-07T02:48:00Z</cp:lastPrinted>
  <dcterms:created xsi:type="dcterms:W3CDTF">2023-06-19T07:43:00Z</dcterms:created>
  <dcterms:modified xsi:type="dcterms:W3CDTF">2023-06-19T07:46:00Z</dcterms:modified>
</cp:coreProperties>
</file>