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26"/>
        <w:tblW w:w="9180" w:type="dxa"/>
        <w:tblLayout w:type="fixed"/>
        <w:tblLook w:val="0000"/>
      </w:tblPr>
      <w:tblGrid>
        <w:gridCol w:w="3369"/>
        <w:gridCol w:w="5811"/>
      </w:tblGrid>
      <w:tr w:rsidR="00AE3486" w:rsidRPr="00CF69CE" w:rsidTr="00AE3486">
        <w:trPr>
          <w:trHeight w:val="1800"/>
        </w:trPr>
        <w:tc>
          <w:tcPr>
            <w:tcW w:w="3369" w:type="dxa"/>
          </w:tcPr>
          <w:p w:rsidR="00AE3486" w:rsidRDefault="00AE3486" w:rsidP="00AE3486">
            <w:pPr>
              <w:tabs>
                <w:tab w:val="left" w:pos="553"/>
                <w:tab w:val="center" w:pos="1576"/>
              </w:tabs>
              <w:rPr>
                <w:b/>
                <w:sz w:val="26"/>
                <w:szCs w:val="26"/>
              </w:rPr>
            </w:pPr>
            <w:r>
              <w:rPr>
                <w:b/>
                <w:sz w:val="26"/>
                <w:szCs w:val="26"/>
              </w:rPr>
              <w:tab/>
            </w:r>
            <w:r>
              <w:rPr>
                <w:b/>
                <w:sz w:val="26"/>
                <w:szCs w:val="26"/>
              </w:rPr>
              <w:tab/>
              <w:t>BỘ TÀI CHÍNH</w:t>
            </w:r>
          </w:p>
          <w:p w:rsidR="00AE3486" w:rsidRDefault="00AE3486" w:rsidP="00AE3486">
            <w:pPr>
              <w:jc w:val="center"/>
              <w:rPr>
                <w:sz w:val="26"/>
                <w:szCs w:val="26"/>
              </w:rPr>
            </w:pPr>
            <w:r>
              <w:rPr>
                <w:sz w:val="26"/>
                <w:szCs w:val="26"/>
              </w:rPr>
              <w:t>———</w:t>
            </w:r>
          </w:p>
          <w:p w:rsidR="00AE3486" w:rsidRPr="00795A33" w:rsidRDefault="00AE3486" w:rsidP="00AE3486">
            <w:pPr>
              <w:jc w:val="center"/>
              <w:rPr>
                <w:sz w:val="26"/>
                <w:szCs w:val="26"/>
              </w:rPr>
            </w:pPr>
            <w:r w:rsidRPr="00795A33">
              <w:rPr>
                <w:sz w:val="26"/>
                <w:szCs w:val="26"/>
              </w:rPr>
              <w:t>Số:       /TTr-BTC</w:t>
            </w:r>
          </w:p>
          <w:p w:rsidR="00AE3486" w:rsidRDefault="00AE3486" w:rsidP="00AE3486">
            <w:pPr>
              <w:tabs>
                <w:tab w:val="left" w:pos="2310"/>
              </w:tabs>
            </w:pPr>
          </w:p>
          <w:p w:rsidR="00AE3486" w:rsidRDefault="00AE3486" w:rsidP="00AE3486">
            <w:pPr>
              <w:tabs>
                <w:tab w:val="left" w:pos="2310"/>
              </w:tabs>
            </w:pPr>
          </w:p>
        </w:tc>
        <w:tc>
          <w:tcPr>
            <w:tcW w:w="5811" w:type="dxa"/>
          </w:tcPr>
          <w:p w:rsidR="00AE3486" w:rsidRDefault="00AE3486" w:rsidP="00AE3486">
            <w:pPr>
              <w:rPr>
                <w:b/>
                <w:sz w:val="26"/>
                <w:szCs w:val="26"/>
              </w:rPr>
            </w:pPr>
            <w:r>
              <w:rPr>
                <w:b/>
                <w:sz w:val="26"/>
                <w:szCs w:val="26"/>
              </w:rPr>
              <w:t>CỘNG HOÀ XÃ HỘI CHỦ NGHĨA VIỆT NAM</w:t>
            </w:r>
          </w:p>
          <w:p w:rsidR="00AE3486" w:rsidRDefault="00AE3486" w:rsidP="00AE3486">
            <w:pPr>
              <w:jc w:val="center"/>
              <w:rPr>
                <w:b/>
                <w:sz w:val="28"/>
                <w:szCs w:val="28"/>
              </w:rPr>
            </w:pPr>
            <w:r>
              <w:rPr>
                <w:b/>
                <w:sz w:val="28"/>
                <w:szCs w:val="28"/>
              </w:rPr>
              <w:t>Độc lập - Tự do - Hạnh phúc</w:t>
            </w:r>
          </w:p>
          <w:p w:rsidR="00AE3486" w:rsidRPr="00735D6B" w:rsidRDefault="00CB55B1" w:rsidP="00AE3486">
            <w:pPr>
              <w:jc w:val="both"/>
              <w:rPr>
                <w:b/>
                <w:sz w:val="28"/>
                <w:szCs w:val="28"/>
              </w:rPr>
            </w:pPr>
            <w:r w:rsidRPr="00CB55B1">
              <w:rPr>
                <w:b/>
                <w:noProof/>
                <w:sz w:val="26"/>
                <w:szCs w:val="26"/>
              </w:rPr>
              <w:pict>
                <v:shapetype id="_x0000_t32" coordsize="21600,21600" o:spt="32" o:oned="t" path="m,l21600,21600e" filled="f">
                  <v:path arrowok="t" fillok="f" o:connecttype="none"/>
                  <o:lock v:ext="edit" shapetype="t"/>
                </v:shapetype>
                <v:shape id="AutoShape 4" o:spid="_x0000_s1028" type="#_x0000_t32" style="position:absolute;left:0;text-align:left;margin-left:54.45pt;margin-top:4.85pt;width:167.05pt;height:0;z-index:251663360;visibility:visible;mso-wrap-style:square;mso-width-percent:0;mso-height-percent:0;mso-wrap-distance-left:9pt;mso-wrap-distance-top:-6e-5mm;mso-wrap-distance-right:9pt;mso-wrap-distance-bottom:-6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9eHgIAADs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"/>
              </w:pict>
            </w:r>
            <w:r w:rsidR="00AE3486" w:rsidRPr="00420ED4">
              <w:rPr>
                <w:b/>
                <w:sz w:val="28"/>
                <w:szCs w:val="28"/>
              </w:rPr>
              <w:t xml:space="preserve">                 </w:t>
            </w:r>
          </w:p>
          <w:p w:rsidR="00AE3486" w:rsidRDefault="00AE3486" w:rsidP="00AE3486">
            <w:pPr>
              <w:jc w:val="center"/>
              <w:rPr>
                <w:i/>
                <w:sz w:val="28"/>
                <w:szCs w:val="28"/>
              </w:rPr>
            </w:pPr>
            <w:r>
              <w:rPr>
                <w:i/>
                <w:sz w:val="28"/>
                <w:szCs w:val="28"/>
              </w:rPr>
              <w:t xml:space="preserve">  Hà Nội, ngà</w:t>
            </w:r>
            <w:r>
              <w:rPr>
                <w:i/>
                <w:sz w:val="28"/>
                <w:szCs w:val="28"/>
                <w:lang w:val="vi-VN"/>
              </w:rPr>
              <w:t>y</w:t>
            </w:r>
            <w:r>
              <w:rPr>
                <w:i/>
                <w:sz w:val="28"/>
                <w:szCs w:val="28"/>
              </w:rPr>
              <w:t xml:space="preserve">    tháng   năm 2023</w:t>
            </w:r>
          </w:p>
          <w:p w:rsidR="00AE3486" w:rsidRDefault="00AE3486" w:rsidP="00AE3486">
            <w:pPr>
              <w:jc w:val="center"/>
              <w:rPr>
                <w:lang w:val="vi-VN"/>
              </w:rPr>
            </w:pPr>
          </w:p>
          <w:p w:rsidR="00AE3486" w:rsidRDefault="00AE3486" w:rsidP="00AE3486">
            <w:pPr>
              <w:jc w:val="center"/>
              <w:rPr>
                <w:lang w:val="vi-VN"/>
              </w:rPr>
            </w:pPr>
          </w:p>
          <w:p w:rsidR="00AE3486" w:rsidRDefault="00AE3486" w:rsidP="00AE3486">
            <w:pPr>
              <w:jc w:val="center"/>
            </w:pPr>
          </w:p>
          <w:p w:rsidR="00AE3486" w:rsidRPr="00CF69CE" w:rsidRDefault="00AE3486" w:rsidP="00AE3486">
            <w:pPr>
              <w:jc w:val="center"/>
            </w:pPr>
          </w:p>
        </w:tc>
      </w:tr>
    </w:tbl>
    <w:p w:rsidR="00E57418" w:rsidRDefault="00E57418" w:rsidP="00AE3486">
      <w:pPr>
        <w:tabs>
          <w:tab w:val="left" w:pos="567"/>
        </w:tabs>
        <w:jc w:val="center"/>
        <w:rPr>
          <w:b/>
          <w:sz w:val="28"/>
          <w:szCs w:val="28"/>
        </w:rPr>
      </w:pPr>
    </w:p>
    <w:p w:rsidR="00E57418" w:rsidRDefault="00E57418" w:rsidP="00E57418">
      <w:pPr>
        <w:spacing w:line="340" w:lineRule="exact"/>
        <w:jc w:val="center"/>
        <w:rPr>
          <w:b/>
          <w:sz w:val="28"/>
          <w:szCs w:val="28"/>
        </w:rPr>
      </w:pPr>
      <w:r w:rsidRPr="00E0289E">
        <w:rPr>
          <w:b/>
          <w:sz w:val="28"/>
          <w:szCs w:val="28"/>
        </w:rPr>
        <w:t>TỜ TRÌNH</w:t>
      </w:r>
    </w:p>
    <w:p w:rsidR="00E57418" w:rsidRDefault="00E57418" w:rsidP="00E57418">
      <w:pPr>
        <w:tabs>
          <w:tab w:val="left" w:pos="567"/>
        </w:tabs>
        <w:spacing w:line="340" w:lineRule="exact"/>
        <w:jc w:val="center"/>
        <w:rPr>
          <w:b/>
          <w:sz w:val="28"/>
          <w:szCs w:val="28"/>
        </w:rPr>
      </w:pPr>
      <w:r>
        <w:rPr>
          <w:b/>
          <w:sz w:val="28"/>
          <w:szCs w:val="28"/>
        </w:rPr>
        <w:t>V</w:t>
      </w:r>
      <w:r>
        <w:rPr>
          <w:b/>
          <w:sz w:val="28"/>
          <w:szCs w:val="28"/>
          <w:lang w:val="vi-VN"/>
        </w:rPr>
        <w:t xml:space="preserve">ề </w:t>
      </w:r>
      <w:r>
        <w:rPr>
          <w:b/>
          <w:sz w:val="28"/>
          <w:szCs w:val="28"/>
        </w:rPr>
        <w:t xml:space="preserve">việc ban hành Quyết định của </w:t>
      </w:r>
      <w:r w:rsidRPr="00E0289E">
        <w:rPr>
          <w:b/>
          <w:sz w:val="28"/>
          <w:szCs w:val="28"/>
        </w:rPr>
        <w:t>Thủ tướng Chính phủ về</w:t>
      </w:r>
      <w:r>
        <w:rPr>
          <w:b/>
          <w:sz w:val="28"/>
          <w:szCs w:val="28"/>
        </w:rPr>
        <w:t xml:space="preserve"> cơ chế</w:t>
      </w:r>
      <w:r w:rsidRPr="00E0289E">
        <w:rPr>
          <w:b/>
          <w:sz w:val="28"/>
          <w:szCs w:val="28"/>
        </w:rPr>
        <w:t xml:space="preserve"> </w:t>
      </w:r>
    </w:p>
    <w:p w:rsidR="00E57418" w:rsidRDefault="00E57418" w:rsidP="00E57418">
      <w:pPr>
        <w:tabs>
          <w:tab w:val="left" w:pos="567"/>
        </w:tabs>
        <w:spacing w:line="340" w:lineRule="exact"/>
        <w:jc w:val="center"/>
        <w:rPr>
          <w:b/>
          <w:sz w:val="28"/>
          <w:szCs w:val="28"/>
        </w:rPr>
      </w:pPr>
      <w:r>
        <w:rPr>
          <w:b/>
          <w:sz w:val="28"/>
          <w:szCs w:val="28"/>
        </w:rPr>
        <w:t>xử lý rủi ro t</w:t>
      </w:r>
      <w:r w:rsidRPr="00E0289E">
        <w:rPr>
          <w:b/>
          <w:sz w:val="28"/>
          <w:szCs w:val="28"/>
        </w:rPr>
        <w:t xml:space="preserve">ín dụng </w:t>
      </w:r>
      <w:r>
        <w:rPr>
          <w:b/>
          <w:sz w:val="28"/>
          <w:szCs w:val="28"/>
        </w:rPr>
        <w:t>tại Ngân hàng Phát triển Việt Nam</w:t>
      </w:r>
    </w:p>
    <w:p w:rsidR="00E57418" w:rsidRDefault="00CB55B1" w:rsidP="00E57418">
      <w:pPr>
        <w:tabs>
          <w:tab w:val="left" w:pos="567"/>
        </w:tabs>
        <w:spacing w:line="340" w:lineRule="exact"/>
        <w:jc w:val="center"/>
        <w:rPr>
          <w:b/>
          <w:sz w:val="28"/>
          <w:szCs w:val="28"/>
        </w:rPr>
      </w:pPr>
      <w:r>
        <w:rPr>
          <w:b/>
          <w:noProof/>
          <w:sz w:val="28"/>
          <w:szCs w:val="28"/>
        </w:rPr>
        <w:pict>
          <v:shape id="_x0000_s1027" type="#_x0000_t32" style="position:absolute;left:0;text-align:left;margin-left:151.75pt;margin-top:6.6pt;width:167.05pt;height:0;z-index:251661312;visibility:visible;mso-wrap-style:square;mso-width-percent:0;mso-height-percent:0;mso-wrap-distance-left:9pt;mso-wrap-distance-top:-6e-5mm;mso-wrap-distance-right:9pt;mso-wrap-distance-bottom:-6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9eHgIAADs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"/>
        </w:pict>
      </w:r>
    </w:p>
    <w:p w:rsidR="00E57418" w:rsidRDefault="00E57418" w:rsidP="00E57418">
      <w:pPr>
        <w:spacing w:after="120" w:line="340" w:lineRule="exact"/>
        <w:jc w:val="center"/>
        <w:rPr>
          <w:bCs/>
          <w:iCs/>
          <w:sz w:val="28"/>
          <w:szCs w:val="28"/>
        </w:rPr>
      </w:pPr>
    </w:p>
    <w:p w:rsidR="00E57418" w:rsidRDefault="00E57418" w:rsidP="00E57418">
      <w:pPr>
        <w:spacing w:after="120" w:line="340" w:lineRule="exact"/>
        <w:jc w:val="center"/>
        <w:rPr>
          <w:bCs/>
          <w:iCs/>
          <w:sz w:val="28"/>
          <w:szCs w:val="28"/>
        </w:rPr>
      </w:pPr>
      <w:r>
        <w:rPr>
          <w:bCs/>
          <w:iCs/>
          <w:sz w:val="28"/>
          <w:szCs w:val="28"/>
        </w:rPr>
        <w:t>Kính gửi: Thủ tướng Chính phủ</w:t>
      </w:r>
    </w:p>
    <w:p w:rsidR="00E57418" w:rsidRDefault="00E57418" w:rsidP="00E57418">
      <w:pPr>
        <w:spacing w:after="120" w:line="340" w:lineRule="exact"/>
        <w:ind w:firstLine="709"/>
        <w:jc w:val="both"/>
        <w:rPr>
          <w:bCs/>
          <w:iCs/>
          <w:sz w:val="28"/>
          <w:szCs w:val="28"/>
        </w:rPr>
      </w:pPr>
    </w:p>
    <w:p w:rsidR="002F0468" w:rsidRDefault="00522B6E" w:rsidP="009E35DC">
      <w:pPr>
        <w:spacing w:after="120" w:line="340" w:lineRule="exact"/>
        <w:ind w:firstLine="709"/>
        <w:jc w:val="both"/>
        <w:rPr>
          <w:bCs/>
          <w:iCs/>
          <w:sz w:val="28"/>
          <w:szCs w:val="28"/>
        </w:rPr>
      </w:pPr>
      <w:r w:rsidRPr="00522B6E">
        <w:rPr>
          <w:bCs/>
          <w:iCs/>
          <w:sz w:val="28"/>
          <w:szCs w:val="28"/>
        </w:rPr>
        <w:t>Thực hiện quy định của Luật Ban hành văn bản quy phạm pháp luật</w:t>
      </w:r>
      <w:r>
        <w:rPr>
          <w:bCs/>
          <w:iCs/>
          <w:sz w:val="28"/>
          <w:szCs w:val="28"/>
        </w:rPr>
        <w:t xml:space="preserve"> năm 2015 (sửa đổi, bổ sung năm </w:t>
      </w:r>
      <w:r w:rsidR="00C50D58">
        <w:rPr>
          <w:bCs/>
          <w:iCs/>
          <w:sz w:val="28"/>
          <w:szCs w:val="28"/>
        </w:rPr>
        <w:t>2021)</w:t>
      </w:r>
      <w:r>
        <w:rPr>
          <w:bCs/>
          <w:iCs/>
          <w:sz w:val="28"/>
          <w:szCs w:val="28"/>
        </w:rPr>
        <w:t>,</w:t>
      </w:r>
      <w:r w:rsidRPr="00522B6E">
        <w:rPr>
          <w:bCs/>
          <w:iCs/>
          <w:sz w:val="28"/>
          <w:szCs w:val="28"/>
        </w:rPr>
        <w:t xml:space="preserve"> </w:t>
      </w:r>
      <w:r>
        <w:rPr>
          <w:bCs/>
          <w:iCs/>
          <w:sz w:val="28"/>
          <w:szCs w:val="28"/>
        </w:rPr>
        <w:t>t</w:t>
      </w:r>
      <w:r w:rsidR="00F3566E">
        <w:rPr>
          <w:bCs/>
          <w:iCs/>
          <w:sz w:val="28"/>
          <w:szCs w:val="28"/>
        </w:rPr>
        <w:t>riển khai thực hiện kết luận của Bộ Chính trị, chỉ đạo của Ban cán sự đảng Chính phủ, Thủ tướng Chính phủ về cơ cấu lại</w:t>
      </w:r>
      <w:r w:rsidR="00F00D54">
        <w:rPr>
          <w:bCs/>
          <w:iCs/>
          <w:sz w:val="28"/>
          <w:szCs w:val="28"/>
        </w:rPr>
        <w:t xml:space="preserve"> Ngân hàng Phát triển Việt Nam (NHPT) giai đoạn 2023-2027, liên quan đến nhiệm vụ giao Bộ Tài chính khẩn trương</w:t>
      </w:r>
      <w:r w:rsidR="00FA4FF5">
        <w:rPr>
          <w:bCs/>
          <w:iCs/>
          <w:sz w:val="28"/>
          <w:szCs w:val="28"/>
        </w:rPr>
        <w:t xml:space="preserve"> hoàn thiện, ban hành sớm cơ chế, chính sách cơ cấu lại NHPT theo thẩm quyền và quy định pháp luật, nhất là cơ chế tín dụng, xử lý rủi ro tín dụng</w:t>
      </w:r>
      <w:r w:rsidR="002F0468">
        <w:rPr>
          <w:bCs/>
          <w:iCs/>
          <w:sz w:val="28"/>
          <w:szCs w:val="28"/>
        </w:rPr>
        <w:t xml:space="preserve">, </w:t>
      </w:r>
      <w:r w:rsidR="004849CB">
        <w:rPr>
          <w:bCs/>
          <w:iCs/>
          <w:sz w:val="28"/>
          <w:szCs w:val="28"/>
        </w:rPr>
        <w:t xml:space="preserve">trên cơ sở đề xuất của NHPT, ý kiến tham gia của các Bộ ngành liên quan và ý kiến thẩm định của Bộ Tư pháp tại công văn số ……/BTP-PLDSKT ngày …./…/2023, </w:t>
      </w:r>
      <w:r w:rsidR="002F0468">
        <w:rPr>
          <w:bCs/>
          <w:iCs/>
          <w:sz w:val="28"/>
          <w:szCs w:val="28"/>
        </w:rPr>
        <w:t xml:space="preserve">Bộ Tài chính xin báo cáo Thủ tướng Chính phủ về việc ban hành Quyết định về cơ chế xử lý rủi ro tín dụng tại NHPT (Quyết định) như sau: </w:t>
      </w:r>
    </w:p>
    <w:p w:rsidR="00E57418" w:rsidRPr="0056706E" w:rsidRDefault="00E57418" w:rsidP="00E57418">
      <w:pPr>
        <w:spacing w:after="120" w:line="340" w:lineRule="exact"/>
        <w:ind w:firstLine="709"/>
        <w:jc w:val="both"/>
        <w:rPr>
          <w:b/>
          <w:sz w:val="28"/>
          <w:szCs w:val="28"/>
          <w:lang w:val="es-ES_tradnl"/>
        </w:rPr>
      </w:pPr>
      <w:r>
        <w:rPr>
          <w:b/>
          <w:sz w:val="28"/>
          <w:szCs w:val="28"/>
          <w:lang w:val="vi-VN"/>
        </w:rPr>
        <w:t>I.</w:t>
      </w:r>
      <w:r w:rsidRPr="0056706E">
        <w:rPr>
          <w:b/>
          <w:sz w:val="28"/>
          <w:szCs w:val="28"/>
          <w:lang w:val="es-ES_tradnl"/>
        </w:rPr>
        <w:t xml:space="preserve"> SỰ CẦN THIẾT </w:t>
      </w:r>
      <w:r>
        <w:rPr>
          <w:b/>
          <w:sz w:val="28"/>
          <w:szCs w:val="28"/>
          <w:lang w:val="es-ES_tradnl"/>
        </w:rPr>
        <w:t>BAN HÀNH</w:t>
      </w:r>
      <w:r w:rsidRPr="0056706E">
        <w:rPr>
          <w:b/>
          <w:sz w:val="28"/>
          <w:szCs w:val="28"/>
          <w:lang w:val="es-ES_tradnl"/>
        </w:rPr>
        <w:t xml:space="preserve"> QUYẾT ĐỊNH</w:t>
      </w:r>
    </w:p>
    <w:p w:rsidR="00E57418" w:rsidRDefault="00E57418" w:rsidP="00E57418">
      <w:pPr>
        <w:spacing w:after="120" w:line="340" w:lineRule="exact"/>
        <w:ind w:firstLine="709"/>
        <w:jc w:val="both"/>
        <w:rPr>
          <w:b/>
          <w:bCs/>
          <w:sz w:val="28"/>
          <w:szCs w:val="28"/>
          <w:lang w:val="nl-NL"/>
        </w:rPr>
      </w:pPr>
      <w:r>
        <w:rPr>
          <w:sz w:val="28"/>
          <w:szCs w:val="28"/>
          <w:lang w:val="vi-VN"/>
        </w:rPr>
        <w:tab/>
      </w:r>
      <w:r w:rsidRPr="0056706E">
        <w:rPr>
          <w:b/>
          <w:sz w:val="28"/>
          <w:szCs w:val="28"/>
          <w:lang w:val="vi-VN"/>
        </w:rPr>
        <w:t>1</w:t>
      </w:r>
      <w:r>
        <w:rPr>
          <w:b/>
          <w:sz w:val="28"/>
          <w:szCs w:val="28"/>
          <w:lang w:val="es-ES_tradnl"/>
        </w:rPr>
        <w:t>.</w:t>
      </w:r>
      <w:r w:rsidRPr="008A47F5">
        <w:rPr>
          <w:b/>
          <w:sz w:val="28"/>
          <w:szCs w:val="28"/>
          <w:lang w:val="es-ES_tradnl"/>
        </w:rPr>
        <w:t xml:space="preserve"> </w:t>
      </w:r>
      <w:r w:rsidR="00696BFF">
        <w:rPr>
          <w:b/>
          <w:sz w:val="28"/>
          <w:szCs w:val="28"/>
          <w:lang w:val="es-ES_tradnl"/>
        </w:rPr>
        <w:t>Về c</w:t>
      </w:r>
      <w:r>
        <w:rPr>
          <w:b/>
          <w:sz w:val="28"/>
          <w:szCs w:val="28"/>
          <w:lang w:val="vi-VN"/>
        </w:rPr>
        <w:t>ơ sở pháp lý</w:t>
      </w:r>
      <w:r>
        <w:rPr>
          <w:b/>
          <w:sz w:val="28"/>
          <w:szCs w:val="28"/>
        </w:rPr>
        <w:t xml:space="preserve"> </w:t>
      </w:r>
      <w:r w:rsidR="00696BFF">
        <w:rPr>
          <w:b/>
          <w:bCs/>
          <w:sz w:val="28"/>
          <w:szCs w:val="28"/>
          <w:lang w:val="nl-NL"/>
        </w:rPr>
        <w:t>và</w:t>
      </w:r>
      <w:r>
        <w:rPr>
          <w:b/>
          <w:bCs/>
          <w:sz w:val="28"/>
          <w:szCs w:val="28"/>
          <w:lang w:val="nl-NL"/>
        </w:rPr>
        <w:t xml:space="preserve"> thẩm quyền ban hành </w:t>
      </w:r>
      <w:r w:rsidR="00696BFF">
        <w:rPr>
          <w:b/>
          <w:bCs/>
          <w:sz w:val="28"/>
          <w:szCs w:val="28"/>
          <w:lang w:val="nl-NL"/>
        </w:rPr>
        <w:t>quy định về cơ chế xử lý rủi ro tín dụng tại NHPT</w:t>
      </w:r>
    </w:p>
    <w:p w:rsidR="00282594" w:rsidRDefault="00194BA8" w:rsidP="00282594">
      <w:pPr>
        <w:spacing w:after="120" w:line="340" w:lineRule="exact"/>
        <w:ind w:right="-28" w:firstLine="709"/>
        <w:jc w:val="both"/>
        <w:rPr>
          <w:sz w:val="28"/>
          <w:szCs w:val="28"/>
        </w:rPr>
      </w:pPr>
      <w:r>
        <w:rPr>
          <w:bCs/>
          <w:sz w:val="28"/>
          <w:szCs w:val="28"/>
          <w:lang w:val="nl-NL"/>
        </w:rPr>
        <w:t>-</w:t>
      </w:r>
      <w:r w:rsidR="00282594">
        <w:rPr>
          <w:bCs/>
          <w:sz w:val="28"/>
          <w:szCs w:val="28"/>
          <w:lang w:val="nl-NL"/>
        </w:rPr>
        <w:t xml:space="preserve"> </w:t>
      </w:r>
      <w:r w:rsidR="00282594">
        <w:rPr>
          <w:sz w:val="28"/>
          <w:szCs w:val="28"/>
          <w:lang w:val="vi-VN"/>
        </w:rPr>
        <w:t>K</w:t>
      </w:r>
      <w:r w:rsidR="00282594" w:rsidRPr="006A5948">
        <w:rPr>
          <w:sz w:val="28"/>
          <w:szCs w:val="28"/>
          <w:lang w:val="vi-VN"/>
        </w:rPr>
        <w:t>hoản 3 Điều 17</w:t>
      </w:r>
      <w:r w:rsidR="00282594">
        <w:rPr>
          <w:sz w:val="28"/>
          <w:szCs w:val="28"/>
          <w:lang w:val="vi-VN"/>
        </w:rPr>
        <w:t xml:space="preserve"> Nghị định số 32/2017/NĐ-CP ngày 31/3/2017 của Chính phủ về tín dụng đầu tư của Nhà nước quy định</w:t>
      </w:r>
      <w:r w:rsidR="00282594" w:rsidRPr="003D00A4">
        <w:rPr>
          <w:sz w:val="28"/>
          <w:szCs w:val="28"/>
          <w:lang w:val="vi-VN"/>
        </w:rPr>
        <w:t>:</w:t>
      </w:r>
      <w:r w:rsidR="00282594" w:rsidRPr="003D00A4">
        <w:rPr>
          <w:i/>
          <w:sz w:val="28"/>
          <w:szCs w:val="28"/>
          <w:lang w:val="vi-VN"/>
        </w:rPr>
        <w:t xml:space="preserve"> </w:t>
      </w:r>
      <w:r w:rsidR="00282594" w:rsidRPr="003D00A4">
        <w:rPr>
          <w:i/>
          <w:sz w:val="28"/>
          <w:szCs w:val="28"/>
        </w:rPr>
        <w:t>“</w:t>
      </w:r>
      <w:r w:rsidR="00282594" w:rsidRPr="003D00A4">
        <w:rPr>
          <w:i/>
          <w:sz w:val="28"/>
          <w:szCs w:val="28"/>
          <w:lang w:val="vi-VN"/>
        </w:rPr>
        <w:t xml:space="preserve">Việc sử dụng Quỹ dự phòng rủi ro để xử lý rủi ro và thẩm quyền xử lý rủi ro được thực hiện theo </w:t>
      </w:r>
      <w:r w:rsidR="00282594" w:rsidRPr="003D00A4">
        <w:rPr>
          <w:i/>
          <w:sz w:val="28"/>
          <w:szCs w:val="28"/>
          <w:u w:val="single"/>
          <w:lang w:val="vi-VN"/>
        </w:rPr>
        <w:t>Quy chế xử lý rủi ro tại NHPT do Thủ tướng Chính phủ quy định</w:t>
      </w:r>
      <w:r w:rsidR="00282594" w:rsidRPr="003D00A4">
        <w:rPr>
          <w:i/>
          <w:sz w:val="28"/>
          <w:szCs w:val="28"/>
        </w:rPr>
        <w:t>”</w:t>
      </w:r>
      <w:r w:rsidR="00114D1E" w:rsidRPr="00114D1E">
        <w:rPr>
          <w:rStyle w:val="HeaderChar"/>
          <w:i/>
          <w:sz w:val="28"/>
          <w:szCs w:val="28"/>
        </w:rPr>
        <w:t xml:space="preserve"> </w:t>
      </w:r>
      <w:r w:rsidR="00114D1E">
        <w:rPr>
          <w:rStyle w:val="FootnoteReference"/>
          <w:i/>
          <w:sz w:val="28"/>
          <w:szCs w:val="28"/>
        </w:rPr>
        <w:footnoteReference w:id="1"/>
      </w:r>
      <w:r w:rsidR="00282594">
        <w:rPr>
          <w:sz w:val="28"/>
          <w:szCs w:val="28"/>
          <w:lang w:val="vi-VN"/>
        </w:rPr>
        <w:t>.</w:t>
      </w:r>
    </w:p>
    <w:p w:rsidR="00E57418" w:rsidRPr="000775A3" w:rsidRDefault="00194BA8" w:rsidP="00E57418">
      <w:pPr>
        <w:spacing w:after="120" w:line="340" w:lineRule="exact"/>
        <w:ind w:firstLine="709"/>
        <w:jc w:val="both"/>
        <w:rPr>
          <w:sz w:val="28"/>
          <w:szCs w:val="28"/>
          <w:lang w:val="es-ES"/>
        </w:rPr>
      </w:pPr>
      <w:r>
        <w:rPr>
          <w:bCs/>
          <w:sz w:val="28"/>
          <w:szCs w:val="28"/>
          <w:lang w:val="nl-NL"/>
        </w:rPr>
        <w:t>-</w:t>
      </w:r>
      <w:r w:rsidR="00E57418" w:rsidRPr="000775A3">
        <w:rPr>
          <w:sz w:val="28"/>
          <w:szCs w:val="28"/>
          <w:lang w:val="es-ES"/>
        </w:rPr>
        <w:t xml:space="preserve"> Điểm c khoản 1 Điều 38 </w:t>
      </w:r>
      <w:r w:rsidR="00E57418">
        <w:rPr>
          <w:sz w:val="28"/>
          <w:szCs w:val="28"/>
          <w:lang w:val="es-ES"/>
        </w:rPr>
        <w:t>Điều lệ tổ chức và hoạt động của NHPT</w:t>
      </w:r>
      <w:r w:rsidR="00E57418" w:rsidRPr="000775A3">
        <w:rPr>
          <w:sz w:val="28"/>
          <w:szCs w:val="28"/>
          <w:lang w:val="es-ES"/>
        </w:rPr>
        <w:t xml:space="preserve"> </w:t>
      </w:r>
      <w:r w:rsidR="00E57418">
        <w:rPr>
          <w:sz w:val="28"/>
          <w:szCs w:val="28"/>
          <w:lang w:val="es-ES"/>
        </w:rPr>
        <w:t xml:space="preserve">ban hành kèm theo Quyết định số 1515/QĐ-TTg ngày 3/9/2015 của Thủ tướng Chính phủ quy định quyền, trách nhiệm của Thủ tướng Chính phủ: </w:t>
      </w:r>
      <w:r w:rsidR="004D5204">
        <w:rPr>
          <w:sz w:val="28"/>
          <w:szCs w:val="28"/>
          <w:lang w:val="es-ES"/>
        </w:rPr>
        <w:t>“</w:t>
      </w:r>
      <w:r w:rsidR="00E57418" w:rsidRPr="003D00A4">
        <w:rPr>
          <w:i/>
          <w:sz w:val="28"/>
          <w:szCs w:val="28"/>
          <w:lang w:val="es-ES"/>
        </w:rPr>
        <w:t xml:space="preserve">Quyết định ban </w:t>
      </w:r>
      <w:r w:rsidR="00E57418" w:rsidRPr="003D00A4">
        <w:rPr>
          <w:i/>
          <w:sz w:val="28"/>
          <w:szCs w:val="28"/>
          <w:lang w:val="es-ES"/>
        </w:rPr>
        <w:lastRenderedPageBreak/>
        <w:t xml:space="preserve">hành quy chế quản lý tài chính; sửa đổi, bổ sung quy chế quản lý tài chính; </w:t>
      </w:r>
      <w:r w:rsidR="00E57418" w:rsidRPr="003D00A4">
        <w:rPr>
          <w:i/>
          <w:sz w:val="28"/>
          <w:szCs w:val="28"/>
          <w:u w:val="single"/>
          <w:lang w:val="es-ES"/>
        </w:rPr>
        <w:t>quyết định ban hành quy chế xử lý rủi ro</w:t>
      </w:r>
      <w:r w:rsidR="00E57418" w:rsidRPr="003D00A4">
        <w:rPr>
          <w:i/>
          <w:sz w:val="28"/>
          <w:szCs w:val="28"/>
          <w:lang w:val="es-ES"/>
        </w:rPr>
        <w:t xml:space="preserve">; sửa đổi, bổ sung quy chế xử lý rủi ro đối với hoạt động tín dụng </w:t>
      </w:r>
      <w:r w:rsidR="00E57418" w:rsidRPr="003D00A4">
        <w:rPr>
          <w:i/>
          <w:sz w:val="28"/>
          <w:szCs w:val="28"/>
          <w:u w:val="single"/>
          <w:lang w:val="es-ES"/>
        </w:rPr>
        <w:t>của NHPT</w:t>
      </w:r>
      <w:r w:rsidR="004D5204">
        <w:rPr>
          <w:i/>
          <w:sz w:val="28"/>
          <w:szCs w:val="28"/>
          <w:u w:val="single"/>
          <w:lang w:val="es-ES"/>
        </w:rPr>
        <w:t>”</w:t>
      </w:r>
      <w:r w:rsidR="00E57418" w:rsidRPr="000775A3">
        <w:rPr>
          <w:sz w:val="28"/>
          <w:szCs w:val="28"/>
          <w:lang w:val="es-ES"/>
        </w:rPr>
        <w:t>;</w:t>
      </w:r>
    </w:p>
    <w:p w:rsidR="00E57418" w:rsidRDefault="00194BA8" w:rsidP="00E57418">
      <w:pPr>
        <w:spacing w:after="120" w:line="340" w:lineRule="exact"/>
        <w:ind w:firstLine="709"/>
        <w:jc w:val="both"/>
        <w:rPr>
          <w:rFonts w:eastAsia="Calibri"/>
          <w:sz w:val="28"/>
          <w:lang w:val="da-DK"/>
        </w:rPr>
      </w:pPr>
      <w:r>
        <w:rPr>
          <w:sz w:val="28"/>
          <w:szCs w:val="28"/>
        </w:rPr>
        <w:t>-</w:t>
      </w:r>
      <w:r w:rsidR="00E57418">
        <w:rPr>
          <w:sz w:val="28"/>
          <w:szCs w:val="28"/>
        </w:rPr>
        <w:t xml:space="preserve"> Khoản </w:t>
      </w:r>
      <w:r w:rsidR="00E57418" w:rsidRPr="005E0B76">
        <w:rPr>
          <w:bCs/>
          <w:sz w:val="28"/>
          <w:lang w:val="da-DK"/>
        </w:rPr>
        <w:t>2</w:t>
      </w:r>
      <w:r w:rsidR="00E57418">
        <w:rPr>
          <w:bCs/>
          <w:sz w:val="28"/>
          <w:lang w:val="da-DK"/>
        </w:rPr>
        <w:t xml:space="preserve"> Điều 17 Nghị định số 46/2021/NĐ-CP ngày 31/3/2021 của Chính phủ </w:t>
      </w:r>
      <w:r w:rsidR="00E57418" w:rsidRPr="00B76A0A">
        <w:rPr>
          <w:iCs/>
          <w:sz w:val="28"/>
          <w:szCs w:val="28"/>
          <w:lang w:val="nl-NL"/>
        </w:rPr>
        <w:t xml:space="preserve">về chế độ quản lý tài chính và đánh giá hiệu quả hoạt động đối với </w:t>
      </w:r>
      <w:r w:rsidR="004D5204">
        <w:rPr>
          <w:iCs/>
          <w:sz w:val="28"/>
          <w:szCs w:val="28"/>
          <w:lang w:val="nl-NL"/>
        </w:rPr>
        <w:t>NHPT</w:t>
      </w:r>
      <w:r w:rsidR="00E57418">
        <w:rPr>
          <w:iCs/>
          <w:sz w:val="28"/>
          <w:szCs w:val="28"/>
          <w:lang w:val="nl-NL"/>
        </w:rPr>
        <w:t xml:space="preserve"> quy định: </w:t>
      </w:r>
      <w:r w:rsidR="004D5204">
        <w:rPr>
          <w:iCs/>
          <w:sz w:val="28"/>
          <w:szCs w:val="28"/>
          <w:lang w:val="nl-NL"/>
        </w:rPr>
        <w:t>“</w:t>
      </w:r>
      <w:r w:rsidR="00E57418" w:rsidRPr="003D00A4">
        <w:rPr>
          <w:bCs/>
          <w:i/>
          <w:sz w:val="28"/>
          <w:lang w:val="da-DK"/>
        </w:rPr>
        <w:t xml:space="preserve">NHPT </w:t>
      </w:r>
      <w:r w:rsidR="00E57418" w:rsidRPr="003D00A4">
        <w:rPr>
          <w:rFonts w:eastAsia="Calibri"/>
          <w:i/>
          <w:sz w:val="28"/>
          <w:lang w:val="da-DK"/>
        </w:rPr>
        <w:t xml:space="preserve">thực hiện quản lý, theo dõi riêng đối với từng quỹ dự phòng rủi ro và sử dụng để xử lý rủi ro theo </w:t>
      </w:r>
      <w:r w:rsidR="00E57418" w:rsidRPr="003D00A4">
        <w:rPr>
          <w:rFonts w:eastAsia="Calibri"/>
          <w:i/>
          <w:sz w:val="28"/>
          <w:u w:val="single"/>
          <w:lang w:val="da-DK"/>
        </w:rPr>
        <w:t>Quy chế xử lý rủi ro tín dụng tại NHPT do Thủ tướng Chính phủ ban hành</w:t>
      </w:r>
      <w:r w:rsidR="004D5204">
        <w:rPr>
          <w:rFonts w:eastAsia="Calibri"/>
          <w:i/>
          <w:sz w:val="28"/>
          <w:u w:val="single"/>
          <w:lang w:val="da-DK"/>
        </w:rPr>
        <w:t>”</w:t>
      </w:r>
      <w:r w:rsidR="00E57418">
        <w:rPr>
          <w:rFonts w:eastAsia="Calibri"/>
          <w:sz w:val="28"/>
          <w:lang w:val="da-DK"/>
        </w:rPr>
        <w:t>.</w:t>
      </w:r>
      <w:r w:rsidR="00E57418" w:rsidRPr="005E0B76">
        <w:rPr>
          <w:rFonts w:eastAsia="Calibri"/>
          <w:sz w:val="28"/>
          <w:lang w:val="da-DK"/>
        </w:rPr>
        <w:t xml:space="preserve"> </w:t>
      </w:r>
    </w:p>
    <w:p w:rsidR="00C9488C" w:rsidRDefault="004D5204" w:rsidP="00C9488C">
      <w:pPr>
        <w:spacing w:after="120" w:line="340" w:lineRule="exact"/>
        <w:ind w:firstLine="720"/>
        <w:jc w:val="both"/>
        <w:rPr>
          <w:b/>
          <w:bCs/>
          <w:sz w:val="28"/>
          <w:szCs w:val="28"/>
          <w:lang w:val="nl-NL"/>
        </w:rPr>
      </w:pPr>
      <w:r>
        <w:rPr>
          <w:sz w:val="28"/>
          <w:szCs w:val="28"/>
        </w:rPr>
        <w:t xml:space="preserve">Căn cứ quy định </w:t>
      </w:r>
      <w:r w:rsidR="00C9488C">
        <w:rPr>
          <w:sz w:val="28"/>
          <w:szCs w:val="28"/>
        </w:rPr>
        <w:t xml:space="preserve">tại các văn bản nêu trên, cơ chế </w:t>
      </w:r>
      <w:r w:rsidR="00C9488C">
        <w:rPr>
          <w:sz w:val="28"/>
          <w:szCs w:val="28"/>
          <w:lang w:val="vi-VN"/>
        </w:rPr>
        <w:t>xử lý rủi ro</w:t>
      </w:r>
      <w:r w:rsidR="00C9488C">
        <w:rPr>
          <w:sz w:val="28"/>
          <w:szCs w:val="28"/>
        </w:rPr>
        <w:t xml:space="preserve"> </w:t>
      </w:r>
      <w:r w:rsidR="00C9488C">
        <w:rPr>
          <w:sz w:val="28"/>
          <w:szCs w:val="28"/>
          <w:lang w:val="vi-VN"/>
        </w:rPr>
        <w:t>tín dụng tại NHPT</w:t>
      </w:r>
      <w:r w:rsidR="00C9488C">
        <w:rPr>
          <w:sz w:val="28"/>
          <w:szCs w:val="28"/>
        </w:rPr>
        <w:t xml:space="preserve"> được ban hành dưới hình thức Quyết định của Thủ tướng Chính phủ là </w:t>
      </w:r>
      <w:r w:rsidR="00696BFF">
        <w:rPr>
          <w:sz w:val="28"/>
          <w:szCs w:val="28"/>
        </w:rPr>
        <w:t xml:space="preserve">đúng thẩm quyền và </w:t>
      </w:r>
      <w:r w:rsidR="00C9488C">
        <w:rPr>
          <w:sz w:val="28"/>
          <w:szCs w:val="28"/>
        </w:rPr>
        <w:t>phù hợp với quy định pháp luật.</w:t>
      </w:r>
    </w:p>
    <w:p w:rsidR="00415B3B" w:rsidRDefault="00781039" w:rsidP="00E57418">
      <w:pPr>
        <w:spacing w:after="120" w:line="340" w:lineRule="exact"/>
        <w:ind w:firstLine="709"/>
        <w:jc w:val="both"/>
        <w:rPr>
          <w:rFonts w:eastAsia="Calibri"/>
          <w:b/>
          <w:bCs/>
          <w:sz w:val="28"/>
          <w:szCs w:val="28"/>
        </w:rPr>
      </w:pPr>
      <w:r>
        <w:rPr>
          <w:b/>
          <w:color w:val="000000" w:themeColor="text1"/>
          <w:sz w:val="28"/>
          <w:szCs w:val="28"/>
          <w:lang w:val="es-ES"/>
        </w:rPr>
        <w:t>2</w:t>
      </w:r>
      <w:r w:rsidR="00415B3B" w:rsidRPr="00415B3B">
        <w:rPr>
          <w:b/>
          <w:color w:val="000000" w:themeColor="text1"/>
          <w:sz w:val="28"/>
          <w:szCs w:val="28"/>
          <w:lang w:val="es-ES"/>
        </w:rPr>
        <w:t xml:space="preserve">. Cơ sở chính trị để </w:t>
      </w:r>
      <w:r w:rsidR="00415B3B" w:rsidRPr="00415B3B">
        <w:rPr>
          <w:rFonts w:eastAsia="Calibri"/>
          <w:b/>
          <w:bCs/>
          <w:sz w:val="28"/>
          <w:szCs w:val="28"/>
        </w:rPr>
        <w:t>xây dựng cơ chế xử lý rủi ro tín dụng tại NHPT</w:t>
      </w:r>
    </w:p>
    <w:p w:rsidR="00746D7F" w:rsidRDefault="00746D7F" w:rsidP="00746D7F">
      <w:pPr>
        <w:spacing w:after="120" w:line="340" w:lineRule="exact"/>
        <w:ind w:firstLine="709"/>
        <w:jc w:val="both"/>
        <w:rPr>
          <w:rFonts w:eastAsia="Calibri"/>
          <w:bCs/>
          <w:sz w:val="28"/>
          <w:szCs w:val="28"/>
          <w:lang w:val="nl-NL"/>
        </w:rPr>
      </w:pPr>
      <w:r>
        <w:rPr>
          <w:rFonts w:eastAsia="Calibri"/>
          <w:bCs/>
          <w:sz w:val="28"/>
          <w:szCs w:val="28"/>
          <w:lang w:val="nl-NL"/>
        </w:rPr>
        <w:t xml:space="preserve">Phạm vi xử lý rủi ro quy định tại dự thảo Quyết định đã được </w:t>
      </w:r>
      <w:r w:rsidR="00783FA9">
        <w:rPr>
          <w:rFonts w:eastAsia="Calibri"/>
          <w:bCs/>
          <w:sz w:val="28"/>
          <w:szCs w:val="28"/>
          <w:lang w:val="nl-NL"/>
        </w:rPr>
        <w:t xml:space="preserve">Ban cán sự đảng Chính phủ, </w:t>
      </w:r>
      <w:r>
        <w:rPr>
          <w:rFonts w:eastAsia="Calibri"/>
          <w:bCs/>
          <w:sz w:val="28"/>
          <w:szCs w:val="28"/>
          <w:lang w:val="nl-NL"/>
        </w:rPr>
        <w:t xml:space="preserve">Ban cán sự đảng Bộ Tài chính xin chủ trương của Bộ Chính </w:t>
      </w:r>
      <w:r w:rsidR="00B72F21">
        <w:rPr>
          <w:rFonts w:eastAsia="Calibri"/>
          <w:bCs/>
          <w:sz w:val="28"/>
          <w:szCs w:val="28"/>
          <w:lang w:val="nl-NL"/>
        </w:rPr>
        <w:t>trị tại Tờ trình số 12-TTr/BCSĐ ngày 21/10/2022</w:t>
      </w:r>
      <w:r w:rsidR="00783FA9">
        <w:rPr>
          <w:rFonts w:eastAsia="Calibri"/>
          <w:bCs/>
          <w:sz w:val="28"/>
          <w:szCs w:val="28"/>
          <w:lang w:val="nl-NL"/>
        </w:rPr>
        <w:t xml:space="preserve"> về định hướng hoạt động và xử lý rủi ro tín dụng tại NHPT</w:t>
      </w:r>
      <w:r w:rsidR="00AC21A5">
        <w:rPr>
          <w:rFonts w:eastAsia="Calibri"/>
          <w:bCs/>
          <w:sz w:val="28"/>
          <w:szCs w:val="28"/>
          <w:lang w:val="nl-NL"/>
        </w:rPr>
        <w:t xml:space="preserve">. </w:t>
      </w:r>
      <w:r w:rsidR="00431A22">
        <w:rPr>
          <w:rFonts w:eastAsia="Calibri"/>
          <w:bCs/>
          <w:sz w:val="28"/>
          <w:szCs w:val="28"/>
          <w:lang w:val="nl-NL"/>
        </w:rPr>
        <w:t xml:space="preserve">Cụ thể như sau: </w:t>
      </w:r>
    </w:p>
    <w:p w:rsidR="00431A22" w:rsidRPr="009A7D1B" w:rsidRDefault="00431A22" w:rsidP="00431A22">
      <w:pPr>
        <w:tabs>
          <w:tab w:val="left" w:pos="567"/>
        </w:tabs>
        <w:spacing w:after="120" w:line="340" w:lineRule="exact"/>
        <w:ind w:firstLine="709"/>
        <w:jc w:val="both"/>
        <w:rPr>
          <w:sz w:val="28"/>
          <w:szCs w:val="28"/>
        </w:rPr>
      </w:pPr>
      <w:r>
        <w:rPr>
          <w:rFonts w:eastAsia="Calibri"/>
          <w:sz w:val="28"/>
          <w:szCs w:val="28"/>
          <w:lang w:val="pt-BR"/>
        </w:rPr>
        <w:tab/>
        <w:t xml:space="preserve">- </w:t>
      </w:r>
      <w:r w:rsidRPr="009A7D1B">
        <w:rPr>
          <w:rFonts w:eastAsia="Calibri"/>
          <w:sz w:val="28"/>
          <w:szCs w:val="28"/>
          <w:lang w:val="pt-BR"/>
        </w:rPr>
        <w:t>Tháng 10/2022, Ban cán sự đảng Chính phủ thống nhất và giao Ban cán sự</w:t>
      </w:r>
      <w:r>
        <w:rPr>
          <w:rFonts w:eastAsia="Calibri"/>
          <w:sz w:val="28"/>
          <w:szCs w:val="28"/>
          <w:lang w:val="pt-BR"/>
        </w:rPr>
        <w:t xml:space="preserve"> đ</w:t>
      </w:r>
      <w:r w:rsidRPr="009A7D1B">
        <w:rPr>
          <w:rFonts w:eastAsia="Calibri"/>
          <w:sz w:val="28"/>
          <w:szCs w:val="28"/>
          <w:lang w:val="pt-BR"/>
        </w:rPr>
        <w:t xml:space="preserve">ảng Bộ Tài chính trình Bộ Chính trị </w:t>
      </w:r>
      <w:r w:rsidRPr="009A7D1B">
        <w:rPr>
          <w:sz w:val="30"/>
          <w:szCs w:val="30"/>
        </w:rPr>
        <w:t xml:space="preserve">về </w:t>
      </w:r>
      <w:r w:rsidRPr="009A7D1B">
        <w:rPr>
          <w:sz w:val="30"/>
          <w:szCs w:val="30"/>
          <w:lang w:val="nl-NL"/>
        </w:rPr>
        <w:t xml:space="preserve">tình hình cơ cấu lại, định hướng hoạt </w:t>
      </w:r>
      <w:r w:rsidRPr="009A7D1B">
        <w:rPr>
          <w:sz w:val="28"/>
          <w:szCs w:val="28"/>
          <w:lang w:val="nl-NL"/>
        </w:rPr>
        <w:t xml:space="preserve">động và xử lý rủi ro tín dụng tại NHPT, trong đó, </w:t>
      </w:r>
      <w:r w:rsidRPr="009A7D1B">
        <w:rPr>
          <w:sz w:val="28"/>
          <w:szCs w:val="28"/>
        </w:rPr>
        <w:t xml:space="preserve">trình Bộ Chính trị chấp thuận chủ trương ban hành cơ chế xử lý rủi ro tín dụng tại NHPT tạo hành lang pháp lý để xử lý các khoản nợ xấu phát sinh trong suốt quá trình hoạt động tín dụng của NHPT (tại Báo cáo đầy đủ, Ban cán </w:t>
      </w:r>
      <w:r>
        <w:rPr>
          <w:sz w:val="28"/>
          <w:szCs w:val="28"/>
        </w:rPr>
        <w:t>đ</w:t>
      </w:r>
      <w:r w:rsidRPr="009A7D1B">
        <w:rPr>
          <w:sz w:val="28"/>
          <w:szCs w:val="28"/>
        </w:rPr>
        <w:t>ảng Bộ Tài chí</w:t>
      </w:r>
      <w:r>
        <w:rPr>
          <w:sz w:val="28"/>
          <w:szCs w:val="28"/>
        </w:rPr>
        <w:t>nh đã trình kèm dự thảo sơ bộ</w:t>
      </w:r>
      <w:r w:rsidRPr="009A7D1B">
        <w:rPr>
          <w:sz w:val="28"/>
          <w:szCs w:val="28"/>
        </w:rPr>
        <w:t xml:space="preserve"> Quyết định </w:t>
      </w:r>
      <w:r w:rsidRPr="009A7D1B">
        <w:rPr>
          <w:sz w:val="28"/>
          <w:szCs w:val="28"/>
          <w:lang w:val="vi-VN"/>
        </w:rPr>
        <w:t xml:space="preserve">của Thủ tướng Chính phủ về </w:t>
      </w:r>
      <w:r w:rsidRPr="009A7D1B">
        <w:rPr>
          <w:sz w:val="28"/>
          <w:szCs w:val="28"/>
        </w:rPr>
        <w:t xml:space="preserve">cơ chế </w:t>
      </w:r>
      <w:r w:rsidRPr="009A7D1B">
        <w:rPr>
          <w:sz w:val="28"/>
          <w:szCs w:val="28"/>
          <w:lang w:val="vi-VN"/>
        </w:rPr>
        <w:t>xử lý rủi ro tín dụng tại NHPT</w:t>
      </w:r>
      <w:r w:rsidRPr="009A7D1B">
        <w:rPr>
          <w:sz w:val="28"/>
          <w:szCs w:val="28"/>
        </w:rPr>
        <w:t>)</w:t>
      </w:r>
      <w:r w:rsidR="00194BA8">
        <w:rPr>
          <w:sz w:val="28"/>
          <w:szCs w:val="28"/>
        </w:rPr>
        <w:t>.</w:t>
      </w:r>
    </w:p>
    <w:p w:rsidR="00431A22" w:rsidRDefault="00431A22" w:rsidP="00431A22">
      <w:pPr>
        <w:spacing w:after="120" w:line="340" w:lineRule="exact"/>
        <w:ind w:firstLine="709"/>
        <w:jc w:val="both"/>
        <w:rPr>
          <w:bCs/>
          <w:iCs/>
          <w:sz w:val="28"/>
          <w:szCs w:val="28"/>
        </w:rPr>
      </w:pPr>
      <w:r>
        <w:rPr>
          <w:bCs/>
          <w:iCs/>
          <w:sz w:val="28"/>
          <w:szCs w:val="28"/>
        </w:rPr>
        <w:t xml:space="preserve">- </w:t>
      </w:r>
      <w:r w:rsidRPr="00E521AF">
        <w:rPr>
          <w:bCs/>
          <w:iCs/>
          <w:sz w:val="28"/>
          <w:szCs w:val="28"/>
        </w:rPr>
        <w:t xml:space="preserve">Ngày 29/12/2022, Bộ Chính trị đã </w:t>
      </w:r>
      <w:r>
        <w:rPr>
          <w:bCs/>
          <w:iCs/>
          <w:sz w:val="28"/>
          <w:szCs w:val="28"/>
        </w:rPr>
        <w:t>có ý kiến Kết luận đồng ý về chủ trương tiếp tục cơ cấu lại NHPT giai đoạn 2023-2027 với các giải pháp do Ban cán sự đảng Bộ Tài chính trình Bộ Chính trị và chỉ đạo sớm hoàn thiện, ban hành cơ chế</w:t>
      </w:r>
      <w:r w:rsidRPr="00E521AF">
        <w:rPr>
          <w:bCs/>
          <w:iCs/>
          <w:sz w:val="28"/>
          <w:szCs w:val="28"/>
        </w:rPr>
        <w:t>,</w:t>
      </w:r>
      <w:r w:rsidRPr="007F24F5">
        <w:rPr>
          <w:bCs/>
          <w:iCs/>
          <w:sz w:val="28"/>
          <w:szCs w:val="28"/>
        </w:rPr>
        <w:t xml:space="preserve"> chính sách cơ cấu lại NHPT</w:t>
      </w:r>
      <w:r w:rsidRPr="00854054">
        <w:rPr>
          <w:bCs/>
          <w:i/>
          <w:iCs/>
          <w:sz w:val="28"/>
          <w:szCs w:val="28"/>
        </w:rPr>
        <w:t xml:space="preserve">, </w:t>
      </w:r>
      <w:r w:rsidRPr="007F24F5">
        <w:rPr>
          <w:bCs/>
          <w:iCs/>
          <w:sz w:val="28"/>
          <w:szCs w:val="28"/>
        </w:rPr>
        <w:t xml:space="preserve">nhất là </w:t>
      </w:r>
      <w:r w:rsidR="008F3FC5">
        <w:rPr>
          <w:bCs/>
          <w:iCs/>
          <w:sz w:val="28"/>
          <w:szCs w:val="28"/>
        </w:rPr>
        <w:t xml:space="preserve">cơ chế tín dụng, </w:t>
      </w:r>
      <w:r w:rsidRPr="007F24F5">
        <w:rPr>
          <w:bCs/>
          <w:iCs/>
          <w:sz w:val="28"/>
          <w:szCs w:val="28"/>
        </w:rPr>
        <w:t>cơ chế xử lý rủi ro tín dụng</w:t>
      </w:r>
      <w:r>
        <w:rPr>
          <w:bCs/>
          <w:iCs/>
          <w:sz w:val="28"/>
          <w:szCs w:val="28"/>
        </w:rPr>
        <w:t>.</w:t>
      </w:r>
      <w:r w:rsidRPr="009E35DC">
        <w:rPr>
          <w:bCs/>
          <w:iCs/>
          <w:sz w:val="28"/>
          <w:szCs w:val="28"/>
        </w:rPr>
        <w:t xml:space="preserve"> </w:t>
      </w:r>
    </w:p>
    <w:p w:rsidR="00431A22" w:rsidRPr="008F3FC5" w:rsidRDefault="00431A22" w:rsidP="00431A22">
      <w:pPr>
        <w:spacing w:after="120" w:line="340" w:lineRule="exact"/>
        <w:ind w:firstLine="709"/>
        <w:jc w:val="both"/>
        <w:rPr>
          <w:bCs/>
          <w:i/>
          <w:iCs/>
          <w:sz w:val="28"/>
          <w:szCs w:val="28"/>
        </w:rPr>
      </w:pPr>
      <w:r>
        <w:rPr>
          <w:bCs/>
          <w:iCs/>
          <w:sz w:val="28"/>
          <w:szCs w:val="28"/>
        </w:rPr>
        <w:t>- Ngày 24/02/2023, Ban cán sự đảng Chính phủ có văn bản triển khai kết luận của Bộ Chính trị về phương án cơ cấu lại, định hướng hoạt động của NHPT, theo đó yêu</w:t>
      </w:r>
      <w:r w:rsidRPr="00AE3486">
        <w:rPr>
          <w:bCs/>
          <w:iCs/>
          <w:sz w:val="28"/>
          <w:szCs w:val="28"/>
        </w:rPr>
        <w:t xml:space="preserve"> cầu Bộ Tài chính khẩn trương nghiên cứ</w:t>
      </w:r>
      <w:r>
        <w:rPr>
          <w:bCs/>
          <w:iCs/>
          <w:sz w:val="28"/>
          <w:szCs w:val="28"/>
        </w:rPr>
        <w:t>u</w:t>
      </w:r>
      <w:r w:rsidRPr="00AE3486">
        <w:rPr>
          <w:bCs/>
          <w:iCs/>
          <w:sz w:val="28"/>
          <w:szCs w:val="28"/>
        </w:rPr>
        <w:t xml:space="preserve">, tiếp thu nghiêm túc đầy đủ ý kiến chỉ đạo, kết luận của Bộ Chính trị. Tập trung rà soát, báo cáo cấp có thẩm quyền sớm ban hành đầy đủ, đồng bộ cơ chế, chính sách cơ cấu lại NHPT theo thẩm quyền và quy định của pháp luật, </w:t>
      </w:r>
      <w:r w:rsidRPr="008F3FC5">
        <w:rPr>
          <w:bCs/>
          <w:iCs/>
          <w:sz w:val="28"/>
          <w:szCs w:val="28"/>
        </w:rPr>
        <w:t>nhất là cơ chế tín dụng, cơ chế xử lý rủi ro tín dụng…</w:t>
      </w:r>
    </w:p>
    <w:p w:rsidR="00194BA8" w:rsidRPr="000D50C6" w:rsidRDefault="00781039" w:rsidP="00194BA8">
      <w:pPr>
        <w:spacing w:after="120" w:line="340" w:lineRule="exact"/>
        <w:ind w:firstLine="709"/>
        <w:jc w:val="both"/>
        <w:rPr>
          <w:rFonts w:eastAsia="Calibri"/>
          <w:b/>
          <w:bCs/>
          <w:sz w:val="28"/>
          <w:szCs w:val="28"/>
        </w:rPr>
      </w:pPr>
      <w:r>
        <w:rPr>
          <w:rFonts w:eastAsia="Calibri"/>
          <w:b/>
          <w:sz w:val="28"/>
          <w:lang w:val="da-DK"/>
        </w:rPr>
        <w:t>3</w:t>
      </w:r>
      <w:r w:rsidR="00194BA8" w:rsidRPr="00AE3486">
        <w:rPr>
          <w:rFonts w:eastAsia="Calibri"/>
          <w:b/>
          <w:sz w:val="28"/>
          <w:lang w:val="da-DK"/>
        </w:rPr>
        <w:t>. Cơ sở thực tiễn</w:t>
      </w:r>
      <w:r w:rsidR="00194BA8">
        <w:rPr>
          <w:rFonts w:eastAsia="Calibri"/>
          <w:b/>
          <w:sz w:val="28"/>
          <w:lang w:val="da-DK"/>
        </w:rPr>
        <w:t>, s</w:t>
      </w:r>
      <w:r w:rsidR="00194BA8" w:rsidRPr="000D50C6">
        <w:rPr>
          <w:rFonts w:eastAsia="Calibri"/>
          <w:b/>
          <w:bCs/>
          <w:sz w:val="28"/>
          <w:szCs w:val="28"/>
        </w:rPr>
        <w:t>ự cần thiế</w:t>
      </w:r>
      <w:r w:rsidR="00194BA8">
        <w:rPr>
          <w:rFonts w:eastAsia="Calibri"/>
          <w:b/>
          <w:bCs/>
          <w:sz w:val="28"/>
          <w:szCs w:val="28"/>
        </w:rPr>
        <w:t xml:space="preserve">t </w:t>
      </w:r>
      <w:r w:rsidR="00194BA8" w:rsidRPr="000D50C6">
        <w:rPr>
          <w:rFonts w:eastAsia="Calibri"/>
          <w:b/>
          <w:bCs/>
          <w:sz w:val="28"/>
          <w:szCs w:val="28"/>
        </w:rPr>
        <w:t xml:space="preserve">xây dựng cơ chế xử lý rủi ro tín dụng tại NHPT </w:t>
      </w:r>
    </w:p>
    <w:p w:rsidR="001D7EC7" w:rsidRDefault="009F559B" w:rsidP="00194BA8">
      <w:pPr>
        <w:spacing w:after="120" w:line="340" w:lineRule="exact"/>
        <w:ind w:firstLine="709"/>
        <w:jc w:val="both"/>
        <w:rPr>
          <w:color w:val="000000" w:themeColor="text1"/>
          <w:sz w:val="28"/>
          <w:szCs w:val="28"/>
          <w:lang w:val="es-ES"/>
        </w:rPr>
      </w:pPr>
      <w:r>
        <w:rPr>
          <w:color w:val="000000" w:themeColor="text1"/>
          <w:sz w:val="28"/>
          <w:szCs w:val="28"/>
          <w:lang w:val="es-ES"/>
        </w:rPr>
        <w:t xml:space="preserve">- </w:t>
      </w:r>
      <w:r w:rsidR="00194BA8">
        <w:rPr>
          <w:color w:val="000000" w:themeColor="text1"/>
          <w:sz w:val="28"/>
          <w:szCs w:val="28"/>
          <w:lang w:val="es-ES"/>
        </w:rPr>
        <w:t xml:space="preserve">Tín dụng là hoạt động tiềm ẩn nhiều rủi ro không chỉ đối với NHPT mà còn đối với ngân hàng thương mại và các loại hình tổ chức tín dụng khác có triển </w:t>
      </w:r>
      <w:r w:rsidR="00194BA8">
        <w:rPr>
          <w:color w:val="000000" w:themeColor="text1"/>
          <w:sz w:val="28"/>
          <w:szCs w:val="28"/>
          <w:lang w:val="es-ES"/>
        </w:rPr>
        <w:lastRenderedPageBreak/>
        <w:t xml:space="preserve">khai hoạt động này. </w:t>
      </w:r>
      <w:r w:rsidR="00781039">
        <w:rPr>
          <w:color w:val="000000" w:themeColor="text1"/>
          <w:sz w:val="28"/>
          <w:szCs w:val="28"/>
          <w:lang w:val="es-ES"/>
        </w:rPr>
        <w:t xml:space="preserve">Căn cứ quy định tại Luật các tổ chức tín dụng, Ngân hàng nhà nước đã ban hành các Thông tư để hướng dẫn trích lập </w:t>
      </w:r>
      <w:r w:rsidR="00557611">
        <w:rPr>
          <w:color w:val="000000" w:themeColor="text1"/>
          <w:sz w:val="28"/>
          <w:szCs w:val="28"/>
          <w:lang w:val="es-ES"/>
        </w:rPr>
        <w:t xml:space="preserve">và sử dụng </w:t>
      </w:r>
      <w:r w:rsidR="00781039">
        <w:rPr>
          <w:color w:val="000000" w:themeColor="text1"/>
          <w:sz w:val="28"/>
          <w:szCs w:val="28"/>
          <w:lang w:val="es-ES"/>
        </w:rPr>
        <w:t xml:space="preserve">dự phòng rủi ro tín dụng </w:t>
      </w:r>
      <w:r w:rsidR="00557611">
        <w:rPr>
          <w:color w:val="000000" w:themeColor="text1"/>
          <w:sz w:val="28"/>
          <w:szCs w:val="28"/>
          <w:lang w:val="es-ES"/>
        </w:rPr>
        <w:t>để xử lý rủi ro đối với các tổ chức tín dụng và chi nhánh ngân hàng nước ngoài,</w:t>
      </w:r>
      <w:r>
        <w:rPr>
          <w:color w:val="000000" w:themeColor="text1"/>
          <w:sz w:val="28"/>
          <w:szCs w:val="28"/>
          <w:lang w:val="es-ES"/>
        </w:rPr>
        <w:t xml:space="preserve"> nhưng</w:t>
      </w:r>
      <w:r w:rsidR="00557611">
        <w:rPr>
          <w:color w:val="000000" w:themeColor="text1"/>
          <w:sz w:val="28"/>
          <w:szCs w:val="28"/>
          <w:lang w:val="es-ES"/>
        </w:rPr>
        <w:t xml:space="preserve"> không bao gồm các ngân hàng chính sách. </w:t>
      </w:r>
    </w:p>
    <w:p w:rsidR="00194BA8" w:rsidRDefault="00194BA8" w:rsidP="00194BA8">
      <w:pPr>
        <w:spacing w:after="120" w:line="340" w:lineRule="exact"/>
        <w:ind w:firstLine="709"/>
        <w:jc w:val="both"/>
        <w:rPr>
          <w:color w:val="000000" w:themeColor="text1"/>
          <w:sz w:val="28"/>
          <w:szCs w:val="28"/>
          <w:lang w:val="es-ES"/>
        </w:rPr>
      </w:pPr>
      <w:r>
        <w:rPr>
          <w:color w:val="000000" w:themeColor="text1"/>
          <w:sz w:val="28"/>
          <w:szCs w:val="28"/>
          <w:lang w:val="es-ES"/>
        </w:rPr>
        <w:t>- Căn cứ quy định tại Điều 17 Luật các tổ chức tín dụng năm 2010 (sửa đổi, bổ sung năm 2017), Chính phủ đã thành lập 02 ngân hàng chính sách (NHPT và Ngân hàng Chính sách xã hội) hoạt động không vì mục tiêu lợi nhuận. Theo đó, quy chế xử lý nợ bị rủi ro tại Ngân hàng Chính sách xã hội đã được Thủ tướng Chính phủ ban hành từ năm 2010 tại Quy</w:t>
      </w:r>
      <w:r w:rsidR="008F3FC5">
        <w:rPr>
          <w:color w:val="000000" w:themeColor="text1"/>
          <w:sz w:val="28"/>
          <w:szCs w:val="28"/>
          <w:lang w:val="es-ES"/>
        </w:rPr>
        <w:t>ế</w:t>
      </w:r>
      <w:r>
        <w:rPr>
          <w:color w:val="000000" w:themeColor="text1"/>
          <w:sz w:val="28"/>
          <w:szCs w:val="28"/>
          <w:lang w:val="es-ES"/>
        </w:rPr>
        <w:t xml:space="preserve">t định số 50/2010/QĐ-TTg (sửa đổi, bổ sung bởi Quyết định số 08/2021/QĐ-TTg ngày 11/3/2021). </w:t>
      </w:r>
    </w:p>
    <w:p w:rsidR="00253502" w:rsidRDefault="009F559B" w:rsidP="00253502">
      <w:pPr>
        <w:spacing w:before="120" w:after="120" w:line="360" w:lineRule="exact"/>
        <w:ind w:firstLine="709"/>
        <w:jc w:val="both"/>
        <w:rPr>
          <w:color w:val="000000" w:themeColor="text1"/>
          <w:sz w:val="28"/>
          <w:szCs w:val="28"/>
          <w:lang w:val="es-ES"/>
        </w:rPr>
      </w:pPr>
      <w:r w:rsidRPr="008561B8">
        <w:rPr>
          <w:color w:val="000000" w:themeColor="text1"/>
          <w:sz w:val="28"/>
          <w:szCs w:val="28"/>
          <w:lang w:val="es-ES"/>
        </w:rPr>
        <w:t xml:space="preserve">- </w:t>
      </w:r>
      <w:r>
        <w:rPr>
          <w:color w:val="000000" w:themeColor="text1"/>
          <w:sz w:val="28"/>
          <w:szCs w:val="28"/>
          <w:lang w:val="es-ES"/>
        </w:rPr>
        <w:t>Hoạt động nghiệp vụ chủ yếu của NHPT là cấp tín dụng (dưới hình thức cho vay, bảo lãnh vay vốn) đối với các dự án đầu tư phát triển theo quy định của Chính phủ, Thủ tướng Chính phủ trong từng thời kỳ</w:t>
      </w:r>
      <w:r w:rsidR="00FB2322">
        <w:rPr>
          <w:color w:val="000000" w:themeColor="text1"/>
          <w:sz w:val="28"/>
          <w:szCs w:val="28"/>
          <w:lang w:val="es-ES"/>
        </w:rPr>
        <w:t>.</w:t>
      </w:r>
      <w:r w:rsidR="00FB2322" w:rsidRPr="00FB2322">
        <w:rPr>
          <w:color w:val="000000" w:themeColor="text1"/>
          <w:sz w:val="28"/>
          <w:szCs w:val="28"/>
          <w:lang w:val="es-ES"/>
        </w:rPr>
        <w:t xml:space="preserve"> </w:t>
      </w:r>
      <w:r w:rsidR="00FB2322" w:rsidRPr="003D3694">
        <w:rPr>
          <w:color w:val="000000" w:themeColor="text1"/>
          <w:sz w:val="28"/>
          <w:szCs w:val="28"/>
          <w:lang w:val="es-ES"/>
        </w:rPr>
        <w:t>Tổng dư nợ cho vay của NHPT tại thời điểm 30/6/2023 là hơn 182.000 tỷ đồng (trong đó, dư nợ tín dụng đầu tư của Nhà nước đạt gần 43.000 tỷ đồng, với hơn 559 dự án vay vốn). Hiện nay, số dư Quỹ dự phòng rủi ro tín dụng NHPT đã trích lập được là 7.203 tỷ đồng,</w:t>
      </w:r>
      <w:r w:rsidR="00FB2322">
        <w:rPr>
          <w:color w:val="000000" w:themeColor="text1"/>
          <w:sz w:val="28"/>
          <w:szCs w:val="28"/>
          <w:lang w:val="es-ES"/>
        </w:rPr>
        <w:t xml:space="preserve"> </w:t>
      </w:r>
      <w:r w:rsidR="00253502">
        <w:rPr>
          <w:color w:val="000000" w:themeColor="text1"/>
          <w:sz w:val="28"/>
          <w:szCs w:val="28"/>
          <w:lang w:val="es-ES"/>
        </w:rPr>
        <w:t xml:space="preserve">do chưa có căn cứ pháp lý về xử lý rủi ro tín dụng tại NHPT nên NHPT chưa đủ cơ sở sử dụng số dự phòng rủi ro này để xử lý nợ xấu, để từng bước hỗ trợ, lành mạnh hóa tình hình tài chính và nâng cao hiệu quả hoạt động, chất lượng hoạt động tín dụng của NHPT. </w:t>
      </w:r>
    </w:p>
    <w:p w:rsidR="001D7EC7" w:rsidRDefault="001D7EC7" w:rsidP="001D7EC7">
      <w:pPr>
        <w:spacing w:after="120" w:line="340" w:lineRule="exact"/>
        <w:ind w:firstLine="709"/>
        <w:jc w:val="both"/>
        <w:rPr>
          <w:color w:val="000000" w:themeColor="text1"/>
          <w:sz w:val="28"/>
          <w:szCs w:val="28"/>
          <w:lang w:val="es-ES"/>
        </w:rPr>
      </w:pPr>
      <w:r>
        <w:rPr>
          <w:color w:val="000000" w:themeColor="text1"/>
          <w:sz w:val="28"/>
          <w:szCs w:val="28"/>
          <w:lang w:val="es-ES"/>
        </w:rPr>
        <w:t>Do đó, việc Thủ tướng Chính phủ ban hành cơ chế xử lý rủi ro tín dụng đối với NHPT là cần thiết nhằm tạo khuôn khổ pháp lý đầy đủ để NHPT xử lý các khoản nợ xấu phát sinh trong quá trình hoạt động tín dụng, đảm bảo tương đồng đối với quy định hiện hành về xử lý nợ bị rủi ro tại NHCSXH</w:t>
      </w:r>
      <w:r w:rsidR="009A4838">
        <w:rPr>
          <w:color w:val="000000" w:themeColor="text1"/>
          <w:sz w:val="28"/>
          <w:szCs w:val="28"/>
          <w:lang w:val="es-ES"/>
        </w:rPr>
        <w:t xml:space="preserve"> và các tổ chức tín dụng, chi nhánh ngân hàng nước ngoài nêu trên. </w:t>
      </w:r>
    </w:p>
    <w:p w:rsidR="00E57418" w:rsidRPr="00F83D9E" w:rsidRDefault="00E57418" w:rsidP="00E57418">
      <w:pPr>
        <w:spacing w:after="120" w:line="340" w:lineRule="exact"/>
        <w:ind w:firstLine="709"/>
        <w:jc w:val="both"/>
        <w:rPr>
          <w:b/>
          <w:sz w:val="28"/>
          <w:szCs w:val="28"/>
        </w:rPr>
      </w:pPr>
      <w:r w:rsidRPr="0056706E">
        <w:rPr>
          <w:b/>
          <w:sz w:val="28"/>
          <w:szCs w:val="28"/>
          <w:lang w:val="vi-VN"/>
        </w:rPr>
        <w:t xml:space="preserve">II. </w:t>
      </w:r>
      <w:r>
        <w:rPr>
          <w:b/>
          <w:sz w:val="28"/>
          <w:szCs w:val="28"/>
          <w:lang w:val="vi-VN"/>
        </w:rPr>
        <w:t xml:space="preserve">MỤC ĐÍCH, </w:t>
      </w:r>
      <w:r w:rsidRPr="0056706E">
        <w:rPr>
          <w:b/>
          <w:sz w:val="28"/>
          <w:szCs w:val="28"/>
          <w:lang w:val="vi-VN"/>
        </w:rPr>
        <w:t xml:space="preserve">QUAN ĐIỂM </w:t>
      </w:r>
      <w:r>
        <w:rPr>
          <w:b/>
          <w:sz w:val="28"/>
          <w:szCs w:val="28"/>
        </w:rPr>
        <w:t xml:space="preserve">XÂY DỰNG </w:t>
      </w:r>
      <w:r>
        <w:rPr>
          <w:b/>
          <w:sz w:val="28"/>
          <w:szCs w:val="28"/>
          <w:lang w:val="vi-VN"/>
        </w:rPr>
        <w:t>DỰ THẢO QUYẾT ĐỊNH</w:t>
      </w:r>
    </w:p>
    <w:p w:rsidR="00FC0A2F" w:rsidRDefault="009E35DC" w:rsidP="009E35DC">
      <w:pPr>
        <w:spacing w:after="120" w:line="340" w:lineRule="exact"/>
        <w:ind w:firstLine="709"/>
        <w:jc w:val="both"/>
        <w:rPr>
          <w:rFonts w:eastAsia="Calibri"/>
          <w:bCs/>
          <w:sz w:val="28"/>
          <w:szCs w:val="28"/>
        </w:rPr>
      </w:pPr>
      <w:r w:rsidRPr="007F436F">
        <w:rPr>
          <w:rFonts w:eastAsia="Calibri"/>
          <w:b/>
          <w:bCs/>
          <w:sz w:val="28"/>
          <w:szCs w:val="28"/>
          <w:lang w:val="vi-VN"/>
        </w:rPr>
        <w:t>1. Mục đích:</w:t>
      </w:r>
      <w:r>
        <w:rPr>
          <w:rFonts w:eastAsia="Calibri"/>
          <w:bCs/>
          <w:sz w:val="28"/>
          <w:szCs w:val="28"/>
          <w:lang w:val="vi-VN"/>
        </w:rPr>
        <w:t xml:space="preserve"> Hoàn thiện khung khổ pháp lý, tạo </w:t>
      </w:r>
      <w:r>
        <w:rPr>
          <w:rFonts w:eastAsia="Calibri"/>
          <w:bCs/>
          <w:sz w:val="28"/>
          <w:szCs w:val="28"/>
        </w:rPr>
        <w:t xml:space="preserve">cơ sở pháp lý và </w:t>
      </w:r>
      <w:r>
        <w:rPr>
          <w:rFonts w:eastAsia="Calibri"/>
          <w:bCs/>
          <w:sz w:val="28"/>
          <w:szCs w:val="28"/>
          <w:lang w:val="vi-VN"/>
        </w:rPr>
        <w:t xml:space="preserve">điều kiện thuận lợi cho NHPT trong quá trình xử lý rủi ro tín dụng, </w:t>
      </w:r>
      <w:r>
        <w:rPr>
          <w:rFonts w:eastAsia="Calibri"/>
          <w:bCs/>
          <w:sz w:val="28"/>
          <w:szCs w:val="28"/>
        </w:rPr>
        <w:t xml:space="preserve">qua đó, góp phần </w:t>
      </w:r>
      <w:r>
        <w:rPr>
          <w:rFonts w:eastAsia="Calibri"/>
          <w:bCs/>
          <w:sz w:val="28"/>
          <w:szCs w:val="28"/>
          <w:lang w:val="vi-VN"/>
        </w:rPr>
        <w:t>thực hiện</w:t>
      </w:r>
      <w:r>
        <w:rPr>
          <w:rFonts w:eastAsia="Calibri"/>
          <w:bCs/>
          <w:sz w:val="28"/>
          <w:szCs w:val="28"/>
        </w:rPr>
        <w:t xml:space="preserve"> các mục tiêu của phương án cơ cấu lại NHPT</w:t>
      </w:r>
      <w:r w:rsidR="00FC0A2F">
        <w:rPr>
          <w:rFonts w:eastAsia="Calibri"/>
          <w:bCs/>
          <w:sz w:val="28"/>
          <w:szCs w:val="28"/>
        </w:rPr>
        <w:t xml:space="preserve"> </w:t>
      </w:r>
      <w:r w:rsidR="0091594E">
        <w:rPr>
          <w:rFonts w:eastAsia="Calibri"/>
          <w:bCs/>
          <w:sz w:val="28"/>
          <w:szCs w:val="28"/>
        </w:rPr>
        <w:t xml:space="preserve">bền vững, hiệu quả. </w:t>
      </w:r>
    </w:p>
    <w:p w:rsidR="009E35DC" w:rsidRPr="007F436F" w:rsidRDefault="009E35DC" w:rsidP="009E35DC">
      <w:pPr>
        <w:spacing w:after="120" w:line="340" w:lineRule="exact"/>
        <w:ind w:firstLine="709"/>
        <w:jc w:val="both"/>
        <w:rPr>
          <w:rFonts w:eastAsia="Calibri"/>
          <w:b/>
          <w:bCs/>
          <w:sz w:val="28"/>
          <w:szCs w:val="28"/>
        </w:rPr>
      </w:pPr>
      <w:r w:rsidRPr="007F436F">
        <w:rPr>
          <w:rFonts w:eastAsia="Calibri"/>
          <w:b/>
          <w:bCs/>
          <w:sz w:val="28"/>
          <w:szCs w:val="28"/>
          <w:lang w:val="vi-VN"/>
        </w:rPr>
        <w:t>2. Quan điểm xây dựng dự thảo Quyết định</w:t>
      </w:r>
      <w:r w:rsidRPr="007F436F">
        <w:rPr>
          <w:rFonts w:eastAsia="Calibri"/>
          <w:b/>
          <w:bCs/>
          <w:sz w:val="28"/>
          <w:szCs w:val="28"/>
        </w:rPr>
        <w:t xml:space="preserve"> </w:t>
      </w:r>
    </w:p>
    <w:p w:rsidR="009E35DC" w:rsidRDefault="009E35DC" w:rsidP="009E35DC">
      <w:pPr>
        <w:spacing w:after="120" w:line="340" w:lineRule="exact"/>
        <w:ind w:firstLine="709"/>
        <w:jc w:val="both"/>
        <w:rPr>
          <w:rFonts w:eastAsia="Calibri"/>
          <w:bCs/>
          <w:sz w:val="28"/>
          <w:szCs w:val="28"/>
          <w:lang w:val="vi-VN"/>
        </w:rPr>
      </w:pPr>
      <w:r>
        <w:rPr>
          <w:rFonts w:eastAsia="Calibri"/>
          <w:bCs/>
          <w:i/>
          <w:sz w:val="28"/>
          <w:szCs w:val="28"/>
        </w:rPr>
        <w:t>-</w:t>
      </w:r>
      <w:r>
        <w:rPr>
          <w:rFonts w:eastAsia="Calibri"/>
          <w:bCs/>
          <w:i/>
          <w:sz w:val="28"/>
          <w:szCs w:val="28"/>
          <w:lang w:val="vi-VN"/>
        </w:rPr>
        <w:t xml:space="preserve"> </w:t>
      </w:r>
      <w:r w:rsidRPr="0069553D">
        <w:rPr>
          <w:rFonts w:eastAsia="Calibri"/>
          <w:bCs/>
          <w:i/>
          <w:sz w:val="28"/>
          <w:szCs w:val="28"/>
        </w:rPr>
        <w:t xml:space="preserve">Thứ </w:t>
      </w:r>
      <w:r>
        <w:rPr>
          <w:rFonts w:eastAsia="Calibri"/>
          <w:bCs/>
          <w:i/>
          <w:sz w:val="28"/>
          <w:szCs w:val="28"/>
          <w:lang w:val="vi-VN"/>
        </w:rPr>
        <w:t>nhất</w:t>
      </w:r>
      <w:r w:rsidRPr="0069553D">
        <w:rPr>
          <w:rFonts w:eastAsia="Calibri"/>
          <w:bCs/>
          <w:i/>
          <w:sz w:val="28"/>
          <w:szCs w:val="28"/>
        </w:rPr>
        <w:t>,</w:t>
      </w:r>
      <w:r w:rsidRPr="000D50C6">
        <w:rPr>
          <w:rFonts w:eastAsia="Calibri"/>
          <w:bCs/>
          <w:sz w:val="28"/>
          <w:szCs w:val="28"/>
        </w:rPr>
        <w:t xml:space="preserve"> </w:t>
      </w:r>
      <w:r>
        <w:rPr>
          <w:rFonts w:eastAsia="Calibri"/>
          <w:bCs/>
          <w:sz w:val="28"/>
          <w:szCs w:val="28"/>
        </w:rPr>
        <w:t xml:space="preserve">bám sát các nội dung đã trình Bộ Chính trị về </w:t>
      </w:r>
      <w:r w:rsidRPr="000D50C6">
        <w:rPr>
          <w:rFonts w:eastAsia="Calibri"/>
          <w:bCs/>
          <w:sz w:val="28"/>
          <w:szCs w:val="28"/>
        </w:rPr>
        <w:t xml:space="preserve">định hướng hoạt động của NHPT trong thời gian tới và </w:t>
      </w:r>
      <w:r w:rsidR="00B2740A">
        <w:rPr>
          <w:rFonts w:eastAsia="Calibri"/>
          <w:bCs/>
          <w:sz w:val="28"/>
          <w:szCs w:val="28"/>
        </w:rPr>
        <w:t>chủ trương về xử lý rủi ro tín dụng tại NHPT</w:t>
      </w:r>
      <w:r w:rsidR="00476362">
        <w:rPr>
          <w:rFonts w:eastAsia="Calibri"/>
          <w:bCs/>
          <w:sz w:val="28"/>
          <w:szCs w:val="28"/>
        </w:rPr>
        <w:t xml:space="preserve">; </w:t>
      </w:r>
      <w:r w:rsidRPr="000D50C6">
        <w:rPr>
          <w:rFonts w:eastAsia="Calibri"/>
          <w:bCs/>
          <w:sz w:val="28"/>
          <w:szCs w:val="28"/>
        </w:rPr>
        <w:t>phù hợp với các quy định pháp lý về tài chính, tín dụng của NHPT đã được ban hành hoặc đang sửa đổi, bổ sung</w:t>
      </w:r>
      <w:r w:rsidR="00420A9A">
        <w:rPr>
          <w:rFonts w:eastAsia="Calibri"/>
          <w:bCs/>
          <w:sz w:val="28"/>
          <w:szCs w:val="28"/>
        </w:rPr>
        <w:t xml:space="preserve"> (dự kiến sắp được ban hành)</w:t>
      </w:r>
      <w:r w:rsidRPr="000D50C6">
        <w:rPr>
          <w:rFonts w:eastAsia="Calibri"/>
          <w:bCs/>
          <w:sz w:val="28"/>
          <w:szCs w:val="28"/>
        </w:rPr>
        <w:t>.</w:t>
      </w:r>
    </w:p>
    <w:p w:rsidR="00A019C9" w:rsidRDefault="009E35DC" w:rsidP="009E35DC">
      <w:pPr>
        <w:spacing w:after="120" w:line="340" w:lineRule="exact"/>
        <w:ind w:firstLine="709"/>
        <w:jc w:val="both"/>
        <w:rPr>
          <w:rFonts w:eastAsia="Calibri"/>
          <w:bCs/>
          <w:sz w:val="28"/>
          <w:szCs w:val="28"/>
        </w:rPr>
      </w:pPr>
      <w:r w:rsidRPr="007F436F">
        <w:rPr>
          <w:rFonts w:eastAsia="Calibri"/>
          <w:bCs/>
          <w:i/>
          <w:sz w:val="28"/>
          <w:szCs w:val="28"/>
          <w:lang w:val="vi-VN"/>
        </w:rPr>
        <w:t>- Thứ hai</w:t>
      </w:r>
      <w:r>
        <w:rPr>
          <w:rFonts w:eastAsia="Calibri"/>
          <w:bCs/>
          <w:sz w:val="28"/>
          <w:szCs w:val="28"/>
          <w:lang w:val="vi-VN"/>
        </w:rPr>
        <w:t xml:space="preserve">, </w:t>
      </w:r>
      <w:r w:rsidR="00674DA8">
        <w:rPr>
          <w:rFonts w:eastAsia="Calibri"/>
          <w:bCs/>
          <w:sz w:val="28"/>
          <w:szCs w:val="28"/>
        </w:rPr>
        <w:t>phân định rõ</w:t>
      </w:r>
      <w:r w:rsidRPr="000D50C6">
        <w:rPr>
          <w:rFonts w:eastAsia="Calibri"/>
          <w:bCs/>
          <w:sz w:val="28"/>
          <w:szCs w:val="28"/>
        </w:rPr>
        <w:t xml:space="preserve"> thẩm quyền,</w:t>
      </w:r>
      <w:r w:rsidR="00674DA8">
        <w:rPr>
          <w:rFonts w:eastAsia="Calibri"/>
          <w:bCs/>
          <w:sz w:val="28"/>
          <w:szCs w:val="28"/>
        </w:rPr>
        <w:t xml:space="preserve"> giao</w:t>
      </w:r>
      <w:r w:rsidRPr="000D50C6">
        <w:rPr>
          <w:rFonts w:eastAsia="Calibri"/>
          <w:bCs/>
          <w:sz w:val="28"/>
          <w:szCs w:val="28"/>
        </w:rPr>
        <w:t xml:space="preserve"> trách nhiệm của NHPT trong việc xử lý rủ</w:t>
      </w:r>
      <w:r w:rsidR="00A019C9">
        <w:rPr>
          <w:rFonts w:eastAsia="Calibri"/>
          <w:bCs/>
          <w:sz w:val="28"/>
          <w:szCs w:val="28"/>
        </w:rPr>
        <w:t xml:space="preserve">i ro tín dụng gắn </w:t>
      </w:r>
      <w:r w:rsidR="00C11001" w:rsidRPr="00C11001">
        <w:rPr>
          <w:rFonts w:eastAsia="Calibri"/>
          <w:bCs/>
          <w:sz w:val="28"/>
          <w:szCs w:val="28"/>
        </w:rPr>
        <w:t>trách nhiệm của Ngân hàng Phát triển, khách hàng vay vốn và các tổ chức, cá nhân có liên quan trong việc cho vay, thu hồi và xử lý nợ vay</w:t>
      </w:r>
      <w:r w:rsidR="00C11001">
        <w:rPr>
          <w:rFonts w:eastAsia="Calibri"/>
          <w:bCs/>
          <w:sz w:val="28"/>
          <w:szCs w:val="28"/>
        </w:rPr>
        <w:t>;</w:t>
      </w:r>
      <w:r w:rsidR="009F70A4">
        <w:rPr>
          <w:rFonts w:eastAsia="Calibri"/>
          <w:bCs/>
          <w:sz w:val="28"/>
          <w:szCs w:val="28"/>
        </w:rPr>
        <w:t xml:space="preserve"> đồng thời vẫn có sự quản lý, giám sát của các cơ quan có thẩm quyền. </w:t>
      </w:r>
    </w:p>
    <w:p w:rsidR="009E35DC" w:rsidRPr="000D50C6" w:rsidRDefault="009E35DC" w:rsidP="009E35DC">
      <w:pPr>
        <w:spacing w:after="120" w:line="340" w:lineRule="exact"/>
        <w:ind w:firstLine="709"/>
        <w:jc w:val="both"/>
        <w:rPr>
          <w:rFonts w:eastAsia="Calibri"/>
          <w:bCs/>
          <w:sz w:val="28"/>
          <w:szCs w:val="28"/>
          <w:lang w:val="nl-NL"/>
        </w:rPr>
      </w:pPr>
      <w:r w:rsidRPr="00F10C17">
        <w:rPr>
          <w:rFonts w:eastAsia="Calibri"/>
          <w:bCs/>
          <w:i/>
          <w:sz w:val="28"/>
          <w:szCs w:val="28"/>
        </w:rPr>
        <w:lastRenderedPageBreak/>
        <w:t>-</w:t>
      </w:r>
      <w:r w:rsidRPr="00F10C17">
        <w:rPr>
          <w:rFonts w:eastAsia="Calibri"/>
          <w:bCs/>
          <w:i/>
          <w:sz w:val="28"/>
          <w:szCs w:val="28"/>
          <w:lang w:val="nl-NL"/>
        </w:rPr>
        <w:t xml:space="preserve"> T</w:t>
      </w:r>
      <w:r w:rsidRPr="0069553D">
        <w:rPr>
          <w:rFonts w:eastAsia="Calibri"/>
          <w:bCs/>
          <w:i/>
          <w:sz w:val="28"/>
          <w:szCs w:val="28"/>
          <w:lang w:val="nl-NL"/>
        </w:rPr>
        <w:t>hứ</w:t>
      </w:r>
      <w:r w:rsidR="00D26C1E">
        <w:rPr>
          <w:rFonts w:eastAsia="Calibri"/>
          <w:bCs/>
          <w:i/>
          <w:sz w:val="28"/>
          <w:szCs w:val="28"/>
          <w:lang w:val="nl-NL"/>
        </w:rPr>
        <w:t xml:space="preserve"> </w:t>
      </w:r>
      <w:r>
        <w:rPr>
          <w:rFonts w:eastAsia="Calibri"/>
          <w:bCs/>
          <w:i/>
          <w:sz w:val="28"/>
          <w:szCs w:val="28"/>
          <w:lang w:val="vi-VN"/>
        </w:rPr>
        <w:t>ba</w:t>
      </w:r>
      <w:r w:rsidRPr="0069553D">
        <w:rPr>
          <w:rFonts w:eastAsia="Calibri"/>
          <w:bCs/>
          <w:i/>
          <w:sz w:val="28"/>
          <w:szCs w:val="28"/>
          <w:lang w:val="nl-NL"/>
        </w:rPr>
        <w:t>,</w:t>
      </w:r>
      <w:r w:rsidRPr="000D50C6">
        <w:rPr>
          <w:rFonts w:eastAsia="Calibri"/>
          <w:bCs/>
          <w:sz w:val="28"/>
          <w:szCs w:val="28"/>
          <w:lang w:val="nl-NL"/>
        </w:rPr>
        <w:t xml:space="preserve"> </w:t>
      </w:r>
      <w:r>
        <w:rPr>
          <w:rFonts w:eastAsia="Calibri"/>
          <w:bCs/>
          <w:sz w:val="28"/>
          <w:szCs w:val="28"/>
          <w:lang w:val="nl-NL"/>
        </w:rPr>
        <w:t>p</w:t>
      </w:r>
      <w:r w:rsidRPr="000D50C6">
        <w:rPr>
          <w:rFonts w:eastAsia="Calibri"/>
          <w:bCs/>
          <w:sz w:val="28"/>
          <w:szCs w:val="28"/>
          <w:lang w:val="nl-NL"/>
        </w:rPr>
        <w:t xml:space="preserve">hù hợp với thông lệ của </w:t>
      </w:r>
      <w:r w:rsidR="001C5F6D">
        <w:rPr>
          <w:rFonts w:eastAsia="Calibri"/>
          <w:bCs/>
          <w:sz w:val="28"/>
          <w:szCs w:val="28"/>
          <w:lang w:val="nl-NL"/>
        </w:rPr>
        <w:t xml:space="preserve">ngân hàng thương mại </w:t>
      </w:r>
      <w:r w:rsidRPr="000D50C6">
        <w:rPr>
          <w:rFonts w:eastAsia="Calibri"/>
          <w:bCs/>
          <w:sz w:val="28"/>
          <w:szCs w:val="28"/>
          <w:lang w:val="nl-NL"/>
        </w:rPr>
        <w:t>về xử lý rủi ro</w:t>
      </w:r>
      <w:r w:rsidR="001C5F6D">
        <w:rPr>
          <w:rFonts w:eastAsia="Calibri"/>
          <w:bCs/>
          <w:sz w:val="28"/>
          <w:szCs w:val="28"/>
          <w:lang w:val="nl-NL"/>
        </w:rPr>
        <w:t xml:space="preserve"> tín dụng</w:t>
      </w:r>
      <w:r>
        <w:rPr>
          <w:rStyle w:val="FootnoteReference"/>
          <w:rFonts w:eastAsia="Calibri"/>
          <w:bCs/>
          <w:sz w:val="28"/>
          <w:szCs w:val="28"/>
          <w:lang w:val="nl-NL"/>
        </w:rPr>
        <w:footnoteReference w:id="2"/>
      </w:r>
      <w:r w:rsidRPr="000D50C6">
        <w:rPr>
          <w:rFonts w:eastAsia="Calibri"/>
          <w:bCs/>
          <w:sz w:val="28"/>
          <w:szCs w:val="28"/>
          <w:lang w:val="nl-NL"/>
        </w:rPr>
        <w:t>, trong đó có tính đến đặc thù hoạt động của NHPT là ngân hàng chính sách.</w:t>
      </w:r>
    </w:p>
    <w:p w:rsidR="009E35DC" w:rsidRPr="000D50C6" w:rsidRDefault="009E35DC" w:rsidP="009E35DC">
      <w:pPr>
        <w:spacing w:after="120" w:line="340" w:lineRule="exact"/>
        <w:ind w:firstLine="709"/>
        <w:jc w:val="both"/>
        <w:rPr>
          <w:rFonts w:eastAsia="Calibri"/>
          <w:bCs/>
          <w:sz w:val="28"/>
          <w:szCs w:val="28"/>
        </w:rPr>
      </w:pPr>
      <w:r>
        <w:rPr>
          <w:rFonts w:eastAsia="Calibri"/>
          <w:bCs/>
          <w:i/>
          <w:sz w:val="28"/>
          <w:szCs w:val="28"/>
          <w:lang w:val="vi-VN"/>
        </w:rPr>
        <w:t xml:space="preserve">- </w:t>
      </w:r>
      <w:r w:rsidRPr="0069553D">
        <w:rPr>
          <w:rFonts w:eastAsia="Calibri"/>
          <w:bCs/>
          <w:i/>
          <w:sz w:val="28"/>
          <w:szCs w:val="28"/>
        </w:rPr>
        <w:t xml:space="preserve">Thứ </w:t>
      </w:r>
      <w:r>
        <w:rPr>
          <w:rFonts w:eastAsia="Calibri"/>
          <w:bCs/>
          <w:i/>
          <w:sz w:val="28"/>
          <w:szCs w:val="28"/>
          <w:lang w:val="vi-VN"/>
        </w:rPr>
        <w:t>tư</w:t>
      </w:r>
      <w:r>
        <w:rPr>
          <w:rFonts w:eastAsia="Calibri"/>
          <w:bCs/>
          <w:sz w:val="28"/>
          <w:szCs w:val="28"/>
        </w:rPr>
        <w:t>,</w:t>
      </w:r>
      <w:r w:rsidRPr="000D50C6">
        <w:rPr>
          <w:rFonts w:eastAsia="Calibri"/>
          <w:bCs/>
          <w:sz w:val="28"/>
          <w:szCs w:val="28"/>
        </w:rPr>
        <w:t xml:space="preserve"> </w:t>
      </w:r>
      <w:r>
        <w:rPr>
          <w:rFonts w:eastAsia="Calibri"/>
          <w:bCs/>
          <w:sz w:val="28"/>
          <w:szCs w:val="28"/>
        </w:rPr>
        <w:t>b</w:t>
      </w:r>
      <w:r w:rsidRPr="000D50C6">
        <w:rPr>
          <w:rFonts w:eastAsia="Calibri"/>
          <w:bCs/>
          <w:sz w:val="28"/>
          <w:szCs w:val="28"/>
        </w:rPr>
        <w:t xml:space="preserve">ao quát toàn bộ các khoản nợ xấu phát sinh trong </w:t>
      </w:r>
      <w:r>
        <w:rPr>
          <w:rFonts w:eastAsia="Calibri"/>
          <w:bCs/>
          <w:sz w:val="28"/>
          <w:szCs w:val="28"/>
        </w:rPr>
        <w:t xml:space="preserve">suốt </w:t>
      </w:r>
      <w:r w:rsidRPr="000D50C6">
        <w:rPr>
          <w:rFonts w:eastAsia="Calibri"/>
          <w:bCs/>
          <w:sz w:val="28"/>
          <w:szCs w:val="28"/>
        </w:rPr>
        <w:t>quá trình hoạt động tín dụng chịu rủi ro của NHPT</w:t>
      </w:r>
      <w:r w:rsidR="00220E54">
        <w:rPr>
          <w:rFonts w:eastAsia="Calibri"/>
          <w:bCs/>
          <w:sz w:val="28"/>
          <w:szCs w:val="28"/>
        </w:rPr>
        <w:t xml:space="preserve">. </w:t>
      </w:r>
    </w:p>
    <w:p w:rsidR="00E57418" w:rsidRPr="0069553D" w:rsidRDefault="00E57418" w:rsidP="00E57418">
      <w:pPr>
        <w:spacing w:after="120" w:line="340" w:lineRule="exact"/>
        <w:ind w:firstLine="709"/>
        <w:jc w:val="both"/>
        <w:rPr>
          <w:b/>
          <w:sz w:val="28"/>
          <w:szCs w:val="28"/>
          <w:lang w:val="es-ES"/>
        </w:rPr>
      </w:pPr>
      <w:r w:rsidRPr="0069553D">
        <w:rPr>
          <w:b/>
          <w:sz w:val="28"/>
          <w:szCs w:val="28"/>
          <w:lang w:val="es-ES"/>
        </w:rPr>
        <w:t>III. QUÁ TRÌNH XÂY DỰNG DỰ THẢO QUYẾT ĐỊNH</w:t>
      </w:r>
    </w:p>
    <w:p w:rsidR="00E57418" w:rsidRDefault="00E57418" w:rsidP="00E57418">
      <w:pPr>
        <w:spacing w:after="120" w:line="340" w:lineRule="exact"/>
        <w:ind w:firstLine="709"/>
        <w:jc w:val="both"/>
        <w:rPr>
          <w:sz w:val="28"/>
          <w:szCs w:val="28"/>
          <w:lang w:val="es-ES"/>
        </w:rPr>
      </w:pPr>
      <w:r w:rsidRPr="0056706E">
        <w:rPr>
          <w:b/>
          <w:color w:val="000000" w:themeColor="text1"/>
          <w:sz w:val="28"/>
          <w:szCs w:val="28"/>
          <w:lang w:val="es-ES"/>
        </w:rPr>
        <w:t>1.</w:t>
      </w:r>
      <w:r w:rsidRPr="0056706E">
        <w:rPr>
          <w:b/>
          <w:i/>
          <w:color w:val="000000" w:themeColor="text1"/>
          <w:sz w:val="28"/>
          <w:szCs w:val="28"/>
          <w:lang w:val="es-ES"/>
        </w:rPr>
        <w:t xml:space="preserve"> </w:t>
      </w:r>
      <w:r>
        <w:rPr>
          <w:sz w:val="28"/>
          <w:szCs w:val="28"/>
          <w:lang w:val="es-ES"/>
        </w:rPr>
        <w:t xml:space="preserve">Dự thảo Quyết định được nghiên cứu, triển khai xây dựng từ năm 2013 trên cơ sở chỉ đạo của Lãnh đạo Chính phủ, đã thực hiện lấy ý kiến các Bộ, ngành liên quan, ý kiến thẩm định của Bộ Tư pháp (02 lần). </w:t>
      </w:r>
      <w:r w:rsidR="00C90F03">
        <w:rPr>
          <w:sz w:val="28"/>
          <w:szCs w:val="28"/>
          <w:lang w:val="es-ES"/>
        </w:rPr>
        <w:t>Tuy nhiên, d</w:t>
      </w:r>
      <w:r w:rsidRPr="00997068">
        <w:rPr>
          <w:rFonts w:eastAsia="Calibri"/>
          <w:bCs/>
          <w:sz w:val="28"/>
          <w:szCs w:val="28"/>
          <w:lang w:val="nl-NL"/>
        </w:rPr>
        <w:t>o liên quan đến định hướng hoạt động của NHPT nên</w:t>
      </w:r>
      <w:r>
        <w:rPr>
          <w:rFonts w:eastAsia="Calibri"/>
          <w:bCs/>
          <w:sz w:val="28"/>
          <w:szCs w:val="28"/>
          <w:lang w:val="nl-NL"/>
        </w:rPr>
        <w:t xml:space="preserve"> </w:t>
      </w:r>
      <w:r w:rsidRPr="00997068">
        <w:rPr>
          <w:rFonts w:eastAsia="Calibri"/>
          <w:bCs/>
          <w:sz w:val="28"/>
          <w:szCs w:val="28"/>
          <w:lang w:val="nl-NL"/>
        </w:rPr>
        <w:t xml:space="preserve">Chính phủ đã chỉ đạo xin chủ trương của Bộ Chính trị về </w:t>
      </w:r>
      <w:r>
        <w:rPr>
          <w:rFonts w:eastAsia="Calibri"/>
          <w:bCs/>
          <w:sz w:val="28"/>
          <w:szCs w:val="28"/>
          <w:lang w:val="nl-NL"/>
        </w:rPr>
        <w:t>phạm vi xử lý rủi ro trước khi ban hành cơ chế xử lý rủi ro</w:t>
      </w:r>
      <w:r w:rsidRPr="00997068">
        <w:rPr>
          <w:rFonts w:eastAsia="Calibri"/>
          <w:bCs/>
          <w:sz w:val="28"/>
          <w:szCs w:val="28"/>
          <w:lang w:val="nl-NL"/>
        </w:rPr>
        <w:t>.</w:t>
      </w:r>
    </w:p>
    <w:p w:rsidR="00E57418" w:rsidRDefault="00E57418" w:rsidP="00E57418">
      <w:pPr>
        <w:spacing w:after="120" w:line="340" w:lineRule="exact"/>
        <w:ind w:firstLine="709"/>
        <w:jc w:val="both"/>
        <w:rPr>
          <w:rFonts w:eastAsia="Calibri"/>
          <w:sz w:val="28"/>
          <w:szCs w:val="28"/>
          <w:lang w:val="pt-BR"/>
        </w:rPr>
      </w:pPr>
      <w:r w:rsidRPr="00E30738">
        <w:rPr>
          <w:rFonts w:eastAsia="Calibri"/>
          <w:b/>
          <w:sz w:val="28"/>
          <w:szCs w:val="28"/>
          <w:lang w:val="pt-BR"/>
        </w:rPr>
        <w:t>2</w:t>
      </w:r>
      <w:r>
        <w:rPr>
          <w:rFonts w:eastAsia="Calibri"/>
          <w:b/>
          <w:sz w:val="28"/>
          <w:szCs w:val="28"/>
          <w:lang w:val="pt-BR"/>
        </w:rPr>
        <w:t>.</w:t>
      </w:r>
      <w:r w:rsidRPr="004A7AEC">
        <w:rPr>
          <w:rFonts w:eastAsia="Calibri"/>
          <w:sz w:val="28"/>
          <w:szCs w:val="28"/>
          <w:lang w:val="pt-BR"/>
        </w:rPr>
        <w:t xml:space="preserve"> </w:t>
      </w:r>
      <w:r>
        <w:rPr>
          <w:sz w:val="30"/>
          <w:szCs w:val="30"/>
          <w:lang w:val="nl-NL"/>
        </w:rPr>
        <w:t>S</w:t>
      </w:r>
      <w:r>
        <w:rPr>
          <w:rFonts w:eastAsia="Calibri"/>
          <w:sz w:val="28"/>
          <w:szCs w:val="28"/>
          <w:lang w:val="pt-BR"/>
        </w:rPr>
        <w:t xml:space="preserve">au khi được Bộ Chính trị chấp thuận về chủ trương, Bộ Tài chính đã dự thảo Quyết định của Thủ tướng Chính phủ về ban hành </w:t>
      </w:r>
      <w:r>
        <w:rPr>
          <w:rFonts w:eastAsia="Calibri"/>
          <w:sz w:val="28"/>
          <w:szCs w:val="28"/>
          <w:lang w:val="vi-VN"/>
        </w:rPr>
        <w:t>cơ</w:t>
      </w:r>
      <w:r>
        <w:rPr>
          <w:rFonts w:eastAsia="Calibri"/>
          <w:sz w:val="28"/>
          <w:szCs w:val="28"/>
          <w:lang w:val="pt-BR"/>
        </w:rPr>
        <w:t xml:space="preserve"> chế xử lý rủi ro tín dụng tại NHPT, có văn bản </w:t>
      </w:r>
      <w:r w:rsidRPr="004A7AEC">
        <w:rPr>
          <w:rFonts w:eastAsia="Calibri"/>
          <w:sz w:val="28"/>
          <w:szCs w:val="28"/>
          <w:lang w:val="pt-BR"/>
        </w:rPr>
        <w:t xml:space="preserve">lấy ý kiến </w:t>
      </w:r>
      <w:r>
        <w:rPr>
          <w:rFonts w:eastAsia="Calibri"/>
          <w:sz w:val="28"/>
          <w:szCs w:val="28"/>
          <w:lang w:val="pt-BR"/>
        </w:rPr>
        <w:t>tham gia</w:t>
      </w:r>
      <w:r w:rsidR="00220E54">
        <w:rPr>
          <w:rStyle w:val="FootnoteReference"/>
          <w:rFonts w:eastAsia="Calibri"/>
          <w:sz w:val="28"/>
          <w:szCs w:val="28"/>
          <w:lang w:val="pt-BR"/>
        </w:rPr>
        <w:footnoteReference w:id="3"/>
      </w:r>
      <w:r>
        <w:rPr>
          <w:rFonts w:eastAsia="Calibri"/>
          <w:sz w:val="28"/>
          <w:szCs w:val="28"/>
          <w:lang w:val="pt-BR"/>
        </w:rPr>
        <w:t xml:space="preserve"> của </w:t>
      </w:r>
      <w:r w:rsidRPr="004A7AEC">
        <w:rPr>
          <w:rFonts w:eastAsia="Calibri"/>
          <w:sz w:val="28"/>
          <w:szCs w:val="28"/>
          <w:lang w:val="pt-BR"/>
        </w:rPr>
        <w:t>các Bộ</w:t>
      </w:r>
      <w:r>
        <w:rPr>
          <w:rFonts w:eastAsia="Calibri"/>
          <w:sz w:val="28"/>
          <w:szCs w:val="28"/>
          <w:lang w:val="pt-BR"/>
        </w:rPr>
        <w:t>, ngành có liên quan và đăng tải các dự thảo</w:t>
      </w:r>
      <w:r w:rsidRPr="004A7AEC">
        <w:rPr>
          <w:rFonts w:eastAsia="Calibri"/>
          <w:sz w:val="28"/>
          <w:szCs w:val="28"/>
          <w:lang w:val="pt-BR"/>
        </w:rPr>
        <w:t xml:space="preserve"> trên Cổng Thông tin điện tử Chính phủ</w:t>
      </w:r>
      <w:r w:rsidR="00EE6FAD">
        <w:rPr>
          <w:rFonts w:eastAsia="Calibri"/>
          <w:sz w:val="28"/>
          <w:szCs w:val="28"/>
          <w:lang w:val="pt-BR"/>
        </w:rPr>
        <w:t xml:space="preserve">, Cổng thông tin điện tử Bộ Tài chính </w:t>
      </w:r>
      <w:r w:rsidRPr="004A7AEC">
        <w:rPr>
          <w:rFonts w:eastAsia="Calibri"/>
          <w:sz w:val="28"/>
          <w:szCs w:val="28"/>
          <w:lang w:val="pt-BR"/>
        </w:rPr>
        <w:t xml:space="preserve">theo đúng quy định của Luật </w:t>
      </w:r>
      <w:r>
        <w:rPr>
          <w:rFonts w:eastAsia="Calibri"/>
          <w:sz w:val="28"/>
          <w:szCs w:val="28"/>
          <w:lang w:val="pt-BR"/>
        </w:rPr>
        <w:t>B</w:t>
      </w:r>
      <w:r w:rsidRPr="004A7AEC">
        <w:rPr>
          <w:rFonts w:eastAsia="Calibri"/>
          <w:sz w:val="28"/>
          <w:szCs w:val="28"/>
          <w:lang w:val="pt-BR"/>
        </w:rPr>
        <w:t>an hành văn bản quy phạm pháp luậ</w:t>
      </w:r>
      <w:r>
        <w:rPr>
          <w:rFonts w:eastAsia="Calibri"/>
          <w:sz w:val="28"/>
          <w:szCs w:val="28"/>
          <w:lang w:val="pt-BR"/>
        </w:rPr>
        <w:t>t.</w:t>
      </w:r>
    </w:p>
    <w:p w:rsidR="00EE6FAD" w:rsidRDefault="00E57418" w:rsidP="0034575F">
      <w:pPr>
        <w:spacing w:after="120" w:line="340" w:lineRule="exact"/>
        <w:ind w:firstLine="709"/>
        <w:jc w:val="both"/>
        <w:rPr>
          <w:spacing w:val="-2"/>
          <w:sz w:val="28"/>
          <w:szCs w:val="28"/>
          <w:lang w:val="es-ES_tradnl"/>
        </w:rPr>
      </w:pPr>
      <w:r w:rsidRPr="004A7AEC">
        <w:rPr>
          <w:rFonts w:eastAsia="Calibri"/>
          <w:sz w:val="28"/>
          <w:szCs w:val="28"/>
          <w:lang w:val="pt-BR"/>
        </w:rPr>
        <w:t xml:space="preserve"> </w:t>
      </w:r>
      <w:r w:rsidR="00973AF4">
        <w:rPr>
          <w:rFonts w:eastAsia="Calibri"/>
          <w:b/>
          <w:sz w:val="28"/>
          <w:szCs w:val="28"/>
          <w:lang w:val="pt-BR"/>
        </w:rPr>
        <w:t>3</w:t>
      </w:r>
      <w:r w:rsidRPr="00127821">
        <w:rPr>
          <w:rFonts w:eastAsia="Calibri"/>
          <w:b/>
          <w:sz w:val="28"/>
          <w:szCs w:val="28"/>
          <w:lang w:val="pt-BR"/>
        </w:rPr>
        <w:t>.</w:t>
      </w:r>
      <w:r w:rsidR="003F0F90">
        <w:rPr>
          <w:rFonts w:eastAsia="Calibri"/>
          <w:b/>
          <w:sz w:val="28"/>
          <w:szCs w:val="28"/>
          <w:lang w:val="pt-BR"/>
        </w:rPr>
        <w:t xml:space="preserve"> </w:t>
      </w:r>
      <w:r w:rsidR="003F0F90">
        <w:rPr>
          <w:rFonts w:eastAsia="Calibri"/>
          <w:sz w:val="28"/>
          <w:szCs w:val="28"/>
          <w:lang w:val="pt-BR"/>
        </w:rPr>
        <w:t xml:space="preserve">Trên cơ sở tổng hợp ý kiến tham gia của các Bộ, ngành </w:t>
      </w:r>
      <w:r w:rsidR="0019516E">
        <w:rPr>
          <w:rFonts w:eastAsia="Calibri"/>
          <w:sz w:val="28"/>
          <w:szCs w:val="28"/>
          <w:lang w:val="pt-BR"/>
        </w:rPr>
        <w:t xml:space="preserve">và cơ quan </w:t>
      </w:r>
      <w:r w:rsidR="003F0F90">
        <w:rPr>
          <w:rFonts w:eastAsia="Calibri"/>
          <w:sz w:val="28"/>
          <w:szCs w:val="28"/>
          <w:lang w:val="pt-BR"/>
        </w:rPr>
        <w:t>liên quan (Ngân hàng Nhà nước Việt Nam tại công văn số .... ngày.../.../2023; Bộ Kế hoạch và Đầu tư tại công văn số ....</w:t>
      </w:r>
      <w:r w:rsidR="00D6260A">
        <w:rPr>
          <w:rFonts w:eastAsia="Calibri"/>
          <w:sz w:val="28"/>
          <w:szCs w:val="28"/>
          <w:lang w:val="pt-BR"/>
        </w:rPr>
        <w:t xml:space="preserve"> ngày .../.../2023; Bộ Tư pháp tại công văn số .... ngày .../.../2023; Bộ Công an tại công văn số ... ngày ..../.../2023; Thanh tra Chính phủ tại công văn số .... ngày .../..../2023; Kiểm toán Nhà nước tại công văn số .... ngày ..../..../2023; Ủy ban quản lý vốn Nhà nước tại doanh nghiệp tại công văn số ... ngày ..../.../2023</w:t>
      </w:r>
      <w:r w:rsidR="00476362">
        <w:rPr>
          <w:rFonts w:eastAsia="Calibri"/>
          <w:sz w:val="28"/>
          <w:szCs w:val="28"/>
          <w:lang w:val="pt-BR"/>
        </w:rPr>
        <w:t xml:space="preserve">; </w:t>
      </w:r>
      <w:r w:rsidR="00D6260A">
        <w:rPr>
          <w:rFonts w:eastAsia="Calibri"/>
          <w:sz w:val="28"/>
          <w:szCs w:val="28"/>
          <w:lang w:val="pt-BR"/>
        </w:rPr>
        <w:t>NHPT tại công văn số</w:t>
      </w:r>
      <w:r w:rsidR="0019516E">
        <w:rPr>
          <w:rFonts w:eastAsia="Calibri"/>
          <w:sz w:val="28"/>
          <w:szCs w:val="28"/>
          <w:lang w:val="pt-BR"/>
        </w:rPr>
        <w:t xml:space="preserve"> .... ngày ..../.../2023</w:t>
      </w:r>
      <w:r w:rsidR="00476362">
        <w:rPr>
          <w:rFonts w:eastAsia="Calibri"/>
          <w:sz w:val="28"/>
          <w:szCs w:val="28"/>
          <w:lang w:val="pt-BR"/>
        </w:rPr>
        <w:t xml:space="preserve"> và tổng hợp ý kiến </w:t>
      </w:r>
      <w:r w:rsidR="00EE6FAD">
        <w:rPr>
          <w:rFonts w:eastAsia="Calibri"/>
          <w:sz w:val="28"/>
          <w:szCs w:val="28"/>
          <w:lang w:val="pt-BR"/>
        </w:rPr>
        <w:t>tham gia trên Công thông tin điện tử Chính phủ và Cổng thông tin điện tử Bộ Tài chính</w:t>
      </w:r>
      <w:r w:rsidR="0019516E">
        <w:rPr>
          <w:rFonts w:eastAsia="Calibri"/>
          <w:sz w:val="28"/>
          <w:szCs w:val="28"/>
          <w:lang w:val="pt-BR"/>
        </w:rPr>
        <w:t xml:space="preserve">), Bộ Tài chính đã hoàn thiện dự thảo Quyết định và có công văn số .... ngày ..../.../2023 </w:t>
      </w:r>
      <w:r w:rsidR="0034575F">
        <w:rPr>
          <w:rFonts w:eastAsia="Calibri"/>
          <w:sz w:val="28"/>
          <w:szCs w:val="28"/>
          <w:lang w:val="pt-BR"/>
        </w:rPr>
        <w:t>gửi lấy ý kiến thẩm định của Bộ Tư pháp.</w:t>
      </w:r>
      <w:r w:rsidR="00973AF4">
        <w:rPr>
          <w:spacing w:val="-2"/>
          <w:sz w:val="28"/>
          <w:szCs w:val="28"/>
          <w:lang w:val="es-ES_tradnl"/>
        </w:rPr>
        <w:t xml:space="preserve"> </w:t>
      </w:r>
    </w:p>
    <w:p w:rsidR="00E57418" w:rsidRDefault="00EE6FAD" w:rsidP="0034575F">
      <w:pPr>
        <w:spacing w:after="120" w:line="340" w:lineRule="exact"/>
        <w:ind w:firstLine="709"/>
        <w:jc w:val="both"/>
        <w:rPr>
          <w:rFonts w:eastAsia="Calibri"/>
          <w:sz w:val="28"/>
          <w:szCs w:val="28"/>
          <w:lang w:val="pt-BR"/>
        </w:rPr>
      </w:pPr>
      <w:r w:rsidRPr="008A300D">
        <w:rPr>
          <w:b/>
          <w:bCs/>
          <w:spacing w:val="-2"/>
          <w:sz w:val="28"/>
          <w:szCs w:val="28"/>
          <w:lang w:val="es-ES_tradnl"/>
        </w:rPr>
        <w:t>4.</w:t>
      </w:r>
      <w:r>
        <w:rPr>
          <w:spacing w:val="-2"/>
          <w:sz w:val="28"/>
          <w:szCs w:val="28"/>
          <w:lang w:val="es-ES_tradnl"/>
        </w:rPr>
        <w:t xml:space="preserve"> </w:t>
      </w:r>
      <w:r w:rsidR="00973AF4">
        <w:rPr>
          <w:spacing w:val="-2"/>
          <w:sz w:val="28"/>
          <w:szCs w:val="28"/>
          <w:lang w:val="es-ES_tradnl"/>
        </w:rPr>
        <w:t xml:space="preserve">Ngày…, </w:t>
      </w:r>
      <w:r w:rsidR="00E57418" w:rsidRPr="004A7AEC">
        <w:rPr>
          <w:rFonts w:eastAsia="Calibri"/>
          <w:sz w:val="28"/>
          <w:szCs w:val="28"/>
          <w:lang w:val="pt-BR"/>
        </w:rPr>
        <w:t xml:space="preserve"> Bộ</w:t>
      </w:r>
      <w:r w:rsidR="00E57418">
        <w:rPr>
          <w:rFonts w:eastAsia="Calibri"/>
          <w:sz w:val="28"/>
          <w:szCs w:val="28"/>
          <w:lang w:val="pt-BR"/>
        </w:rPr>
        <w:t xml:space="preserve"> T</w:t>
      </w:r>
      <w:r w:rsidR="0034575F">
        <w:rPr>
          <w:rFonts w:eastAsia="Calibri"/>
          <w:sz w:val="28"/>
          <w:szCs w:val="28"/>
          <w:lang w:val="pt-BR"/>
        </w:rPr>
        <w:t>ư pháp</w:t>
      </w:r>
      <w:r w:rsidR="00E57418">
        <w:rPr>
          <w:rFonts w:eastAsia="Calibri"/>
          <w:sz w:val="28"/>
          <w:szCs w:val="28"/>
          <w:lang w:val="pt-BR"/>
        </w:rPr>
        <w:t xml:space="preserve"> có </w:t>
      </w:r>
      <w:r w:rsidR="00E57418" w:rsidRPr="004A7AEC">
        <w:rPr>
          <w:rFonts w:eastAsia="Calibri"/>
          <w:sz w:val="28"/>
          <w:szCs w:val="28"/>
          <w:lang w:val="pt-BR"/>
        </w:rPr>
        <w:t>văn</w:t>
      </w:r>
      <w:r w:rsidR="00E57418">
        <w:rPr>
          <w:rFonts w:eastAsia="Calibri"/>
          <w:sz w:val="28"/>
          <w:szCs w:val="28"/>
          <w:lang w:val="pt-BR"/>
        </w:rPr>
        <w:t xml:space="preserve"> bản</w:t>
      </w:r>
      <w:r w:rsidR="00E57418" w:rsidRPr="004A7AEC">
        <w:rPr>
          <w:rFonts w:eastAsia="Calibri"/>
          <w:sz w:val="28"/>
          <w:szCs w:val="28"/>
          <w:lang w:val="pt-BR"/>
        </w:rPr>
        <w:t xml:space="preserve"> thẩm định số</w:t>
      </w:r>
      <w:r w:rsidR="00E57418">
        <w:rPr>
          <w:rFonts w:eastAsia="Calibri"/>
          <w:sz w:val="28"/>
          <w:szCs w:val="28"/>
          <w:lang w:val="vi-VN"/>
        </w:rPr>
        <w:t>...</w:t>
      </w:r>
      <w:r w:rsidR="0034575F">
        <w:rPr>
          <w:rFonts w:eastAsia="Calibri"/>
          <w:sz w:val="28"/>
          <w:szCs w:val="28"/>
        </w:rPr>
        <w:t xml:space="preserve"> ngày …/…/2023</w:t>
      </w:r>
      <w:r w:rsidR="00E57418">
        <w:rPr>
          <w:rFonts w:eastAsia="Calibri"/>
          <w:sz w:val="28"/>
          <w:szCs w:val="28"/>
          <w:lang w:val="pt-BR"/>
        </w:rPr>
        <w:t xml:space="preserve"> </w:t>
      </w:r>
      <w:r w:rsidR="00E57418" w:rsidRPr="004A7AEC">
        <w:rPr>
          <w:rFonts w:eastAsia="Calibri"/>
          <w:sz w:val="28"/>
          <w:szCs w:val="28"/>
          <w:lang w:val="pt-BR"/>
        </w:rPr>
        <w:t>về nội dung dự thảo Quyết định</w:t>
      </w:r>
      <w:r w:rsidR="00E57418" w:rsidRPr="0056706E">
        <w:rPr>
          <w:rFonts w:eastAsia="Calibri"/>
          <w:sz w:val="28"/>
          <w:szCs w:val="28"/>
          <w:lang w:val="pt-BR"/>
        </w:rPr>
        <w:t>. Trên cơ sở ý kiến thẩm định của Bộ T</w:t>
      </w:r>
      <w:r w:rsidR="008A300D">
        <w:rPr>
          <w:rFonts w:eastAsia="Calibri"/>
          <w:sz w:val="28"/>
          <w:szCs w:val="28"/>
          <w:lang w:val="pt-BR"/>
        </w:rPr>
        <w:t>ư pháp</w:t>
      </w:r>
      <w:r w:rsidR="00E57418" w:rsidRPr="0056706E">
        <w:rPr>
          <w:rFonts w:eastAsia="Calibri"/>
          <w:sz w:val="28"/>
          <w:szCs w:val="28"/>
          <w:lang w:val="pt-BR"/>
        </w:rPr>
        <w:t>, Bộ Tài chính</w:t>
      </w:r>
      <w:r w:rsidR="008A300D">
        <w:rPr>
          <w:rFonts w:eastAsia="Calibri"/>
          <w:sz w:val="28"/>
          <w:szCs w:val="28"/>
          <w:lang w:val="pt-BR"/>
        </w:rPr>
        <w:t xml:space="preserve"> đã</w:t>
      </w:r>
      <w:r w:rsidR="00E57418" w:rsidRPr="0056706E">
        <w:rPr>
          <w:rFonts w:eastAsia="Calibri"/>
          <w:sz w:val="28"/>
          <w:szCs w:val="28"/>
          <w:lang w:val="pt-BR"/>
        </w:rPr>
        <w:t xml:space="preserve"> tiếp thu, hoàn chỉnh dự thảo Quyết định của Thủ tướng Chính phủ</w:t>
      </w:r>
      <w:r w:rsidR="00E57418">
        <w:rPr>
          <w:rFonts w:eastAsia="Calibri"/>
          <w:sz w:val="28"/>
          <w:szCs w:val="28"/>
          <w:lang w:val="pt-BR"/>
        </w:rPr>
        <w:t xml:space="preserve"> về cơ chế xử lý rủi ro tín dụng tại NHPT</w:t>
      </w:r>
      <w:r w:rsidR="00E57418" w:rsidRPr="0056706E">
        <w:rPr>
          <w:rFonts w:eastAsia="Calibri"/>
          <w:sz w:val="28"/>
          <w:szCs w:val="28"/>
          <w:lang w:val="pt-BR"/>
        </w:rPr>
        <w:t>.</w:t>
      </w:r>
    </w:p>
    <w:p w:rsidR="00E57418" w:rsidRDefault="00E57418" w:rsidP="00E57418">
      <w:pPr>
        <w:spacing w:after="120" w:line="340" w:lineRule="exact"/>
        <w:ind w:firstLine="709"/>
        <w:jc w:val="both"/>
        <w:rPr>
          <w:rFonts w:eastAsia="Calibri"/>
          <w:b/>
          <w:sz w:val="26"/>
          <w:szCs w:val="26"/>
          <w:lang w:val="pt-BR"/>
        </w:rPr>
      </w:pPr>
      <w:r w:rsidRPr="007118A4">
        <w:rPr>
          <w:rFonts w:eastAsia="Calibri"/>
          <w:b/>
          <w:sz w:val="26"/>
          <w:szCs w:val="26"/>
          <w:lang w:val="pt-BR"/>
        </w:rPr>
        <w:t xml:space="preserve">IV. </w:t>
      </w:r>
      <w:r w:rsidR="00973AF4">
        <w:rPr>
          <w:rFonts w:eastAsia="Calibri"/>
          <w:b/>
          <w:sz w:val="26"/>
          <w:szCs w:val="26"/>
          <w:lang w:val="pt-BR"/>
        </w:rPr>
        <w:t>BỐ CỤC</w:t>
      </w:r>
      <w:r w:rsidRPr="007118A4">
        <w:rPr>
          <w:rFonts w:eastAsia="Calibri"/>
          <w:b/>
          <w:sz w:val="26"/>
          <w:szCs w:val="26"/>
          <w:lang w:val="pt-BR"/>
        </w:rPr>
        <w:t xml:space="preserve"> VÀ NỘI DUNG CƠ BẢN CỦA DỰ THẢO QUYẾT ĐỊNH</w:t>
      </w:r>
    </w:p>
    <w:p w:rsidR="00E57418" w:rsidRPr="0082009C" w:rsidRDefault="00E57418" w:rsidP="00E57418">
      <w:pPr>
        <w:spacing w:after="120" w:line="340" w:lineRule="exact"/>
        <w:ind w:firstLine="709"/>
        <w:jc w:val="both"/>
        <w:rPr>
          <w:rFonts w:eastAsia="Calibri"/>
          <w:b/>
          <w:sz w:val="28"/>
          <w:szCs w:val="28"/>
          <w:lang w:val="pt-BR"/>
        </w:rPr>
      </w:pPr>
      <w:r w:rsidRPr="0082009C">
        <w:rPr>
          <w:rFonts w:eastAsia="Calibri"/>
          <w:b/>
          <w:sz w:val="28"/>
          <w:szCs w:val="28"/>
          <w:lang w:val="pt-BR"/>
        </w:rPr>
        <w:t xml:space="preserve">1. Về </w:t>
      </w:r>
      <w:r w:rsidR="00973AF4">
        <w:rPr>
          <w:rFonts w:eastAsia="Calibri"/>
          <w:b/>
          <w:sz w:val="28"/>
          <w:szCs w:val="28"/>
          <w:lang w:val="pt-BR"/>
        </w:rPr>
        <w:t>bố cục</w:t>
      </w:r>
      <w:r w:rsidRPr="0082009C">
        <w:rPr>
          <w:rFonts w:eastAsia="Calibri"/>
          <w:b/>
          <w:sz w:val="28"/>
          <w:szCs w:val="28"/>
          <w:lang w:val="pt-BR"/>
        </w:rPr>
        <w:t xml:space="preserve"> của dự thảo Quyết định.</w:t>
      </w:r>
    </w:p>
    <w:p w:rsidR="00E57418" w:rsidRPr="0082009C" w:rsidRDefault="00E57418" w:rsidP="00E57418">
      <w:pPr>
        <w:spacing w:after="120" w:line="340" w:lineRule="exact"/>
        <w:ind w:firstLine="709"/>
        <w:jc w:val="both"/>
        <w:rPr>
          <w:rFonts w:eastAsia="Calibri"/>
          <w:sz w:val="28"/>
          <w:szCs w:val="28"/>
          <w:lang w:val="vi-VN"/>
        </w:rPr>
      </w:pPr>
      <w:r w:rsidRPr="0082009C">
        <w:rPr>
          <w:rFonts w:eastAsia="Calibri"/>
          <w:sz w:val="28"/>
          <w:szCs w:val="28"/>
          <w:lang w:val="pt-BR"/>
        </w:rPr>
        <w:t>Dự thảo Quyết định gồm</w:t>
      </w:r>
      <w:r w:rsidRPr="0082009C">
        <w:rPr>
          <w:rFonts w:eastAsia="Calibri"/>
          <w:sz w:val="28"/>
          <w:szCs w:val="28"/>
          <w:lang w:val="vi-VN"/>
        </w:rPr>
        <w:t xml:space="preserve"> </w:t>
      </w:r>
      <w:r w:rsidR="00C24073">
        <w:rPr>
          <w:rFonts w:eastAsia="Calibri"/>
          <w:b/>
          <w:sz w:val="28"/>
          <w:szCs w:val="28"/>
        </w:rPr>
        <w:t>03</w:t>
      </w:r>
      <w:r w:rsidR="00C24073">
        <w:rPr>
          <w:rFonts w:eastAsia="Calibri"/>
          <w:b/>
          <w:sz w:val="28"/>
          <w:szCs w:val="28"/>
          <w:lang w:val="vi-VN"/>
        </w:rPr>
        <w:t xml:space="preserve"> </w:t>
      </w:r>
      <w:r w:rsidR="00C24073">
        <w:rPr>
          <w:rFonts w:eastAsia="Calibri"/>
          <w:b/>
          <w:sz w:val="28"/>
          <w:szCs w:val="28"/>
        </w:rPr>
        <w:t>C</w:t>
      </w:r>
      <w:r w:rsidRPr="0082009C">
        <w:rPr>
          <w:rFonts w:eastAsia="Calibri"/>
          <w:b/>
          <w:sz w:val="28"/>
          <w:szCs w:val="28"/>
          <w:lang w:val="vi-VN"/>
        </w:rPr>
        <w:t>hương và</w:t>
      </w:r>
      <w:r w:rsidRPr="0082009C">
        <w:rPr>
          <w:rFonts w:eastAsia="Calibri"/>
          <w:b/>
          <w:sz w:val="28"/>
          <w:szCs w:val="28"/>
          <w:lang w:val="pt-BR"/>
        </w:rPr>
        <w:t xml:space="preserve"> </w:t>
      </w:r>
      <w:r w:rsidR="00973AF4">
        <w:rPr>
          <w:rFonts w:eastAsia="Calibri"/>
          <w:b/>
          <w:sz w:val="28"/>
          <w:szCs w:val="28"/>
          <w:lang w:val="pt-BR"/>
        </w:rPr>
        <w:t>20</w:t>
      </w:r>
      <w:r w:rsidRPr="0082009C">
        <w:rPr>
          <w:rFonts w:eastAsia="Calibri"/>
          <w:b/>
          <w:sz w:val="28"/>
          <w:szCs w:val="28"/>
          <w:lang w:val="pt-BR"/>
        </w:rPr>
        <w:t xml:space="preserve"> Điều</w:t>
      </w:r>
      <w:r w:rsidRPr="0082009C">
        <w:rPr>
          <w:rFonts w:eastAsia="Calibri"/>
          <w:sz w:val="28"/>
          <w:szCs w:val="28"/>
          <w:lang w:val="pt-BR"/>
        </w:rPr>
        <w:t>,</w:t>
      </w:r>
      <w:r w:rsidRPr="0082009C">
        <w:rPr>
          <w:rFonts w:eastAsia="Calibri"/>
          <w:sz w:val="28"/>
          <w:szCs w:val="28"/>
          <w:lang w:val="vi-VN"/>
        </w:rPr>
        <w:t xml:space="preserve"> cụ thể:</w:t>
      </w:r>
    </w:p>
    <w:p w:rsidR="00327962" w:rsidRDefault="009E35DC" w:rsidP="009E35DC">
      <w:pPr>
        <w:spacing w:after="120" w:line="340" w:lineRule="exact"/>
        <w:ind w:firstLine="709"/>
        <w:jc w:val="both"/>
        <w:rPr>
          <w:rFonts w:eastAsia="Calibri"/>
          <w:sz w:val="28"/>
          <w:szCs w:val="28"/>
        </w:rPr>
      </w:pPr>
      <w:r w:rsidRPr="0082009C">
        <w:rPr>
          <w:rFonts w:eastAsia="Calibri"/>
          <w:sz w:val="28"/>
          <w:szCs w:val="28"/>
          <w:lang w:val="vi-VN"/>
        </w:rPr>
        <w:lastRenderedPageBreak/>
        <w:t>-</w:t>
      </w:r>
      <w:r w:rsidRPr="0082009C">
        <w:rPr>
          <w:rFonts w:eastAsia="Calibri"/>
          <w:sz w:val="28"/>
          <w:szCs w:val="28"/>
        </w:rPr>
        <w:t xml:space="preserve"> </w:t>
      </w:r>
      <w:r w:rsidRPr="0082009C">
        <w:rPr>
          <w:rFonts w:eastAsia="Calibri"/>
          <w:sz w:val="28"/>
          <w:szCs w:val="28"/>
          <w:lang w:val="vi-VN"/>
        </w:rPr>
        <w:t xml:space="preserve">Chương 1: Quy định chung (từ Điều 1 đến Điều </w:t>
      </w:r>
      <w:r w:rsidR="00913470">
        <w:rPr>
          <w:rFonts w:eastAsia="Calibri"/>
          <w:sz w:val="28"/>
          <w:szCs w:val="28"/>
        </w:rPr>
        <w:t>6</w:t>
      </w:r>
      <w:r w:rsidRPr="0082009C">
        <w:rPr>
          <w:rFonts w:eastAsia="Calibri"/>
          <w:sz w:val="28"/>
          <w:szCs w:val="28"/>
          <w:lang w:val="vi-VN"/>
        </w:rPr>
        <w:t>)</w:t>
      </w:r>
      <w:r w:rsidRPr="0082009C">
        <w:rPr>
          <w:rFonts w:eastAsia="Calibri"/>
          <w:sz w:val="28"/>
          <w:szCs w:val="28"/>
          <w:lang w:val="pt-BR"/>
        </w:rPr>
        <w:t xml:space="preserve"> quy định các nội dung </w:t>
      </w:r>
      <w:r w:rsidRPr="0082009C">
        <w:rPr>
          <w:rFonts w:eastAsia="Calibri"/>
          <w:sz w:val="28"/>
          <w:szCs w:val="28"/>
          <w:lang w:val="vi-VN"/>
        </w:rPr>
        <w:t>về</w:t>
      </w:r>
      <w:r w:rsidR="00973AF4">
        <w:rPr>
          <w:rFonts w:eastAsia="Calibri"/>
          <w:sz w:val="28"/>
          <w:szCs w:val="28"/>
        </w:rPr>
        <w:t>:</w:t>
      </w:r>
      <w:r w:rsidRPr="0082009C">
        <w:rPr>
          <w:rFonts w:eastAsia="Calibri"/>
          <w:sz w:val="28"/>
          <w:szCs w:val="28"/>
          <w:lang w:val="vi-VN"/>
        </w:rPr>
        <w:t xml:space="preserve"> </w:t>
      </w:r>
      <w:r w:rsidR="00973AF4">
        <w:rPr>
          <w:rFonts w:eastAsia="Calibri"/>
          <w:sz w:val="28"/>
          <w:szCs w:val="28"/>
        </w:rPr>
        <w:t>P</w:t>
      </w:r>
      <w:r w:rsidRPr="0082009C">
        <w:rPr>
          <w:rFonts w:eastAsia="Calibri"/>
          <w:sz w:val="28"/>
          <w:szCs w:val="28"/>
          <w:lang w:val="pt-BR"/>
        </w:rPr>
        <w:t>hạm vi</w:t>
      </w:r>
      <w:r w:rsidRPr="0082009C">
        <w:rPr>
          <w:rFonts w:eastAsia="Calibri"/>
          <w:sz w:val="28"/>
          <w:szCs w:val="28"/>
          <w:lang w:val="vi-VN"/>
        </w:rPr>
        <w:t xml:space="preserve"> </w:t>
      </w:r>
      <w:r w:rsidRPr="0082009C">
        <w:rPr>
          <w:rFonts w:eastAsia="Calibri"/>
          <w:sz w:val="28"/>
          <w:szCs w:val="28"/>
        </w:rPr>
        <w:t>điều chỉnh</w:t>
      </w:r>
      <w:r w:rsidR="00973AF4">
        <w:rPr>
          <w:rFonts w:eastAsia="Calibri"/>
          <w:sz w:val="28"/>
          <w:szCs w:val="28"/>
        </w:rPr>
        <w:t>; Đ</w:t>
      </w:r>
      <w:r w:rsidRPr="0082009C">
        <w:rPr>
          <w:rFonts w:eastAsia="Calibri"/>
          <w:sz w:val="28"/>
          <w:szCs w:val="28"/>
          <w:lang w:val="vi-VN"/>
        </w:rPr>
        <w:t xml:space="preserve">ối tượng </w:t>
      </w:r>
      <w:r w:rsidRPr="0082009C">
        <w:rPr>
          <w:rFonts w:eastAsia="Calibri"/>
          <w:sz w:val="28"/>
          <w:szCs w:val="28"/>
        </w:rPr>
        <w:t>áp dụng</w:t>
      </w:r>
      <w:r w:rsidR="00973AF4">
        <w:rPr>
          <w:rFonts w:eastAsia="Calibri"/>
          <w:sz w:val="28"/>
          <w:szCs w:val="28"/>
        </w:rPr>
        <w:t>; G</w:t>
      </w:r>
      <w:r w:rsidRPr="0082009C">
        <w:rPr>
          <w:rFonts w:eastAsia="Calibri"/>
          <w:sz w:val="28"/>
          <w:szCs w:val="28"/>
          <w:lang w:val="vi-VN"/>
        </w:rPr>
        <w:t>iải thích từ ngữ</w:t>
      </w:r>
      <w:r w:rsidR="00973AF4">
        <w:rPr>
          <w:rFonts w:eastAsia="Calibri"/>
          <w:sz w:val="28"/>
          <w:szCs w:val="28"/>
        </w:rPr>
        <w:t>; N</w:t>
      </w:r>
      <w:r w:rsidRPr="0082009C">
        <w:rPr>
          <w:rFonts w:eastAsia="Calibri"/>
          <w:sz w:val="28"/>
          <w:szCs w:val="28"/>
          <w:lang w:val="vi-VN"/>
        </w:rPr>
        <w:t>guyên tắc xử lý rủi ro</w:t>
      </w:r>
      <w:r w:rsidR="00D263AF">
        <w:rPr>
          <w:rFonts w:eastAsia="Calibri"/>
          <w:sz w:val="28"/>
          <w:szCs w:val="28"/>
        </w:rPr>
        <w:t xml:space="preserve"> tín dụng</w:t>
      </w:r>
      <w:r w:rsidR="00973AF4">
        <w:rPr>
          <w:rFonts w:eastAsia="Calibri"/>
          <w:sz w:val="28"/>
          <w:szCs w:val="28"/>
        </w:rPr>
        <w:t>; C</w:t>
      </w:r>
      <w:r>
        <w:rPr>
          <w:rFonts w:eastAsia="Calibri"/>
          <w:sz w:val="28"/>
          <w:szCs w:val="28"/>
        </w:rPr>
        <w:t>ác trường hợp được xem xét xử lý rủi ro</w:t>
      </w:r>
      <w:r w:rsidR="00973AF4">
        <w:rPr>
          <w:rFonts w:eastAsia="Calibri"/>
          <w:sz w:val="28"/>
          <w:szCs w:val="28"/>
        </w:rPr>
        <w:t xml:space="preserve">; Hội đồng xử lý rủi ro; </w:t>
      </w:r>
    </w:p>
    <w:p w:rsidR="00327962" w:rsidRDefault="009E35DC" w:rsidP="009E35DC">
      <w:pPr>
        <w:spacing w:after="120" w:line="340" w:lineRule="exact"/>
        <w:ind w:firstLine="709"/>
        <w:jc w:val="both"/>
        <w:rPr>
          <w:rFonts w:eastAsia="Calibri"/>
          <w:sz w:val="28"/>
          <w:szCs w:val="28"/>
        </w:rPr>
      </w:pPr>
      <w:r w:rsidRPr="0082009C">
        <w:rPr>
          <w:rFonts w:eastAsia="Calibri"/>
          <w:sz w:val="28"/>
          <w:szCs w:val="28"/>
          <w:lang w:val="vi-VN"/>
        </w:rPr>
        <w:t xml:space="preserve">- Chương 2: </w:t>
      </w:r>
      <w:r w:rsidR="00327962">
        <w:rPr>
          <w:rFonts w:eastAsia="Calibri"/>
          <w:sz w:val="28"/>
          <w:szCs w:val="28"/>
        </w:rPr>
        <w:t>Quy định cụ thể về hoạt động xử lý rủi ro tín dụng của NHPT</w:t>
      </w:r>
      <w:r w:rsidR="0096722D">
        <w:rPr>
          <w:rFonts w:eastAsia="Calibri"/>
          <w:sz w:val="28"/>
          <w:szCs w:val="28"/>
        </w:rPr>
        <w:t xml:space="preserve"> (từ Điều 7 đến Điều 17)</w:t>
      </w:r>
      <w:r w:rsidR="00327962">
        <w:rPr>
          <w:rFonts w:eastAsia="Calibri"/>
          <w:sz w:val="28"/>
          <w:szCs w:val="28"/>
        </w:rPr>
        <w:t xml:space="preserve"> bao gồm: Nguyên tắc sử dụng quỹ dự phòng rủi ro tín dụng để xử lý rủi ro; Chuyển theo dõi ngoại bảng; Bán nợ và Chế độ thông tin báo cáo. </w:t>
      </w:r>
    </w:p>
    <w:p w:rsidR="00327962" w:rsidRPr="00327962" w:rsidRDefault="00327962" w:rsidP="009E35DC">
      <w:pPr>
        <w:spacing w:after="120" w:line="340" w:lineRule="exact"/>
        <w:ind w:firstLine="709"/>
        <w:jc w:val="both"/>
        <w:rPr>
          <w:rFonts w:eastAsia="Calibri"/>
          <w:sz w:val="28"/>
          <w:szCs w:val="28"/>
        </w:rPr>
      </w:pPr>
      <w:r>
        <w:rPr>
          <w:rFonts w:eastAsia="Calibri"/>
          <w:sz w:val="28"/>
          <w:szCs w:val="28"/>
        </w:rPr>
        <w:t xml:space="preserve">- Chương 3: </w:t>
      </w:r>
      <w:r w:rsidR="0096722D">
        <w:rPr>
          <w:rFonts w:eastAsia="Calibri"/>
          <w:sz w:val="28"/>
          <w:szCs w:val="28"/>
        </w:rPr>
        <w:t xml:space="preserve">Tổ chức thực hiện (từ Điều 18 đến Điều 20) quy định trách nhiệm các cơ quan, đơn vị liên quan; điều khoản </w:t>
      </w:r>
      <w:r w:rsidR="00521027">
        <w:rPr>
          <w:rFonts w:eastAsia="Calibri"/>
          <w:sz w:val="28"/>
          <w:szCs w:val="28"/>
        </w:rPr>
        <w:t xml:space="preserve">chuyển tiếp; điều khoản thi hành. </w:t>
      </w:r>
    </w:p>
    <w:p w:rsidR="00E57418" w:rsidRDefault="00E57418" w:rsidP="00E57418">
      <w:pPr>
        <w:spacing w:after="120" w:line="340" w:lineRule="exact"/>
        <w:ind w:firstLine="709"/>
        <w:jc w:val="both"/>
        <w:rPr>
          <w:rFonts w:eastAsia="Calibri"/>
          <w:b/>
          <w:sz w:val="28"/>
          <w:szCs w:val="28"/>
          <w:lang w:val="pt-BR"/>
        </w:rPr>
      </w:pPr>
      <w:r w:rsidRPr="00AC083C">
        <w:rPr>
          <w:rFonts w:eastAsia="Calibri"/>
          <w:b/>
          <w:sz w:val="28"/>
          <w:szCs w:val="28"/>
          <w:lang w:val="pt-BR"/>
        </w:rPr>
        <w:t xml:space="preserve">2. </w:t>
      </w:r>
      <w:r>
        <w:rPr>
          <w:rFonts w:eastAsia="Calibri"/>
          <w:b/>
          <w:sz w:val="28"/>
          <w:szCs w:val="28"/>
          <w:lang w:val="vi-VN"/>
        </w:rPr>
        <w:t xml:space="preserve">Một số </w:t>
      </w:r>
      <w:r>
        <w:rPr>
          <w:rFonts w:eastAsia="Calibri"/>
          <w:b/>
          <w:sz w:val="28"/>
          <w:szCs w:val="28"/>
          <w:lang w:val="pt-BR"/>
        </w:rPr>
        <w:t>n</w:t>
      </w:r>
      <w:r w:rsidRPr="00AC083C">
        <w:rPr>
          <w:rFonts w:eastAsia="Calibri"/>
          <w:b/>
          <w:sz w:val="28"/>
          <w:szCs w:val="28"/>
          <w:lang w:val="pt-BR"/>
        </w:rPr>
        <w:t xml:space="preserve">ội dung </w:t>
      </w:r>
      <w:r>
        <w:rPr>
          <w:rFonts w:eastAsia="Calibri"/>
          <w:b/>
          <w:sz w:val="28"/>
          <w:szCs w:val="28"/>
          <w:lang w:val="vi-VN"/>
        </w:rPr>
        <w:t>chính</w:t>
      </w:r>
      <w:r w:rsidRPr="00AC083C">
        <w:rPr>
          <w:rFonts w:eastAsia="Calibri"/>
          <w:b/>
          <w:sz w:val="28"/>
          <w:szCs w:val="28"/>
          <w:lang w:val="pt-BR"/>
        </w:rPr>
        <w:t xml:space="preserve"> của dự thảo Quyết định</w:t>
      </w:r>
    </w:p>
    <w:p w:rsidR="00E57418" w:rsidRPr="00B528D3" w:rsidRDefault="00E57418" w:rsidP="00E57418">
      <w:pPr>
        <w:spacing w:after="120" w:line="340" w:lineRule="exact"/>
        <w:ind w:firstLine="709"/>
        <w:jc w:val="both"/>
        <w:rPr>
          <w:rFonts w:eastAsia="Calibri"/>
          <w:b/>
          <w:bCs/>
          <w:i/>
          <w:sz w:val="28"/>
          <w:szCs w:val="28"/>
          <w:lang w:val="vi-VN"/>
        </w:rPr>
      </w:pPr>
      <w:r w:rsidRPr="00D51E44">
        <w:rPr>
          <w:rFonts w:eastAsia="Calibri"/>
          <w:b/>
          <w:bCs/>
          <w:i/>
          <w:sz w:val="28"/>
          <w:szCs w:val="28"/>
        </w:rPr>
        <w:t xml:space="preserve">2.1. Về phạm vi </w:t>
      </w:r>
      <w:r>
        <w:rPr>
          <w:rFonts w:eastAsia="Calibri"/>
          <w:b/>
          <w:bCs/>
          <w:i/>
          <w:sz w:val="28"/>
          <w:szCs w:val="28"/>
        </w:rPr>
        <w:t>điều chỉnh</w:t>
      </w:r>
      <w:r w:rsidRPr="00D51E44">
        <w:rPr>
          <w:rFonts w:eastAsia="Calibri"/>
          <w:b/>
          <w:bCs/>
          <w:i/>
          <w:sz w:val="28"/>
          <w:szCs w:val="28"/>
        </w:rPr>
        <w:t xml:space="preserve"> </w:t>
      </w:r>
      <w:r>
        <w:rPr>
          <w:rFonts w:eastAsia="Calibri"/>
          <w:b/>
          <w:bCs/>
          <w:i/>
          <w:sz w:val="28"/>
          <w:szCs w:val="28"/>
          <w:lang w:val="vi-VN"/>
        </w:rPr>
        <w:t>(Điều 1 dự thảo)</w:t>
      </w:r>
    </w:p>
    <w:p w:rsidR="007F0BF4" w:rsidRDefault="00D57F38" w:rsidP="00E57418">
      <w:pPr>
        <w:spacing w:after="120" w:line="340" w:lineRule="exact"/>
        <w:ind w:firstLine="709"/>
        <w:jc w:val="both"/>
        <w:rPr>
          <w:rFonts w:eastAsia="Calibri"/>
          <w:bCs/>
          <w:sz w:val="28"/>
          <w:szCs w:val="28"/>
        </w:rPr>
      </w:pPr>
      <w:r>
        <w:rPr>
          <w:rFonts w:eastAsia="Calibri"/>
          <w:bCs/>
          <w:sz w:val="28"/>
          <w:szCs w:val="28"/>
        </w:rPr>
        <w:t>- Bộ Tài chính</w:t>
      </w:r>
      <w:r w:rsidR="007304C2">
        <w:rPr>
          <w:rFonts w:eastAsia="Calibri"/>
          <w:bCs/>
          <w:sz w:val="28"/>
          <w:szCs w:val="28"/>
        </w:rPr>
        <w:t xml:space="preserve"> trình</w:t>
      </w:r>
      <w:r>
        <w:rPr>
          <w:rFonts w:eastAsia="Calibri"/>
          <w:bCs/>
          <w:sz w:val="28"/>
          <w:szCs w:val="28"/>
        </w:rPr>
        <w:t xml:space="preserve"> Thủ tướng Chính phủ quy định phạm vi điều chỉnh của dự thảo Quyết định là </w:t>
      </w:r>
      <w:r w:rsidR="00682988">
        <w:rPr>
          <w:rFonts w:eastAsia="Calibri"/>
          <w:bCs/>
          <w:sz w:val="28"/>
          <w:szCs w:val="28"/>
        </w:rPr>
        <w:t xml:space="preserve">cơ chế xử lý rủi ro tín dụng đối với các khoản nợ vay mà </w:t>
      </w:r>
      <w:r w:rsidR="00682988" w:rsidRPr="00D13FE8">
        <w:rPr>
          <w:rFonts w:eastAsia="Calibri"/>
          <w:bCs/>
          <w:sz w:val="28"/>
          <w:szCs w:val="28"/>
          <w:u w:val="single"/>
        </w:rPr>
        <w:t>NHPT chịu rủi ro tín dụng</w:t>
      </w:r>
      <w:r w:rsidR="00130C64">
        <w:rPr>
          <w:rFonts w:eastAsia="Calibri"/>
          <w:bCs/>
          <w:sz w:val="28"/>
          <w:szCs w:val="28"/>
        </w:rPr>
        <w:t>, gồm</w:t>
      </w:r>
      <w:r w:rsidR="00682988">
        <w:rPr>
          <w:rFonts w:eastAsia="Calibri"/>
          <w:bCs/>
          <w:sz w:val="28"/>
          <w:szCs w:val="28"/>
        </w:rPr>
        <w:t xml:space="preserve">: </w:t>
      </w:r>
    </w:p>
    <w:p w:rsidR="007F0BF4" w:rsidRDefault="00682988" w:rsidP="00E57418">
      <w:pPr>
        <w:spacing w:after="120" w:line="340" w:lineRule="exact"/>
        <w:ind w:firstLine="709"/>
        <w:jc w:val="both"/>
        <w:rPr>
          <w:rFonts w:eastAsia="Calibri"/>
          <w:bCs/>
          <w:sz w:val="28"/>
          <w:szCs w:val="28"/>
        </w:rPr>
      </w:pPr>
      <w:r>
        <w:rPr>
          <w:rFonts w:eastAsia="Calibri"/>
          <w:bCs/>
          <w:sz w:val="28"/>
          <w:szCs w:val="28"/>
        </w:rPr>
        <w:t xml:space="preserve">(i) </w:t>
      </w:r>
      <w:r w:rsidR="00130C64">
        <w:rPr>
          <w:rFonts w:eastAsia="Calibri"/>
          <w:bCs/>
          <w:sz w:val="28"/>
          <w:szCs w:val="28"/>
        </w:rPr>
        <w:t>Khoản nợ</w:t>
      </w:r>
      <w:r>
        <w:rPr>
          <w:rFonts w:eastAsia="Calibri"/>
          <w:bCs/>
          <w:sz w:val="28"/>
          <w:szCs w:val="28"/>
        </w:rPr>
        <w:t xml:space="preserve"> vay tín dụng đầu tư và tín dụng xuất khẩu của Nhà nướ</w:t>
      </w:r>
      <w:r w:rsidR="007F0BF4">
        <w:rPr>
          <w:rFonts w:eastAsia="Calibri"/>
          <w:bCs/>
          <w:sz w:val="28"/>
          <w:szCs w:val="28"/>
        </w:rPr>
        <w:t xml:space="preserve">c bao gồm: </w:t>
      </w:r>
      <w:r w:rsidR="00130C64">
        <w:rPr>
          <w:rFonts w:eastAsia="Calibri"/>
          <w:bCs/>
          <w:sz w:val="28"/>
          <w:szCs w:val="28"/>
          <w:lang w:val="da-DK"/>
        </w:rPr>
        <w:t>Khoản nợ</w:t>
      </w:r>
      <w:r w:rsidR="007F0BF4" w:rsidRPr="007F0BF4">
        <w:rPr>
          <w:rFonts w:eastAsia="Calibri"/>
          <w:bCs/>
          <w:sz w:val="28"/>
          <w:szCs w:val="28"/>
          <w:lang w:val="da-DK"/>
        </w:rPr>
        <w:t xml:space="preserve"> vay theo quy định của Chính phủ về chính sách tín dụng đầu tư và tín dụng xuất khẩu của Nhà nước</w:t>
      </w:r>
      <w:r w:rsidR="007F0BF4">
        <w:rPr>
          <w:rFonts w:eastAsia="Calibri"/>
          <w:bCs/>
          <w:sz w:val="28"/>
          <w:szCs w:val="28"/>
          <w:lang w:val="da-DK"/>
        </w:rPr>
        <w:t xml:space="preserve">; </w:t>
      </w:r>
      <w:r w:rsidR="00130C64">
        <w:rPr>
          <w:rFonts w:eastAsia="Calibri"/>
          <w:bCs/>
          <w:sz w:val="28"/>
          <w:szCs w:val="28"/>
          <w:lang w:val="da-DK"/>
        </w:rPr>
        <w:t>Khoản nợ</w:t>
      </w:r>
      <w:r w:rsidR="007F0BF4" w:rsidRPr="007F0BF4">
        <w:rPr>
          <w:rFonts w:eastAsia="Calibri"/>
          <w:bCs/>
          <w:sz w:val="28"/>
          <w:szCs w:val="28"/>
          <w:lang w:val="da-DK"/>
        </w:rPr>
        <w:t xml:space="preserve"> vay theo chương trình, dự án do Chính phủ, Thủ tướng Chính phủ giao mà </w:t>
      </w:r>
      <w:r w:rsidR="00B54DDF">
        <w:rPr>
          <w:rFonts w:eastAsia="Calibri"/>
          <w:bCs/>
          <w:sz w:val="28"/>
          <w:szCs w:val="28"/>
          <w:lang w:val="da-DK"/>
        </w:rPr>
        <w:t>NHPT</w:t>
      </w:r>
      <w:r w:rsidR="007F0BF4" w:rsidRPr="007F0BF4">
        <w:rPr>
          <w:rFonts w:eastAsia="Calibri"/>
          <w:bCs/>
          <w:sz w:val="28"/>
          <w:szCs w:val="28"/>
          <w:lang w:val="da-DK"/>
        </w:rPr>
        <w:t xml:space="preserve"> được ngân sách nhà nước cấp bù lãi suất và/hoặc phí quản lý;</w:t>
      </w:r>
      <w:r w:rsidR="007F0BF4">
        <w:rPr>
          <w:rFonts w:eastAsia="Calibri"/>
          <w:bCs/>
          <w:sz w:val="28"/>
          <w:szCs w:val="28"/>
          <w:lang w:val="da-DK"/>
        </w:rPr>
        <w:t xml:space="preserve"> </w:t>
      </w:r>
      <w:r w:rsidR="00130C64">
        <w:rPr>
          <w:rFonts w:eastAsia="Calibri"/>
          <w:bCs/>
          <w:sz w:val="28"/>
          <w:szCs w:val="28"/>
          <w:lang w:val="da-DK"/>
        </w:rPr>
        <w:t>K</w:t>
      </w:r>
      <w:r w:rsidR="007F0BF4" w:rsidRPr="007F0BF4">
        <w:rPr>
          <w:rFonts w:eastAsia="Calibri"/>
          <w:bCs/>
          <w:sz w:val="28"/>
          <w:szCs w:val="28"/>
          <w:lang w:val="da-DK"/>
        </w:rPr>
        <w:t xml:space="preserve">hoản nợ vay </w:t>
      </w:r>
      <w:r w:rsidR="00B54DDF">
        <w:rPr>
          <w:rFonts w:eastAsia="Calibri"/>
          <w:bCs/>
          <w:sz w:val="28"/>
          <w:szCs w:val="28"/>
          <w:lang w:val="da-DK"/>
        </w:rPr>
        <w:t>NHPT</w:t>
      </w:r>
      <w:r w:rsidR="007F0BF4" w:rsidRPr="007F0BF4">
        <w:rPr>
          <w:rFonts w:eastAsia="Calibri"/>
          <w:bCs/>
          <w:sz w:val="28"/>
          <w:szCs w:val="28"/>
          <w:lang w:val="da-DK"/>
        </w:rPr>
        <w:t xml:space="preserve"> nhận </w:t>
      </w:r>
      <w:r w:rsidR="00D13FE8">
        <w:rPr>
          <w:rFonts w:eastAsia="Calibri"/>
          <w:bCs/>
          <w:sz w:val="28"/>
          <w:szCs w:val="28"/>
          <w:lang w:val="da-DK"/>
        </w:rPr>
        <w:t>bàn giao</w:t>
      </w:r>
      <w:r w:rsidR="007F0BF4" w:rsidRPr="007F0BF4">
        <w:rPr>
          <w:rFonts w:eastAsia="Calibri"/>
          <w:bCs/>
          <w:sz w:val="28"/>
          <w:szCs w:val="28"/>
          <w:lang w:val="da-DK"/>
        </w:rPr>
        <w:t xml:space="preserve"> từ tổ chức tiền thân</w:t>
      </w:r>
      <w:r w:rsidR="007F0BF4">
        <w:rPr>
          <w:rFonts w:eastAsia="Calibri"/>
          <w:bCs/>
          <w:sz w:val="28"/>
          <w:szCs w:val="28"/>
          <w:lang w:val="da-DK"/>
        </w:rPr>
        <w:t xml:space="preserve">. </w:t>
      </w:r>
    </w:p>
    <w:p w:rsidR="007F0BF4" w:rsidRDefault="00682988" w:rsidP="00E57418">
      <w:pPr>
        <w:spacing w:after="120" w:line="340" w:lineRule="exact"/>
        <w:ind w:firstLine="709"/>
        <w:jc w:val="both"/>
        <w:rPr>
          <w:rFonts w:eastAsia="Calibri"/>
          <w:bCs/>
          <w:sz w:val="28"/>
          <w:szCs w:val="28"/>
        </w:rPr>
      </w:pPr>
      <w:r>
        <w:rPr>
          <w:rFonts w:eastAsia="Calibri"/>
          <w:bCs/>
          <w:sz w:val="28"/>
          <w:szCs w:val="28"/>
        </w:rPr>
        <w:t xml:space="preserve">(ii) </w:t>
      </w:r>
      <w:r w:rsidR="00D72E0B">
        <w:rPr>
          <w:rFonts w:eastAsia="Calibri"/>
          <w:bCs/>
          <w:sz w:val="28"/>
          <w:szCs w:val="28"/>
        </w:rPr>
        <w:t xml:space="preserve">Khoản nợ vay bắt buộc bảo lãnh cho các </w:t>
      </w:r>
      <w:r>
        <w:rPr>
          <w:rFonts w:eastAsia="Calibri"/>
          <w:bCs/>
          <w:sz w:val="28"/>
          <w:szCs w:val="28"/>
        </w:rPr>
        <w:t xml:space="preserve">doanh nghiệp nhỏ và vừa vay vốn tại ngân hàng thương mại; </w:t>
      </w:r>
    </w:p>
    <w:p w:rsidR="00D57F38" w:rsidRPr="00BC4BF0" w:rsidRDefault="00682988" w:rsidP="00BC4BF0">
      <w:pPr>
        <w:spacing w:after="120" w:line="340" w:lineRule="exact"/>
        <w:ind w:firstLine="709"/>
        <w:jc w:val="both"/>
        <w:rPr>
          <w:rFonts w:eastAsia="Calibri"/>
          <w:bCs/>
          <w:sz w:val="28"/>
          <w:szCs w:val="28"/>
          <w:lang w:val="da-DK"/>
        </w:rPr>
      </w:pPr>
      <w:r>
        <w:rPr>
          <w:rFonts w:eastAsia="Calibri"/>
          <w:bCs/>
          <w:sz w:val="28"/>
          <w:szCs w:val="28"/>
        </w:rPr>
        <w:t xml:space="preserve">(iii) </w:t>
      </w:r>
      <w:r w:rsidR="00CE46A3">
        <w:rPr>
          <w:rFonts w:eastAsia="Calibri"/>
          <w:bCs/>
          <w:sz w:val="28"/>
          <w:szCs w:val="28"/>
        </w:rPr>
        <w:t xml:space="preserve">Khoản nợ </w:t>
      </w:r>
      <w:r w:rsidR="00E978F3">
        <w:rPr>
          <w:rFonts w:eastAsia="Calibri"/>
          <w:bCs/>
          <w:sz w:val="28"/>
          <w:szCs w:val="28"/>
        </w:rPr>
        <w:t>vay khác củ</w:t>
      </w:r>
      <w:r w:rsidR="00BC4BF0">
        <w:rPr>
          <w:rFonts w:eastAsia="Calibri"/>
          <w:bCs/>
          <w:sz w:val="28"/>
          <w:szCs w:val="28"/>
        </w:rPr>
        <w:t xml:space="preserve">a NHPT bao gồm: </w:t>
      </w:r>
      <w:r w:rsidR="00BC4BF0" w:rsidRPr="00BC4BF0">
        <w:rPr>
          <w:rFonts w:eastAsia="Calibri"/>
          <w:bCs/>
          <w:sz w:val="28"/>
          <w:szCs w:val="28"/>
          <w:lang w:val="da-DK"/>
        </w:rPr>
        <w:t xml:space="preserve">Cho vay lại vốn vay ODA, vay ưu đãi nước ngoài của Chính phủ do </w:t>
      </w:r>
      <w:r w:rsidR="00BC4BF0">
        <w:rPr>
          <w:rFonts w:eastAsia="Calibri"/>
          <w:bCs/>
          <w:sz w:val="28"/>
          <w:szCs w:val="28"/>
          <w:lang w:val="da-DK"/>
        </w:rPr>
        <w:t>NHPT</w:t>
      </w:r>
      <w:r w:rsidR="00BC4BF0" w:rsidRPr="00BC4BF0">
        <w:rPr>
          <w:rFonts w:eastAsia="Calibri"/>
          <w:bCs/>
          <w:sz w:val="28"/>
          <w:szCs w:val="28"/>
          <w:lang w:val="da-DK"/>
        </w:rPr>
        <w:t xml:space="preserve"> chịu rủi ro tín dụ</w:t>
      </w:r>
      <w:r w:rsidR="00BC4BF0">
        <w:rPr>
          <w:rFonts w:eastAsia="Calibri"/>
          <w:bCs/>
          <w:sz w:val="28"/>
          <w:szCs w:val="28"/>
          <w:lang w:val="da-DK"/>
        </w:rPr>
        <w:t xml:space="preserve">ng và </w:t>
      </w:r>
      <w:r w:rsidR="00BC4BF0" w:rsidRPr="00BC4BF0">
        <w:rPr>
          <w:rFonts w:eastAsia="Calibri"/>
          <w:bCs/>
          <w:sz w:val="28"/>
          <w:szCs w:val="28"/>
          <w:lang w:val="da-DK"/>
        </w:rPr>
        <w:t xml:space="preserve">Cho vay khác mà </w:t>
      </w:r>
      <w:r w:rsidR="00BC4BF0">
        <w:rPr>
          <w:rFonts w:eastAsia="Calibri"/>
          <w:bCs/>
          <w:sz w:val="28"/>
          <w:szCs w:val="28"/>
          <w:lang w:val="da-DK"/>
        </w:rPr>
        <w:t>NHPT</w:t>
      </w:r>
      <w:r w:rsidR="00BC4BF0" w:rsidRPr="00BC4BF0">
        <w:rPr>
          <w:rFonts w:eastAsia="Calibri"/>
          <w:bCs/>
          <w:sz w:val="28"/>
          <w:szCs w:val="28"/>
          <w:lang w:val="da-DK"/>
        </w:rPr>
        <w:t xml:space="preserve"> không được ngân sách nhà nước cấp bù lãi suất và phí quản lý</w:t>
      </w:r>
      <w:r w:rsidR="00BC4BF0">
        <w:rPr>
          <w:rFonts w:eastAsia="Calibri"/>
          <w:bCs/>
          <w:sz w:val="28"/>
          <w:szCs w:val="28"/>
          <w:lang w:val="da-DK"/>
        </w:rPr>
        <w:t xml:space="preserve">. </w:t>
      </w:r>
    </w:p>
    <w:p w:rsidR="00E57418" w:rsidRDefault="00D86C18" w:rsidP="00E57418">
      <w:pPr>
        <w:pStyle w:val="NormalWeb"/>
        <w:spacing w:after="120" w:line="340" w:lineRule="exact"/>
        <w:ind w:firstLine="709"/>
        <w:jc w:val="both"/>
        <w:rPr>
          <w:rFonts w:eastAsia="Calibri"/>
          <w:bCs/>
          <w:sz w:val="28"/>
          <w:szCs w:val="28"/>
        </w:rPr>
      </w:pPr>
      <w:r>
        <w:rPr>
          <w:rFonts w:eastAsia="Calibri"/>
          <w:bCs/>
          <w:sz w:val="28"/>
          <w:szCs w:val="28"/>
          <w:lang w:val="en-US"/>
        </w:rPr>
        <w:t xml:space="preserve">- </w:t>
      </w:r>
      <w:r w:rsidR="00E57418">
        <w:rPr>
          <w:rFonts w:eastAsia="Calibri"/>
          <w:bCs/>
          <w:sz w:val="28"/>
          <w:szCs w:val="28"/>
        </w:rPr>
        <w:t>Việc quy định phạm vi điều chỉnh như trên đ</w:t>
      </w:r>
      <w:r w:rsidR="00E57418" w:rsidRPr="00ED7877">
        <w:rPr>
          <w:rFonts w:eastAsia="Calibri"/>
          <w:bCs/>
          <w:sz w:val="28"/>
          <w:szCs w:val="28"/>
        </w:rPr>
        <w:t xml:space="preserve">ể </w:t>
      </w:r>
      <w:r w:rsidR="00E57418">
        <w:rPr>
          <w:rFonts w:eastAsia="Calibri"/>
          <w:bCs/>
          <w:sz w:val="28"/>
          <w:szCs w:val="28"/>
        </w:rPr>
        <w:t>b</w:t>
      </w:r>
      <w:r w:rsidR="00E57418" w:rsidRPr="000D50C6">
        <w:rPr>
          <w:rFonts w:eastAsia="Calibri"/>
          <w:bCs/>
          <w:sz w:val="28"/>
          <w:szCs w:val="28"/>
        </w:rPr>
        <w:t>ao quát toàn bộ các</w:t>
      </w:r>
      <w:r w:rsidR="00E57418">
        <w:rPr>
          <w:rFonts w:eastAsia="Calibri"/>
          <w:bCs/>
          <w:sz w:val="28"/>
          <w:szCs w:val="28"/>
        </w:rPr>
        <w:t xml:space="preserve"> </w:t>
      </w:r>
      <w:r w:rsidR="00E57418" w:rsidRPr="000D50C6">
        <w:rPr>
          <w:rFonts w:eastAsia="Calibri"/>
          <w:bCs/>
          <w:sz w:val="28"/>
          <w:szCs w:val="28"/>
        </w:rPr>
        <w:t xml:space="preserve">khoản nợ </w:t>
      </w:r>
      <w:r w:rsidR="00E57418" w:rsidRPr="00C21CA6">
        <w:rPr>
          <w:rFonts w:eastAsia="Calibri"/>
          <w:sz w:val="28"/>
          <w:szCs w:val="28"/>
          <w:lang w:val="da-DK" w:bidi="vi-VN"/>
        </w:rPr>
        <w:t>nợ vay chịu rủi ro tín dụng bị rủi ro</w:t>
      </w:r>
      <w:r w:rsidR="00E57418" w:rsidRPr="00C21CA6">
        <w:rPr>
          <w:rFonts w:eastAsia="Calibri"/>
          <w:sz w:val="28"/>
          <w:szCs w:val="28"/>
          <w:lang w:bidi="vi-VN"/>
        </w:rPr>
        <w:t xml:space="preserve"> </w:t>
      </w:r>
      <w:r w:rsidR="00E57418" w:rsidRPr="000D50C6">
        <w:rPr>
          <w:rFonts w:eastAsia="Calibri"/>
          <w:bCs/>
          <w:sz w:val="28"/>
          <w:szCs w:val="28"/>
        </w:rPr>
        <w:t xml:space="preserve">phát sinh trong </w:t>
      </w:r>
      <w:r w:rsidR="00E57418">
        <w:rPr>
          <w:rFonts w:eastAsia="Calibri"/>
          <w:bCs/>
          <w:sz w:val="28"/>
          <w:szCs w:val="28"/>
        </w:rPr>
        <w:t xml:space="preserve">suốt </w:t>
      </w:r>
      <w:r w:rsidR="00E57418" w:rsidRPr="000D50C6">
        <w:rPr>
          <w:rFonts w:eastAsia="Calibri"/>
          <w:bCs/>
          <w:sz w:val="28"/>
          <w:szCs w:val="28"/>
        </w:rPr>
        <w:t>quá trình hoạt động của NHPT</w:t>
      </w:r>
      <w:r w:rsidR="00E57418">
        <w:rPr>
          <w:rFonts w:eastAsia="Calibri"/>
          <w:bCs/>
          <w:sz w:val="28"/>
          <w:szCs w:val="28"/>
        </w:rPr>
        <w:t xml:space="preserve"> (</w:t>
      </w:r>
      <w:r w:rsidR="00E57418" w:rsidRPr="000D50C6">
        <w:rPr>
          <w:rFonts w:eastAsia="Calibri"/>
          <w:bCs/>
          <w:sz w:val="28"/>
          <w:szCs w:val="28"/>
        </w:rPr>
        <w:t>gồm cả các khoản nợ xấu phát sinh giai đoạn trước khi cơ chế xử lý rủi ro tín dụng được ban hành</w:t>
      </w:r>
      <w:r w:rsidR="00E57418">
        <w:rPr>
          <w:rFonts w:eastAsia="Calibri"/>
          <w:bCs/>
          <w:sz w:val="28"/>
          <w:szCs w:val="28"/>
        </w:rPr>
        <w:t>)</w:t>
      </w:r>
      <w:r w:rsidR="00E57418" w:rsidRPr="000D50C6">
        <w:rPr>
          <w:rFonts w:eastAsia="Calibri"/>
          <w:bCs/>
          <w:sz w:val="28"/>
          <w:szCs w:val="28"/>
        </w:rPr>
        <w:t>.</w:t>
      </w:r>
      <w:r w:rsidR="00E57418">
        <w:rPr>
          <w:rFonts w:eastAsia="Calibri"/>
          <w:bCs/>
          <w:sz w:val="28"/>
          <w:szCs w:val="28"/>
        </w:rPr>
        <w:t xml:space="preserve"> </w:t>
      </w:r>
      <w:r w:rsidR="00E57418" w:rsidRPr="007C11F9">
        <w:rPr>
          <w:rFonts w:eastAsia="Calibri"/>
          <w:bCs/>
          <w:sz w:val="28"/>
          <w:szCs w:val="28"/>
          <w:u w:val="single"/>
        </w:rPr>
        <w:t>Phạm vi điều chỉnh của dự thảo Quyết định đã được Bộ Chính trị đồ</w:t>
      </w:r>
      <w:r w:rsidR="00E57418">
        <w:rPr>
          <w:rFonts w:eastAsia="Calibri"/>
          <w:bCs/>
          <w:sz w:val="28"/>
          <w:szCs w:val="28"/>
          <w:u w:val="single"/>
        </w:rPr>
        <w:t>ng ý</w:t>
      </w:r>
      <w:r w:rsidR="00E57418" w:rsidRPr="007C11F9">
        <w:rPr>
          <w:rFonts w:eastAsia="Calibri"/>
          <w:bCs/>
          <w:sz w:val="28"/>
          <w:szCs w:val="28"/>
          <w:u w:val="single"/>
        </w:rPr>
        <w:t xml:space="preserve"> chủ trương</w:t>
      </w:r>
      <w:r w:rsidR="00E57418">
        <w:rPr>
          <w:rFonts w:eastAsia="Calibri"/>
          <w:bCs/>
          <w:sz w:val="28"/>
          <w:szCs w:val="28"/>
        </w:rPr>
        <w:t xml:space="preserve"> theo đề xuất của Ban cán sự đảng Bộ Tài chính tại Tờ trình báo cáo Bộ Chính trị về tình hình cơ cấu lại, định hướng hoạt động và xử lý rủi ro tín dụng tại NHPT.</w:t>
      </w:r>
      <w:r w:rsidR="00E57418" w:rsidRPr="00ED7877">
        <w:rPr>
          <w:rFonts w:eastAsia="Calibri"/>
          <w:bCs/>
          <w:sz w:val="28"/>
          <w:szCs w:val="28"/>
        </w:rPr>
        <w:t xml:space="preserve"> </w:t>
      </w:r>
    </w:p>
    <w:p w:rsidR="0076755E" w:rsidRDefault="0076755E" w:rsidP="00E57418">
      <w:pPr>
        <w:spacing w:after="120" w:line="340" w:lineRule="exact"/>
        <w:ind w:firstLine="709"/>
        <w:jc w:val="both"/>
        <w:rPr>
          <w:rFonts w:eastAsia="Calibri"/>
          <w:b/>
          <w:bCs/>
          <w:i/>
          <w:sz w:val="28"/>
          <w:szCs w:val="28"/>
        </w:rPr>
      </w:pPr>
      <w:r>
        <w:rPr>
          <w:rFonts w:eastAsia="Calibri"/>
          <w:b/>
          <w:bCs/>
          <w:i/>
          <w:sz w:val="28"/>
          <w:szCs w:val="28"/>
        </w:rPr>
        <w:t>2.2. Về nguyên tắ</w:t>
      </w:r>
      <w:r w:rsidR="00D14093">
        <w:rPr>
          <w:rFonts w:eastAsia="Calibri"/>
          <w:b/>
          <w:bCs/>
          <w:i/>
          <w:sz w:val="28"/>
          <w:szCs w:val="28"/>
        </w:rPr>
        <w:t xml:space="preserve">c và </w:t>
      </w:r>
      <w:r w:rsidR="00B6430C">
        <w:rPr>
          <w:rFonts w:eastAsia="Calibri"/>
          <w:b/>
          <w:bCs/>
          <w:i/>
          <w:sz w:val="28"/>
          <w:szCs w:val="28"/>
        </w:rPr>
        <w:t>điều kiện</w:t>
      </w:r>
      <w:r w:rsidR="00D14093">
        <w:rPr>
          <w:rFonts w:eastAsia="Calibri"/>
          <w:b/>
          <w:bCs/>
          <w:i/>
          <w:sz w:val="28"/>
          <w:szCs w:val="28"/>
        </w:rPr>
        <w:t xml:space="preserve"> được xem xét xử lý rủi ro tín dụng (Điều 4 và Điều 5 dự thảo Quyết định)</w:t>
      </w:r>
    </w:p>
    <w:p w:rsidR="00D26C1E" w:rsidRDefault="00D26C1E" w:rsidP="00E57418">
      <w:pPr>
        <w:spacing w:after="120" w:line="340" w:lineRule="exact"/>
        <w:ind w:firstLine="709"/>
        <w:jc w:val="both"/>
        <w:rPr>
          <w:rFonts w:eastAsia="Calibri"/>
          <w:bCs/>
          <w:sz w:val="28"/>
          <w:szCs w:val="28"/>
        </w:rPr>
      </w:pPr>
      <w:r>
        <w:rPr>
          <w:rFonts w:eastAsia="Calibri"/>
          <w:bCs/>
          <w:sz w:val="28"/>
          <w:szCs w:val="28"/>
        </w:rPr>
        <w:t xml:space="preserve">- Về nguyên tắc xử lý rủi ro tín dụng: </w:t>
      </w:r>
      <w:r w:rsidR="002E036B">
        <w:rPr>
          <w:rFonts w:eastAsia="Calibri"/>
          <w:bCs/>
          <w:sz w:val="28"/>
          <w:szCs w:val="28"/>
        </w:rPr>
        <w:t xml:space="preserve">Dự thảo Quyết định quy định một số nguyên tắc về xử lý rủi ro tín dụng của NHPT đảm bảo phù hợp với quy định tại dự thảo Nghị định sửa đổi, bổ sung Nghị định số 32/2017/NĐ-CP về tín dụng đầu </w:t>
      </w:r>
      <w:r w:rsidR="002E036B">
        <w:rPr>
          <w:rFonts w:eastAsia="Calibri"/>
          <w:bCs/>
          <w:sz w:val="28"/>
          <w:szCs w:val="28"/>
        </w:rPr>
        <w:lastRenderedPageBreak/>
        <w:t>tư của Nhà nước</w:t>
      </w:r>
      <w:r w:rsidR="00B536DB">
        <w:rPr>
          <w:rStyle w:val="FootnoteReference"/>
          <w:rFonts w:eastAsia="Calibri"/>
          <w:bCs/>
          <w:sz w:val="28"/>
          <w:szCs w:val="28"/>
        </w:rPr>
        <w:footnoteReference w:id="4"/>
      </w:r>
      <w:r w:rsidR="00B536DB">
        <w:rPr>
          <w:rFonts w:eastAsia="Calibri"/>
          <w:bCs/>
          <w:sz w:val="28"/>
          <w:szCs w:val="28"/>
        </w:rPr>
        <w:t xml:space="preserve">. Theo đó, </w:t>
      </w:r>
      <w:r w:rsidR="00092FE5">
        <w:rPr>
          <w:rFonts w:eastAsia="Calibri"/>
          <w:bCs/>
          <w:sz w:val="28"/>
          <w:szCs w:val="28"/>
        </w:rPr>
        <w:t>việc xử lý rủi ro tín dụng của NHPT phải đảm bảo: (i) Thực</w:t>
      </w:r>
      <w:r w:rsidR="00092FE5" w:rsidRPr="00092FE5">
        <w:rPr>
          <w:rFonts w:eastAsia="Calibri"/>
          <w:bCs/>
          <w:sz w:val="28"/>
          <w:szCs w:val="28"/>
        </w:rPr>
        <w:t xml:space="preserve"> hiện theo đúng quy định của pháp luật, đảm bảo đầy đủ điều kiện, hồ sơ, tài liệu theo quy định của pháp luật</w:t>
      </w:r>
      <w:r w:rsidR="00092FE5">
        <w:rPr>
          <w:rFonts w:eastAsia="Calibri"/>
          <w:bCs/>
          <w:sz w:val="28"/>
          <w:szCs w:val="28"/>
        </w:rPr>
        <w:t>; (ii) G</w:t>
      </w:r>
      <w:r w:rsidR="00092FE5" w:rsidRPr="00092FE5">
        <w:rPr>
          <w:rFonts w:eastAsia="Calibri"/>
          <w:bCs/>
          <w:sz w:val="28"/>
          <w:szCs w:val="28"/>
        </w:rPr>
        <w:t xml:space="preserve">ắn trách nhiệm của </w:t>
      </w:r>
      <w:r w:rsidR="00092FE5">
        <w:rPr>
          <w:rFonts w:eastAsia="Calibri"/>
          <w:bCs/>
          <w:sz w:val="28"/>
          <w:szCs w:val="28"/>
        </w:rPr>
        <w:t>NHPT</w:t>
      </w:r>
      <w:r w:rsidR="00092FE5" w:rsidRPr="00092FE5">
        <w:rPr>
          <w:rFonts w:eastAsia="Calibri"/>
          <w:bCs/>
          <w:sz w:val="28"/>
          <w:szCs w:val="28"/>
        </w:rPr>
        <w:t>, khách hàng vay vốn và các tổ chức, cá nhân có liên quan trong việc cho vay, thu hồi và xử lý nợ vay</w:t>
      </w:r>
      <w:r w:rsidR="00092FE5">
        <w:rPr>
          <w:rFonts w:eastAsia="Calibri"/>
          <w:bCs/>
          <w:sz w:val="28"/>
          <w:szCs w:val="28"/>
        </w:rPr>
        <w:t xml:space="preserve">; (iii) NHPT sử dụng quỹ dự phòng rủi ro tín dụng để xử lý rủi ro. </w:t>
      </w:r>
      <w:r w:rsidR="00004F2B">
        <w:rPr>
          <w:rFonts w:eastAsia="Calibri"/>
          <w:bCs/>
          <w:sz w:val="28"/>
          <w:szCs w:val="28"/>
        </w:rPr>
        <w:t xml:space="preserve">Ngoài ra, </w:t>
      </w:r>
      <w:r w:rsidR="00004F2B">
        <w:rPr>
          <w:rFonts w:eastAsia="Calibri"/>
          <w:bCs/>
          <w:sz w:val="28"/>
          <w:szCs w:val="28"/>
          <w:lang w:val="da-DK"/>
        </w:rPr>
        <w:t>c</w:t>
      </w:r>
      <w:r w:rsidR="00004F2B" w:rsidRPr="00004F2B">
        <w:rPr>
          <w:rFonts w:eastAsia="Calibri"/>
          <w:bCs/>
          <w:sz w:val="28"/>
          <w:szCs w:val="28"/>
          <w:lang w:val="da-DK"/>
        </w:rPr>
        <w:t xml:space="preserve">ác tổ chức, cá nhân có hành vi vi phạm pháp luật để xảy ra </w:t>
      </w:r>
      <w:r w:rsidR="00004F2B" w:rsidRPr="00004F2B">
        <w:rPr>
          <w:rFonts w:eastAsia="Calibri"/>
          <w:bCs/>
          <w:sz w:val="28"/>
          <w:szCs w:val="28"/>
          <w:lang w:val="vi-VN"/>
        </w:rPr>
        <w:t>rủi ro tín dụng</w:t>
      </w:r>
      <w:r w:rsidR="00004F2B" w:rsidRPr="00004F2B">
        <w:rPr>
          <w:rFonts w:eastAsia="Calibri"/>
          <w:bCs/>
          <w:sz w:val="28"/>
          <w:szCs w:val="28"/>
          <w:lang w:val="da-DK"/>
        </w:rPr>
        <w:t xml:space="preserve"> và/hoặc vi phạm trong quá trình xử lý nợ bị rủi ro tín dụng phải chịu trách nhiệm</w:t>
      </w:r>
      <w:r w:rsidR="00004F2B">
        <w:rPr>
          <w:rFonts w:eastAsia="Calibri"/>
          <w:bCs/>
          <w:sz w:val="28"/>
          <w:szCs w:val="28"/>
          <w:lang w:val="da-DK"/>
        </w:rPr>
        <w:t xml:space="preserve"> theo quy định của pháp luật. </w:t>
      </w:r>
    </w:p>
    <w:p w:rsidR="003F7762" w:rsidRDefault="006113C8" w:rsidP="00A41141">
      <w:pPr>
        <w:spacing w:after="120" w:line="340" w:lineRule="exact"/>
        <w:ind w:firstLine="709"/>
        <w:jc w:val="both"/>
        <w:rPr>
          <w:rFonts w:eastAsia="Calibri"/>
          <w:bCs/>
          <w:sz w:val="28"/>
          <w:szCs w:val="28"/>
        </w:rPr>
      </w:pPr>
      <w:r>
        <w:rPr>
          <w:rFonts w:eastAsia="Calibri"/>
          <w:bCs/>
          <w:sz w:val="28"/>
          <w:szCs w:val="28"/>
        </w:rPr>
        <w:t xml:space="preserve">- Về </w:t>
      </w:r>
      <w:r w:rsidR="00004F2B">
        <w:rPr>
          <w:rFonts w:eastAsia="Calibri"/>
          <w:bCs/>
          <w:sz w:val="28"/>
          <w:szCs w:val="28"/>
        </w:rPr>
        <w:t>điều kiện xử lý rủi ro tín dụng:</w:t>
      </w:r>
      <w:r w:rsidR="00A41141">
        <w:rPr>
          <w:rFonts w:eastAsia="Calibri"/>
          <w:bCs/>
          <w:sz w:val="28"/>
          <w:szCs w:val="28"/>
        </w:rPr>
        <w:t xml:space="preserve"> </w:t>
      </w:r>
      <w:r w:rsidR="003F7762">
        <w:rPr>
          <w:rFonts w:eastAsia="Calibri"/>
          <w:bCs/>
          <w:sz w:val="28"/>
          <w:szCs w:val="28"/>
        </w:rPr>
        <w:t>Ngoài đảm bảo điều kiện về đầy đủ hồ sơ, tài liệu, dự thảo Quyết định quy định</w:t>
      </w:r>
      <w:r w:rsidR="00FD1B7D">
        <w:rPr>
          <w:rFonts w:eastAsia="Calibri"/>
          <w:bCs/>
          <w:sz w:val="28"/>
          <w:szCs w:val="28"/>
        </w:rPr>
        <w:t xml:space="preserve">: (i) Khoản nợ được xử lý rủi ro phải thuộc phạm vi điều chỉnh như đã báo cáo Thủ tướng Chính phủ tại điểm 2.1 nêu trên; (ii) </w:t>
      </w:r>
      <w:r w:rsidR="007A2ECC">
        <w:rPr>
          <w:rFonts w:eastAsia="Calibri"/>
          <w:bCs/>
          <w:sz w:val="28"/>
          <w:szCs w:val="28"/>
        </w:rPr>
        <w:t xml:space="preserve">Khoản nợ phải thuộc </w:t>
      </w:r>
      <w:r w:rsidR="007A2ECC" w:rsidRPr="007A2ECC">
        <w:rPr>
          <w:rFonts w:eastAsia="Calibri"/>
          <w:bCs/>
          <w:sz w:val="28"/>
          <w:szCs w:val="28"/>
        </w:rPr>
        <w:t>trường hợp khách hàng là tổ chức bị giải thể, phá sản; cá nhân bị chết, mấ</w:t>
      </w:r>
      <w:r w:rsidR="00804A33">
        <w:rPr>
          <w:rFonts w:eastAsia="Calibri"/>
          <w:bCs/>
          <w:sz w:val="28"/>
          <w:szCs w:val="28"/>
        </w:rPr>
        <w:t>t tích hoặc</w:t>
      </w:r>
      <w:r w:rsidR="007A2ECC" w:rsidRPr="007A2ECC">
        <w:rPr>
          <w:rFonts w:eastAsia="Calibri"/>
          <w:bCs/>
          <w:sz w:val="28"/>
          <w:szCs w:val="28"/>
        </w:rPr>
        <w:t xml:space="preserve"> nợ nhóm 5 (tương tự như quy định đối với ngân hàng thương mại tại khoản 1, Điều 16 Thông tư số</w:t>
      </w:r>
      <w:r w:rsidR="007A2ECC">
        <w:rPr>
          <w:rFonts w:eastAsia="Calibri"/>
          <w:bCs/>
          <w:sz w:val="28"/>
          <w:szCs w:val="28"/>
        </w:rPr>
        <w:t xml:space="preserve"> 11/2021/TT-NHNN)</w:t>
      </w:r>
      <w:r w:rsidR="00804A33">
        <w:rPr>
          <w:rFonts w:eastAsia="Calibri"/>
          <w:bCs/>
          <w:sz w:val="28"/>
          <w:szCs w:val="28"/>
        </w:rPr>
        <w:t xml:space="preserve"> hoặc</w:t>
      </w:r>
      <w:r w:rsidR="007A2ECC">
        <w:rPr>
          <w:rFonts w:eastAsia="Calibri"/>
          <w:bCs/>
          <w:sz w:val="28"/>
          <w:szCs w:val="28"/>
        </w:rPr>
        <w:t xml:space="preserve"> </w:t>
      </w:r>
      <w:r w:rsidR="00804A33">
        <w:rPr>
          <w:rFonts w:eastAsia="Calibri"/>
          <w:bCs/>
          <w:sz w:val="28"/>
          <w:szCs w:val="28"/>
        </w:rPr>
        <w:t xml:space="preserve">khoản nợ đang được theo dõi ngoại bảng hoặc đã xuất toán ra khỏi ngoại bảng (đối với trường hợp bán nợ </w:t>
      </w:r>
      <w:r w:rsidR="00E45C8D">
        <w:rPr>
          <w:rFonts w:eastAsia="Calibri"/>
          <w:bCs/>
          <w:sz w:val="28"/>
          <w:szCs w:val="28"/>
        </w:rPr>
        <w:t xml:space="preserve">ngoại bảng/đã xuất toán khỏi ngoại bảng). </w:t>
      </w:r>
    </w:p>
    <w:p w:rsidR="009517C4" w:rsidRDefault="009517C4" w:rsidP="009517C4">
      <w:pPr>
        <w:spacing w:after="120" w:line="340" w:lineRule="exact"/>
        <w:ind w:firstLine="709"/>
        <w:jc w:val="both"/>
        <w:rPr>
          <w:rFonts w:eastAsia="Calibri"/>
          <w:b/>
          <w:bCs/>
          <w:i/>
          <w:sz w:val="28"/>
          <w:szCs w:val="28"/>
        </w:rPr>
      </w:pPr>
      <w:r>
        <w:rPr>
          <w:rFonts w:eastAsia="Calibri"/>
          <w:b/>
          <w:bCs/>
          <w:i/>
          <w:sz w:val="28"/>
          <w:szCs w:val="28"/>
        </w:rPr>
        <w:t>2.3. Về nguyên tắc sử dụng quỹ dự phòng rủi ro tín dụng để xử lý rủi ro (Điều 7 dự thảo Quyết định)</w:t>
      </w:r>
    </w:p>
    <w:p w:rsidR="00DB507E" w:rsidRDefault="00DB507E" w:rsidP="00DB507E">
      <w:pPr>
        <w:spacing w:after="120" w:line="340" w:lineRule="exact"/>
        <w:ind w:firstLine="709"/>
        <w:jc w:val="both"/>
        <w:rPr>
          <w:rFonts w:eastAsia="Calibri"/>
          <w:bCs/>
          <w:sz w:val="28"/>
          <w:szCs w:val="28"/>
        </w:rPr>
      </w:pPr>
      <w:r>
        <w:rPr>
          <w:rFonts w:eastAsia="Calibri"/>
          <w:bCs/>
          <w:sz w:val="28"/>
          <w:szCs w:val="28"/>
        </w:rPr>
        <w:t xml:space="preserve">- Đối với ngân hàng thương mại (NHTM) thông thường: </w:t>
      </w:r>
    </w:p>
    <w:p w:rsidR="00DB507E" w:rsidRDefault="00DB507E" w:rsidP="00DB507E">
      <w:pPr>
        <w:spacing w:after="120" w:line="340" w:lineRule="exact"/>
        <w:ind w:firstLine="709"/>
        <w:jc w:val="both"/>
        <w:rPr>
          <w:rFonts w:eastAsia="Calibri"/>
          <w:bCs/>
          <w:sz w:val="28"/>
          <w:szCs w:val="28"/>
        </w:rPr>
      </w:pPr>
      <w:r>
        <w:rPr>
          <w:rFonts w:eastAsia="Calibri"/>
          <w:bCs/>
          <w:sz w:val="28"/>
          <w:szCs w:val="28"/>
        </w:rPr>
        <w:t>+ Việc sử dự phòng để xử lý rủi ro</w:t>
      </w:r>
      <w:r w:rsidR="00F27AA2">
        <w:rPr>
          <w:rFonts w:eastAsia="Calibri"/>
          <w:bCs/>
          <w:sz w:val="28"/>
          <w:szCs w:val="28"/>
        </w:rPr>
        <w:t xml:space="preserve"> tín dụng</w:t>
      </w:r>
      <w:r>
        <w:rPr>
          <w:rFonts w:eastAsia="Calibri"/>
          <w:bCs/>
          <w:sz w:val="28"/>
          <w:szCs w:val="28"/>
        </w:rPr>
        <w:t xml:space="preserve"> được thực hiện theo quy định tại Thông tư số 11/2021/TT-NHNN, trong đó, NHTM sử dụng dự phòng rủi ro đã trích (bao gồm dự phòng chung và dự phòng cụ thể) để chuyển ngoại bảng với các khoản nợ vay thuộc nhóm 5 và các khoản nợ của khách hàng là tổ chức bị giải thể, phá sản và khách hàng là cá nhân bị chết, mất tích. </w:t>
      </w:r>
    </w:p>
    <w:p w:rsidR="00DB507E" w:rsidRDefault="00DB507E" w:rsidP="00DB507E">
      <w:pPr>
        <w:spacing w:after="120" w:line="340" w:lineRule="exact"/>
        <w:ind w:firstLine="709"/>
        <w:jc w:val="both"/>
        <w:rPr>
          <w:rFonts w:eastAsia="Calibri"/>
          <w:bCs/>
          <w:sz w:val="28"/>
          <w:szCs w:val="28"/>
        </w:rPr>
      </w:pPr>
      <w:r>
        <w:rPr>
          <w:rFonts w:eastAsia="Calibri"/>
          <w:bCs/>
          <w:sz w:val="28"/>
          <w:szCs w:val="28"/>
        </w:rPr>
        <w:t>+</w:t>
      </w:r>
      <w:r w:rsidR="00F27AA2">
        <w:rPr>
          <w:rFonts w:eastAsia="Calibri"/>
          <w:bCs/>
          <w:sz w:val="28"/>
          <w:szCs w:val="28"/>
        </w:rPr>
        <w:t xml:space="preserve"> Ngoài ra, v</w:t>
      </w:r>
      <w:r>
        <w:rPr>
          <w:rFonts w:eastAsia="Calibri"/>
          <w:bCs/>
          <w:sz w:val="28"/>
          <w:szCs w:val="28"/>
        </w:rPr>
        <w:t>iệc bán nợ được thực hiện theo quy định tại Thông tư số 09/2015/TT-NHNN và Thông tư số 18/2022/TT-NHNN, trong đó, phạm vi mua bán nợ áp dụng với tất cả các khoản nợ (chỉ yêu cầu khoản nợ có đầy đủ hồ sơ, chứng từ; không có thỏa thuận về không được bán nợ; không được sử dụng để đảm bảo thực hiện nghĩa vụ dân sự khác - tức là các khoản nợ được mua bán có thể là nợ xấu hoặc không). Đối với những khoản nợ có giá bán thấp hơn giá trị sổ sách thì NHTM sử dụng dự phòng rủi ro đã trích trong chi phí để bù đắp phần chênh lệch.</w:t>
      </w:r>
    </w:p>
    <w:p w:rsidR="00DB507E" w:rsidRDefault="00B92626" w:rsidP="00DB507E">
      <w:pPr>
        <w:spacing w:after="120" w:line="340" w:lineRule="exact"/>
        <w:ind w:firstLine="709"/>
        <w:jc w:val="both"/>
        <w:rPr>
          <w:rFonts w:eastAsia="Calibri"/>
          <w:bCs/>
          <w:sz w:val="28"/>
          <w:szCs w:val="28"/>
        </w:rPr>
      </w:pPr>
      <w:r>
        <w:rPr>
          <w:rFonts w:eastAsia="Calibri"/>
          <w:bCs/>
          <w:sz w:val="28"/>
          <w:szCs w:val="28"/>
        </w:rPr>
        <w:t xml:space="preserve">- Đối với NHPT: Dự thảo </w:t>
      </w:r>
      <w:r w:rsidR="00A32D6D">
        <w:rPr>
          <w:rFonts w:eastAsia="Calibri"/>
          <w:bCs/>
          <w:sz w:val="28"/>
          <w:szCs w:val="28"/>
        </w:rPr>
        <w:t xml:space="preserve">Quyết định quy định việc sử dụng dự phòng để xử lý rủi ro tín dụng trong trường hợp chuyển theo dõi ngoại bảng và bao gồm cả trường hợp bán nợ. Tuy nhiên, do </w:t>
      </w:r>
      <w:r w:rsidR="00576139">
        <w:rPr>
          <w:rFonts w:eastAsia="Calibri"/>
          <w:bCs/>
          <w:sz w:val="28"/>
          <w:szCs w:val="28"/>
        </w:rPr>
        <w:t>quỹ dự phòng rủi ro tín dụng của NHPT trích lập căn cứ vào tình hình tài chính</w:t>
      </w:r>
      <w:r w:rsidR="001C60A6">
        <w:rPr>
          <w:rFonts w:eastAsia="Calibri"/>
          <w:bCs/>
          <w:sz w:val="28"/>
          <w:szCs w:val="28"/>
        </w:rPr>
        <w:t xml:space="preserve"> của ngân hàng</w:t>
      </w:r>
      <w:r w:rsidR="00576139">
        <w:rPr>
          <w:rFonts w:eastAsia="Calibri"/>
          <w:bCs/>
          <w:sz w:val="28"/>
          <w:szCs w:val="28"/>
        </w:rPr>
        <w:t>, không được trích lập đầy đủ như NHTM</w:t>
      </w:r>
      <w:r w:rsidR="009F1626">
        <w:rPr>
          <w:rFonts w:eastAsia="Calibri"/>
          <w:bCs/>
          <w:sz w:val="28"/>
          <w:szCs w:val="28"/>
        </w:rPr>
        <w:t>,</w:t>
      </w:r>
      <w:r w:rsidR="00576139">
        <w:rPr>
          <w:rFonts w:eastAsia="Calibri"/>
          <w:bCs/>
          <w:sz w:val="28"/>
          <w:szCs w:val="28"/>
        </w:rPr>
        <w:t xml:space="preserve"> do đó, dự thảo Quyết định giới hạn xử lý rủi ro trong trường hợp bán </w:t>
      </w:r>
      <w:r w:rsidR="00576139">
        <w:rPr>
          <w:rFonts w:eastAsia="Calibri"/>
          <w:bCs/>
          <w:sz w:val="28"/>
          <w:szCs w:val="28"/>
        </w:rPr>
        <w:lastRenderedPageBreak/>
        <w:t xml:space="preserve">nợ chỉ áp dụng đối với </w:t>
      </w:r>
      <w:r w:rsidR="00CD1904">
        <w:rPr>
          <w:rFonts w:eastAsia="Calibri"/>
          <w:bCs/>
          <w:sz w:val="28"/>
          <w:szCs w:val="28"/>
        </w:rPr>
        <w:t>nợ xấu (bao gồm khách hàng là tổ chức bị giải thể, phá sản; cá nhân bị chết, mất tích; nợ nhóm 5)</w:t>
      </w:r>
      <w:r w:rsidR="001C60A6">
        <w:rPr>
          <w:rFonts w:eastAsia="Calibri"/>
          <w:bCs/>
          <w:sz w:val="28"/>
          <w:szCs w:val="28"/>
        </w:rPr>
        <w:t xml:space="preserve">. </w:t>
      </w:r>
    </w:p>
    <w:p w:rsidR="00DB507E" w:rsidRDefault="00DB507E" w:rsidP="00DB507E">
      <w:pPr>
        <w:spacing w:after="120" w:line="340" w:lineRule="exact"/>
        <w:ind w:firstLine="709"/>
        <w:jc w:val="both"/>
        <w:rPr>
          <w:rFonts w:eastAsia="Calibri"/>
          <w:bCs/>
          <w:sz w:val="28"/>
          <w:szCs w:val="28"/>
        </w:rPr>
      </w:pPr>
      <w:r>
        <w:rPr>
          <w:rFonts w:eastAsia="Calibri"/>
          <w:bCs/>
          <w:sz w:val="28"/>
          <w:szCs w:val="28"/>
        </w:rPr>
        <w:t xml:space="preserve">- </w:t>
      </w:r>
      <w:r w:rsidR="001C60A6">
        <w:rPr>
          <w:rFonts w:eastAsia="Calibri"/>
          <w:bCs/>
          <w:sz w:val="28"/>
          <w:szCs w:val="28"/>
        </w:rPr>
        <w:t>Ngoài ra, h</w:t>
      </w:r>
      <w:r>
        <w:rPr>
          <w:rFonts w:eastAsia="Calibri"/>
          <w:bCs/>
          <w:sz w:val="28"/>
          <w:szCs w:val="28"/>
        </w:rPr>
        <w:t xml:space="preserve">oạt động tín dụng của NHPT được chia làm 03 nhóm chính tương ứng với 03 quỹ dự phòng rủi ro tín dụng (với cơ chế trích lập và sử dụng khác nhau), NHPT thực hiện quản lý, theo dõi riêng đối với từng quỹ dự phòng rủi ro. Do đó, dự thảo Quyết định quy định nguyên tắc việc sử dụng dự phòng để xử lý rủi ro tín dụng được thực hiện trong phạm vi quỹ dự phòng rủi ro tín dụng của từng hoạt động cho vay. Cụ thể:  </w:t>
      </w:r>
    </w:p>
    <w:p w:rsidR="00DB507E" w:rsidRDefault="00DB507E" w:rsidP="00DB507E">
      <w:pPr>
        <w:spacing w:after="120" w:line="340" w:lineRule="exact"/>
        <w:ind w:firstLine="709"/>
        <w:jc w:val="both"/>
        <w:rPr>
          <w:rFonts w:eastAsia="Calibri"/>
          <w:bCs/>
          <w:sz w:val="28"/>
          <w:szCs w:val="28"/>
        </w:rPr>
      </w:pPr>
      <w:r>
        <w:rPr>
          <w:rFonts w:eastAsia="Calibri"/>
          <w:bCs/>
          <w:sz w:val="28"/>
          <w:szCs w:val="28"/>
        </w:rPr>
        <w:t xml:space="preserve">+ </w:t>
      </w:r>
      <w:r w:rsidRPr="00A9063B">
        <w:rPr>
          <w:rFonts w:eastAsia="Calibri"/>
          <w:bCs/>
          <w:sz w:val="28"/>
          <w:szCs w:val="28"/>
        </w:rPr>
        <w:t>Quỹ dự phòng rủi ro tín dụng đầu tư, tín dụng xuất khẩu, nợ vay bắt buộc bảo lãnh</w:t>
      </w:r>
      <w:r w:rsidR="00A23CD8">
        <w:rPr>
          <w:rFonts w:eastAsia="Calibri"/>
          <w:bCs/>
          <w:sz w:val="28"/>
          <w:szCs w:val="28"/>
        </w:rPr>
        <w:t>: chỉ</w:t>
      </w:r>
      <w:r w:rsidRPr="00A9063B">
        <w:rPr>
          <w:rFonts w:eastAsia="Calibri"/>
          <w:bCs/>
          <w:sz w:val="28"/>
          <w:szCs w:val="28"/>
        </w:rPr>
        <w:t xml:space="preserve"> được sử dụng để xử lý rủi ro tín dụng đối với các khoản nợ </w:t>
      </w:r>
      <w:r>
        <w:rPr>
          <w:rFonts w:eastAsia="Calibri"/>
          <w:bCs/>
          <w:sz w:val="28"/>
          <w:szCs w:val="28"/>
        </w:rPr>
        <w:t xml:space="preserve">vay </w:t>
      </w:r>
      <w:r w:rsidRPr="00A9063B">
        <w:rPr>
          <w:rFonts w:eastAsia="Calibri"/>
          <w:bCs/>
          <w:sz w:val="28"/>
          <w:szCs w:val="28"/>
        </w:rPr>
        <w:t xml:space="preserve">của </w:t>
      </w:r>
      <w:r w:rsidRPr="00A9063B">
        <w:rPr>
          <w:rFonts w:eastAsia="Calibri"/>
          <w:bCs/>
          <w:sz w:val="28"/>
          <w:szCs w:val="28"/>
          <w:lang w:val="vi-VN"/>
        </w:rPr>
        <w:t xml:space="preserve">Hợp đồng tín dụng ký </w:t>
      </w:r>
      <w:r w:rsidRPr="00A9063B">
        <w:rPr>
          <w:rFonts w:eastAsia="Calibri"/>
          <w:b/>
          <w:bCs/>
          <w:sz w:val="28"/>
          <w:szCs w:val="28"/>
          <w:lang w:val="vi-VN"/>
        </w:rPr>
        <w:t>trước</w:t>
      </w:r>
      <w:r w:rsidRPr="00A9063B">
        <w:rPr>
          <w:rFonts w:eastAsia="Calibri"/>
          <w:bCs/>
          <w:sz w:val="28"/>
          <w:szCs w:val="28"/>
          <w:lang w:val="vi-VN"/>
        </w:rPr>
        <w:t xml:space="preserve"> thời điểm Nghị định</w:t>
      </w:r>
      <w:r w:rsidRPr="00A9063B">
        <w:rPr>
          <w:rFonts w:eastAsia="Calibri"/>
          <w:bCs/>
          <w:sz w:val="28"/>
          <w:szCs w:val="28"/>
        </w:rPr>
        <w:t xml:space="preserve"> sửa đổi, bổ sung Nghị định</w:t>
      </w:r>
      <w:r w:rsidRPr="00A9063B">
        <w:rPr>
          <w:rFonts w:eastAsia="Calibri"/>
          <w:bCs/>
          <w:sz w:val="28"/>
          <w:szCs w:val="28"/>
          <w:lang w:val="vi-VN"/>
        </w:rPr>
        <w:t xml:space="preserve"> số</w:t>
      </w:r>
      <w:r w:rsidRPr="00A9063B">
        <w:rPr>
          <w:rFonts w:eastAsia="Calibri"/>
          <w:bCs/>
          <w:sz w:val="28"/>
          <w:szCs w:val="28"/>
        </w:rPr>
        <w:t xml:space="preserve"> 32/2017</w:t>
      </w:r>
      <w:r w:rsidRPr="00A9063B">
        <w:rPr>
          <w:rFonts w:eastAsia="Calibri"/>
          <w:bCs/>
          <w:sz w:val="28"/>
          <w:szCs w:val="28"/>
          <w:lang w:val="vi-VN"/>
        </w:rPr>
        <w:t>/NĐ-CP</w:t>
      </w:r>
      <w:r w:rsidRPr="00A9063B">
        <w:rPr>
          <w:rFonts w:eastAsia="Calibri"/>
          <w:bCs/>
          <w:sz w:val="28"/>
          <w:szCs w:val="28"/>
        </w:rPr>
        <w:t xml:space="preserve"> ngày 31/3/2017/NĐ-CP của Chính phủ về tín dụng đầu tư của Nhà nước có hiệu lự</w:t>
      </w:r>
      <w:r w:rsidR="00C13A32">
        <w:rPr>
          <w:rFonts w:eastAsia="Calibri"/>
          <w:bCs/>
          <w:sz w:val="28"/>
          <w:szCs w:val="28"/>
        </w:rPr>
        <w:t>c thi hành và khoản nợ vay bắt buộc bảo lãnh</w:t>
      </w:r>
      <w:r>
        <w:rPr>
          <w:rFonts w:eastAsia="Calibri"/>
          <w:bCs/>
          <w:sz w:val="28"/>
          <w:szCs w:val="28"/>
        </w:rPr>
        <w:t xml:space="preserve">. </w:t>
      </w:r>
    </w:p>
    <w:p w:rsidR="00950C68" w:rsidRPr="00073644" w:rsidRDefault="00DB507E" w:rsidP="00950C68">
      <w:pPr>
        <w:spacing w:after="120" w:line="340" w:lineRule="exact"/>
        <w:ind w:firstLine="709"/>
        <w:jc w:val="both"/>
        <w:rPr>
          <w:rFonts w:eastAsia="Calibri"/>
          <w:bCs/>
          <w:sz w:val="28"/>
          <w:szCs w:val="28"/>
        </w:rPr>
      </w:pPr>
      <w:r>
        <w:rPr>
          <w:rFonts w:eastAsia="Calibri"/>
          <w:bCs/>
          <w:sz w:val="28"/>
          <w:szCs w:val="28"/>
        </w:rPr>
        <w:t xml:space="preserve">+ </w:t>
      </w:r>
      <w:r w:rsidR="00A23CD8" w:rsidRPr="00A23CD8">
        <w:rPr>
          <w:rFonts w:eastAsia="Calibri"/>
          <w:bCs/>
          <w:sz w:val="28"/>
          <w:szCs w:val="28"/>
        </w:rPr>
        <w:t xml:space="preserve">Quỹ dự phòng rủi ro tín dụng đầu tư được trích lập theo quy định của pháp luật đối với các khoản nợ của Hợp đồng tín dụng đầu tư ký </w:t>
      </w:r>
      <w:r w:rsidR="00A23CD8" w:rsidRPr="00A23CD8">
        <w:rPr>
          <w:rFonts w:eastAsia="Calibri"/>
          <w:b/>
          <w:bCs/>
          <w:sz w:val="28"/>
          <w:szCs w:val="28"/>
        </w:rPr>
        <w:t>sau</w:t>
      </w:r>
      <w:r w:rsidR="00A23CD8" w:rsidRPr="00A23CD8">
        <w:rPr>
          <w:rFonts w:eastAsia="Calibri"/>
          <w:bCs/>
          <w:sz w:val="28"/>
          <w:szCs w:val="28"/>
        </w:rPr>
        <w:t xml:space="preserve"> ngày Nghị định sửa đổi, bổ sung Nghị định số 32/2017/NĐ-CP có hiệu lực thi hành</w:t>
      </w:r>
      <w:r w:rsidR="001D3AD7">
        <w:rPr>
          <w:rFonts w:eastAsia="Calibri"/>
          <w:bCs/>
          <w:sz w:val="28"/>
          <w:szCs w:val="28"/>
        </w:rPr>
        <w:t xml:space="preserve"> chỉ được sử dụng để xử lý rủi ro tín dụng đối với khoản nợ vay này. </w:t>
      </w:r>
      <w:r w:rsidR="00F605EC">
        <w:rPr>
          <w:rFonts w:eastAsia="Calibri"/>
          <w:bCs/>
          <w:sz w:val="28"/>
          <w:szCs w:val="28"/>
        </w:rPr>
        <w:t>Theo đó, t</w:t>
      </w:r>
      <w:r w:rsidR="00950C68" w:rsidRPr="00073644">
        <w:rPr>
          <w:rFonts w:eastAsia="Calibri"/>
          <w:bCs/>
          <w:sz w:val="28"/>
          <w:szCs w:val="28"/>
        </w:rPr>
        <w:t xml:space="preserve">rên cơ sở định hướng hoạt động của NHPT trong thời gian tới đã được Bộ Chính trị phê duyệt, hiện nay, </w:t>
      </w:r>
      <w:r w:rsidR="00E900AD">
        <w:rPr>
          <w:rFonts w:eastAsia="Calibri"/>
          <w:bCs/>
          <w:sz w:val="28"/>
          <w:szCs w:val="28"/>
        </w:rPr>
        <w:t>dự thảo</w:t>
      </w:r>
      <w:r w:rsidR="00950C68" w:rsidRPr="00073644">
        <w:rPr>
          <w:rFonts w:eastAsia="Calibri"/>
          <w:bCs/>
          <w:sz w:val="28"/>
          <w:szCs w:val="28"/>
        </w:rPr>
        <w:t xml:space="preserve"> Nghị định sửa đổi, bổ sung Nghị định số 32/2017/NĐ-CP</w:t>
      </w:r>
      <w:r w:rsidR="00E900AD">
        <w:rPr>
          <w:rFonts w:eastAsia="Calibri"/>
          <w:bCs/>
          <w:sz w:val="28"/>
          <w:szCs w:val="28"/>
        </w:rPr>
        <w:t xml:space="preserve"> (đang được Bộ Tài chính trình Chính phủ ký ban hành) quy định</w:t>
      </w:r>
      <w:r w:rsidR="001D3AD7">
        <w:rPr>
          <w:rFonts w:eastAsia="Calibri"/>
          <w:bCs/>
          <w:sz w:val="28"/>
          <w:szCs w:val="28"/>
        </w:rPr>
        <w:t xml:space="preserve"> c</w:t>
      </w:r>
      <w:r w:rsidR="00950C68" w:rsidRPr="00073644">
        <w:rPr>
          <w:rFonts w:eastAsia="Calibri"/>
          <w:bCs/>
          <w:sz w:val="28"/>
          <w:szCs w:val="28"/>
        </w:rPr>
        <w:t xml:space="preserve">ác khoản cho vay mới sẽ không được Nhà nước cấp bù lãi suất và phí quản lý; </w:t>
      </w:r>
      <w:r w:rsidR="00950C68" w:rsidRPr="00073644">
        <w:rPr>
          <w:rFonts w:eastAsia="Calibri"/>
          <w:bCs/>
          <w:iCs/>
          <w:sz w:val="28"/>
          <w:szCs w:val="28"/>
        </w:rPr>
        <w:t>khoản cho vay phải được thẩm định và bảo đảm tiền vay, lãi suất đủ bù đắp chi phí nguồn vốn, quản lý và trích lập dự phòng rủi ro đầy đủ như NHTM;</w:t>
      </w:r>
      <w:r w:rsidR="00950C68" w:rsidRPr="00073644">
        <w:rPr>
          <w:bCs/>
          <w:iCs/>
          <w:sz w:val="28"/>
          <w:szCs w:val="28"/>
        </w:rPr>
        <w:t xml:space="preserve"> </w:t>
      </w:r>
      <w:r w:rsidR="00950C68" w:rsidRPr="00073644">
        <w:rPr>
          <w:rFonts w:eastAsia="Calibri"/>
          <w:bCs/>
          <w:iCs/>
          <w:sz w:val="28"/>
          <w:szCs w:val="28"/>
        </w:rPr>
        <w:t>thực hiện xử lý rủi ro đối với các khoản nợ xấu phát sinh từ hoạt động cho vay mới tương tự như quy định đối với các NHTM.</w:t>
      </w:r>
    </w:p>
    <w:p w:rsidR="00DB507E" w:rsidRDefault="00950C68" w:rsidP="00DB507E">
      <w:pPr>
        <w:spacing w:after="120" w:line="340" w:lineRule="exact"/>
        <w:ind w:firstLine="709"/>
        <w:jc w:val="both"/>
        <w:rPr>
          <w:rFonts w:eastAsia="Calibri"/>
          <w:bCs/>
          <w:sz w:val="28"/>
          <w:szCs w:val="28"/>
        </w:rPr>
      </w:pPr>
      <w:r>
        <w:rPr>
          <w:rFonts w:eastAsia="Calibri"/>
          <w:bCs/>
          <w:sz w:val="28"/>
          <w:szCs w:val="28"/>
        </w:rPr>
        <w:t>+ Quỹ dự phòng rủi ro các khoản nợ vay khác: chỉ được sử dụng để xử lý rủi ro tín dụng đối với cá</w:t>
      </w:r>
      <w:r w:rsidR="00812983">
        <w:rPr>
          <w:rFonts w:eastAsia="Calibri"/>
          <w:bCs/>
          <w:sz w:val="28"/>
          <w:szCs w:val="28"/>
        </w:rPr>
        <w:t>c</w:t>
      </w:r>
      <w:r>
        <w:rPr>
          <w:rFonts w:eastAsia="Calibri"/>
          <w:bCs/>
          <w:sz w:val="28"/>
          <w:szCs w:val="28"/>
        </w:rPr>
        <w:t xml:space="preserve"> khoản nợ vay khác </w:t>
      </w:r>
      <w:r w:rsidR="00812983">
        <w:rPr>
          <w:rFonts w:eastAsia="Calibri"/>
          <w:bCs/>
          <w:sz w:val="28"/>
          <w:szCs w:val="28"/>
        </w:rPr>
        <w:t xml:space="preserve">(bao gồm: </w:t>
      </w:r>
      <w:r w:rsidR="00812983" w:rsidRPr="00BC4BF0">
        <w:rPr>
          <w:rFonts w:eastAsia="Calibri"/>
          <w:bCs/>
          <w:sz w:val="28"/>
          <w:szCs w:val="28"/>
          <w:lang w:val="da-DK"/>
        </w:rPr>
        <w:t xml:space="preserve">Cho vay lại vốn vay ODA, vay ưu đãi nước ngoài của Chính phủ do </w:t>
      </w:r>
      <w:r w:rsidR="00812983">
        <w:rPr>
          <w:rFonts w:eastAsia="Calibri"/>
          <w:bCs/>
          <w:sz w:val="28"/>
          <w:szCs w:val="28"/>
          <w:lang w:val="da-DK"/>
        </w:rPr>
        <w:t>NHPT</w:t>
      </w:r>
      <w:r w:rsidR="00812983" w:rsidRPr="00BC4BF0">
        <w:rPr>
          <w:rFonts w:eastAsia="Calibri"/>
          <w:bCs/>
          <w:sz w:val="28"/>
          <w:szCs w:val="28"/>
          <w:lang w:val="da-DK"/>
        </w:rPr>
        <w:t xml:space="preserve"> chịu rủi ro tín dụ</w:t>
      </w:r>
      <w:r w:rsidR="00812983">
        <w:rPr>
          <w:rFonts w:eastAsia="Calibri"/>
          <w:bCs/>
          <w:sz w:val="28"/>
          <w:szCs w:val="28"/>
          <w:lang w:val="da-DK"/>
        </w:rPr>
        <w:t xml:space="preserve">ng và </w:t>
      </w:r>
      <w:r w:rsidR="00812983" w:rsidRPr="00BC4BF0">
        <w:rPr>
          <w:rFonts w:eastAsia="Calibri"/>
          <w:bCs/>
          <w:sz w:val="28"/>
          <w:szCs w:val="28"/>
          <w:lang w:val="da-DK"/>
        </w:rPr>
        <w:t xml:space="preserve">Cho vay khác mà </w:t>
      </w:r>
      <w:r w:rsidR="00812983">
        <w:rPr>
          <w:rFonts w:eastAsia="Calibri"/>
          <w:bCs/>
          <w:sz w:val="28"/>
          <w:szCs w:val="28"/>
          <w:lang w:val="da-DK"/>
        </w:rPr>
        <w:t>NHPT</w:t>
      </w:r>
      <w:r w:rsidR="00812983" w:rsidRPr="00BC4BF0">
        <w:rPr>
          <w:rFonts w:eastAsia="Calibri"/>
          <w:bCs/>
          <w:sz w:val="28"/>
          <w:szCs w:val="28"/>
          <w:lang w:val="da-DK"/>
        </w:rPr>
        <w:t xml:space="preserve"> không được ngân sách nhà nước cấp bù lãi suất và phí quản lý</w:t>
      </w:r>
      <w:r w:rsidR="00812983">
        <w:rPr>
          <w:rFonts w:eastAsia="Calibri"/>
          <w:bCs/>
          <w:sz w:val="28"/>
          <w:szCs w:val="28"/>
          <w:lang w:val="da-DK"/>
        </w:rPr>
        <w:t>).</w:t>
      </w:r>
    </w:p>
    <w:p w:rsidR="00DB507E" w:rsidRDefault="00DB507E" w:rsidP="00DB507E">
      <w:pPr>
        <w:spacing w:after="120" w:line="340" w:lineRule="exact"/>
        <w:ind w:firstLine="709"/>
        <w:jc w:val="both"/>
        <w:rPr>
          <w:rFonts w:eastAsia="Calibri"/>
          <w:bCs/>
          <w:sz w:val="28"/>
          <w:szCs w:val="28"/>
        </w:rPr>
      </w:pPr>
      <w:r>
        <w:rPr>
          <w:rFonts w:eastAsia="Calibri"/>
          <w:bCs/>
          <w:sz w:val="28"/>
          <w:szCs w:val="28"/>
        </w:rPr>
        <w:t xml:space="preserve">- Ngoài ra, dự thảo Quyết định quy định nguyên tắc xử lý trong trường hợp có bằng chứng chắc chắn chứng minh tổn thất về tài sản đối với khoản nợ vay của NHPT tương tự như quy định đối với các tổ chức tín dụng khác (tại Điều 18 Thông tư số 11/2021/TT-NHNN). </w:t>
      </w:r>
    </w:p>
    <w:p w:rsidR="00B72013" w:rsidRPr="00A114A4" w:rsidRDefault="00B72013" w:rsidP="00E57418">
      <w:pPr>
        <w:spacing w:after="120" w:line="340" w:lineRule="exact"/>
        <w:ind w:firstLine="709"/>
        <w:jc w:val="both"/>
        <w:rPr>
          <w:rFonts w:eastAsia="Calibri"/>
          <w:b/>
          <w:bCs/>
          <w:i/>
          <w:sz w:val="28"/>
          <w:szCs w:val="28"/>
        </w:rPr>
      </w:pPr>
      <w:r w:rsidRPr="00A114A4">
        <w:rPr>
          <w:rFonts w:eastAsia="Calibri"/>
          <w:b/>
          <w:bCs/>
          <w:i/>
          <w:sz w:val="28"/>
          <w:szCs w:val="28"/>
        </w:rPr>
        <w:t xml:space="preserve">2.4. Về chuyển theo dõi ngoại bảng (từ Điều 10 đến Điều 12 Dự thảo Quyết định). </w:t>
      </w:r>
    </w:p>
    <w:p w:rsidR="00B72013" w:rsidRDefault="000662B7" w:rsidP="00E57418">
      <w:pPr>
        <w:spacing w:after="120" w:line="340" w:lineRule="exact"/>
        <w:ind w:firstLine="709"/>
        <w:jc w:val="both"/>
        <w:rPr>
          <w:rFonts w:eastAsia="Calibri"/>
          <w:bCs/>
          <w:sz w:val="28"/>
          <w:szCs w:val="28"/>
        </w:rPr>
      </w:pPr>
      <w:r>
        <w:rPr>
          <w:rFonts w:eastAsia="Calibri"/>
          <w:bCs/>
          <w:sz w:val="28"/>
          <w:szCs w:val="28"/>
        </w:rPr>
        <w:t xml:space="preserve">Chuyển theo dõi ngoại bảng </w:t>
      </w:r>
      <w:r w:rsidR="00A114A4">
        <w:rPr>
          <w:rFonts w:eastAsia="Calibri"/>
          <w:bCs/>
          <w:sz w:val="28"/>
          <w:szCs w:val="28"/>
        </w:rPr>
        <w:t>là việc NHPT sử dụng dự phòng rủi ro tín dụng để chuyển khoản nợ được xử lý rủi ro tín dụng ra hạc</w:t>
      </w:r>
      <w:r w:rsidR="00DF40C1">
        <w:rPr>
          <w:rFonts w:eastAsia="Calibri"/>
          <w:bCs/>
          <w:sz w:val="28"/>
          <w:szCs w:val="28"/>
        </w:rPr>
        <w:t>h</w:t>
      </w:r>
      <w:r w:rsidR="00A114A4">
        <w:rPr>
          <w:rFonts w:eastAsia="Calibri"/>
          <w:bCs/>
          <w:sz w:val="28"/>
          <w:szCs w:val="28"/>
        </w:rPr>
        <w:t xml:space="preserve"> toán trên các tài khoản ngoại bả</w:t>
      </w:r>
      <w:r w:rsidR="00C65718">
        <w:rPr>
          <w:rFonts w:eastAsia="Calibri"/>
          <w:bCs/>
          <w:sz w:val="28"/>
          <w:szCs w:val="28"/>
        </w:rPr>
        <w:t xml:space="preserve">ng, </w:t>
      </w:r>
      <w:r w:rsidR="00DF40C1">
        <w:rPr>
          <w:rFonts w:eastAsia="Calibri"/>
          <w:bCs/>
          <w:sz w:val="28"/>
          <w:szCs w:val="28"/>
        </w:rPr>
        <w:t>đây là công việc nội bộ của NHPT, không làm thay đổi nghĩa vụ trả nợ củ</w:t>
      </w:r>
      <w:r w:rsidR="00C65718">
        <w:rPr>
          <w:rFonts w:eastAsia="Calibri"/>
          <w:bCs/>
          <w:sz w:val="28"/>
          <w:szCs w:val="28"/>
        </w:rPr>
        <w:t xml:space="preserve">a khách hàng. Dự thảo Quyết định quy định 03 nội dung chính để </w:t>
      </w:r>
      <w:r w:rsidR="00C65718">
        <w:rPr>
          <w:rFonts w:eastAsia="Calibri"/>
          <w:bCs/>
          <w:sz w:val="28"/>
          <w:szCs w:val="28"/>
        </w:rPr>
        <w:lastRenderedPageBreak/>
        <w:t>thực hiện chuyển theo dõi ngoại bảng gồ</w:t>
      </w:r>
      <w:r w:rsidR="007D7A68">
        <w:rPr>
          <w:rFonts w:eastAsia="Calibri"/>
          <w:bCs/>
          <w:sz w:val="28"/>
          <w:szCs w:val="28"/>
        </w:rPr>
        <w:t xml:space="preserve">m: (i) Nguyên tắc sử dụng dự phòng để chuyển theo dõi ngoại bảng; (ii) </w:t>
      </w:r>
      <w:r w:rsidR="00CD4AAF">
        <w:rPr>
          <w:rFonts w:eastAsia="Calibri"/>
          <w:bCs/>
          <w:sz w:val="28"/>
          <w:szCs w:val="28"/>
        </w:rPr>
        <w:t xml:space="preserve">Theo dõi khoản nợ đã được chuyển ngoại bảng và xuất toán khỏi ngoại bảng; (iii) Xử lý số tiền thu hồi được từ các khoản nợ đã chuyển ngoại bảng. </w:t>
      </w:r>
    </w:p>
    <w:p w:rsidR="00B72013" w:rsidRDefault="000923F2" w:rsidP="00E57418">
      <w:pPr>
        <w:spacing w:after="120" w:line="340" w:lineRule="exact"/>
        <w:ind w:firstLine="709"/>
        <w:jc w:val="both"/>
        <w:rPr>
          <w:rFonts w:eastAsia="Calibri"/>
          <w:bCs/>
          <w:sz w:val="28"/>
          <w:szCs w:val="28"/>
        </w:rPr>
      </w:pPr>
      <w:r>
        <w:rPr>
          <w:rFonts w:eastAsia="Calibri"/>
          <w:bCs/>
          <w:sz w:val="28"/>
          <w:szCs w:val="28"/>
        </w:rPr>
        <w:t xml:space="preserve">- </w:t>
      </w:r>
      <w:r w:rsidR="00795269">
        <w:rPr>
          <w:rFonts w:eastAsia="Calibri"/>
          <w:bCs/>
          <w:sz w:val="28"/>
          <w:szCs w:val="28"/>
        </w:rPr>
        <w:t>Về</w:t>
      </w:r>
      <w:r>
        <w:rPr>
          <w:rFonts w:eastAsia="Calibri"/>
          <w:bCs/>
          <w:sz w:val="28"/>
          <w:szCs w:val="28"/>
        </w:rPr>
        <w:t xml:space="preserve"> sử dụng dự phòng để chuyển theo dõi ngoại bảng</w:t>
      </w:r>
      <w:r w:rsidR="004963D4">
        <w:rPr>
          <w:rFonts w:eastAsia="Calibri"/>
          <w:bCs/>
          <w:sz w:val="28"/>
          <w:szCs w:val="28"/>
        </w:rPr>
        <w:t xml:space="preserve"> đượ</w:t>
      </w:r>
      <w:r w:rsidR="00795314">
        <w:rPr>
          <w:rFonts w:eastAsia="Calibri"/>
          <w:bCs/>
          <w:sz w:val="28"/>
          <w:szCs w:val="28"/>
        </w:rPr>
        <w:t>c quy định tương tự như đối với ngân hàng thương mại</w:t>
      </w:r>
      <w:r w:rsidR="0042463C">
        <w:rPr>
          <w:rStyle w:val="FootnoteReference"/>
          <w:rFonts w:eastAsia="Calibri"/>
          <w:bCs/>
          <w:sz w:val="28"/>
          <w:szCs w:val="28"/>
        </w:rPr>
        <w:footnoteReference w:id="5"/>
      </w:r>
      <w:r w:rsidR="00795314">
        <w:rPr>
          <w:rFonts w:eastAsia="Calibri"/>
          <w:bCs/>
          <w:sz w:val="28"/>
          <w:szCs w:val="28"/>
        </w:rPr>
        <w:t>, bao gồm 02 trường hợp: (i) NHPT đã xử lý tài sản bả</w:t>
      </w:r>
      <w:r w:rsidR="00525C65">
        <w:rPr>
          <w:rFonts w:eastAsia="Calibri"/>
          <w:bCs/>
          <w:sz w:val="28"/>
          <w:szCs w:val="28"/>
        </w:rPr>
        <w:t>o đảm để thu hồi nợ và (ii) NHPT chưa xử lý tài sản bảo đả</w:t>
      </w:r>
      <w:r w:rsidR="007D5779">
        <w:rPr>
          <w:rFonts w:eastAsia="Calibri"/>
          <w:bCs/>
          <w:sz w:val="28"/>
          <w:szCs w:val="28"/>
        </w:rPr>
        <w:t>m để</w:t>
      </w:r>
      <w:r w:rsidR="00525C65">
        <w:rPr>
          <w:rFonts w:eastAsia="Calibri"/>
          <w:bCs/>
          <w:sz w:val="28"/>
          <w:szCs w:val="28"/>
        </w:rPr>
        <w:t xml:space="preserve"> thu hồi nợ. </w:t>
      </w:r>
      <w:r w:rsidR="0042463C">
        <w:rPr>
          <w:rFonts w:eastAsia="Calibri"/>
          <w:bCs/>
          <w:sz w:val="28"/>
          <w:szCs w:val="28"/>
        </w:rPr>
        <w:t xml:space="preserve">Tuy nhiên có điều chỉnh để phù hợp với đặc thù hoạt động của NHPT, </w:t>
      </w:r>
      <w:r w:rsidR="00271248">
        <w:rPr>
          <w:rFonts w:eastAsia="Calibri"/>
          <w:bCs/>
          <w:sz w:val="28"/>
          <w:szCs w:val="28"/>
        </w:rPr>
        <w:t>đảm bảo nguyên tắc chỉ thực hiện trong phạm vi quỹ dự phòng rủi ro tín dụng tương ứng của từng hoạt động cho vay</w:t>
      </w:r>
      <w:r w:rsidR="00103550">
        <w:rPr>
          <w:rFonts w:eastAsia="Calibri"/>
          <w:bCs/>
          <w:sz w:val="28"/>
          <w:szCs w:val="28"/>
        </w:rPr>
        <w:t xml:space="preserve"> như đã báo cáo Thủ tướng Chính phủ tại mục 2.3 nêu trên</w:t>
      </w:r>
      <w:r w:rsidR="00271248">
        <w:rPr>
          <w:rFonts w:eastAsia="Calibri"/>
          <w:bCs/>
          <w:sz w:val="28"/>
          <w:szCs w:val="28"/>
        </w:rPr>
        <w:t>. Nội dung này phù hợp với quy định tại</w:t>
      </w:r>
      <w:r w:rsidR="006551C2">
        <w:rPr>
          <w:rFonts w:eastAsia="Calibri"/>
          <w:bCs/>
          <w:sz w:val="28"/>
          <w:szCs w:val="28"/>
        </w:rPr>
        <w:t xml:space="preserve"> chế độ quản lý tài chính của NHPT (</w:t>
      </w:r>
      <w:r w:rsidR="00271248">
        <w:rPr>
          <w:rFonts w:eastAsia="Calibri"/>
          <w:bCs/>
          <w:sz w:val="28"/>
          <w:szCs w:val="28"/>
        </w:rPr>
        <w:t>khoản 2 Điều 17 Nghị định số 46/2021/NĐ-CP</w:t>
      </w:r>
      <w:r w:rsidR="00271248">
        <w:rPr>
          <w:rStyle w:val="FootnoteReference"/>
          <w:rFonts w:eastAsia="Calibri"/>
          <w:bCs/>
          <w:sz w:val="28"/>
          <w:szCs w:val="28"/>
        </w:rPr>
        <w:footnoteReference w:id="6"/>
      </w:r>
      <w:r w:rsidR="006551C2">
        <w:rPr>
          <w:rFonts w:eastAsia="Calibri"/>
          <w:bCs/>
          <w:sz w:val="28"/>
          <w:szCs w:val="28"/>
        </w:rPr>
        <w:t>)</w:t>
      </w:r>
      <w:r w:rsidR="00103550">
        <w:rPr>
          <w:rFonts w:eastAsia="Calibri"/>
          <w:bCs/>
          <w:sz w:val="28"/>
          <w:szCs w:val="28"/>
        </w:rPr>
        <w:t xml:space="preserve"> và chủ</w:t>
      </w:r>
      <w:r w:rsidR="001A1B8B">
        <w:rPr>
          <w:rFonts w:eastAsia="Calibri"/>
          <w:bCs/>
          <w:sz w:val="28"/>
          <w:szCs w:val="28"/>
        </w:rPr>
        <w:t xml:space="preserve"> trương định hướng cơ cấu lại NHPT đã được Bộ Chính trị phê duyệt (trong đó, việc cho vay mới phải thực hiện theo chuẩn mực tương tự như ngân hàng thương mại, bao gồm cả việc trích lập và sử dụng dự phòng để xử lý rủi ro tín dụng). </w:t>
      </w:r>
    </w:p>
    <w:p w:rsidR="00225872" w:rsidRDefault="007D5779" w:rsidP="00E57418">
      <w:pPr>
        <w:spacing w:after="120" w:line="340" w:lineRule="exact"/>
        <w:ind w:firstLine="709"/>
        <w:jc w:val="both"/>
        <w:rPr>
          <w:rFonts w:eastAsia="Calibri"/>
          <w:bCs/>
          <w:sz w:val="28"/>
          <w:szCs w:val="28"/>
        </w:rPr>
      </w:pPr>
      <w:r>
        <w:rPr>
          <w:rFonts w:eastAsia="Calibri"/>
          <w:bCs/>
          <w:sz w:val="28"/>
          <w:szCs w:val="28"/>
        </w:rPr>
        <w:t xml:space="preserve">- </w:t>
      </w:r>
      <w:r w:rsidR="000F0D27">
        <w:rPr>
          <w:rFonts w:eastAsia="Calibri"/>
          <w:bCs/>
          <w:sz w:val="28"/>
          <w:szCs w:val="28"/>
        </w:rPr>
        <w:t xml:space="preserve">Về </w:t>
      </w:r>
      <w:r w:rsidR="00795269">
        <w:rPr>
          <w:rFonts w:eastAsia="Calibri"/>
          <w:bCs/>
          <w:sz w:val="28"/>
          <w:szCs w:val="28"/>
        </w:rPr>
        <w:t>theo dõi khoản nợ đã chuyển ngoại bảng và đã xuất toán ra khỏi ngoại bả</w:t>
      </w:r>
      <w:r w:rsidR="00D914D1">
        <w:rPr>
          <w:rFonts w:eastAsia="Calibri"/>
          <w:bCs/>
          <w:sz w:val="28"/>
          <w:szCs w:val="28"/>
        </w:rPr>
        <w:t>ng: Dự thảo Quyết định quy định NHPT phải theo dõi khoản nợ đã chuyển ngoại bảng tối thiểu 5 năm và theo dõi khoản nợ xuất toán khỏi ngoại bảng trong 10 năm để tiếp tục theo dõi, thu hồi nợ</w:t>
      </w:r>
      <w:r w:rsidR="00D24A08">
        <w:rPr>
          <w:rFonts w:eastAsia="Calibri"/>
          <w:bCs/>
          <w:sz w:val="28"/>
          <w:szCs w:val="28"/>
        </w:rPr>
        <w:t xml:space="preserve"> vay</w:t>
      </w:r>
      <w:r w:rsidR="003B57E5">
        <w:rPr>
          <w:rFonts w:eastAsia="Calibri"/>
          <w:bCs/>
          <w:sz w:val="28"/>
          <w:szCs w:val="28"/>
        </w:rPr>
        <w:t xml:space="preserve"> (trừ các trường hợp</w:t>
      </w:r>
      <w:r w:rsidR="0019014A">
        <w:rPr>
          <w:rFonts w:eastAsia="Calibri"/>
          <w:bCs/>
          <w:sz w:val="28"/>
          <w:szCs w:val="28"/>
        </w:rPr>
        <w:t>:</w:t>
      </w:r>
      <w:r w:rsidR="003B57E5">
        <w:rPr>
          <w:rFonts w:eastAsia="Calibri"/>
          <w:bCs/>
          <w:sz w:val="28"/>
          <w:szCs w:val="28"/>
        </w:rPr>
        <w:t xml:space="preserve"> khách hàng vay vốn đã giải thể, phá sản, chết, mất tích và đã xử lý xong tài sản, nghĩa vụ liên quan</w:t>
      </w:r>
      <w:r w:rsidR="0019014A">
        <w:rPr>
          <w:rFonts w:eastAsia="Calibri"/>
          <w:bCs/>
          <w:sz w:val="28"/>
          <w:szCs w:val="28"/>
        </w:rPr>
        <w:t>; khoản nợ đã hoàn thành thủ tục bán nợ)</w:t>
      </w:r>
      <w:r w:rsidR="00D24A08">
        <w:rPr>
          <w:rFonts w:eastAsia="Calibri"/>
          <w:bCs/>
          <w:sz w:val="28"/>
          <w:szCs w:val="28"/>
        </w:rPr>
        <w:t>; tương tự như quy định hiện hành đối với ngân hàng thương mại tại khoản 3 Điều 16 Thông tư số</w:t>
      </w:r>
      <w:r w:rsidR="00225872">
        <w:rPr>
          <w:rFonts w:eastAsia="Calibri"/>
          <w:bCs/>
          <w:sz w:val="28"/>
          <w:szCs w:val="28"/>
        </w:rPr>
        <w:t xml:space="preserve"> 11/2021/TT-NHNN.</w:t>
      </w:r>
    </w:p>
    <w:p w:rsidR="007D5779" w:rsidRDefault="00225872" w:rsidP="00E57418">
      <w:pPr>
        <w:spacing w:after="120" w:line="340" w:lineRule="exact"/>
        <w:ind w:firstLine="709"/>
        <w:jc w:val="both"/>
        <w:rPr>
          <w:rFonts w:eastAsia="Calibri"/>
          <w:bCs/>
          <w:sz w:val="28"/>
          <w:szCs w:val="28"/>
        </w:rPr>
      </w:pPr>
      <w:r>
        <w:rPr>
          <w:rFonts w:eastAsia="Calibri"/>
          <w:bCs/>
          <w:sz w:val="28"/>
          <w:szCs w:val="28"/>
        </w:rPr>
        <w:t xml:space="preserve">- </w:t>
      </w:r>
      <w:r w:rsidR="0022411B">
        <w:rPr>
          <w:rFonts w:eastAsia="Calibri"/>
          <w:bCs/>
          <w:sz w:val="28"/>
          <w:szCs w:val="28"/>
        </w:rPr>
        <w:t xml:space="preserve">Ngoài ra, </w:t>
      </w:r>
      <w:r w:rsidR="00B42663">
        <w:rPr>
          <w:rFonts w:eastAsia="Calibri"/>
          <w:bCs/>
          <w:sz w:val="28"/>
          <w:szCs w:val="28"/>
        </w:rPr>
        <w:t xml:space="preserve">để giám sát chặt chẽ nguồn vốn ngân sách nhà nước tại NHPT, </w:t>
      </w:r>
      <w:r w:rsidR="009710D0">
        <w:rPr>
          <w:rFonts w:eastAsia="Calibri"/>
          <w:bCs/>
          <w:sz w:val="28"/>
          <w:szCs w:val="28"/>
        </w:rPr>
        <w:t xml:space="preserve">dự thảo Quyết định quy định </w:t>
      </w:r>
      <w:r w:rsidR="0022411B">
        <w:rPr>
          <w:rFonts w:eastAsia="Calibri"/>
          <w:bCs/>
          <w:sz w:val="28"/>
          <w:szCs w:val="28"/>
        </w:rPr>
        <w:t xml:space="preserve">về việc xuất toán khoản nợ khỏi ngoại bảng </w:t>
      </w:r>
      <w:r w:rsidR="003D314A">
        <w:rPr>
          <w:rFonts w:eastAsia="Calibri"/>
          <w:bCs/>
          <w:sz w:val="28"/>
          <w:szCs w:val="28"/>
        </w:rPr>
        <w:t xml:space="preserve">chỉ được thực hiện khi </w:t>
      </w:r>
      <w:r w:rsidR="003C11B4">
        <w:rPr>
          <w:rFonts w:eastAsia="Calibri"/>
          <w:bCs/>
          <w:sz w:val="28"/>
          <w:szCs w:val="28"/>
        </w:rPr>
        <w:t>có đầy đủ tài liệu chứng minh đã thực hiện tất cả các biện pháp để thu hồi nợ nhưng không thu hồi được</w:t>
      </w:r>
      <w:r w:rsidR="003103CE">
        <w:rPr>
          <w:rFonts w:eastAsia="Calibri"/>
          <w:bCs/>
          <w:sz w:val="28"/>
          <w:szCs w:val="28"/>
        </w:rPr>
        <w:t>;</w:t>
      </w:r>
      <w:r w:rsidR="003C11B4">
        <w:rPr>
          <w:rFonts w:eastAsia="Calibri"/>
          <w:bCs/>
          <w:sz w:val="28"/>
          <w:szCs w:val="28"/>
        </w:rPr>
        <w:t xml:space="preserve"> đồng thời </w:t>
      </w:r>
      <w:r w:rsidR="00B42663">
        <w:rPr>
          <w:rFonts w:eastAsia="Calibri"/>
          <w:bCs/>
          <w:sz w:val="28"/>
          <w:szCs w:val="28"/>
        </w:rPr>
        <w:t xml:space="preserve">phải có ý kiến phê duyệt bằng văn bản của </w:t>
      </w:r>
      <w:r w:rsidR="00105F8F">
        <w:rPr>
          <w:rFonts w:eastAsia="Calibri"/>
          <w:bCs/>
          <w:sz w:val="28"/>
          <w:szCs w:val="28"/>
        </w:rPr>
        <w:t xml:space="preserve">Thủ tướng Chính phủ trên cơ sở báo cáo của </w:t>
      </w:r>
      <w:r w:rsidR="00B42663">
        <w:rPr>
          <w:rFonts w:eastAsia="Calibri"/>
          <w:bCs/>
          <w:sz w:val="28"/>
          <w:szCs w:val="28"/>
        </w:rPr>
        <w:t xml:space="preserve">Bộ Tài chính sau khi có ý kiến thống nhất của </w:t>
      </w:r>
      <w:r w:rsidR="00B42663" w:rsidRPr="00B42663">
        <w:rPr>
          <w:rFonts w:eastAsia="Calibri"/>
          <w:bCs/>
          <w:sz w:val="28"/>
          <w:szCs w:val="28"/>
        </w:rPr>
        <w:t>Bộ Kế hoạch và Đầu tư, Bộ Tư pháp, Ngân hàng Nhà nước Việt Nam và Kiểm toán Nhà nước</w:t>
      </w:r>
      <w:r>
        <w:rPr>
          <w:rFonts w:eastAsia="Calibri"/>
          <w:bCs/>
          <w:sz w:val="28"/>
          <w:szCs w:val="28"/>
        </w:rPr>
        <w:t>. D</w:t>
      </w:r>
      <w:r w:rsidR="003F63BD">
        <w:rPr>
          <w:rFonts w:eastAsia="Calibri"/>
          <w:bCs/>
          <w:sz w:val="28"/>
          <w:szCs w:val="28"/>
        </w:rPr>
        <w:t>o việc xuất toán khoản nợ liên quan trực tiếp đến quản lý nguồn vốn của của NHPT, trong đó có nguồn vố</w:t>
      </w:r>
      <w:r>
        <w:rPr>
          <w:rFonts w:eastAsia="Calibri"/>
          <w:bCs/>
          <w:sz w:val="28"/>
          <w:szCs w:val="28"/>
        </w:rPr>
        <w:t>n ngân sách nhà</w:t>
      </w:r>
      <w:r w:rsidR="003F63BD">
        <w:rPr>
          <w:rFonts w:eastAsia="Calibri"/>
          <w:bCs/>
          <w:sz w:val="28"/>
          <w:szCs w:val="28"/>
        </w:rPr>
        <w:t xml:space="preserve"> nướ</w:t>
      </w:r>
      <w:r>
        <w:rPr>
          <w:rFonts w:eastAsia="Calibri"/>
          <w:bCs/>
          <w:sz w:val="28"/>
          <w:szCs w:val="28"/>
        </w:rPr>
        <w:t>c tại NHPT. Nội dung này cũng phù hợp với quy đị</w:t>
      </w:r>
      <w:r w:rsidR="003A6030">
        <w:rPr>
          <w:rFonts w:eastAsia="Calibri"/>
          <w:bCs/>
          <w:sz w:val="28"/>
          <w:szCs w:val="28"/>
        </w:rPr>
        <w:t xml:space="preserve">nh về thẩm quyền của Thủ tướng Chính phủ tại </w:t>
      </w:r>
      <w:r w:rsidR="00462F06">
        <w:rPr>
          <w:rFonts w:eastAsia="Calibri"/>
          <w:bCs/>
          <w:sz w:val="28"/>
          <w:szCs w:val="28"/>
        </w:rPr>
        <w:t>Đ</w:t>
      </w:r>
      <w:r w:rsidR="003A6030">
        <w:rPr>
          <w:rFonts w:eastAsia="Calibri"/>
          <w:bCs/>
          <w:sz w:val="28"/>
          <w:szCs w:val="28"/>
        </w:rPr>
        <w:t>iều lệ tổ chức, hoạt động của NHPT ban hành kèm theo Quyết định số 1515/QĐ-TTg (Thủ tướng Chính phủ trực tiếp quyền, nghĩa vụ của chủ sở hữu theo phân công của</w:t>
      </w:r>
      <w:r w:rsidR="00D741D9">
        <w:rPr>
          <w:rFonts w:eastAsia="Calibri"/>
          <w:bCs/>
          <w:sz w:val="28"/>
          <w:szCs w:val="28"/>
        </w:rPr>
        <w:t xml:space="preserve"> Chính phủ). </w:t>
      </w:r>
    </w:p>
    <w:p w:rsidR="000A3F8E" w:rsidRDefault="000132E0" w:rsidP="00E57418">
      <w:pPr>
        <w:spacing w:after="120" w:line="340" w:lineRule="exact"/>
        <w:ind w:firstLine="709"/>
        <w:jc w:val="both"/>
        <w:rPr>
          <w:rFonts w:eastAsia="Calibri"/>
          <w:bCs/>
          <w:sz w:val="28"/>
          <w:szCs w:val="28"/>
        </w:rPr>
      </w:pPr>
      <w:r>
        <w:rPr>
          <w:rFonts w:eastAsia="Calibri"/>
          <w:bCs/>
          <w:sz w:val="28"/>
          <w:szCs w:val="28"/>
        </w:rPr>
        <w:t xml:space="preserve">- Về xử lý số tiền thu hồi được từ các khoản nợ đã chuyển ngoại bảng: </w:t>
      </w:r>
    </w:p>
    <w:p w:rsidR="000A3F8E" w:rsidRDefault="000A3F8E" w:rsidP="00E57418">
      <w:pPr>
        <w:spacing w:after="120" w:line="340" w:lineRule="exact"/>
        <w:ind w:firstLine="709"/>
        <w:jc w:val="both"/>
        <w:rPr>
          <w:rFonts w:eastAsia="Calibri"/>
          <w:bCs/>
          <w:sz w:val="28"/>
          <w:szCs w:val="28"/>
        </w:rPr>
      </w:pPr>
      <w:r>
        <w:rPr>
          <w:rFonts w:eastAsia="Calibri"/>
          <w:bCs/>
          <w:sz w:val="28"/>
          <w:szCs w:val="28"/>
        </w:rPr>
        <w:lastRenderedPageBreak/>
        <w:t xml:space="preserve">+ </w:t>
      </w:r>
      <w:r w:rsidRPr="000A3F8E">
        <w:rPr>
          <w:rFonts w:eastAsia="Calibri"/>
          <w:bCs/>
          <w:sz w:val="28"/>
          <w:szCs w:val="28"/>
        </w:rPr>
        <w:t>Đối với các khoản nợ của Hợp đồng tín dụng đầu tư, tín dụng xuất khẩu ký trước thời điểm Nghị định sửa đổi, bổ sung Nghị định số 32/2017/NĐ-CP có hiệu lực thi hành</w:t>
      </w:r>
      <w:r w:rsidR="00DE62D7">
        <w:rPr>
          <w:rFonts w:eastAsia="Calibri"/>
          <w:bCs/>
          <w:sz w:val="28"/>
          <w:szCs w:val="28"/>
        </w:rPr>
        <w:t>, các khoản nợ vay bắt buộc bảo lãnh</w:t>
      </w:r>
      <w:r w:rsidRPr="000A3F8E">
        <w:rPr>
          <w:rFonts w:eastAsia="Calibri"/>
          <w:bCs/>
          <w:sz w:val="28"/>
          <w:szCs w:val="28"/>
        </w:rPr>
        <w:t xml:space="preserve"> và các khoản nợ vay khác</w:t>
      </w:r>
      <w:r w:rsidR="00D13DC5">
        <w:rPr>
          <w:rFonts w:eastAsia="Calibri"/>
          <w:bCs/>
          <w:sz w:val="28"/>
          <w:szCs w:val="28"/>
        </w:rPr>
        <w:t>, NHPT sử dụng số tiền thu hồi được để hoàn nhập vào quỹ dự phòng rủi ro tương ứng với từng khoản nợ. Nội dung này phù hợp với quy định về quản lý tài chính của NHPT tại điểm b</w:t>
      </w:r>
      <w:r w:rsidR="00C5513D">
        <w:rPr>
          <w:rStyle w:val="FootnoteReference"/>
          <w:rFonts w:eastAsia="Calibri"/>
          <w:bCs/>
          <w:sz w:val="28"/>
          <w:szCs w:val="28"/>
        </w:rPr>
        <w:footnoteReference w:id="7"/>
      </w:r>
      <w:r w:rsidR="00D13DC5">
        <w:rPr>
          <w:rFonts w:eastAsia="Calibri"/>
          <w:bCs/>
          <w:sz w:val="28"/>
          <w:szCs w:val="28"/>
        </w:rPr>
        <w:t xml:space="preserve">, khoản 1 </w:t>
      </w:r>
      <w:r w:rsidR="00CC75A5">
        <w:rPr>
          <w:rFonts w:eastAsia="Calibri"/>
          <w:bCs/>
          <w:sz w:val="28"/>
          <w:szCs w:val="28"/>
        </w:rPr>
        <w:t xml:space="preserve">Điều 17 Nghị định số 46/2021/NĐ-CP. </w:t>
      </w:r>
    </w:p>
    <w:p w:rsidR="00DB52CD" w:rsidRDefault="00DB52CD" w:rsidP="00E57418">
      <w:pPr>
        <w:spacing w:after="120" w:line="340" w:lineRule="exact"/>
        <w:ind w:firstLine="709"/>
        <w:jc w:val="both"/>
        <w:rPr>
          <w:rFonts w:eastAsia="Calibri"/>
          <w:bCs/>
          <w:sz w:val="28"/>
          <w:szCs w:val="28"/>
        </w:rPr>
      </w:pPr>
      <w:r>
        <w:rPr>
          <w:rFonts w:eastAsia="Calibri"/>
          <w:bCs/>
          <w:sz w:val="28"/>
          <w:szCs w:val="28"/>
        </w:rPr>
        <w:t xml:space="preserve">+ </w:t>
      </w:r>
      <w:r w:rsidRPr="00DB52CD">
        <w:rPr>
          <w:rFonts w:eastAsia="Calibri"/>
          <w:bCs/>
          <w:sz w:val="28"/>
          <w:szCs w:val="28"/>
          <w:lang w:val="da-DK"/>
        </w:rPr>
        <w:t xml:space="preserve">Đối với các </w:t>
      </w:r>
      <w:r w:rsidRPr="00DB52CD">
        <w:rPr>
          <w:rFonts w:eastAsia="Calibri"/>
          <w:bCs/>
          <w:sz w:val="28"/>
          <w:szCs w:val="28"/>
        </w:rPr>
        <w:t>khoản nợ của Hợp đồng tín dụng đầu tư ký sau thời điểm Nghị định sửa đổi, bổ sung Nghị định số 32/2017/NĐ-CP có hiệu lực thi hành</w:t>
      </w:r>
      <w:r>
        <w:rPr>
          <w:rFonts w:eastAsia="Calibri"/>
          <w:bCs/>
          <w:sz w:val="28"/>
          <w:szCs w:val="28"/>
        </w:rPr>
        <w:t xml:space="preserve">, số tiền thu hồi được </w:t>
      </w:r>
      <w:r w:rsidR="00940A37">
        <w:rPr>
          <w:rFonts w:eastAsia="Calibri"/>
          <w:bCs/>
          <w:sz w:val="28"/>
          <w:szCs w:val="28"/>
        </w:rPr>
        <w:t>hạch toán vào</w:t>
      </w:r>
      <w:r>
        <w:rPr>
          <w:rFonts w:eastAsia="Calibri"/>
          <w:bCs/>
          <w:sz w:val="28"/>
          <w:szCs w:val="28"/>
        </w:rPr>
        <w:t xml:space="preserve"> thu nhập trong kỳ kế toán của NHPT; tương tự như quy định đối với </w:t>
      </w:r>
      <w:r w:rsidR="00940A37">
        <w:rPr>
          <w:rFonts w:eastAsia="Calibri"/>
          <w:bCs/>
          <w:sz w:val="28"/>
          <w:szCs w:val="28"/>
        </w:rPr>
        <w:t>NHTM</w:t>
      </w:r>
      <w:r>
        <w:rPr>
          <w:rFonts w:eastAsia="Calibri"/>
          <w:bCs/>
          <w:sz w:val="28"/>
          <w:szCs w:val="28"/>
        </w:rPr>
        <w:t xml:space="preserve"> (</w:t>
      </w:r>
      <w:r w:rsidR="00A851F2">
        <w:rPr>
          <w:rFonts w:eastAsia="Calibri"/>
          <w:bCs/>
          <w:sz w:val="28"/>
          <w:szCs w:val="28"/>
        </w:rPr>
        <w:t>Điều 19 Thông tư số 11/2021/TT-NHNN</w:t>
      </w:r>
      <w:r w:rsidR="00A851F2">
        <w:rPr>
          <w:rStyle w:val="FootnoteReference"/>
          <w:rFonts w:eastAsia="Calibri"/>
          <w:bCs/>
          <w:sz w:val="28"/>
          <w:szCs w:val="28"/>
        </w:rPr>
        <w:footnoteReference w:id="8"/>
      </w:r>
      <w:r w:rsidR="00A851F2">
        <w:rPr>
          <w:rFonts w:eastAsia="Calibri"/>
          <w:bCs/>
          <w:sz w:val="28"/>
          <w:szCs w:val="28"/>
        </w:rPr>
        <w:t>)</w:t>
      </w:r>
      <w:r w:rsidR="0072581B">
        <w:rPr>
          <w:rFonts w:eastAsia="Calibri"/>
          <w:bCs/>
          <w:sz w:val="28"/>
          <w:szCs w:val="28"/>
        </w:rPr>
        <w:t>.</w:t>
      </w:r>
    </w:p>
    <w:p w:rsidR="0072581B" w:rsidRDefault="00FA06A7" w:rsidP="00E57418">
      <w:pPr>
        <w:spacing w:after="120" w:line="340" w:lineRule="exact"/>
        <w:ind w:firstLine="709"/>
        <w:jc w:val="both"/>
        <w:rPr>
          <w:rFonts w:eastAsia="Calibri"/>
          <w:b/>
          <w:bCs/>
          <w:i/>
          <w:sz w:val="28"/>
          <w:szCs w:val="28"/>
        </w:rPr>
      </w:pPr>
      <w:r>
        <w:rPr>
          <w:rFonts w:eastAsia="Calibri"/>
          <w:b/>
          <w:bCs/>
          <w:i/>
          <w:sz w:val="28"/>
          <w:szCs w:val="28"/>
        </w:rPr>
        <w:t xml:space="preserve">2.5. Về bán nợ </w:t>
      </w:r>
      <w:r w:rsidR="00B63E86">
        <w:rPr>
          <w:rFonts w:eastAsia="Calibri"/>
          <w:b/>
          <w:bCs/>
          <w:i/>
          <w:sz w:val="28"/>
          <w:szCs w:val="28"/>
        </w:rPr>
        <w:t>(từ Điều 13 đến Điều 16 dự thảo Quyết định)</w:t>
      </w:r>
    </w:p>
    <w:p w:rsidR="00B63E86" w:rsidRDefault="0095313B" w:rsidP="00E57418">
      <w:pPr>
        <w:spacing w:after="120" w:line="340" w:lineRule="exact"/>
        <w:ind w:firstLine="709"/>
        <w:jc w:val="both"/>
        <w:rPr>
          <w:rFonts w:eastAsia="Calibri"/>
          <w:bCs/>
          <w:sz w:val="28"/>
          <w:szCs w:val="28"/>
        </w:rPr>
      </w:pPr>
      <w:r>
        <w:rPr>
          <w:rFonts w:eastAsia="Calibri"/>
          <w:b/>
          <w:bCs/>
          <w:sz w:val="28"/>
          <w:szCs w:val="28"/>
        </w:rPr>
        <w:t xml:space="preserve">- </w:t>
      </w:r>
      <w:r w:rsidR="00BF17B1">
        <w:rPr>
          <w:rFonts w:eastAsia="Calibri"/>
          <w:bCs/>
          <w:sz w:val="28"/>
          <w:szCs w:val="28"/>
        </w:rPr>
        <w:t xml:space="preserve">Hiện nay, hoạt động </w:t>
      </w:r>
      <w:r w:rsidR="006B5A2D">
        <w:rPr>
          <w:rFonts w:eastAsia="Calibri"/>
          <w:bCs/>
          <w:sz w:val="28"/>
          <w:szCs w:val="28"/>
        </w:rPr>
        <w:t>m</w:t>
      </w:r>
      <w:r w:rsidR="00BF17B1">
        <w:rPr>
          <w:rFonts w:eastAsia="Calibri"/>
          <w:bCs/>
          <w:sz w:val="28"/>
          <w:szCs w:val="28"/>
        </w:rPr>
        <w:t xml:space="preserve">ua bán nợ của các tổ chức tín dụng, chi nhánh ngân hàng nước ngoài được thực hiện theo quy định tại Thông tư số 19/2015/TT-NHNN ngày 17/7/2015 </w:t>
      </w:r>
      <w:r w:rsidR="00216314">
        <w:rPr>
          <w:rFonts w:eastAsia="Calibri"/>
          <w:bCs/>
          <w:sz w:val="28"/>
          <w:szCs w:val="28"/>
        </w:rPr>
        <w:t xml:space="preserve">và Thông tư số 18/2022/TT-NHNN ngày 26/12/2022 của Thống đốc Ngân hàng Nhà nước Việt Nam. Theo đó, </w:t>
      </w:r>
      <w:r w:rsidR="006B5A2D">
        <w:rPr>
          <w:rFonts w:eastAsia="Calibri"/>
          <w:bCs/>
          <w:sz w:val="28"/>
          <w:szCs w:val="28"/>
        </w:rPr>
        <w:t>hoạt động mua bán nợ</w:t>
      </w:r>
      <w:r w:rsidR="00376E21">
        <w:rPr>
          <w:rFonts w:eastAsia="Calibri"/>
          <w:bCs/>
          <w:sz w:val="28"/>
          <w:szCs w:val="28"/>
        </w:rPr>
        <w:t xml:space="preserve"> của các tổ chức tín dụng áp dụng với tất cả các khoản nợ phát sinh từ nghiệp vụ tín dụng, không phân biệt nhóm nợ, </w:t>
      </w:r>
      <w:r w:rsidR="00C30896">
        <w:rPr>
          <w:rFonts w:eastAsia="Calibri"/>
          <w:bCs/>
          <w:sz w:val="28"/>
          <w:szCs w:val="28"/>
        </w:rPr>
        <w:t xml:space="preserve">không phân biệt nợ đang hạch toán nội bảng, ngoại bảng hay đã xuất toán khỏi ngoại bảng. </w:t>
      </w:r>
      <w:r w:rsidR="001534FB">
        <w:rPr>
          <w:rFonts w:eastAsia="Calibri"/>
          <w:bCs/>
          <w:sz w:val="28"/>
          <w:szCs w:val="28"/>
        </w:rPr>
        <w:t xml:space="preserve">Phần chênh lệch thấp hơn giữa giá bán nợ và giá trị ghi sổ của khoản nợ sẽ được bù đắp bằng dự phòng rủi ro tín dụng đã trích trong chi phí của các </w:t>
      </w:r>
      <w:r w:rsidR="00A069BC">
        <w:rPr>
          <w:rFonts w:eastAsia="Calibri"/>
          <w:bCs/>
          <w:sz w:val="28"/>
          <w:szCs w:val="28"/>
        </w:rPr>
        <w:t>tổ chức tín dụng.</w:t>
      </w:r>
    </w:p>
    <w:p w:rsidR="004B0B01" w:rsidRDefault="00C30896" w:rsidP="004B0B01">
      <w:pPr>
        <w:spacing w:after="120" w:line="340" w:lineRule="exact"/>
        <w:ind w:firstLine="709"/>
        <w:jc w:val="both"/>
        <w:rPr>
          <w:rFonts w:eastAsia="Calibri"/>
          <w:bCs/>
          <w:sz w:val="28"/>
          <w:szCs w:val="28"/>
        </w:rPr>
      </w:pPr>
      <w:r>
        <w:rPr>
          <w:rFonts w:eastAsia="Calibri"/>
          <w:bCs/>
          <w:sz w:val="28"/>
          <w:szCs w:val="28"/>
        </w:rPr>
        <w:t>- Tuy nhiên, như đã báo cáo Thủ tướng Chính phủ tại mục 2.1 nêu trên,</w:t>
      </w:r>
      <w:r w:rsidR="00A069BC">
        <w:rPr>
          <w:rFonts w:eastAsia="Calibri"/>
          <w:bCs/>
          <w:sz w:val="28"/>
          <w:szCs w:val="28"/>
        </w:rPr>
        <w:t xml:space="preserve"> do hạn chế số dự phòng rủi ro tín dụng đã trích lập trong chi phí,</w:t>
      </w:r>
      <w:r>
        <w:rPr>
          <w:rFonts w:eastAsia="Calibri"/>
          <w:bCs/>
          <w:sz w:val="28"/>
          <w:szCs w:val="28"/>
        </w:rPr>
        <w:t xml:space="preserve"> trong phạm vi dự thảo Quyết định về cơ chế xử lý rủi ro của NHPT chỉ quy định về việc bán nợ </w:t>
      </w:r>
      <w:r w:rsidR="00C17CE4">
        <w:rPr>
          <w:rFonts w:eastAsia="Calibri"/>
          <w:bCs/>
          <w:sz w:val="28"/>
          <w:szCs w:val="28"/>
        </w:rPr>
        <w:t xml:space="preserve">như một hình thức xử lý rủi ro tín dụng </w:t>
      </w:r>
      <w:r>
        <w:rPr>
          <w:rFonts w:eastAsia="Calibri"/>
          <w:bCs/>
          <w:sz w:val="28"/>
          <w:szCs w:val="28"/>
        </w:rPr>
        <w:t>đối với các khoản nợ thuộc nhóm nợ xấu (khách hàng là cá nhân chết, mất tích</w:t>
      </w:r>
      <w:r w:rsidR="002209CB">
        <w:rPr>
          <w:rFonts w:eastAsia="Calibri"/>
          <w:bCs/>
          <w:sz w:val="28"/>
          <w:szCs w:val="28"/>
        </w:rPr>
        <w:t>;</w:t>
      </w:r>
      <w:r>
        <w:rPr>
          <w:rFonts w:eastAsia="Calibri"/>
          <w:bCs/>
          <w:sz w:val="28"/>
          <w:szCs w:val="28"/>
        </w:rPr>
        <w:t xml:space="preserve"> khách hàng là tổ chức giải thể, phá sả</w:t>
      </w:r>
      <w:r w:rsidR="002209CB">
        <w:rPr>
          <w:rFonts w:eastAsia="Calibri"/>
          <w:bCs/>
          <w:sz w:val="28"/>
          <w:szCs w:val="28"/>
        </w:rPr>
        <w:t xml:space="preserve">n; </w:t>
      </w:r>
      <w:r>
        <w:rPr>
          <w:rFonts w:eastAsia="Calibri"/>
          <w:bCs/>
          <w:sz w:val="28"/>
          <w:szCs w:val="28"/>
        </w:rPr>
        <w:t>khoản nợ được phân loại nhóm 5</w:t>
      </w:r>
      <w:r w:rsidR="002209CB">
        <w:rPr>
          <w:rFonts w:eastAsia="Calibri"/>
          <w:bCs/>
          <w:sz w:val="28"/>
          <w:szCs w:val="28"/>
        </w:rPr>
        <w:t>; khoản nợ đã chuyển theo dõi ngoại bảng hoặc khoản nợ đã xuất toán khỏi ngoại bảng</w:t>
      </w:r>
      <w:r>
        <w:rPr>
          <w:rFonts w:eastAsia="Calibri"/>
          <w:bCs/>
          <w:sz w:val="28"/>
          <w:szCs w:val="28"/>
        </w:rPr>
        <w:t>)</w:t>
      </w:r>
      <w:r w:rsidR="00C17CE4">
        <w:rPr>
          <w:rFonts w:eastAsia="Calibri"/>
          <w:bCs/>
          <w:sz w:val="28"/>
          <w:szCs w:val="28"/>
        </w:rPr>
        <w:t xml:space="preserve">. </w:t>
      </w:r>
      <w:r w:rsidR="00A069BC">
        <w:rPr>
          <w:rFonts w:eastAsia="Calibri"/>
          <w:bCs/>
          <w:sz w:val="28"/>
          <w:szCs w:val="28"/>
        </w:rPr>
        <w:t>V</w:t>
      </w:r>
      <w:r w:rsidR="004B0B01">
        <w:rPr>
          <w:rFonts w:eastAsia="Calibri"/>
          <w:bCs/>
          <w:sz w:val="28"/>
          <w:szCs w:val="28"/>
        </w:rPr>
        <w:t xml:space="preserve">ề cơ bản việc bán nợ của NHPT vẫn thực hiện theo hướng dẫn </w:t>
      </w:r>
      <w:r w:rsidR="004B0B01" w:rsidRPr="004B0B01">
        <w:rPr>
          <w:rFonts w:eastAsia="Calibri"/>
          <w:bCs/>
          <w:sz w:val="28"/>
          <w:szCs w:val="28"/>
        </w:rPr>
        <w:t xml:space="preserve">của Ngân hàng Nhà nước về hoạt động mua, bán nợ của tổ chức tín dụng, chi nhánh ngân hàng nước ngoài trừ các nội dung quy định tại </w:t>
      </w:r>
      <w:r w:rsidR="004B0B01">
        <w:rPr>
          <w:rFonts w:eastAsia="Calibri"/>
          <w:bCs/>
          <w:sz w:val="28"/>
          <w:szCs w:val="28"/>
        </w:rPr>
        <w:t>dự thả</w:t>
      </w:r>
      <w:r w:rsidR="00397DDB">
        <w:rPr>
          <w:rFonts w:eastAsia="Calibri"/>
          <w:bCs/>
          <w:sz w:val="28"/>
          <w:szCs w:val="28"/>
        </w:rPr>
        <w:t xml:space="preserve">o Quyết định, bao gồm: </w:t>
      </w:r>
    </w:p>
    <w:p w:rsidR="00397DDB" w:rsidRDefault="00397DDB" w:rsidP="004B0B01">
      <w:pPr>
        <w:spacing w:after="120" w:line="340" w:lineRule="exact"/>
        <w:ind w:firstLine="709"/>
        <w:jc w:val="both"/>
        <w:rPr>
          <w:rFonts w:eastAsia="Calibri"/>
          <w:bCs/>
          <w:sz w:val="28"/>
          <w:szCs w:val="28"/>
        </w:rPr>
      </w:pPr>
      <w:r>
        <w:rPr>
          <w:rFonts w:eastAsia="Calibri"/>
          <w:bCs/>
          <w:sz w:val="28"/>
          <w:szCs w:val="28"/>
        </w:rPr>
        <w:t xml:space="preserve">+ Phương thức bán nợ: Ngoài phương thức đấu giá và thỏa thuận (như quy định đối với tổ chức tín dụng), </w:t>
      </w:r>
      <w:r w:rsidR="006B11D2">
        <w:rPr>
          <w:rFonts w:eastAsia="Calibri"/>
          <w:bCs/>
          <w:sz w:val="28"/>
          <w:szCs w:val="28"/>
        </w:rPr>
        <w:t>xuất phát từ thực tế đã triển khai trong thờ</w:t>
      </w:r>
      <w:r w:rsidR="00070658">
        <w:rPr>
          <w:rFonts w:eastAsia="Calibri"/>
          <w:bCs/>
          <w:sz w:val="28"/>
          <w:szCs w:val="28"/>
        </w:rPr>
        <w:t>i gian qua</w:t>
      </w:r>
      <w:r w:rsidR="006B11D2">
        <w:rPr>
          <w:rFonts w:eastAsia="Calibri"/>
          <w:bCs/>
          <w:sz w:val="28"/>
          <w:szCs w:val="28"/>
        </w:rPr>
        <w:t xml:space="preserve"> và đặc thù hoạt động của NHPT có bao gồm một số chương trình tín dụng chính sách cho vay theo quyết định của Chính phủ, Thủ tướng Chính phủ</w:t>
      </w:r>
      <w:r w:rsidR="00070658">
        <w:rPr>
          <w:rFonts w:eastAsia="Calibri"/>
          <w:bCs/>
          <w:sz w:val="28"/>
          <w:szCs w:val="28"/>
        </w:rPr>
        <w:t xml:space="preserve">, </w:t>
      </w:r>
      <w:r>
        <w:rPr>
          <w:rFonts w:eastAsia="Calibri"/>
          <w:bCs/>
          <w:sz w:val="28"/>
          <w:szCs w:val="28"/>
        </w:rPr>
        <w:t>dự thảo Quyết định quy định</w:t>
      </w:r>
      <w:r w:rsidR="00070658">
        <w:rPr>
          <w:rFonts w:eastAsia="Calibri"/>
          <w:bCs/>
          <w:sz w:val="28"/>
          <w:szCs w:val="28"/>
        </w:rPr>
        <w:t xml:space="preserve"> bổ sung thêm</w:t>
      </w:r>
      <w:r>
        <w:rPr>
          <w:rFonts w:eastAsia="Calibri"/>
          <w:bCs/>
          <w:sz w:val="28"/>
          <w:szCs w:val="28"/>
        </w:rPr>
        <w:t xml:space="preserve"> phương thức bán nợ theo chỉ định của Chính phủ, Thủ tướng Chính phủ. </w:t>
      </w:r>
    </w:p>
    <w:p w:rsidR="004C4D59" w:rsidRDefault="004C4D59" w:rsidP="004B0B01">
      <w:pPr>
        <w:spacing w:after="120" w:line="340" w:lineRule="exact"/>
        <w:ind w:firstLine="709"/>
        <w:jc w:val="both"/>
        <w:rPr>
          <w:rFonts w:eastAsia="Calibri"/>
          <w:bCs/>
          <w:sz w:val="28"/>
          <w:szCs w:val="28"/>
        </w:rPr>
      </w:pPr>
      <w:r>
        <w:rPr>
          <w:rFonts w:eastAsia="Calibri"/>
          <w:bCs/>
          <w:sz w:val="28"/>
          <w:szCs w:val="28"/>
        </w:rPr>
        <w:lastRenderedPageBreak/>
        <w:t xml:space="preserve">+ Về định giá khoản nợ: Để đảm bảo tính khách quan, minh bạch, dự thảo </w:t>
      </w:r>
      <w:r w:rsidR="00871239">
        <w:rPr>
          <w:rFonts w:eastAsia="Calibri"/>
          <w:bCs/>
          <w:sz w:val="28"/>
          <w:szCs w:val="28"/>
        </w:rPr>
        <w:t xml:space="preserve">Quyết định quy định NHPT phải thuê tổ chức định giá độc lập để xác định giá khởi điểm đối với </w:t>
      </w:r>
      <w:r w:rsidR="00871239" w:rsidRPr="00871239">
        <w:rPr>
          <w:rFonts w:eastAsia="Calibri"/>
          <w:bCs/>
          <w:sz w:val="28"/>
          <w:szCs w:val="28"/>
        </w:rPr>
        <w:t>trường hợp bán nợ theo phương thức bán đấu giá hoặc giá để đàm phán bán nợ đối với trường hợp bán nợ theo phương thức thỏa thuận.</w:t>
      </w:r>
      <w:r w:rsidR="00871239">
        <w:rPr>
          <w:rFonts w:eastAsia="Calibri"/>
          <w:bCs/>
          <w:sz w:val="28"/>
          <w:szCs w:val="28"/>
        </w:rPr>
        <w:t xml:space="preserve"> </w:t>
      </w:r>
    </w:p>
    <w:p w:rsidR="00367C5E" w:rsidRDefault="00871239" w:rsidP="004B0B01">
      <w:pPr>
        <w:spacing w:after="120" w:line="340" w:lineRule="exact"/>
        <w:ind w:firstLine="709"/>
        <w:jc w:val="both"/>
        <w:rPr>
          <w:rFonts w:eastAsia="Calibri"/>
          <w:bCs/>
          <w:sz w:val="28"/>
          <w:szCs w:val="28"/>
        </w:rPr>
      </w:pPr>
      <w:r>
        <w:rPr>
          <w:rFonts w:eastAsia="Calibri"/>
          <w:bCs/>
          <w:sz w:val="28"/>
          <w:szCs w:val="28"/>
        </w:rPr>
        <w:t>+ Về</w:t>
      </w:r>
      <w:r w:rsidR="009A5A81">
        <w:rPr>
          <w:rFonts w:eastAsia="Calibri"/>
          <w:bCs/>
          <w:sz w:val="28"/>
          <w:szCs w:val="28"/>
        </w:rPr>
        <w:t xml:space="preserve"> xử lý tài chính đối với trường hợp</w:t>
      </w:r>
      <w:r>
        <w:rPr>
          <w:rFonts w:eastAsia="Calibri"/>
          <w:bCs/>
          <w:sz w:val="28"/>
          <w:szCs w:val="28"/>
        </w:rPr>
        <w:t xml:space="preserve"> bán nợ thấp hơn </w:t>
      </w:r>
      <w:r w:rsidR="00D12042">
        <w:rPr>
          <w:rFonts w:eastAsia="Calibri"/>
          <w:bCs/>
          <w:sz w:val="28"/>
          <w:szCs w:val="28"/>
        </w:rPr>
        <w:t>số dư nợ gốc của khoản nợ đang được theo dõi nội bảng hoặc ngoại</w:t>
      </w:r>
      <w:r w:rsidR="00367C5E">
        <w:rPr>
          <w:rFonts w:eastAsia="Calibri"/>
          <w:bCs/>
          <w:sz w:val="28"/>
          <w:szCs w:val="28"/>
        </w:rPr>
        <w:t xml:space="preserve"> bảng</w:t>
      </w:r>
      <w:r w:rsidR="00B4783D">
        <w:rPr>
          <w:rFonts w:eastAsia="Calibri"/>
          <w:bCs/>
          <w:sz w:val="28"/>
          <w:szCs w:val="28"/>
        </w:rPr>
        <w:t xml:space="preserve">: </w:t>
      </w:r>
    </w:p>
    <w:p w:rsidR="00871239" w:rsidRDefault="00FA0B45" w:rsidP="001D170D">
      <w:pPr>
        <w:spacing w:after="120" w:line="340" w:lineRule="exact"/>
        <w:ind w:firstLine="709"/>
        <w:jc w:val="both"/>
        <w:rPr>
          <w:rFonts w:eastAsia="Calibri"/>
          <w:bCs/>
          <w:sz w:val="28"/>
          <w:szCs w:val="28"/>
        </w:rPr>
      </w:pPr>
      <w:r>
        <w:rPr>
          <w:rFonts w:eastAsia="Calibri"/>
          <w:bCs/>
          <w:sz w:val="28"/>
          <w:szCs w:val="28"/>
        </w:rPr>
        <w:t>B</w:t>
      </w:r>
      <w:r w:rsidR="00281E8B">
        <w:rPr>
          <w:rFonts w:eastAsia="Calibri"/>
          <w:bCs/>
          <w:sz w:val="28"/>
          <w:szCs w:val="28"/>
        </w:rPr>
        <w:t>án nợ là hình thức</w:t>
      </w:r>
      <w:r w:rsidR="004D7E77">
        <w:rPr>
          <w:rFonts w:eastAsia="Calibri"/>
          <w:bCs/>
          <w:sz w:val="28"/>
          <w:szCs w:val="28"/>
        </w:rPr>
        <w:t xml:space="preserve"> bên bán nợ</w:t>
      </w:r>
      <w:r w:rsidR="00281E8B">
        <w:rPr>
          <w:rFonts w:eastAsia="Calibri"/>
          <w:bCs/>
          <w:sz w:val="28"/>
          <w:szCs w:val="28"/>
        </w:rPr>
        <w:t xml:space="preserve"> chuyển giao quyền </w:t>
      </w:r>
      <w:r>
        <w:rPr>
          <w:rFonts w:eastAsia="Calibri"/>
          <w:bCs/>
          <w:sz w:val="28"/>
          <w:szCs w:val="28"/>
        </w:rPr>
        <w:t>sở hữu khoản</w:t>
      </w:r>
      <w:r w:rsidR="00281E8B">
        <w:rPr>
          <w:rFonts w:eastAsia="Calibri"/>
          <w:bCs/>
          <w:sz w:val="28"/>
          <w:szCs w:val="28"/>
        </w:rPr>
        <w:t xml:space="preserve"> nợ </w:t>
      </w:r>
      <w:r w:rsidR="004D7E77">
        <w:rPr>
          <w:rFonts w:eastAsia="Calibri"/>
          <w:bCs/>
          <w:sz w:val="28"/>
          <w:szCs w:val="28"/>
        </w:rPr>
        <w:t xml:space="preserve">sang </w:t>
      </w:r>
      <w:r w:rsidR="00281E8B">
        <w:rPr>
          <w:rFonts w:eastAsia="Calibri"/>
          <w:bCs/>
          <w:sz w:val="28"/>
          <w:szCs w:val="28"/>
        </w:rPr>
        <w:t>cho bên mua nợ</w:t>
      </w:r>
      <w:r w:rsidR="00B635CE">
        <w:rPr>
          <w:rFonts w:eastAsia="Calibri"/>
          <w:bCs/>
          <w:sz w:val="28"/>
          <w:szCs w:val="28"/>
        </w:rPr>
        <w:t xml:space="preserve">, </w:t>
      </w:r>
      <w:r>
        <w:rPr>
          <w:rFonts w:eastAsia="Calibri"/>
          <w:bCs/>
          <w:sz w:val="28"/>
          <w:szCs w:val="28"/>
        </w:rPr>
        <w:t>nhận thanh toán từ bên mua nợ</w:t>
      </w:r>
      <w:r w:rsidR="00B635CE">
        <w:rPr>
          <w:rFonts w:eastAsia="Calibri"/>
          <w:bCs/>
          <w:sz w:val="28"/>
          <w:szCs w:val="28"/>
        </w:rPr>
        <w:t xml:space="preserve"> và </w:t>
      </w:r>
      <w:r w:rsidR="004D7E77">
        <w:rPr>
          <w:rFonts w:eastAsia="Calibri"/>
          <w:bCs/>
          <w:sz w:val="28"/>
          <w:szCs w:val="28"/>
        </w:rPr>
        <w:t xml:space="preserve">xuất toán khoản nợ khỏi sổ sách kế toán </w:t>
      </w:r>
      <w:r w:rsidR="00B635CE">
        <w:rPr>
          <w:rFonts w:eastAsia="Calibri"/>
          <w:bCs/>
          <w:sz w:val="28"/>
          <w:szCs w:val="28"/>
        </w:rPr>
        <w:t xml:space="preserve">sau khi hoàn thành thủ tục bán nợ. </w:t>
      </w:r>
      <w:r w:rsidR="007B47F8">
        <w:rPr>
          <w:rFonts w:eastAsia="Calibri"/>
          <w:bCs/>
          <w:sz w:val="28"/>
          <w:szCs w:val="28"/>
        </w:rPr>
        <w:t xml:space="preserve">Trường hợp bán nợ thấp hơn giá trị ghi sổ của khoản nợ </w:t>
      </w:r>
      <w:r w:rsidR="00734F2F">
        <w:rPr>
          <w:rFonts w:eastAsia="Calibri"/>
          <w:bCs/>
          <w:sz w:val="28"/>
          <w:szCs w:val="28"/>
        </w:rPr>
        <w:t xml:space="preserve">thì NHPT sẽ tổn thất </w:t>
      </w:r>
      <w:r w:rsidR="00533052">
        <w:rPr>
          <w:rFonts w:eastAsia="Calibri"/>
          <w:bCs/>
          <w:sz w:val="28"/>
          <w:szCs w:val="28"/>
        </w:rPr>
        <w:t>phần chênh lệ</w:t>
      </w:r>
      <w:r w:rsidR="00B11B24">
        <w:rPr>
          <w:rFonts w:eastAsia="Calibri"/>
          <w:bCs/>
          <w:sz w:val="28"/>
          <w:szCs w:val="28"/>
        </w:rPr>
        <w:t xml:space="preserve">ch giữa giá bán nợ (sau khi trừ đi chi phí liên quan đến việc bán nợ) và giá trị ghi sổ của khoản nợ được bán. Do đó, dự thảo Quyết định quy định </w:t>
      </w:r>
      <w:r w:rsidR="00B45007">
        <w:rPr>
          <w:rFonts w:eastAsia="Calibri"/>
          <w:bCs/>
          <w:sz w:val="28"/>
          <w:szCs w:val="28"/>
        </w:rPr>
        <w:t xml:space="preserve">quy trình xử lý tương tự như </w:t>
      </w:r>
      <w:r w:rsidR="007B47F8">
        <w:rPr>
          <w:rFonts w:eastAsia="Calibri"/>
          <w:bCs/>
          <w:sz w:val="28"/>
          <w:szCs w:val="28"/>
        </w:rPr>
        <w:t>trường hợp có bằng chứng chắc chắn chứng mi</w:t>
      </w:r>
      <w:r w:rsidR="00C17E71">
        <w:rPr>
          <w:rFonts w:eastAsia="Calibri"/>
          <w:bCs/>
          <w:sz w:val="28"/>
          <w:szCs w:val="28"/>
        </w:rPr>
        <w:t xml:space="preserve">nh </w:t>
      </w:r>
      <w:r w:rsidR="00AE169B">
        <w:rPr>
          <w:rFonts w:eastAsia="Calibri"/>
          <w:bCs/>
          <w:sz w:val="28"/>
          <w:szCs w:val="28"/>
        </w:rPr>
        <w:t xml:space="preserve">tổn </w:t>
      </w:r>
      <w:r w:rsidR="00C17E71">
        <w:rPr>
          <w:rFonts w:eastAsia="Calibri"/>
          <w:bCs/>
          <w:sz w:val="28"/>
          <w:szCs w:val="28"/>
        </w:rPr>
        <w:t xml:space="preserve">thất về tài sản đối với khoản nợ. </w:t>
      </w:r>
      <w:r w:rsidR="00B45007">
        <w:rPr>
          <w:rFonts w:eastAsia="Calibri"/>
          <w:bCs/>
          <w:sz w:val="28"/>
          <w:szCs w:val="28"/>
        </w:rPr>
        <w:t>Cụ thể, ngoài số tiền thu được từ bán nợ</w:t>
      </w:r>
      <w:r w:rsidR="00DC0542">
        <w:rPr>
          <w:rFonts w:eastAsia="Calibri"/>
          <w:bCs/>
          <w:sz w:val="28"/>
          <w:szCs w:val="28"/>
        </w:rPr>
        <w:t>,</w:t>
      </w:r>
      <w:r w:rsidR="00BE14E8">
        <w:rPr>
          <w:rFonts w:eastAsia="Calibri"/>
          <w:bCs/>
          <w:sz w:val="28"/>
          <w:szCs w:val="28"/>
        </w:rPr>
        <w:t xml:space="preserve"> NHPT </w:t>
      </w:r>
      <w:r w:rsidR="00DC0542">
        <w:rPr>
          <w:rFonts w:eastAsia="Calibri"/>
          <w:bCs/>
          <w:sz w:val="28"/>
          <w:szCs w:val="28"/>
        </w:rPr>
        <w:t>thu hồi nợ theo thứ tự như sau</w:t>
      </w:r>
      <w:r w:rsidR="00BE14E8">
        <w:rPr>
          <w:rFonts w:eastAsia="Calibri"/>
          <w:bCs/>
          <w:sz w:val="28"/>
          <w:szCs w:val="28"/>
        </w:rPr>
        <w:t xml:space="preserve">: (i) Tiền bồi thường trong trường hợp tổn thất do nguyên nhân chủ quan; (ii) Tiền bảo hiểm (nếu có); (iii) </w:t>
      </w:r>
      <w:r w:rsidR="00DC0542">
        <w:rPr>
          <w:rFonts w:eastAsia="Calibri"/>
          <w:bCs/>
          <w:sz w:val="28"/>
          <w:szCs w:val="28"/>
        </w:rPr>
        <w:t xml:space="preserve">Dự phòng rủi ro tín dụng đã trích; (iv) Quỹ dự phòng tài chính; (v) Hạch toán phần còn lại vào chi phí khác trong kỳ của NHPT. </w:t>
      </w:r>
      <w:r w:rsidR="001D170D">
        <w:rPr>
          <w:rFonts w:eastAsia="Calibri"/>
          <w:bCs/>
          <w:sz w:val="28"/>
          <w:szCs w:val="28"/>
        </w:rPr>
        <w:t>Ngoài ra, việc bán nợ thấp hơn số dư nợ gốc của khoản nợ (bao gồm cả nợ hạch toán nội bảng và ngoại bảng</w:t>
      </w:r>
      <w:r w:rsidR="008A7A00">
        <w:rPr>
          <w:rFonts w:eastAsia="Calibri"/>
          <w:bCs/>
          <w:sz w:val="28"/>
          <w:szCs w:val="28"/>
        </w:rPr>
        <w:t xml:space="preserve">) </w:t>
      </w:r>
      <w:r w:rsidR="001D170D">
        <w:rPr>
          <w:rFonts w:eastAsia="Calibri"/>
          <w:bCs/>
          <w:sz w:val="28"/>
          <w:szCs w:val="28"/>
        </w:rPr>
        <w:t xml:space="preserve">chỉ được thực hiện </w:t>
      </w:r>
      <w:r w:rsidR="008A7A00">
        <w:rPr>
          <w:rFonts w:eastAsia="Calibri"/>
          <w:bCs/>
          <w:sz w:val="28"/>
          <w:szCs w:val="28"/>
        </w:rPr>
        <w:t>khi</w:t>
      </w:r>
      <w:r w:rsidR="001A4B10">
        <w:rPr>
          <w:rFonts w:eastAsia="Calibri"/>
          <w:bCs/>
          <w:sz w:val="28"/>
          <w:szCs w:val="28"/>
        </w:rPr>
        <w:t xml:space="preserve"> có đầy đủ hồ sơ, tài liệu chứng minh biện pháp bán nợ là biện pháp tối ưu để thu hồi nợ vay; đồng thời phải được</w:t>
      </w:r>
      <w:r w:rsidR="008A7A00">
        <w:rPr>
          <w:rFonts w:eastAsia="Calibri"/>
          <w:bCs/>
          <w:sz w:val="28"/>
          <w:szCs w:val="28"/>
        </w:rPr>
        <w:t xml:space="preserve"> Thủ tướng Chính phủ phê duyệt</w:t>
      </w:r>
      <w:r w:rsidR="001A4B10">
        <w:rPr>
          <w:rFonts w:eastAsia="Calibri"/>
          <w:bCs/>
          <w:sz w:val="28"/>
          <w:szCs w:val="28"/>
        </w:rPr>
        <w:t xml:space="preserve"> bằng văn bản</w:t>
      </w:r>
      <w:r w:rsidR="008A7A00">
        <w:rPr>
          <w:rFonts w:eastAsia="Calibri"/>
          <w:bCs/>
          <w:sz w:val="28"/>
          <w:szCs w:val="28"/>
        </w:rPr>
        <w:t xml:space="preserve"> </w:t>
      </w:r>
      <w:r w:rsidR="008A7A00" w:rsidRPr="008A7A00">
        <w:rPr>
          <w:rFonts w:eastAsia="Calibri"/>
          <w:bCs/>
          <w:sz w:val="28"/>
          <w:szCs w:val="28"/>
        </w:rPr>
        <w:t>trên cơ sở báo cáo của Bộ Tài chính sau khi có ý kiến thống nhất của Bộ Kế hoạch và Đầu tư, Bộ Tư pháp, Ngân hàng Nhà nước Việt Nam và Kiểm toán Nhà nước</w:t>
      </w:r>
      <w:r w:rsidR="008A7A00">
        <w:rPr>
          <w:rFonts w:eastAsia="Calibri"/>
          <w:bCs/>
          <w:sz w:val="28"/>
          <w:szCs w:val="28"/>
        </w:rPr>
        <w:t xml:space="preserve">. </w:t>
      </w:r>
    </w:p>
    <w:p w:rsidR="003E4D84" w:rsidRDefault="00D96BC6" w:rsidP="004B0B01">
      <w:pPr>
        <w:spacing w:after="120" w:line="340" w:lineRule="exact"/>
        <w:ind w:firstLine="709"/>
        <w:jc w:val="both"/>
        <w:rPr>
          <w:rFonts w:eastAsia="Calibri"/>
          <w:bCs/>
          <w:sz w:val="28"/>
          <w:szCs w:val="28"/>
        </w:rPr>
      </w:pPr>
      <w:r>
        <w:rPr>
          <w:rFonts w:eastAsia="Calibri"/>
          <w:bCs/>
          <w:sz w:val="28"/>
          <w:szCs w:val="28"/>
        </w:rPr>
        <w:t xml:space="preserve">+ Về </w:t>
      </w:r>
      <w:r w:rsidR="009A5A81">
        <w:rPr>
          <w:rFonts w:eastAsia="Calibri"/>
          <w:bCs/>
          <w:sz w:val="28"/>
          <w:szCs w:val="28"/>
        </w:rPr>
        <w:t xml:space="preserve">xử lý tài chính đối với </w:t>
      </w:r>
      <w:r w:rsidR="007244E2">
        <w:rPr>
          <w:rFonts w:eastAsia="Calibri"/>
          <w:bCs/>
          <w:sz w:val="28"/>
          <w:szCs w:val="28"/>
        </w:rPr>
        <w:t xml:space="preserve">phần chênh lệch trong </w:t>
      </w:r>
      <w:r w:rsidR="009A5A81">
        <w:rPr>
          <w:rFonts w:eastAsia="Calibri"/>
          <w:bCs/>
          <w:sz w:val="28"/>
          <w:szCs w:val="28"/>
        </w:rPr>
        <w:t xml:space="preserve">trường hợp </w:t>
      </w:r>
      <w:r>
        <w:rPr>
          <w:rFonts w:eastAsia="Calibri"/>
          <w:bCs/>
          <w:sz w:val="28"/>
          <w:szCs w:val="28"/>
        </w:rPr>
        <w:t xml:space="preserve">bán nợ </w:t>
      </w:r>
      <w:r w:rsidR="002940F6">
        <w:rPr>
          <w:rFonts w:eastAsia="Calibri"/>
          <w:bCs/>
          <w:sz w:val="28"/>
          <w:szCs w:val="28"/>
        </w:rPr>
        <w:t>cao hơn</w:t>
      </w:r>
      <w:r w:rsidR="009A5A81">
        <w:rPr>
          <w:rFonts w:eastAsia="Calibri"/>
          <w:bCs/>
          <w:sz w:val="28"/>
          <w:szCs w:val="28"/>
        </w:rPr>
        <w:t xml:space="preserve"> hoặc bằng</w:t>
      </w:r>
      <w:r w:rsidR="002940F6">
        <w:rPr>
          <w:rFonts w:eastAsia="Calibri"/>
          <w:bCs/>
          <w:sz w:val="28"/>
          <w:szCs w:val="28"/>
        </w:rPr>
        <w:t xml:space="preserve"> giá trị ghi </w:t>
      </w:r>
      <w:r w:rsidR="009A5A81">
        <w:rPr>
          <w:rFonts w:eastAsia="Calibri"/>
          <w:bCs/>
          <w:sz w:val="28"/>
          <w:szCs w:val="28"/>
        </w:rPr>
        <w:t>sổ</w:t>
      </w:r>
      <w:r w:rsidR="00B16F16">
        <w:rPr>
          <w:rFonts w:eastAsia="Calibri"/>
          <w:bCs/>
          <w:sz w:val="28"/>
          <w:szCs w:val="28"/>
        </w:rPr>
        <w:t xml:space="preserve"> số dư nợ gốc</w:t>
      </w:r>
      <w:r w:rsidR="00994B56">
        <w:rPr>
          <w:rFonts w:eastAsia="Calibri"/>
          <w:bCs/>
          <w:sz w:val="28"/>
          <w:szCs w:val="28"/>
        </w:rPr>
        <w:t xml:space="preserve"> nội bảng</w:t>
      </w:r>
      <w:r w:rsidR="009A5A81">
        <w:rPr>
          <w:rFonts w:eastAsia="Calibri"/>
          <w:bCs/>
          <w:sz w:val="28"/>
          <w:szCs w:val="28"/>
        </w:rPr>
        <w:t xml:space="preserve">: </w:t>
      </w:r>
    </w:p>
    <w:p w:rsidR="002437BF" w:rsidRDefault="003E4D84" w:rsidP="004B0B01">
      <w:pPr>
        <w:spacing w:after="120" w:line="340" w:lineRule="exact"/>
        <w:ind w:firstLine="709"/>
        <w:jc w:val="both"/>
        <w:rPr>
          <w:rFonts w:eastAsia="Calibri"/>
          <w:bCs/>
          <w:sz w:val="28"/>
          <w:szCs w:val="28"/>
        </w:rPr>
      </w:pPr>
      <w:r>
        <w:rPr>
          <w:rFonts w:eastAsia="Calibri"/>
          <w:bCs/>
          <w:sz w:val="28"/>
          <w:szCs w:val="28"/>
        </w:rPr>
        <w:t xml:space="preserve">(i) </w:t>
      </w:r>
      <w:r w:rsidR="007244E2">
        <w:rPr>
          <w:rFonts w:eastAsia="Calibri"/>
          <w:bCs/>
          <w:sz w:val="28"/>
          <w:szCs w:val="28"/>
        </w:rPr>
        <w:t>NHPT bổ sung vào quỹ dự phòng rủi ro tương ứng của từng khoản nợ (đ</w:t>
      </w:r>
      <w:r>
        <w:rPr>
          <w:rFonts w:eastAsia="Calibri"/>
          <w:bCs/>
          <w:sz w:val="28"/>
          <w:szCs w:val="28"/>
        </w:rPr>
        <w:t xml:space="preserve">ối với các khoản </w:t>
      </w:r>
      <w:r w:rsidR="00880AA1">
        <w:rPr>
          <w:rFonts w:eastAsia="Calibri"/>
          <w:bCs/>
          <w:sz w:val="28"/>
          <w:szCs w:val="28"/>
        </w:rPr>
        <w:t>nợ</w:t>
      </w:r>
      <w:r>
        <w:rPr>
          <w:rFonts w:eastAsia="Calibri"/>
          <w:bCs/>
          <w:sz w:val="28"/>
          <w:szCs w:val="28"/>
        </w:rPr>
        <w:t xml:space="preserve"> của </w:t>
      </w:r>
      <w:r w:rsidRPr="003E4D84">
        <w:rPr>
          <w:rFonts w:eastAsia="Calibri"/>
          <w:bCs/>
          <w:sz w:val="28"/>
          <w:szCs w:val="28"/>
        </w:rPr>
        <w:t>Hợp đồng tín dụng đầu tư, tín dụng xuất khẩu ký trước thời điểm Nghị định sửa đổi, bổ sung Nghị định số 32/2017/NĐ-CP có hiệu lực thi hành</w:t>
      </w:r>
      <w:r w:rsidR="009530AA">
        <w:rPr>
          <w:rFonts w:eastAsia="Calibri"/>
          <w:bCs/>
          <w:sz w:val="28"/>
          <w:szCs w:val="28"/>
        </w:rPr>
        <w:t>, nợ vay bắt buộc bảo lãnh</w:t>
      </w:r>
      <w:r w:rsidRPr="003E4D84">
        <w:rPr>
          <w:rFonts w:eastAsia="Calibri"/>
          <w:bCs/>
          <w:sz w:val="28"/>
          <w:szCs w:val="28"/>
        </w:rPr>
        <w:t xml:space="preserve"> và các khoản nợ vay khá</w:t>
      </w:r>
      <w:r w:rsidR="00880AA1">
        <w:rPr>
          <w:rFonts w:eastAsia="Calibri"/>
          <w:bCs/>
          <w:sz w:val="28"/>
          <w:szCs w:val="28"/>
        </w:rPr>
        <w:t>c</w:t>
      </w:r>
      <w:r w:rsidR="00DB40A7">
        <w:rPr>
          <w:rFonts w:eastAsia="Calibri"/>
          <w:bCs/>
          <w:sz w:val="28"/>
          <w:szCs w:val="28"/>
        </w:rPr>
        <w:t>). N</w:t>
      </w:r>
      <w:r w:rsidR="002437BF">
        <w:rPr>
          <w:rFonts w:eastAsia="Calibri"/>
          <w:bCs/>
          <w:sz w:val="28"/>
          <w:szCs w:val="28"/>
        </w:rPr>
        <w:t>ội dung này đảm bảo phù hợp với quy định tại quy chế quản lý tài chính của NHPT (tại điểm c, khoản 1 Điều 17 Nghị định số 46/2021/NĐ-CP</w:t>
      </w:r>
      <w:r w:rsidR="002437BF">
        <w:rPr>
          <w:rStyle w:val="FootnoteReference"/>
          <w:rFonts w:eastAsia="Calibri"/>
          <w:bCs/>
          <w:sz w:val="28"/>
          <w:szCs w:val="28"/>
        </w:rPr>
        <w:footnoteReference w:id="9"/>
      </w:r>
      <w:r w:rsidR="002437BF">
        <w:rPr>
          <w:rFonts w:eastAsia="Calibri"/>
          <w:bCs/>
          <w:sz w:val="28"/>
          <w:szCs w:val="28"/>
        </w:rPr>
        <w:t xml:space="preserve">). </w:t>
      </w:r>
    </w:p>
    <w:p w:rsidR="00D96BC6" w:rsidRDefault="00B45193" w:rsidP="004B0B01">
      <w:pPr>
        <w:spacing w:after="120" w:line="340" w:lineRule="exact"/>
        <w:ind w:firstLine="709"/>
        <w:jc w:val="both"/>
        <w:rPr>
          <w:sz w:val="28"/>
          <w:szCs w:val="28"/>
        </w:rPr>
      </w:pPr>
      <w:r w:rsidRPr="00C75FB5">
        <w:rPr>
          <w:rFonts w:eastAsia="Calibri"/>
          <w:bCs/>
          <w:sz w:val="28"/>
          <w:szCs w:val="28"/>
        </w:rPr>
        <w:t>(ii) NHPT ghi nhận vào thu nhập trong kỳ kế toán (</w:t>
      </w:r>
      <w:r w:rsidRPr="00C75FB5">
        <w:rPr>
          <w:sz w:val="28"/>
          <w:szCs w:val="28"/>
        </w:rPr>
        <w:t>đối với khoản nợ của Hợp đồng tín dụng đầu tư ký sau thời điểm Nghị định sửa đổi, bổ sung Nghị định số 32/2017/NĐ-CP có hiệu lực thi hành</w:t>
      </w:r>
      <w:r w:rsidR="00996236">
        <w:rPr>
          <w:sz w:val="28"/>
          <w:szCs w:val="28"/>
        </w:rPr>
        <w:t>)</w:t>
      </w:r>
      <w:r w:rsidR="00C75FB5">
        <w:rPr>
          <w:sz w:val="28"/>
          <w:szCs w:val="28"/>
        </w:rPr>
        <w:t xml:space="preserve">. Do đối với các khoản nợ này được </w:t>
      </w:r>
      <w:r w:rsidR="00586AFE">
        <w:rPr>
          <w:sz w:val="28"/>
          <w:szCs w:val="28"/>
        </w:rPr>
        <w:t xml:space="preserve">cho vay theo cơ chế như ngân hàng thương mại, </w:t>
      </w:r>
      <w:r w:rsidR="00E7425D">
        <w:rPr>
          <w:sz w:val="28"/>
          <w:szCs w:val="28"/>
        </w:rPr>
        <w:t xml:space="preserve">đã </w:t>
      </w:r>
      <w:r w:rsidR="00C75FB5">
        <w:rPr>
          <w:sz w:val="28"/>
          <w:szCs w:val="28"/>
        </w:rPr>
        <w:t>trí</w:t>
      </w:r>
      <w:r w:rsidR="00996236">
        <w:rPr>
          <w:sz w:val="28"/>
          <w:szCs w:val="28"/>
        </w:rPr>
        <w:t xml:space="preserve">ch lập </w:t>
      </w:r>
      <w:r w:rsidR="00586AFE">
        <w:rPr>
          <w:sz w:val="28"/>
          <w:szCs w:val="28"/>
        </w:rPr>
        <w:t xml:space="preserve">đầy đủ </w:t>
      </w:r>
      <w:r w:rsidR="00996236">
        <w:rPr>
          <w:sz w:val="28"/>
          <w:szCs w:val="28"/>
        </w:rPr>
        <w:t>dự phò</w:t>
      </w:r>
      <w:r w:rsidR="00586AFE">
        <w:rPr>
          <w:sz w:val="28"/>
          <w:szCs w:val="28"/>
        </w:rPr>
        <w:t>n</w:t>
      </w:r>
      <w:r w:rsidR="00E7425D">
        <w:rPr>
          <w:sz w:val="28"/>
          <w:szCs w:val="28"/>
        </w:rPr>
        <w:t>g cụ thể đối với từn</w:t>
      </w:r>
      <w:r w:rsidR="00D867FB">
        <w:rPr>
          <w:sz w:val="28"/>
          <w:szCs w:val="28"/>
        </w:rPr>
        <w:t>g khoản nợ được bán (nợ nhóm 5), phần chênh lệch vượt sẽ hạc</w:t>
      </w:r>
      <w:r w:rsidR="00C32866">
        <w:rPr>
          <w:sz w:val="28"/>
          <w:szCs w:val="28"/>
        </w:rPr>
        <w:t xml:space="preserve">h toán vào thu nhập tương tự như quy định đối với ngân hàng thương mại (tại khoản 1 Điều 21 Thông tư số 09/2015/TT-NHNN). </w:t>
      </w:r>
    </w:p>
    <w:p w:rsidR="00042C35" w:rsidRDefault="001E56D3" w:rsidP="009E35DC">
      <w:pPr>
        <w:spacing w:after="120" w:line="340" w:lineRule="exact"/>
        <w:ind w:firstLine="709"/>
        <w:jc w:val="both"/>
        <w:rPr>
          <w:b/>
          <w:bCs/>
          <w:i/>
          <w:sz w:val="28"/>
          <w:szCs w:val="28"/>
          <w:lang w:val="it-IT"/>
        </w:rPr>
      </w:pPr>
      <w:r>
        <w:rPr>
          <w:b/>
          <w:bCs/>
          <w:i/>
          <w:sz w:val="28"/>
          <w:szCs w:val="28"/>
          <w:lang w:val="it-IT"/>
        </w:rPr>
        <w:lastRenderedPageBreak/>
        <w:t>2.</w:t>
      </w:r>
      <w:r w:rsidR="00BC45AC">
        <w:rPr>
          <w:b/>
          <w:bCs/>
          <w:i/>
          <w:sz w:val="28"/>
          <w:szCs w:val="28"/>
          <w:lang w:val="it-IT"/>
        </w:rPr>
        <w:t>6</w:t>
      </w:r>
      <w:r w:rsidR="00E57418" w:rsidRPr="00F81178">
        <w:rPr>
          <w:b/>
          <w:bCs/>
          <w:i/>
          <w:sz w:val="28"/>
          <w:szCs w:val="28"/>
          <w:lang w:val="it-IT"/>
        </w:rPr>
        <w:t>.</w:t>
      </w:r>
      <w:r w:rsidR="00042C35">
        <w:rPr>
          <w:b/>
          <w:bCs/>
          <w:i/>
          <w:sz w:val="28"/>
          <w:szCs w:val="28"/>
          <w:lang w:val="it-IT"/>
        </w:rPr>
        <w:t xml:space="preserve"> Về điều khoản chuyển tiếp</w:t>
      </w:r>
    </w:p>
    <w:p w:rsidR="00042C35" w:rsidRPr="004A779C" w:rsidRDefault="004A0627" w:rsidP="009E35DC">
      <w:pPr>
        <w:spacing w:after="120" w:line="340" w:lineRule="exact"/>
        <w:ind w:firstLine="709"/>
        <w:jc w:val="both"/>
        <w:rPr>
          <w:iCs/>
          <w:sz w:val="28"/>
          <w:szCs w:val="28"/>
          <w:lang w:val="it-IT"/>
        </w:rPr>
      </w:pPr>
      <w:r>
        <w:rPr>
          <w:iCs/>
          <w:sz w:val="28"/>
          <w:szCs w:val="28"/>
          <w:lang w:val="it-IT"/>
        </w:rPr>
        <w:t>Xuất phát từ thực tế có một số khoản nợ</w:t>
      </w:r>
      <w:r w:rsidR="00275A08">
        <w:rPr>
          <w:rStyle w:val="FootnoteReference"/>
          <w:iCs/>
          <w:sz w:val="28"/>
          <w:szCs w:val="28"/>
          <w:lang w:val="it-IT"/>
        </w:rPr>
        <w:footnoteReference w:id="10"/>
      </w:r>
      <w:r>
        <w:rPr>
          <w:iCs/>
          <w:sz w:val="28"/>
          <w:szCs w:val="28"/>
          <w:lang w:val="it-IT"/>
        </w:rPr>
        <w:t xml:space="preserve"> mà NHPT đã bán nợ theo chỉ định của Chính phủ, Thủ tướng Chính phủ trong giai đoạn trước tuy nhiên </w:t>
      </w:r>
      <w:r w:rsidR="00FB46A7">
        <w:rPr>
          <w:iCs/>
          <w:sz w:val="28"/>
          <w:szCs w:val="28"/>
          <w:lang w:val="it-IT"/>
        </w:rPr>
        <w:t>do quy định về xử lý rủi ro tín dụng tại NHPT chưa được ban hành nên NHPT chưa có đủ cơ sở pháp lý để xử lý tài chính đối với các khoản nợ đã bán này</w:t>
      </w:r>
      <w:r w:rsidR="00147250">
        <w:rPr>
          <w:iCs/>
          <w:sz w:val="28"/>
          <w:szCs w:val="28"/>
          <w:lang w:val="it-IT"/>
        </w:rPr>
        <w:t>,</w:t>
      </w:r>
      <w:r w:rsidR="00FB46A7">
        <w:rPr>
          <w:iCs/>
          <w:sz w:val="28"/>
          <w:szCs w:val="28"/>
          <w:lang w:val="it-IT"/>
        </w:rPr>
        <w:t xml:space="preserve"> </w:t>
      </w:r>
      <w:r w:rsidR="00147250">
        <w:rPr>
          <w:iCs/>
          <w:sz w:val="28"/>
          <w:szCs w:val="28"/>
          <w:lang w:val="it-IT"/>
        </w:rPr>
        <w:t>dự</w:t>
      </w:r>
      <w:r w:rsidR="00FB46A7">
        <w:rPr>
          <w:iCs/>
          <w:sz w:val="28"/>
          <w:szCs w:val="28"/>
          <w:lang w:val="it-IT"/>
        </w:rPr>
        <w:t xml:space="preserve"> thảo Quyết định </w:t>
      </w:r>
      <w:r w:rsidR="00147250">
        <w:rPr>
          <w:iCs/>
          <w:sz w:val="28"/>
          <w:szCs w:val="28"/>
          <w:lang w:val="it-IT"/>
        </w:rPr>
        <w:t xml:space="preserve">quy định điều khoản chuyển tiếp đối với các khoản nợ này được tiếp tục thực hiện theo quy định, chỉ đạo trước đây của Chính phủ, Thủ tướng Chính phủ và các quy định tại Quyết định này trong trường hợp chưa quy định. </w:t>
      </w:r>
    </w:p>
    <w:p w:rsidR="009E35DC" w:rsidRPr="00B110AE" w:rsidRDefault="00042C35" w:rsidP="009E35DC">
      <w:pPr>
        <w:spacing w:after="120" w:line="340" w:lineRule="exact"/>
        <w:ind w:firstLine="709"/>
        <w:jc w:val="both"/>
        <w:rPr>
          <w:rFonts w:eastAsia="Calibri"/>
          <w:sz w:val="28"/>
          <w:szCs w:val="28"/>
        </w:rPr>
      </w:pPr>
      <w:r>
        <w:rPr>
          <w:b/>
          <w:bCs/>
          <w:i/>
          <w:sz w:val="28"/>
          <w:szCs w:val="28"/>
          <w:lang w:val="it-IT"/>
        </w:rPr>
        <w:t xml:space="preserve">2.7. </w:t>
      </w:r>
      <w:r w:rsidR="00E57418" w:rsidRPr="00DD7469">
        <w:rPr>
          <w:bCs/>
          <w:sz w:val="28"/>
          <w:szCs w:val="28"/>
          <w:lang w:val="it-IT"/>
        </w:rPr>
        <w:t xml:space="preserve">Ngoài các nội dung chính nêu trên, để đảm bảo sự đồng bộ chính sách, cơ sở pháp lý cụ thể và chặt chẽ, </w:t>
      </w:r>
      <w:r w:rsidR="00E57418">
        <w:rPr>
          <w:bCs/>
          <w:sz w:val="28"/>
          <w:szCs w:val="28"/>
          <w:lang w:val="it-IT"/>
        </w:rPr>
        <w:t>minh bạch trong việc triển khai thực hiện, dự thảo Quyết định quy định cụ thể các nội dung về:</w:t>
      </w:r>
      <w:r w:rsidR="009E35DC">
        <w:rPr>
          <w:bCs/>
          <w:sz w:val="28"/>
          <w:szCs w:val="28"/>
          <w:lang w:val="it-IT"/>
        </w:rPr>
        <w:t xml:space="preserve"> (i) Hội đồng xử lý rủi ro (Điều </w:t>
      </w:r>
      <w:r w:rsidR="00BC45AC">
        <w:rPr>
          <w:bCs/>
          <w:sz w:val="28"/>
          <w:szCs w:val="28"/>
          <w:lang w:val="it-IT"/>
        </w:rPr>
        <w:t>6</w:t>
      </w:r>
      <w:r w:rsidR="009E35DC">
        <w:rPr>
          <w:bCs/>
          <w:sz w:val="28"/>
          <w:szCs w:val="28"/>
          <w:lang w:val="it-IT"/>
        </w:rPr>
        <w:t xml:space="preserve">); (iii) Chế độ thông tin, báo cáo (Điều </w:t>
      </w:r>
      <w:r w:rsidR="00BC45AC">
        <w:rPr>
          <w:bCs/>
          <w:sz w:val="28"/>
          <w:szCs w:val="28"/>
          <w:lang w:val="it-IT"/>
        </w:rPr>
        <w:t>17</w:t>
      </w:r>
      <w:r w:rsidR="009E35DC">
        <w:rPr>
          <w:bCs/>
          <w:sz w:val="28"/>
          <w:szCs w:val="28"/>
          <w:lang w:val="it-IT"/>
        </w:rPr>
        <w:t xml:space="preserve">); (iv) Trách nhiệm của các cơ quan, đơn vị có liên quan (Điều </w:t>
      </w:r>
      <w:r w:rsidR="00BC45AC">
        <w:rPr>
          <w:bCs/>
          <w:sz w:val="28"/>
          <w:szCs w:val="28"/>
          <w:lang w:val="it-IT"/>
        </w:rPr>
        <w:t>18</w:t>
      </w:r>
      <w:r w:rsidR="009E35DC">
        <w:rPr>
          <w:bCs/>
          <w:sz w:val="28"/>
          <w:szCs w:val="28"/>
          <w:lang w:val="it-IT"/>
        </w:rPr>
        <w:t xml:space="preserve">); (v) Điều khoản chuyển tiếp (Điều </w:t>
      </w:r>
      <w:r w:rsidR="00BC45AC">
        <w:rPr>
          <w:bCs/>
          <w:sz w:val="28"/>
          <w:szCs w:val="28"/>
          <w:lang w:val="it-IT"/>
        </w:rPr>
        <w:t>17</w:t>
      </w:r>
      <w:r w:rsidR="009E35DC">
        <w:rPr>
          <w:bCs/>
          <w:sz w:val="28"/>
          <w:szCs w:val="28"/>
          <w:lang w:val="it-IT"/>
        </w:rPr>
        <w:t>) theo hướng p</w:t>
      </w:r>
      <w:r w:rsidR="009E35DC">
        <w:rPr>
          <w:bCs/>
          <w:iCs/>
          <w:sz w:val="28"/>
          <w:szCs w:val="28"/>
          <w:lang w:val="vi-VN"/>
        </w:rPr>
        <w:t xml:space="preserve">hù hợp với quy định hiện hành đang áp dụng </w:t>
      </w:r>
      <w:r w:rsidR="009E35DC">
        <w:rPr>
          <w:bCs/>
          <w:iCs/>
          <w:sz w:val="28"/>
          <w:szCs w:val="28"/>
        </w:rPr>
        <w:t>đối với</w:t>
      </w:r>
      <w:r w:rsidR="009E35DC">
        <w:rPr>
          <w:bCs/>
          <w:iCs/>
          <w:sz w:val="28"/>
          <w:szCs w:val="28"/>
          <w:lang w:val="vi-VN"/>
        </w:rPr>
        <w:t xml:space="preserve"> các </w:t>
      </w:r>
      <w:r w:rsidR="009E35DC">
        <w:rPr>
          <w:bCs/>
          <w:iCs/>
          <w:sz w:val="28"/>
          <w:szCs w:val="28"/>
        </w:rPr>
        <w:t xml:space="preserve">TCTD và </w:t>
      </w:r>
      <w:r w:rsidR="009E35DC">
        <w:rPr>
          <w:rFonts w:eastAsia="Calibri"/>
          <w:sz w:val="28"/>
          <w:szCs w:val="28"/>
        </w:rPr>
        <w:t>đặc thù hoạt động của NHPT.</w:t>
      </w:r>
    </w:p>
    <w:p w:rsidR="00E57418" w:rsidRDefault="00E57418" w:rsidP="00E57418">
      <w:pPr>
        <w:spacing w:after="120" w:line="340" w:lineRule="exact"/>
        <w:ind w:firstLine="709"/>
        <w:jc w:val="both"/>
        <w:rPr>
          <w:rFonts w:eastAsia="Calibri"/>
          <w:sz w:val="28"/>
          <w:szCs w:val="28"/>
        </w:rPr>
      </w:pPr>
      <w:r>
        <w:rPr>
          <w:b/>
          <w:color w:val="000000"/>
          <w:sz w:val="28"/>
          <w:szCs w:val="28"/>
          <w:shd w:val="clear" w:color="auto" w:fill="FFFFFF"/>
        </w:rPr>
        <w:tab/>
      </w:r>
      <w:r w:rsidRPr="00AC083C">
        <w:rPr>
          <w:rFonts w:eastAsia="Calibri"/>
          <w:b/>
          <w:sz w:val="28"/>
          <w:szCs w:val="28"/>
        </w:rPr>
        <w:t>V. VỀ TÍNH TƯƠNG THÍCH VỚI CÁC ĐIỀU ƯỚC QUỐC TẾ, THỦ TỤC HÀNH CHÍNH VÀ VẤN ĐỀ BÌNH ĐẲNG GIỚI</w:t>
      </w:r>
    </w:p>
    <w:p w:rsidR="00E57418" w:rsidRDefault="00E57418" w:rsidP="00E57418">
      <w:pPr>
        <w:spacing w:after="120" w:line="340" w:lineRule="exact"/>
        <w:ind w:firstLine="709"/>
        <w:jc w:val="both"/>
        <w:rPr>
          <w:rFonts w:eastAsia="Calibri"/>
          <w:b/>
          <w:bCs/>
          <w:sz w:val="28"/>
          <w:szCs w:val="28"/>
        </w:rPr>
      </w:pPr>
      <w:r w:rsidRPr="00AC083C">
        <w:rPr>
          <w:rFonts w:eastAsia="Calibri"/>
          <w:b/>
          <w:bCs/>
          <w:sz w:val="28"/>
          <w:szCs w:val="28"/>
        </w:rPr>
        <w:t xml:space="preserve">1. Về tính tương thích với các điều ước quốc tế: </w:t>
      </w:r>
    </w:p>
    <w:p w:rsidR="00E57418" w:rsidRDefault="00E57418" w:rsidP="00E57418">
      <w:pPr>
        <w:spacing w:after="120" w:line="340" w:lineRule="exact"/>
        <w:ind w:firstLine="709"/>
        <w:jc w:val="both"/>
        <w:rPr>
          <w:rFonts w:eastAsia="Calibri"/>
          <w:b/>
          <w:bCs/>
          <w:sz w:val="28"/>
          <w:szCs w:val="28"/>
        </w:rPr>
      </w:pPr>
      <w:r w:rsidRPr="00AC083C">
        <w:rPr>
          <w:rFonts w:eastAsia="Calibri"/>
          <w:bCs/>
          <w:sz w:val="28"/>
          <w:szCs w:val="28"/>
        </w:rPr>
        <w:t>Dự thảo Quyết định không có quy định trái với các cam kết quốc tế mà nước Cộng hòa xã hội chủ nghĩa Việt Nam là thành viên, trong đó có cam kết gia nhập Tổ chức Thương mại thế giới (WTO) và Hiệp định đối tác Toàn diện và Tiến bộ xuyên Thái Bình Dương (CPTPP).</w:t>
      </w:r>
    </w:p>
    <w:p w:rsidR="00E57418" w:rsidRDefault="00E57418" w:rsidP="00E57418">
      <w:pPr>
        <w:spacing w:after="120" w:line="340" w:lineRule="exact"/>
        <w:ind w:firstLine="709"/>
        <w:jc w:val="both"/>
        <w:rPr>
          <w:rFonts w:eastAsia="Calibri"/>
          <w:b/>
          <w:sz w:val="28"/>
          <w:szCs w:val="28"/>
        </w:rPr>
      </w:pPr>
      <w:r w:rsidRPr="00AC083C">
        <w:rPr>
          <w:rFonts w:eastAsia="Calibri"/>
          <w:b/>
          <w:sz w:val="28"/>
          <w:szCs w:val="28"/>
        </w:rPr>
        <w:t xml:space="preserve">2. Về thủ tục hành chính: </w:t>
      </w:r>
      <w:r w:rsidRPr="00AC083C">
        <w:rPr>
          <w:rFonts w:eastAsia="Calibri"/>
          <w:sz w:val="28"/>
          <w:szCs w:val="28"/>
        </w:rPr>
        <w:t xml:space="preserve">Dự thảo Quyết định không quy định thủ tục hành chính thuộc phạm vi điều chỉnh của Nghị định số 63/2010/NĐ-CP ngày 08/6/2010 của Chính phủ về kiểm soát thủ tục hành chính. </w:t>
      </w:r>
    </w:p>
    <w:p w:rsidR="00E57418" w:rsidRDefault="00E57418" w:rsidP="00E57418">
      <w:pPr>
        <w:spacing w:after="120" w:line="340" w:lineRule="exact"/>
        <w:ind w:firstLine="709"/>
        <w:jc w:val="both"/>
        <w:rPr>
          <w:rFonts w:eastAsia="Calibri"/>
          <w:sz w:val="28"/>
          <w:szCs w:val="28"/>
        </w:rPr>
      </w:pPr>
      <w:r w:rsidRPr="00AC083C">
        <w:rPr>
          <w:rFonts w:eastAsia="Calibri"/>
          <w:b/>
          <w:sz w:val="28"/>
          <w:szCs w:val="28"/>
        </w:rPr>
        <w:t>3. Về vấn đề bình đẳng giới:</w:t>
      </w:r>
      <w:r w:rsidRPr="00AC083C">
        <w:rPr>
          <w:rFonts w:eastAsia="Calibri"/>
          <w:sz w:val="28"/>
          <w:szCs w:val="28"/>
        </w:rPr>
        <w:t xml:space="preserve"> Dự thảo Nghị định không quy định các nội dung tạo ra sự phân biệt về giới.</w:t>
      </w:r>
    </w:p>
    <w:p w:rsidR="00E57418" w:rsidRDefault="00E57418" w:rsidP="00E57418">
      <w:pPr>
        <w:spacing w:after="120" w:line="340" w:lineRule="exact"/>
        <w:ind w:firstLine="709"/>
        <w:jc w:val="both"/>
        <w:rPr>
          <w:rFonts w:eastAsia="Calibri"/>
          <w:b/>
          <w:sz w:val="28"/>
          <w:szCs w:val="28"/>
        </w:rPr>
      </w:pPr>
      <w:r w:rsidRPr="00AC083C">
        <w:rPr>
          <w:rFonts w:eastAsia="Calibri"/>
          <w:b/>
          <w:sz w:val="28"/>
          <w:szCs w:val="28"/>
        </w:rPr>
        <w:t>VI. DỰ KIẾN NGUỒN LỰC THI HÀNH QUYẾT ĐỊNH</w:t>
      </w:r>
    </w:p>
    <w:p w:rsidR="00E57418" w:rsidRPr="00C21266" w:rsidRDefault="00E57418" w:rsidP="00E57418">
      <w:pPr>
        <w:spacing w:after="120" w:line="340" w:lineRule="exact"/>
        <w:ind w:firstLine="709"/>
        <w:jc w:val="both"/>
        <w:rPr>
          <w:rFonts w:eastAsia="Calibri"/>
          <w:bCs/>
          <w:sz w:val="28"/>
          <w:szCs w:val="28"/>
          <w:lang w:val="nl-NL"/>
        </w:rPr>
      </w:pPr>
      <w:r w:rsidRPr="004F0B03">
        <w:rPr>
          <w:rFonts w:eastAsia="Calibri"/>
          <w:b/>
          <w:sz w:val="28"/>
          <w:szCs w:val="28"/>
          <w:lang w:val="da-DK"/>
        </w:rPr>
        <w:t xml:space="preserve">1.  </w:t>
      </w:r>
      <w:r w:rsidRPr="00AC083C">
        <w:rPr>
          <w:rFonts w:eastAsia="Calibri"/>
          <w:sz w:val="28"/>
          <w:szCs w:val="28"/>
          <w:lang w:val="da-DK"/>
        </w:rPr>
        <w:t>Nguồn</w:t>
      </w:r>
      <w:r>
        <w:rPr>
          <w:rFonts w:eastAsia="Calibri"/>
          <w:sz w:val="28"/>
          <w:szCs w:val="28"/>
          <w:lang w:val="da-DK"/>
        </w:rPr>
        <w:t xml:space="preserve"> lực (</w:t>
      </w:r>
      <w:r w:rsidRPr="00AC083C">
        <w:rPr>
          <w:rFonts w:eastAsia="Calibri"/>
          <w:sz w:val="28"/>
          <w:szCs w:val="28"/>
          <w:lang w:val="da-DK"/>
        </w:rPr>
        <w:t>kinh phí</w:t>
      </w:r>
      <w:r>
        <w:rPr>
          <w:rFonts w:eastAsia="Calibri"/>
          <w:sz w:val="28"/>
          <w:szCs w:val="28"/>
          <w:lang w:val="da-DK"/>
        </w:rPr>
        <w:t>)</w:t>
      </w:r>
      <w:r w:rsidRPr="00AC083C">
        <w:rPr>
          <w:rFonts w:eastAsia="Calibri"/>
          <w:sz w:val="28"/>
          <w:szCs w:val="28"/>
          <w:lang w:val="da-DK"/>
        </w:rPr>
        <w:t xml:space="preserve"> để </w:t>
      </w:r>
      <w:r>
        <w:rPr>
          <w:rFonts w:eastAsia="Calibri"/>
          <w:sz w:val="28"/>
          <w:szCs w:val="28"/>
          <w:lang w:val="da-DK"/>
        </w:rPr>
        <w:t xml:space="preserve">thực hiện </w:t>
      </w:r>
      <w:r>
        <w:rPr>
          <w:rFonts w:eastAsia="Calibri"/>
          <w:bCs/>
          <w:sz w:val="28"/>
          <w:szCs w:val="28"/>
          <w:lang w:val="nl-NL"/>
        </w:rPr>
        <w:t xml:space="preserve">xử lý rủi ro tín dụng tại NHPT bao </w:t>
      </w:r>
      <w:r w:rsidRPr="000D50C6">
        <w:rPr>
          <w:rFonts w:eastAsia="Calibri"/>
          <w:bCs/>
          <w:sz w:val="28"/>
          <w:szCs w:val="28"/>
          <w:lang w:val="nl-NL"/>
        </w:rPr>
        <w:t>gồm: (i) Nguồn thu hồi từ các khoản nợ</w:t>
      </w:r>
      <w:r w:rsidRPr="000D50C6">
        <w:rPr>
          <w:rFonts w:eastAsia="Calibri"/>
          <w:bCs/>
          <w:sz w:val="28"/>
          <w:szCs w:val="28"/>
          <w:lang w:val="vi-VN"/>
        </w:rPr>
        <w:t xml:space="preserve"> (thu nợ trực tiếp, bán nợ)</w:t>
      </w:r>
      <w:r w:rsidRPr="000D50C6">
        <w:rPr>
          <w:rFonts w:eastAsia="Calibri"/>
          <w:bCs/>
          <w:sz w:val="28"/>
          <w:szCs w:val="28"/>
          <w:lang w:val="nl-NL"/>
        </w:rPr>
        <w:t xml:space="preserve"> và xử lý tài sản bảo đảm theo quy đị</w:t>
      </w:r>
      <w:r>
        <w:rPr>
          <w:rFonts w:eastAsia="Calibri"/>
          <w:bCs/>
          <w:sz w:val="28"/>
          <w:szCs w:val="28"/>
          <w:lang w:val="nl-NL"/>
        </w:rPr>
        <w:t>nh;</w:t>
      </w:r>
      <w:r w:rsidRPr="000D50C6">
        <w:rPr>
          <w:rFonts w:eastAsia="Calibri"/>
          <w:bCs/>
          <w:sz w:val="28"/>
          <w:szCs w:val="28"/>
          <w:lang w:val="nl-NL"/>
        </w:rPr>
        <w:t xml:space="preserve"> (i</w:t>
      </w:r>
      <w:r w:rsidRPr="000D50C6">
        <w:rPr>
          <w:rFonts w:eastAsia="Calibri"/>
          <w:bCs/>
          <w:sz w:val="28"/>
          <w:szCs w:val="28"/>
          <w:lang w:val="vi-VN"/>
        </w:rPr>
        <w:t>i</w:t>
      </w:r>
      <w:r w:rsidRPr="000D50C6">
        <w:rPr>
          <w:rFonts w:eastAsia="Calibri"/>
          <w:bCs/>
          <w:sz w:val="28"/>
          <w:szCs w:val="28"/>
          <w:lang w:val="nl-NL"/>
        </w:rPr>
        <w:t>) Quỹ dự phòng rủi ro của NHPT</w:t>
      </w:r>
      <w:r w:rsidRPr="000D50C6">
        <w:rPr>
          <w:rFonts w:eastAsia="Calibri"/>
          <w:bCs/>
          <w:sz w:val="28"/>
          <w:szCs w:val="28"/>
          <w:lang w:val="vi-VN"/>
        </w:rPr>
        <w:t xml:space="preserve">; (iii) Các nguồn khác </w:t>
      </w:r>
      <w:r w:rsidRPr="000D50C6">
        <w:rPr>
          <w:rFonts w:eastAsia="Calibri"/>
          <w:bCs/>
          <w:sz w:val="28"/>
          <w:szCs w:val="28"/>
        </w:rPr>
        <w:t>(</w:t>
      </w:r>
      <w:r w:rsidRPr="000D50C6">
        <w:rPr>
          <w:rFonts w:eastAsia="Calibri"/>
          <w:bCs/>
          <w:sz w:val="28"/>
          <w:szCs w:val="28"/>
          <w:lang w:val="vi-VN"/>
        </w:rPr>
        <w:t>ví dụ như tiền bồi thường từ công ty bảo hiểm</w:t>
      </w:r>
      <w:r w:rsidRPr="000D50C6">
        <w:rPr>
          <w:rFonts w:eastAsia="Calibri"/>
          <w:bCs/>
          <w:sz w:val="28"/>
          <w:szCs w:val="28"/>
        </w:rPr>
        <w:t>, cá nhân)</w:t>
      </w:r>
      <w:r w:rsidRPr="000D50C6">
        <w:rPr>
          <w:rFonts w:eastAsia="Calibri"/>
          <w:bCs/>
          <w:sz w:val="28"/>
          <w:szCs w:val="28"/>
          <w:lang w:val="vi-VN"/>
        </w:rPr>
        <w:t>.</w:t>
      </w:r>
      <w:r w:rsidRPr="000D50C6">
        <w:rPr>
          <w:rFonts w:eastAsia="Calibri"/>
          <w:bCs/>
          <w:sz w:val="28"/>
          <w:szCs w:val="28"/>
          <w:lang w:val="nl-NL"/>
        </w:rPr>
        <w:t xml:space="preserve"> </w:t>
      </w:r>
    </w:p>
    <w:p w:rsidR="00E57418" w:rsidRPr="004F0B03" w:rsidRDefault="00E57418" w:rsidP="00E57418">
      <w:pPr>
        <w:spacing w:after="120" w:line="340" w:lineRule="exact"/>
        <w:ind w:firstLine="709"/>
        <w:jc w:val="both"/>
        <w:rPr>
          <w:rFonts w:eastAsia="Calibri"/>
          <w:b/>
          <w:sz w:val="28"/>
          <w:szCs w:val="28"/>
          <w:lang w:val="it-IT"/>
        </w:rPr>
      </w:pPr>
      <w:r w:rsidRPr="004F0B03">
        <w:rPr>
          <w:rFonts w:eastAsia="Calibri"/>
          <w:b/>
          <w:sz w:val="28"/>
          <w:szCs w:val="28"/>
          <w:lang w:val="it-IT"/>
        </w:rPr>
        <w:t>2. Về dự phòng rủi ro của NHPT:</w:t>
      </w:r>
    </w:p>
    <w:p w:rsidR="00E57418" w:rsidRDefault="00E57418" w:rsidP="00E57418">
      <w:pPr>
        <w:spacing w:after="120" w:line="340" w:lineRule="exact"/>
        <w:ind w:firstLine="709"/>
        <w:jc w:val="both"/>
        <w:rPr>
          <w:rFonts w:eastAsia="Calibri"/>
          <w:sz w:val="28"/>
          <w:lang w:val="da-DK"/>
        </w:rPr>
      </w:pPr>
      <w:r>
        <w:rPr>
          <w:rFonts w:eastAsia="Calibri"/>
          <w:sz w:val="28"/>
          <w:szCs w:val="28"/>
          <w:lang w:val="it-IT"/>
        </w:rPr>
        <w:t xml:space="preserve">- NHPT thực hiện </w:t>
      </w:r>
      <w:r w:rsidRPr="00721E32">
        <w:rPr>
          <w:sz w:val="28"/>
          <w:szCs w:val="28"/>
          <w:lang w:val="da-DK"/>
        </w:rPr>
        <w:t xml:space="preserve">trích lập, quản lý và sử dụng các quỹ dự phòng rủi ro tín dụng theo quy định tại Nghị định số 46/2021/NĐ-CP ngày 31/3/2021 của Chính </w:t>
      </w:r>
      <w:r w:rsidRPr="00721E32">
        <w:rPr>
          <w:sz w:val="28"/>
          <w:szCs w:val="28"/>
          <w:lang w:val="da-DK"/>
        </w:rPr>
        <w:lastRenderedPageBreak/>
        <w:t>phủ về chế độ quản lý tài chính và đánh giá hiệu quả hoạt động đối với N</w:t>
      </w:r>
      <w:r>
        <w:rPr>
          <w:sz w:val="28"/>
          <w:szCs w:val="28"/>
          <w:lang w:val="da-DK"/>
        </w:rPr>
        <w:t>HPT</w:t>
      </w:r>
      <w:r w:rsidRPr="00721E32">
        <w:rPr>
          <w:sz w:val="28"/>
          <w:szCs w:val="28"/>
          <w:lang w:val="da-DK"/>
        </w:rPr>
        <w:t xml:space="preserve"> và quy định của pháp luật có liên quan.</w:t>
      </w:r>
      <w:r>
        <w:rPr>
          <w:rFonts w:eastAsia="Calibri"/>
          <w:sz w:val="28"/>
          <w:lang w:val="da-DK"/>
        </w:rPr>
        <w:t xml:space="preserve"> Theo đó: (i) Đối với dự phòng rủi ro </w:t>
      </w:r>
      <w:r w:rsidRPr="005E0B76">
        <w:rPr>
          <w:rFonts w:eastAsia="Calibri"/>
          <w:sz w:val="28"/>
          <w:lang w:val="da-DK"/>
        </w:rPr>
        <w:t>tín dụng đầu tư, tín dụng xuất khẩu, nợ vay bắt buộc bảo lãnh</w:t>
      </w:r>
      <w:r>
        <w:rPr>
          <w:rFonts w:eastAsia="Calibri"/>
          <w:sz w:val="28"/>
          <w:lang w:val="da-DK"/>
        </w:rPr>
        <w:t>, mức trích lập dự phòng rủi ro hằng năm</w:t>
      </w:r>
      <w:r w:rsidRPr="005E0B76">
        <w:rPr>
          <w:rFonts w:eastAsia="Calibri"/>
          <w:sz w:val="28"/>
          <w:lang w:val="da-DK"/>
        </w:rPr>
        <w:t>, N</w:t>
      </w:r>
      <w:r>
        <w:rPr>
          <w:rFonts w:eastAsia="Calibri"/>
          <w:sz w:val="28"/>
          <w:lang w:val="da-DK"/>
        </w:rPr>
        <w:t>HPT</w:t>
      </w:r>
      <w:r w:rsidRPr="005E0B76">
        <w:rPr>
          <w:rFonts w:eastAsia="Calibri"/>
          <w:sz w:val="28"/>
          <w:lang w:val="da-DK"/>
        </w:rPr>
        <w:t xml:space="preserve"> căn cứ chênh lệch thu chi tài chính để quyết định nhưng tối thiểu bằng 0,75% tổng dư nợ tín dụng đầu tư, tín dụng xuất khẩu, nợ vay bắt buộc bảo lãnh</w:t>
      </w:r>
      <w:r>
        <w:rPr>
          <w:rFonts w:eastAsia="Calibri"/>
          <w:sz w:val="28"/>
          <w:lang w:val="da-DK"/>
        </w:rPr>
        <w:t xml:space="preserve">; (ii) </w:t>
      </w:r>
      <w:r w:rsidRPr="005E0B76">
        <w:rPr>
          <w:rFonts w:eastAsia="Calibri"/>
          <w:sz w:val="28"/>
          <w:lang w:val="da-DK"/>
        </w:rPr>
        <w:t xml:space="preserve">Đối với các khoản </w:t>
      </w:r>
      <w:r>
        <w:rPr>
          <w:rFonts w:eastAsia="Calibri"/>
          <w:sz w:val="28"/>
          <w:lang w:val="da-DK"/>
        </w:rPr>
        <w:t>cho</w:t>
      </w:r>
      <w:r w:rsidRPr="005E0B76">
        <w:rPr>
          <w:rFonts w:eastAsia="Calibri"/>
          <w:sz w:val="28"/>
          <w:lang w:val="da-DK"/>
        </w:rPr>
        <w:t xml:space="preserve"> vay khác còn lại</w:t>
      </w:r>
      <w:r>
        <w:rPr>
          <w:rFonts w:eastAsia="Calibri"/>
          <w:sz w:val="28"/>
          <w:lang w:val="da-DK"/>
        </w:rPr>
        <w:t xml:space="preserve"> NHPT</w:t>
      </w:r>
      <w:r w:rsidRPr="005E0B76">
        <w:rPr>
          <w:rFonts w:eastAsia="Calibri"/>
          <w:sz w:val="28"/>
          <w:lang w:val="da-DK"/>
        </w:rPr>
        <w:t xml:space="preserve"> chịu rủi ro tín dụng</w:t>
      </w:r>
      <w:r>
        <w:rPr>
          <w:rFonts w:eastAsia="Calibri"/>
          <w:sz w:val="28"/>
          <w:lang w:val="da-DK"/>
        </w:rPr>
        <w:t>, NHPT</w:t>
      </w:r>
      <w:r w:rsidRPr="005E0B76">
        <w:rPr>
          <w:rFonts w:eastAsia="Calibri"/>
          <w:sz w:val="28"/>
          <w:lang w:val="da-DK"/>
        </w:rPr>
        <w:t xml:space="preserve"> dùng</w:t>
      </w:r>
      <w:r>
        <w:rPr>
          <w:rFonts w:eastAsia="Calibri"/>
          <w:sz w:val="28"/>
          <w:lang w:val="da-DK"/>
        </w:rPr>
        <w:t xml:space="preserve"> </w:t>
      </w:r>
      <w:r w:rsidRPr="005E0B76">
        <w:rPr>
          <w:rFonts w:eastAsia="Calibri"/>
          <w:sz w:val="28"/>
          <w:lang w:val="da-DK"/>
        </w:rPr>
        <w:t xml:space="preserve">chênh lệch dương giữa thu lãi cho vay với chi phí huy động vốn của toàn bộ các hoạt động cho vay này để trích lập dự phòng rủi </w:t>
      </w:r>
      <w:r w:rsidRPr="00232761">
        <w:rPr>
          <w:rFonts w:eastAsia="Calibri"/>
          <w:sz w:val="28"/>
          <w:lang w:val="da-DK"/>
        </w:rPr>
        <w:t>ro</w:t>
      </w:r>
      <w:r>
        <w:rPr>
          <w:rFonts w:eastAsia="Calibri"/>
          <w:sz w:val="28"/>
          <w:lang w:val="da-DK"/>
        </w:rPr>
        <w:t xml:space="preserve">. </w:t>
      </w:r>
    </w:p>
    <w:p w:rsidR="00E57418" w:rsidRPr="002A53BE" w:rsidRDefault="00E57418" w:rsidP="00E57418">
      <w:pPr>
        <w:spacing w:after="120" w:line="340" w:lineRule="exact"/>
        <w:ind w:firstLine="709"/>
        <w:jc w:val="both"/>
        <w:rPr>
          <w:rFonts w:eastAsia="Calibri"/>
          <w:sz w:val="28"/>
          <w:szCs w:val="28"/>
          <w:lang w:val="it-IT"/>
        </w:rPr>
      </w:pPr>
      <w:r>
        <w:rPr>
          <w:rFonts w:eastAsia="Calibri"/>
          <w:sz w:val="28"/>
          <w:lang w:val="da-DK"/>
        </w:rPr>
        <w:t xml:space="preserve">- Ngoài ra, để phù hợp với định hướng hoạt động của NHPT trong thời gian tới, Bộ Tài chính đang rà soát Nghị định số </w:t>
      </w:r>
      <w:r w:rsidRPr="00721E32">
        <w:rPr>
          <w:sz w:val="28"/>
          <w:szCs w:val="28"/>
          <w:lang w:val="da-DK"/>
        </w:rPr>
        <w:t>46/2021/NĐ-CP</w:t>
      </w:r>
      <w:r>
        <w:rPr>
          <w:sz w:val="28"/>
          <w:szCs w:val="28"/>
          <w:lang w:val="da-DK"/>
        </w:rPr>
        <w:t>, trong đó, đối với nội dung trích lập dự phòng rủi ro tín dụng, Bộ Tài chính dự kiến trình Chính phủ sửa đổi theo hướng: Các dự án cho vay mới, NHPT thực hiện phân loại nợ và trích lập dự phòng rủi ro tín dụng như đối với các TCTD.</w:t>
      </w:r>
      <w:r>
        <w:rPr>
          <w:rFonts w:eastAsia="Calibri"/>
          <w:sz w:val="28"/>
          <w:lang w:val="da-DK"/>
        </w:rPr>
        <w:t xml:space="preserve"> </w:t>
      </w:r>
    </w:p>
    <w:p w:rsidR="00E57418" w:rsidRDefault="00E57418" w:rsidP="00E57418">
      <w:pPr>
        <w:spacing w:after="120" w:line="340" w:lineRule="exact"/>
        <w:ind w:firstLine="709"/>
        <w:jc w:val="both"/>
        <w:rPr>
          <w:sz w:val="28"/>
          <w:szCs w:val="28"/>
          <w:lang w:val="da-DK"/>
        </w:rPr>
      </w:pPr>
      <w:r w:rsidRPr="004F0B03">
        <w:rPr>
          <w:b/>
          <w:sz w:val="28"/>
          <w:szCs w:val="28"/>
          <w:lang w:val="da-DK"/>
        </w:rPr>
        <w:t xml:space="preserve">3. </w:t>
      </w:r>
      <w:r>
        <w:rPr>
          <w:sz w:val="28"/>
          <w:szCs w:val="28"/>
          <w:lang w:val="da-DK"/>
        </w:rPr>
        <w:t>Theo báo cáo của NHPT, dự phòng rủi ro tín dụng tại thời điểm 31/12/2022 khoảng 6.700 tỷ đồng và sẽ được trích bổ sung hàng năm theo quy định tại cơ chế quản lý tài chính nêu trên để xử lý rủi ro.</w:t>
      </w:r>
    </w:p>
    <w:p w:rsidR="00E57418" w:rsidRDefault="00E57418" w:rsidP="00E57418">
      <w:pPr>
        <w:spacing w:after="120" w:line="340" w:lineRule="exact"/>
        <w:ind w:firstLine="709"/>
        <w:jc w:val="both"/>
        <w:rPr>
          <w:rFonts w:eastAsia="Calibri"/>
          <w:b/>
          <w:sz w:val="28"/>
          <w:szCs w:val="28"/>
          <w:lang w:val="da-DK"/>
        </w:rPr>
      </w:pPr>
      <w:r w:rsidRPr="00AC083C">
        <w:rPr>
          <w:rFonts w:eastAsia="Calibri"/>
          <w:b/>
          <w:sz w:val="28"/>
          <w:szCs w:val="28"/>
          <w:lang w:val="da-DK"/>
        </w:rPr>
        <w:t>VII. VỀ Ý KIẾN THAM GIA CỦA CÁC CƠ QUAN VÀ Ý KIẾN THẨM ĐỊNH CỦA BỘ TƯ PHÁP.</w:t>
      </w:r>
    </w:p>
    <w:p w:rsidR="00E57418" w:rsidRPr="00BA2844" w:rsidRDefault="00E57418" w:rsidP="00E57418">
      <w:pPr>
        <w:spacing w:after="120" w:line="340" w:lineRule="exact"/>
        <w:ind w:firstLine="709"/>
        <w:jc w:val="both"/>
        <w:rPr>
          <w:rFonts w:eastAsia="Calibri"/>
          <w:bCs/>
          <w:sz w:val="28"/>
          <w:szCs w:val="28"/>
          <w:lang w:val="nl-NL"/>
        </w:rPr>
      </w:pPr>
      <w:r w:rsidRPr="00BA2844">
        <w:rPr>
          <w:rFonts w:eastAsia="Calibri"/>
          <w:sz w:val="28"/>
          <w:szCs w:val="28"/>
          <w:lang w:val="da-DK"/>
        </w:rPr>
        <w:t>1. Về ý kiến tham gia của các Bộ, ngành liên quan</w:t>
      </w:r>
    </w:p>
    <w:p w:rsidR="00E57418" w:rsidRPr="00BA2844" w:rsidRDefault="00E57418" w:rsidP="00E57418">
      <w:pPr>
        <w:spacing w:after="120" w:line="340" w:lineRule="exact"/>
        <w:ind w:firstLine="709"/>
        <w:jc w:val="both"/>
        <w:rPr>
          <w:rFonts w:eastAsia="Calibri"/>
          <w:bCs/>
          <w:sz w:val="28"/>
          <w:szCs w:val="28"/>
        </w:rPr>
      </w:pPr>
      <w:r w:rsidRPr="00BA2844">
        <w:rPr>
          <w:rFonts w:eastAsia="Calibri"/>
          <w:bCs/>
          <w:sz w:val="28"/>
          <w:szCs w:val="28"/>
        </w:rPr>
        <w:t>2. Về ý kiến thẩm định của Bộ Tư pháp:</w:t>
      </w:r>
    </w:p>
    <w:p w:rsidR="00E57418" w:rsidRDefault="00E57418" w:rsidP="00E57418">
      <w:pPr>
        <w:spacing w:after="120" w:line="340" w:lineRule="exact"/>
        <w:ind w:firstLine="709"/>
        <w:jc w:val="both"/>
        <w:rPr>
          <w:rFonts w:eastAsia="Calibri"/>
          <w:b/>
          <w:bCs/>
          <w:sz w:val="28"/>
          <w:szCs w:val="28"/>
          <w:lang w:val="nl-NL"/>
        </w:rPr>
      </w:pPr>
    </w:p>
    <w:p w:rsidR="00E57418" w:rsidRDefault="00E57418" w:rsidP="00E57418">
      <w:pPr>
        <w:spacing w:after="120" w:line="340" w:lineRule="exact"/>
        <w:ind w:firstLine="709"/>
        <w:jc w:val="both"/>
        <w:rPr>
          <w:rFonts w:eastAsia="Calibri"/>
          <w:sz w:val="28"/>
          <w:szCs w:val="28"/>
        </w:rPr>
      </w:pPr>
      <w:r>
        <w:rPr>
          <w:rFonts w:eastAsia="Calibri"/>
          <w:b/>
          <w:bCs/>
          <w:sz w:val="28"/>
          <w:szCs w:val="28"/>
          <w:lang w:val="nl-NL"/>
        </w:rPr>
        <w:tab/>
      </w:r>
      <w:r w:rsidRPr="00AC083C">
        <w:rPr>
          <w:rFonts w:eastAsia="Calibri"/>
          <w:b/>
          <w:sz w:val="28"/>
          <w:szCs w:val="28"/>
        </w:rPr>
        <w:t>VIII. KIẾN NGHỊ CỦA BỘ TÀI CHÍNH</w:t>
      </w:r>
    </w:p>
    <w:p w:rsidR="00E57418" w:rsidRDefault="00E57418" w:rsidP="00E57418">
      <w:pPr>
        <w:spacing w:after="120" w:line="340" w:lineRule="exact"/>
        <w:ind w:firstLine="709"/>
        <w:jc w:val="both"/>
        <w:rPr>
          <w:sz w:val="28"/>
          <w:szCs w:val="28"/>
        </w:rPr>
      </w:pPr>
      <w:r>
        <w:rPr>
          <w:sz w:val="28"/>
          <w:szCs w:val="28"/>
        </w:rPr>
        <w:t xml:space="preserve">Từ tình hình nêu trên, Bộ Tài chính đã rà soát, hoàn thiện dự thảo </w:t>
      </w:r>
      <w:r>
        <w:rPr>
          <w:color w:val="000000" w:themeColor="text1"/>
          <w:sz w:val="28"/>
          <w:szCs w:val="28"/>
        </w:rPr>
        <w:t>Quyết định về cơ chế xử lý rủi ro tín dụng tại NHPT</w:t>
      </w:r>
      <w:r>
        <w:rPr>
          <w:sz w:val="28"/>
          <w:szCs w:val="28"/>
        </w:rPr>
        <w:t>.</w:t>
      </w:r>
      <w:r w:rsidRPr="00AC083C">
        <w:rPr>
          <w:sz w:val="28"/>
          <w:szCs w:val="28"/>
        </w:rPr>
        <w:t xml:space="preserve"> Bộ Tài chính kính trình Thủ tướng Chính phủ xem xét,</w:t>
      </w:r>
      <w:r w:rsidR="009E35DC">
        <w:rPr>
          <w:sz w:val="28"/>
          <w:szCs w:val="28"/>
        </w:rPr>
        <w:t xml:space="preserve"> ký ban hành</w:t>
      </w:r>
      <w:r w:rsidRPr="00AC083C">
        <w:rPr>
          <w:sz w:val="28"/>
          <w:szCs w:val="28"/>
        </w:rPr>
        <w:t>./.</w:t>
      </w:r>
      <w:r>
        <w:rPr>
          <w:sz w:val="28"/>
          <w:szCs w:val="28"/>
        </w:rPr>
        <w:t xml:space="preserve"> </w:t>
      </w:r>
    </w:p>
    <w:p w:rsidR="00E57418" w:rsidRDefault="00E57418" w:rsidP="00E57418">
      <w:pPr>
        <w:spacing w:line="320" w:lineRule="exact"/>
        <w:jc w:val="both"/>
        <w:rPr>
          <w:sz w:val="28"/>
          <w:szCs w:val="28"/>
        </w:rPr>
      </w:pPr>
    </w:p>
    <w:tbl>
      <w:tblPr>
        <w:tblW w:w="0" w:type="auto"/>
        <w:tblLook w:val="04A0"/>
      </w:tblPr>
      <w:tblGrid>
        <w:gridCol w:w="4644"/>
        <w:gridCol w:w="4644"/>
      </w:tblGrid>
      <w:tr w:rsidR="00E57418" w:rsidRPr="004A7AEC" w:rsidTr="0082009C">
        <w:tc>
          <w:tcPr>
            <w:tcW w:w="4644" w:type="dxa"/>
          </w:tcPr>
          <w:p w:rsidR="00E57418" w:rsidRPr="004A7AEC" w:rsidRDefault="00E57418" w:rsidP="0082009C">
            <w:pPr>
              <w:jc w:val="both"/>
              <w:rPr>
                <w:b/>
                <w:i/>
                <w:lang w:val="am-ET"/>
              </w:rPr>
            </w:pPr>
            <w:r w:rsidRPr="004A7AEC">
              <w:rPr>
                <w:b/>
                <w:i/>
                <w:lang w:val="am-ET"/>
              </w:rPr>
              <w:t>Nơi nhận:</w:t>
            </w:r>
          </w:p>
          <w:p w:rsidR="00E57418" w:rsidRDefault="00E57418" w:rsidP="0082009C">
            <w:pPr>
              <w:jc w:val="both"/>
            </w:pPr>
            <w:r w:rsidRPr="005D45AA">
              <w:rPr>
                <w:lang w:val="am-ET"/>
              </w:rPr>
              <w:t>- Như trên;</w:t>
            </w:r>
          </w:p>
          <w:p w:rsidR="00E57418" w:rsidRPr="00E953E6" w:rsidRDefault="00E57418" w:rsidP="0082009C">
            <w:pPr>
              <w:jc w:val="both"/>
            </w:pPr>
            <w:r>
              <w:t>- Bộ trưởng Hồ Đức Phớc (để b/cáo);</w:t>
            </w:r>
          </w:p>
          <w:p w:rsidR="00E57418" w:rsidRDefault="00E57418" w:rsidP="0082009C">
            <w:pPr>
              <w:jc w:val="both"/>
            </w:pPr>
            <w:r w:rsidRPr="005D45AA">
              <w:rPr>
                <w:lang w:val="am-ET"/>
              </w:rPr>
              <w:t>- Bộ Tư pháp</w:t>
            </w:r>
            <w:r>
              <w:t>;</w:t>
            </w:r>
          </w:p>
          <w:p w:rsidR="00E57418" w:rsidRDefault="00E57418" w:rsidP="0082009C">
            <w:pPr>
              <w:jc w:val="both"/>
              <w:rPr>
                <w:lang w:val="vi-VN"/>
              </w:rPr>
            </w:pPr>
            <w:r w:rsidRPr="003E51EB">
              <w:rPr>
                <w:lang w:val="am-ET"/>
              </w:rPr>
              <w:t>- NH</w:t>
            </w:r>
            <w:r>
              <w:rPr>
                <w:lang w:val="vi-VN"/>
              </w:rPr>
              <w:t>PTVN;</w:t>
            </w:r>
          </w:p>
          <w:p w:rsidR="00E57418" w:rsidRPr="004A7AEC" w:rsidRDefault="00E57418" w:rsidP="008C264F">
            <w:pPr>
              <w:jc w:val="both"/>
              <w:rPr>
                <w:sz w:val="28"/>
                <w:szCs w:val="28"/>
                <w:lang w:val="am-ET"/>
              </w:rPr>
            </w:pPr>
            <w:r w:rsidRPr="005D45AA">
              <w:rPr>
                <w:lang w:val="am-ET"/>
              </w:rPr>
              <w:t>- Lưu VT, TCNH (</w:t>
            </w:r>
            <w:r w:rsidR="008C264F">
              <w:t>N.T.H.Vân</w:t>
            </w:r>
            <w:r>
              <w:t xml:space="preserve"> -   b</w:t>
            </w:r>
            <w:r w:rsidRPr="005D45AA">
              <w:rPr>
                <w:lang w:val="am-ET"/>
              </w:rPr>
              <w:t>).</w:t>
            </w:r>
          </w:p>
        </w:tc>
        <w:tc>
          <w:tcPr>
            <w:tcW w:w="4644" w:type="dxa"/>
          </w:tcPr>
          <w:p w:rsidR="00E57418" w:rsidRDefault="00E57418" w:rsidP="0082009C">
            <w:pPr>
              <w:spacing w:line="259" w:lineRule="auto"/>
              <w:jc w:val="center"/>
              <w:rPr>
                <w:b/>
                <w:sz w:val="26"/>
                <w:szCs w:val="26"/>
              </w:rPr>
            </w:pPr>
            <w:r>
              <w:rPr>
                <w:b/>
                <w:sz w:val="26"/>
                <w:szCs w:val="26"/>
              </w:rPr>
              <w:t xml:space="preserve">KT. </w:t>
            </w:r>
            <w:r w:rsidRPr="004A7AEC">
              <w:rPr>
                <w:b/>
                <w:sz w:val="26"/>
                <w:szCs w:val="26"/>
                <w:lang w:val="am-ET"/>
              </w:rPr>
              <w:t>BỘ TRƯỞNG</w:t>
            </w:r>
          </w:p>
          <w:p w:rsidR="00E57418" w:rsidRPr="00C11AF8" w:rsidRDefault="00E57418" w:rsidP="0082009C">
            <w:pPr>
              <w:spacing w:line="259" w:lineRule="auto"/>
              <w:jc w:val="center"/>
              <w:rPr>
                <w:b/>
                <w:sz w:val="26"/>
                <w:szCs w:val="26"/>
              </w:rPr>
            </w:pPr>
            <w:r>
              <w:rPr>
                <w:b/>
                <w:sz w:val="26"/>
                <w:szCs w:val="26"/>
              </w:rPr>
              <w:t>THỨ TRƯỞNG</w:t>
            </w:r>
          </w:p>
          <w:p w:rsidR="00E57418" w:rsidRDefault="00E57418" w:rsidP="0082009C">
            <w:pPr>
              <w:spacing w:before="80" w:line="259" w:lineRule="auto"/>
              <w:jc w:val="center"/>
              <w:rPr>
                <w:b/>
                <w:sz w:val="28"/>
                <w:szCs w:val="28"/>
              </w:rPr>
            </w:pPr>
          </w:p>
          <w:p w:rsidR="00E57418" w:rsidRPr="007932B7" w:rsidRDefault="00E57418" w:rsidP="0082009C">
            <w:pPr>
              <w:spacing w:before="80" w:line="259" w:lineRule="auto"/>
              <w:rPr>
                <w:b/>
                <w:sz w:val="28"/>
                <w:szCs w:val="28"/>
              </w:rPr>
            </w:pPr>
          </w:p>
          <w:p w:rsidR="00E57418" w:rsidRDefault="00E57418" w:rsidP="0082009C">
            <w:pPr>
              <w:spacing w:before="80" w:line="259" w:lineRule="auto"/>
              <w:jc w:val="center"/>
              <w:rPr>
                <w:b/>
                <w:sz w:val="28"/>
                <w:szCs w:val="28"/>
              </w:rPr>
            </w:pPr>
          </w:p>
          <w:p w:rsidR="00E57418" w:rsidRDefault="00E57418" w:rsidP="0082009C">
            <w:pPr>
              <w:spacing w:before="80" w:line="259" w:lineRule="auto"/>
              <w:jc w:val="center"/>
              <w:rPr>
                <w:b/>
                <w:sz w:val="28"/>
                <w:szCs w:val="28"/>
              </w:rPr>
            </w:pPr>
          </w:p>
          <w:p w:rsidR="00E57418" w:rsidRPr="00C0047E" w:rsidRDefault="00E57418" w:rsidP="0082009C">
            <w:pPr>
              <w:spacing w:before="80" w:line="259" w:lineRule="auto"/>
              <w:jc w:val="center"/>
              <w:rPr>
                <w:b/>
                <w:sz w:val="28"/>
                <w:szCs w:val="28"/>
              </w:rPr>
            </w:pPr>
            <w:r>
              <w:rPr>
                <w:b/>
                <w:sz w:val="28"/>
                <w:szCs w:val="28"/>
              </w:rPr>
              <w:t>Nguyễn Đức Chi</w:t>
            </w:r>
          </w:p>
        </w:tc>
      </w:tr>
    </w:tbl>
    <w:p w:rsidR="00E57418" w:rsidRPr="00721E7D" w:rsidRDefault="00E57418" w:rsidP="00E57418">
      <w:pPr>
        <w:rPr>
          <w:b/>
          <w:sz w:val="28"/>
          <w:szCs w:val="28"/>
          <w:lang w:val="vi-VN"/>
        </w:rPr>
      </w:pPr>
    </w:p>
    <w:p w:rsidR="005861CE" w:rsidRDefault="005861CE"/>
    <w:sectPr w:rsidR="005861CE" w:rsidSect="0082009C">
      <w:headerReference w:type="default" r:id="rId7"/>
      <w:footerReference w:type="even" r:id="rId8"/>
      <w:footerReference w:type="default" r:id="rId9"/>
      <w:pgSz w:w="11906" w:h="16838" w:code="9"/>
      <w:pgMar w:top="1134" w:right="1134" w:bottom="851" w:left="1588" w:header="709" w:footer="1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139" w:rsidRDefault="00576139" w:rsidP="00E57418">
      <w:r>
        <w:separator/>
      </w:r>
    </w:p>
  </w:endnote>
  <w:endnote w:type="continuationSeparator" w:id="0">
    <w:p w:rsidR="00576139" w:rsidRDefault="00576139" w:rsidP="00E574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139" w:rsidRDefault="00CB55B1">
    <w:pPr>
      <w:pStyle w:val="Footer"/>
      <w:framePr w:wrap="around" w:vAnchor="text" w:hAnchor="margin" w:xAlign="right" w:y="1"/>
      <w:rPr>
        <w:rStyle w:val="PageNumber"/>
      </w:rPr>
    </w:pPr>
    <w:r>
      <w:rPr>
        <w:rStyle w:val="PageNumber"/>
      </w:rPr>
      <w:fldChar w:fldCharType="begin"/>
    </w:r>
    <w:r w:rsidR="00576139">
      <w:rPr>
        <w:rStyle w:val="PageNumber"/>
      </w:rPr>
      <w:instrText xml:space="preserve">PAGE  </w:instrText>
    </w:r>
    <w:r>
      <w:rPr>
        <w:rStyle w:val="PageNumber"/>
      </w:rPr>
      <w:fldChar w:fldCharType="separate"/>
    </w:r>
    <w:r w:rsidR="00576139">
      <w:rPr>
        <w:rStyle w:val="PageNumber"/>
        <w:noProof/>
      </w:rPr>
      <w:t>2</w:t>
    </w:r>
    <w:r>
      <w:rPr>
        <w:rStyle w:val="PageNumber"/>
      </w:rPr>
      <w:fldChar w:fldCharType="end"/>
    </w:r>
  </w:p>
  <w:p w:rsidR="00576139" w:rsidRDefault="0057613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139" w:rsidRDefault="00576139">
    <w:pPr>
      <w:pStyle w:val="Footer"/>
    </w:pPr>
  </w:p>
  <w:p w:rsidR="00576139" w:rsidRDefault="0057613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139" w:rsidRDefault="00576139" w:rsidP="00E57418">
      <w:r>
        <w:separator/>
      </w:r>
    </w:p>
  </w:footnote>
  <w:footnote w:type="continuationSeparator" w:id="0">
    <w:p w:rsidR="00576139" w:rsidRDefault="00576139" w:rsidP="00E57418">
      <w:r>
        <w:continuationSeparator/>
      </w:r>
    </w:p>
  </w:footnote>
  <w:footnote w:id="1">
    <w:p w:rsidR="00114D1E" w:rsidRPr="005D7D4C" w:rsidRDefault="00114D1E" w:rsidP="00114D1E">
      <w:pPr>
        <w:pStyle w:val="FootnoteText"/>
        <w:jc w:val="both"/>
        <w:rPr>
          <w:rFonts w:ascii="Times New Roman" w:hAnsi="Times New Roman"/>
          <w:u w:val="single"/>
        </w:rPr>
      </w:pPr>
      <w:r>
        <w:rPr>
          <w:rStyle w:val="FootnoteReference"/>
        </w:rPr>
        <w:footnoteRef/>
      </w:r>
      <w:r>
        <w:t xml:space="preserve"> </w:t>
      </w:r>
      <w:bookmarkStart w:id="0" w:name="_Hlk142262165"/>
      <w:r w:rsidRPr="00114D1E">
        <w:rPr>
          <w:rFonts w:ascii="Times New Roman" w:hAnsi="Times New Roman"/>
        </w:rPr>
        <w:t xml:space="preserve">Hiện nay, dự thảo Nghị định sửa đổi, bổ sung Nghị định số 32/2017/NĐ-CP đã được Bộ Tài chính trình Chính phủ ban hành sau khi rà soát, </w:t>
      </w:r>
      <w:r w:rsidRPr="005D7D4C">
        <w:rPr>
          <w:rFonts w:ascii="Times New Roman" w:hAnsi="Times New Roman"/>
        </w:rPr>
        <w:t xml:space="preserve">hoàn thiện theo kết luận của Bộ Chính trị về phương án cơ cấu lại, định hướng hoạt động của NHPT giai đoạn 2023-2027. Tại </w:t>
      </w:r>
      <w:r w:rsidR="00B1047B" w:rsidRPr="005D7D4C">
        <w:rPr>
          <w:rFonts w:ascii="Times New Roman" w:hAnsi="Times New Roman"/>
        </w:rPr>
        <w:t xml:space="preserve">khoản 12 Điều 1 </w:t>
      </w:r>
      <w:r w:rsidRPr="005D7D4C">
        <w:rPr>
          <w:rFonts w:ascii="Times New Roman" w:hAnsi="Times New Roman"/>
        </w:rPr>
        <w:t>dự thảo Nghị định cũng quy địn</w:t>
      </w:r>
      <w:r w:rsidR="00B1047B" w:rsidRPr="005D7D4C">
        <w:rPr>
          <w:rFonts w:ascii="Times New Roman" w:hAnsi="Times New Roman"/>
        </w:rPr>
        <w:t>h NHPT</w:t>
      </w:r>
      <w:r w:rsidR="00B1047B">
        <w:rPr>
          <w:rFonts w:ascii="Times New Roman" w:hAnsi="Times New Roman"/>
        </w:rPr>
        <w:t xml:space="preserve"> xem xét, quyết định việc xử lý rủi ro tín dụng </w:t>
      </w:r>
      <w:r w:rsidR="005D7D4C">
        <w:rPr>
          <w:rFonts w:ascii="Times New Roman" w:hAnsi="Times New Roman"/>
        </w:rPr>
        <w:t xml:space="preserve">theo quy định tại </w:t>
      </w:r>
      <w:r w:rsidR="005D7D4C">
        <w:rPr>
          <w:rFonts w:ascii="Times New Roman" w:hAnsi="Times New Roman"/>
          <w:u w:val="single"/>
        </w:rPr>
        <w:t>Quyết định về cơ chế xử lý rủi ro tín dụng tại NHPT do  Thủ tướng Chính phủ ban hành.</w:t>
      </w:r>
    </w:p>
  </w:footnote>
  <w:footnote w:id="2">
    <w:p w:rsidR="00576139" w:rsidRPr="006662E2" w:rsidRDefault="00576139" w:rsidP="009E35DC">
      <w:pPr>
        <w:pStyle w:val="FootnoteText"/>
        <w:jc w:val="both"/>
        <w:rPr>
          <w:rFonts w:ascii="Times New Roman" w:hAnsi="Times New Roman"/>
        </w:rPr>
      </w:pPr>
      <w:r w:rsidRPr="006662E2">
        <w:rPr>
          <w:rStyle w:val="FootnoteReference"/>
          <w:rFonts w:ascii="Times New Roman" w:hAnsi="Times New Roman"/>
        </w:rPr>
        <w:footnoteRef/>
      </w:r>
      <w:r w:rsidRPr="006662E2">
        <w:rPr>
          <w:rFonts w:ascii="Times New Roman" w:hAnsi="Times New Roman"/>
        </w:rPr>
        <w:t xml:space="preserve"> C</w:t>
      </w:r>
      <w:r w:rsidRPr="006662E2">
        <w:rPr>
          <w:rFonts w:ascii="Times New Roman" w:hAnsi="Times New Roman"/>
          <w:lang w:val="nl-NL"/>
        </w:rPr>
        <w:t xml:space="preserve">ác văn bản pháp lý liên quan đến sử dụng dự phòng rủi ro, xử lý nợ, bán nợ tại các TCTC bao gồm: Thông tư số 11/2021/TT-NHNN ngày 30/7/2021 </w:t>
      </w:r>
      <w:r w:rsidRPr="006662E2">
        <w:rPr>
          <w:rFonts w:ascii="Times New Roman" w:hAnsi="Times New Roman"/>
          <w:iCs/>
          <w:color w:val="000000"/>
          <w:shd w:val="clear" w:color="auto" w:fill="FFFFFF"/>
          <w:lang w:val="vi-VN"/>
        </w:rPr>
        <w:t>quy định về phân loại tài sản có, mức trích, phương pháp trích lập dự phòng rủi ro và việc sử dụng dự phòng để xử lý rủi ro trong hoạt động </w:t>
      </w:r>
      <w:r w:rsidRPr="006662E2">
        <w:rPr>
          <w:rFonts w:ascii="Times New Roman" w:hAnsi="Times New Roman"/>
          <w:iCs/>
          <w:color w:val="000000"/>
          <w:shd w:val="clear" w:color="auto" w:fill="FFFFFF"/>
        </w:rPr>
        <w:t>của</w:t>
      </w:r>
      <w:r w:rsidRPr="006662E2">
        <w:rPr>
          <w:rFonts w:ascii="Times New Roman" w:hAnsi="Times New Roman"/>
          <w:iCs/>
          <w:color w:val="000000"/>
          <w:shd w:val="clear" w:color="auto" w:fill="FFFFFF"/>
          <w:lang w:val="vi-VN"/>
        </w:rPr>
        <w:t> tổ chức tín dụng, chi nhánh ngân hàng nước ngoài</w:t>
      </w:r>
      <w:r w:rsidRPr="006662E2">
        <w:rPr>
          <w:rFonts w:ascii="Times New Roman" w:hAnsi="Times New Roman"/>
          <w:iCs/>
          <w:color w:val="000000"/>
          <w:shd w:val="clear" w:color="auto" w:fill="FFFFFF"/>
        </w:rPr>
        <w:t>; Thông tư số 09/2015/TT-NHNN ngày 17/7/2015 của Thống đốc NHNNVN quy định về hoạt động mua, bán nợ của TCTD, chi nhánh ngân hàng nước ngoài; Thông tư số 18/2022/TT-NHNN ngày 26/12/2022 sửa đổi Thông tư số 09/2015/TT-NHNN</w:t>
      </w:r>
      <w:r>
        <w:rPr>
          <w:rFonts w:ascii="Times New Roman" w:hAnsi="Times New Roman"/>
          <w:iCs/>
          <w:color w:val="000000"/>
          <w:shd w:val="clear" w:color="auto" w:fill="FFFFFF"/>
        </w:rPr>
        <w:t>.</w:t>
      </w:r>
    </w:p>
  </w:footnote>
  <w:footnote w:id="3">
    <w:p w:rsidR="00576139" w:rsidRDefault="00576139">
      <w:pPr>
        <w:pStyle w:val="FootnoteText"/>
      </w:pPr>
      <w:r>
        <w:rPr>
          <w:rStyle w:val="FootnoteReference"/>
        </w:rPr>
        <w:footnoteRef/>
      </w:r>
      <w:r>
        <w:t xml:space="preserve"> Công văn số… ngày…</w:t>
      </w:r>
    </w:p>
  </w:footnote>
  <w:footnote w:id="4">
    <w:p w:rsidR="00576139" w:rsidRPr="008E14AB" w:rsidRDefault="00576139" w:rsidP="008E14AB">
      <w:pPr>
        <w:pStyle w:val="FootnoteText"/>
        <w:jc w:val="both"/>
        <w:rPr>
          <w:rFonts w:ascii="Times New Roman" w:hAnsi="Times New Roman"/>
        </w:rPr>
      </w:pPr>
      <w:r>
        <w:rPr>
          <w:rStyle w:val="FootnoteReference"/>
        </w:rPr>
        <w:footnoteRef/>
      </w:r>
      <w:r>
        <w:t xml:space="preserve"> </w:t>
      </w:r>
      <w:r w:rsidRPr="008E14AB">
        <w:rPr>
          <w:rFonts w:ascii="Times New Roman" w:hAnsi="Times New Roman"/>
        </w:rPr>
        <w:t xml:space="preserve">Bộ Tài chính đã có Tờ trình số 167/TTr-BTC ngày 26/7/2023 trình Chính phủ ban hành Nghị định sửa đổi, bổ sung Nghị định số 32/2017/NĐ-CP ngày 31/3/2017 của Chính phủ về tín dụng đầu tư của Nhà nước. </w:t>
      </w:r>
    </w:p>
  </w:footnote>
  <w:footnote w:id="5">
    <w:p w:rsidR="00576139" w:rsidRDefault="00576139">
      <w:pPr>
        <w:pStyle w:val="FootnoteText"/>
      </w:pPr>
      <w:r>
        <w:rPr>
          <w:rStyle w:val="FootnoteReference"/>
        </w:rPr>
        <w:footnoteRef/>
      </w:r>
      <w:r>
        <w:t xml:space="preserve"> </w:t>
      </w:r>
      <w:r w:rsidRPr="0042463C">
        <w:rPr>
          <w:rFonts w:ascii="Times New Roman" w:hAnsi="Times New Roman"/>
        </w:rPr>
        <w:t>Theo quy định tại Điều 16 Thông tư số 11/2021/TT-NHNN ngày 30/7/2021.</w:t>
      </w:r>
      <w:r>
        <w:t xml:space="preserve"> </w:t>
      </w:r>
    </w:p>
  </w:footnote>
  <w:footnote w:id="6">
    <w:p w:rsidR="00576139" w:rsidRPr="00103550" w:rsidRDefault="00576139" w:rsidP="00103550">
      <w:pPr>
        <w:pStyle w:val="FootnoteText"/>
        <w:jc w:val="both"/>
        <w:rPr>
          <w:rFonts w:ascii="Times New Roman" w:hAnsi="Times New Roman"/>
        </w:rPr>
      </w:pPr>
      <w:r w:rsidRPr="00103550">
        <w:rPr>
          <w:rStyle w:val="FootnoteReference"/>
          <w:rFonts w:ascii="Times New Roman" w:hAnsi="Times New Roman"/>
        </w:rPr>
        <w:footnoteRef/>
      </w:r>
      <w:r w:rsidRPr="00103550">
        <w:rPr>
          <w:rFonts w:ascii="Times New Roman" w:hAnsi="Times New Roman"/>
        </w:rPr>
        <w:t xml:space="preserve"> Theo quy định tại khoản 2 Điều 17 Nghị định số 46/2021/NĐ-CP: NHPT thực hiện quản lý, theo dõi riêng đối với từng quỹ </w:t>
      </w:r>
      <w:r>
        <w:rPr>
          <w:rFonts w:ascii="Times New Roman" w:hAnsi="Times New Roman"/>
        </w:rPr>
        <w:t>DPRR</w:t>
      </w:r>
      <w:r w:rsidRPr="00103550">
        <w:rPr>
          <w:rFonts w:ascii="Times New Roman" w:hAnsi="Times New Roman"/>
        </w:rPr>
        <w:t xml:space="preserve"> và sử dụng để xử lý rủi ro theo Quy chế xử lý rủi ro tín dụng tại NHPT do Thủ tướng Chính phủ ban hành</w:t>
      </w:r>
      <w:r>
        <w:rPr>
          <w:rFonts w:ascii="Times New Roman" w:hAnsi="Times New Roman"/>
        </w:rPr>
        <w:t xml:space="preserve">. Quỹ DPRR tín dụng đầu tư, tín dụng xuất khẩu và nợ vay bắt buộc bảo lãnh được sử dụng để xử lý rủi ro tín dụng đâu tư, tín dụng xuất khẩu, nợ vay bắt buộc bảo lãnh; Quỹ DPRR các khoản cho vay khác được sử dụng để xử lý rủi ro cho các khoản cho vay khác theo quy định của pháp luật. </w:t>
      </w:r>
    </w:p>
  </w:footnote>
  <w:footnote w:id="7">
    <w:p w:rsidR="00576139" w:rsidRPr="00653399" w:rsidRDefault="00576139" w:rsidP="00653399">
      <w:pPr>
        <w:pStyle w:val="FootnoteText"/>
        <w:jc w:val="both"/>
        <w:rPr>
          <w:rFonts w:ascii="Times New Roman" w:hAnsi="Times New Roman"/>
        </w:rPr>
      </w:pPr>
      <w:r>
        <w:rPr>
          <w:rStyle w:val="FootnoteReference"/>
        </w:rPr>
        <w:footnoteRef/>
      </w:r>
      <w:r>
        <w:t xml:space="preserve"> </w:t>
      </w:r>
      <w:r w:rsidRPr="00653399">
        <w:rPr>
          <w:rFonts w:ascii="Times New Roman" w:hAnsi="Times New Roman"/>
        </w:rPr>
        <w:t xml:space="preserve">Điểm b, khoản 1 Điều 17 Nghị định số 46/2021/NĐ-CP quy định số tiền thu hồi được từ các khoản nợ gốc đã sử dụng quỹ dự phòng rủi ro tín dụng là một trong các nguồn hình thành quỹ DPRR tín dụng đầu tư, tín dụng xuất khẩu và nợ vay bắt buộc bảo lãnh và quỹ DPRR </w:t>
      </w:r>
      <w:r>
        <w:rPr>
          <w:rFonts w:ascii="Times New Roman" w:hAnsi="Times New Roman"/>
        </w:rPr>
        <w:t>các khoản</w:t>
      </w:r>
      <w:r w:rsidRPr="00653399">
        <w:rPr>
          <w:rFonts w:ascii="Times New Roman" w:hAnsi="Times New Roman"/>
        </w:rPr>
        <w:t xml:space="preserve"> nợ vay khác. </w:t>
      </w:r>
    </w:p>
  </w:footnote>
  <w:footnote w:id="8">
    <w:p w:rsidR="00576139" w:rsidRDefault="00576139" w:rsidP="001F2E80">
      <w:pPr>
        <w:pStyle w:val="FootnoteText"/>
        <w:jc w:val="both"/>
      </w:pPr>
      <w:r>
        <w:rPr>
          <w:rStyle w:val="FootnoteReference"/>
        </w:rPr>
        <w:footnoteRef/>
      </w:r>
      <w:r>
        <w:t xml:space="preserve"> </w:t>
      </w:r>
      <w:r w:rsidRPr="001F2E80">
        <w:rPr>
          <w:rFonts w:ascii="Times New Roman" w:hAnsi="Times New Roman"/>
        </w:rPr>
        <w:t>Theo quy định tại Điều 19 Thông tư số 11/2021/TT-NHNN: Số tiền thu hồi được từ nợ đã sử dụng dự phòng để xử lý rủi ro, kể cả số tiền thu hồi được từ việc xử lý tài sản bảo đảm, được coi là doanh thu trong kỳ kế toán của tổ chức tín dụng, chi nhánh ngân hàng nước ngoài.</w:t>
      </w:r>
      <w:r>
        <w:t xml:space="preserve"> </w:t>
      </w:r>
    </w:p>
  </w:footnote>
  <w:footnote w:id="9">
    <w:p w:rsidR="00576139" w:rsidRPr="00FA021D" w:rsidRDefault="00576139" w:rsidP="00B45193">
      <w:pPr>
        <w:pStyle w:val="FootnoteText"/>
        <w:jc w:val="both"/>
        <w:rPr>
          <w:rFonts w:ascii="Times New Roman" w:hAnsi="Times New Roman"/>
        </w:rPr>
      </w:pPr>
      <w:r w:rsidRPr="00FA021D">
        <w:rPr>
          <w:rStyle w:val="FootnoteReference"/>
          <w:rFonts w:ascii="Times New Roman" w:hAnsi="Times New Roman"/>
        </w:rPr>
        <w:footnoteRef/>
      </w:r>
      <w:r w:rsidRPr="00FA021D">
        <w:rPr>
          <w:rFonts w:ascii="Times New Roman" w:hAnsi="Times New Roman"/>
        </w:rPr>
        <w:t xml:space="preserve"> Theo quy định tại điểm c, khoản 1 Điều 17 Nghị định số 46/2021/NĐ-CP, phần chênh lệch giữa giá bán khoản nợ đang hạch toán nội bảng sau khi trừ các chi phí liên quan đến bán nợ theo quy định của pháp luật cao hơn giá trị sổ sách của khoản nợ là một trong các nguồn hình thành quỹ DPRR tín dụng đầu tư, tín dụng xuất khẩu và nợ vay bắt buộc bảo lãnh và quỹ DPRR các khoản nợ vay khác</w:t>
      </w:r>
    </w:p>
  </w:footnote>
  <w:footnote w:id="10">
    <w:p w:rsidR="00275A08" w:rsidRPr="00F31E6B" w:rsidRDefault="00275A08" w:rsidP="00F31E6B">
      <w:pPr>
        <w:pStyle w:val="FootnoteText"/>
        <w:jc w:val="both"/>
        <w:rPr>
          <w:rFonts w:ascii="Times New Roman" w:hAnsi="Times New Roman"/>
        </w:rPr>
      </w:pPr>
      <w:r>
        <w:rPr>
          <w:rStyle w:val="FootnoteReference"/>
        </w:rPr>
        <w:footnoteRef/>
      </w:r>
      <w:r>
        <w:t xml:space="preserve"> </w:t>
      </w:r>
      <w:r w:rsidRPr="00F31E6B">
        <w:rPr>
          <w:rFonts w:ascii="Times New Roman" w:hAnsi="Times New Roman"/>
        </w:rPr>
        <w:t xml:space="preserve">Các khoản nợ của 04 dự án </w:t>
      </w:r>
      <w:r w:rsidR="00372852" w:rsidRPr="00F31E6B">
        <w:rPr>
          <w:rFonts w:ascii="Times New Roman" w:hAnsi="Times New Roman"/>
        </w:rPr>
        <w:t xml:space="preserve">mía đường, vùng nguyên liệu mía tại Kon Tum, Cà Mau, Sơn La đã được NHPT bán cho Công ty mua bán nợ DATC từ năm 2010 theo </w:t>
      </w:r>
      <w:r w:rsidR="002C4A32" w:rsidRPr="00F31E6B">
        <w:rPr>
          <w:rFonts w:ascii="Times New Roman" w:hAnsi="Times New Roman"/>
        </w:rPr>
        <w:t xml:space="preserve">chỉ đạo của Thủ tướng Chính phủ. Tuy nhiên đến này, số nợ gốc, lãi còn lại sau khi bán nợ của các khoản nợ này </w:t>
      </w:r>
      <w:r w:rsidR="00F31E6B" w:rsidRPr="00F31E6B">
        <w:rPr>
          <w:rFonts w:ascii="Times New Roman" w:hAnsi="Times New Roman"/>
        </w:rPr>
        <w:t xml:space="preserve">vẫn chưa được NHPT xử lý tài chính do chưa có đủ căn cứ pháp lý để triển khai thực hiện.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678224"/>
      <w:docPartObj>
        <w:docPartGallery w:val="Page Numbers (Top of Page)"/>
        <w:docPartUnique/>
      </w:docPartObj>
    </w:sdtPr>
    <w:sdtEndPr>
      <w:rPr>
        <w:noProof/>
      </w:rPr>
    </w:sdtEndPr>
    <w:sdtContent>
      <w:p w:rsidR="00576139" w:rsidRDefault="00CB55B1">
        <w:pPr>
          <w:pStyle w:val="Header"/>
          <w:jc w:val="center"/>
        </w:pPr>
        <w:r>
          <w:fldChar w:fldCharType="begin"/>
        </w:r>
        <w:r w:rsidR="00931605">
          <w:instrText xml:space="preserve"> PAGE   \* MERGEFORMAT </w:instrText>
        </w:r>
        <w:r>
          <w:fldChar w:fldCharType="separate"/>
        </w:r>
        <w:r w:rsidR="007543F0">
          <w:rPr>
            <w:noProof/>
          </w:rPr>
          <w:t>12</w:t>
        </w:r>
        <w:r>
          <w:rPr>
            <w:noProof/>
          </w:rPr>
          <w:fldChar w:fldCharType="end"/>
        </w:r>
      </w:p>
    </w:sdtContent>
  </w:sdt>
  <w:p w:rsidR="00576139" w:rsidRDefault="005761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57418"/>
    <w:rsid w:val="000027C9"/>
    <w:rsid w:val="00004F2B"/>
    <w:rsid w:val="000079BE"/>
    <w:rsid w:val="000132E0"/>
    <w:rsid w:val="00042C35"/>
    <w:rsid w:val="0004685F"/>
    <w:rsid w:val="000662B7"/>
    <w:rsid w:val="00070658"/>
    <w:rsid w:val="00073644"/>
    <w:rsid w:val="00084AF5"/>
    <w:rsid w:val="000923F2"/>
    <w:rsid w:val="00092FE5"/>
    <w:rsid w:val="0009529E"/>
    <w:rsid w:val="000A0B94"/>
    <w:rsid w:val="000A3F8E"/>
    <w:rsid w:val="000A47A5"/>
    <w:rsid w:val="000A6FC0"/>
    <w:rsid w:val="000B08B5"/>
    <w:rsid w:val="000F0D27"/>
    <w:rsid w:val="00100F6F"/>
    <w:rsid w:val="00103550"/>
    <w:rsid w:val="00105F8F"/>
    <w:rsid w:val="001144BC"/>
    <w:rsid w:val="00114D1E"/>
    <w:rsid w:val="00130C64"/>
    <w:rsid w:val="001446C4"/>
    <w:rsid w:val="00147250"/>
    <w:rsid w:val="001534FB"/>
    <w:rsid w:val="001628B2"/>
    <w:rsid w:val="00171E84"/>
    <w:rsid w:val="00172787"/>
    <w:rsid w:val="00181D3E"/>
    <w:rsid w:val="0019014A"/>
    <w:rsid w:val="00194BA8"/>
    <w:rsid w:val="0019516E"/>
    <w:rsid w:val="00197B4F"/>
    <w:rsid w:val="001A1B8B"/>
    <w:rsid w:val="001A4B10"/>
    <w:rsid w:val="001C4310"/>
    <w:rsid w:val="001C5F6D"/>
    <w:rsid w:val="001C60A6"/>
    <w:rsid w:val="001D170D"/>
    <w:rsid w:val="001D284F"/>
    <w:rsid w:val="001D3AD7"/>
    <w:rsid w:val="001D7EC7"/>
    <w:rsid w:val="001E56D3"/>
    <w:rsid w:val="001F2E80"/>
    <w:rsid w:val="00202A4B"/>
    <w:rsid w:val="00206A6D"/>
    <w:rsid w:val="00216314"/>
    <w:rsid w:val="002209CB"/>
    <w:rsid w:val="00220E54"/>
    <w:rsid w:val="0022411B"/>
    <w:rsid w:val="00225872"/>
    <w:rsid w:val="00236E23"/>
    <w:rsid w:val="002437BF"/>
    <w:rsid w:val="00253502"/>
    <w:rsid w:val="002663EA"/>
    <w:rsid w:val="00271248"/>
    <w:rsid w:val="00275A08"/>
    <w:rsid w:val="00281E8B"/>
    <w:rsid w:val="00282594"/>
    <w:rsid w:val="00286446"/>
    <w:rsid w:val="00293A96"/>
    <w:rsid w:val="002940F6"/>
    <w:rsid w:val="002A44DF"/>
    <w:rsid w:val="002C1D88"/>
    <w:rsid w:val="002C4A32"/>
    <w:rsid w:val="002E036B"/>
    <w:rsid w:val="002E44AA"/>
    <w:rsid w:val="002F0468"/>
    <w:rsid w:val="003103CE"/>
    <w:rsid w:val="0031404A"/>
    <w:rsid w:val="00320F2B"/>
    <w:rsid w:val="0032382A"/>
    <w:rsid w:val="00327962"/>
    <w:rsid w:val="0034575F"/>
    <w:rsid w:val="00353812"/>
    <w:rsid w:val="00354D98"/>
    <w:rsid w:val="00367C5E"/>
    <w:rsid w:val="00371336"/>
    <w:rsid w:val="00372852"/>
    <w:rsid w:val="00373F87"/>
    <w:rsid w:val="00376E21"/>
    <w:rsid w:val="00397DDB"/>
    <w:rsid w:val="003A6030"/>
    <w:rsid w:val="003A69CF"/>
    <w:rsid w:val="003B57E5"/>
    <w:rsid w:val="003C11B4"/>
    <w:rsid w:val="003D314A"/>
    <w:rsid w:val="003E4D84"/>
    <w:rsid w:val="003F0F90"/>
    <w:rsid w:val="003F63BD"/>
    <w:rsid w:val="003F7762"/>
    <w:rsid w:val="00407AB1"/>
    <w:rsid w:val="00415B3B"/>
    <w:rsid w:val="004171BC"/>
    <w:rsid w:val="00417920"/>
    <w:rsid w:val="00420A9A"/>
    <w:rsid w:val="0042463C"/>
    <w:rsid w:val="00431A22"/>
    <w:rsid w:val="00432775"/>
    <w:rsid w:val="00462AD9"/>
    <w:rsid w:val="00462F06"/>
    <w:rsid w:val="00476362"/>
    <w:rsid w:val="004849CB"/>
    <w:rsid w:val="004963D4"/>
    <w:rsid w:val="004A0627"/>
    <w:rsid w:val="004A26F0"/>
    <w:rsid w:val="004A5C4D"/>
    <w:rsid w:val="004A779C"/>
    <w:rsid w:val="004B0B01"/>
    <w:rsid w:val="004B1D94"/>
    <w:rsid w:val="004B7791"/>
    <w:rsid w:val="004C280B"/>
    <w:rsid w:val="004C4D59"/>
    <w:rsid w:val="004C54A4"/>
    <w:rsid w:val="004D5204"/>
    <w:rsid w:val="004D5977"/>
    <w:rsid w:val="004D7E77"/>
    <w:rsid w:val="004F03C9"/>
    <w:rsid w:val="004F0B03"/>
    <w:rsid w:val="004F7090"/>
    <w:rsid w:val="00501424"/>
    <w:rsid w:val="00521027"/>
    <w:rsid w:val="00522B6E"/>
    <w:rsid w:val="00525C65"/>
    <w:rsid w:val="00533052"/>
    <w:rsid w:val="005406A1"/>
    <w:rsid w:val="00542F0E"/>
    <w:rsid w:val="005477A4"/>
    <w:rsid w:val="005575AC"/>
    <w:rsid w:val="00557611"/>
    <w:rsid w:val="0056769C"/>
    <w:rsid w:val="00576139"/>
    <w:rsid w:val="005837D4"/>
    <w:rsid w:val="005861CE"/>
    <w:rsid w:val="00586AFE"/>
    <w:rsid w:val="005C007D"/>
    <w:rsid w:val="005D20C2"/>
    <w:rsid w:val="005D7D4C"/>
    <w:rsid w:val="005F478C"/>
    <w:rsid w:val="006113C8"/>
    <w:rsid w:val="006274D8"/>
    <w:rsid w:val="006334D5"/>
    <w:rsid w:val="00653399"/>
    <w:rsid w:val="006551C2"/>
    <w:rsid w:val="00657760"/>
    <w:rsid w:val="00667862"/>
    <w:rsid w:val="006716F2"/>
    <w:rsid w:val="00674DA8"/>
    <w:rsid w:val="00682988"/>
    <w:rsid w:val="006877FC"/>
    <w:rsid w:val="00696BFF"/>
    <w:rsid w:val="006B11D2"/>
    <w:rsid w:val="006B1733"/>
    <w:rsid w:val="006B5A2D"/>
    <w:rsid w:val="006C35F6"/>
    <w:rsid w:val="006C7C9B"/>
    <w:rsid w:val="006E5A0E"/>
    <w:rsid w:val="00701CB8"/>
    <w:rsid w:val="007244E2"/>
    <w:rsid w:val="0072581B"/>
    <w:rsid w:val="007304C2"/>
    <w:rsid w:val="00734F2F"/>
    <w:rsid w:val="00746D7F"/>
    <w:rsid w:val="007543F0"/>
    <w:rsid w:val="00760E10"/>
    <w:rsid w:val="0076755E"/>
    <w:rsid w:val="007723A5"/>
    <w:rsid w:val="00781039"/>
    <w:rsid w:val="00783FA9"/>
    <w:rsid w:val="00795269"/>
    <w:rsid w:val="00795314"/>
    <w:rsid w:val="00795A33"/>
    <w:rsid w:val="007A0FB5"/>
    <w:rsid w:val="007A2ECC"/>
    <w:rsid w:val="007B1DA0"/>
    <w:rsid w:val="007B47F8"/>
    <w:rsid w:val="007C57A5"/>
    <w:rsid w:val="007D5779"/>
    <w:rsid w:val="007D7A68"/>
    <w:rsid w:val="007E495A"/>
    <w:rsid w:val="007F0BF4"/>
    <w:rsid w:val="007F24F5"/>
    <w:rsid w:val="007F30AF"/>
    <w:rsid w:val="00804081"/>
    <w:rsid w:val="00804A33"/>
    <w:rsid w:val="008077D5"/>
    <w:rsid w:val="00812983"/>
    <w:rsid w:val="0082009C"/>
    <w:rsid w:val="008343E8"/>
    <w:rsid w:val="00836D45"/>
    <w:rsid w:val="00842EAB"/>
    <w:rsid w:val="00871239"/>
    <w:rsid w:val="00880501"/>
    <w:rsid w:val="00880AA1"/>
    <w:rsid w:val="008846C4"/>
    <w:rsid w:val="00887221"/>
    <w:rsid w:val="00893F24"/>
    <w:rsid w:val="008A300D"/>
    <w:rsid w:val="008A7A00"/>
    <w:rsid w:val="008C0506"/>
    <w:rsid w:val="008C16CB"/>
    <w:rsid w:val="008C264F"/>
    <w:rsid w:val="008E0803"/>
    <w:rsid w:val="008E14AB"/>
    <w:rsid w:val="008E5689"/>
    <w:rsid w:val="008F3FC5"/>
    <w:rsid w:val="00903B0C"/>
    <w:rsid w:val="00905B91"/>
    <w:rsid w:val="00906C5B"/>
    <w:rsid w:val="00913470"/>
    <w:rsid w:val="0091594E"/>
    <w:rsid w:val="0091633C"/>
    <w:rsid w:val="00931605"/>
    <w:rsid w:val="009317C3"/>
    <w:rsid w:val="00940A37"/>
    <w:rsid w:val="00944CCF"/>
    <w:rsid w:val="00950C68"/>
    <w:rsid w:val="00951433"/>
    <w:rsid w:val="009517C4"/>
    <w:rsid w:val="009530AA"/>
    <w:rsid w:val="0095313B"/>
    <w:rsid w:val="0096722D"/>
    <w:rsid w:val="00970E75"/>
    <w:rsid w:val="009710D0"/>
    <w:rsid w:val="00973AF4"/>
    <w:rsid w:val="00987236"/>
    <w:rsid w:val="00994B56"/>
    <w:rsid w:val="00996236"/>
    <w:rsid w:val="009A22BB"/>
    <w:rsid w:val="009A4187"/>
    <w:rsid w:val="009A4838"/>
    <w:rsid w:val="009A49A8"/>
    <w:rsid w:val="009A5A81"/>
    <w:rsid w:val="009C3619"/>
    <w:rsid w:val="009E35DC"/>
    <w:rsid w:val="009F1626"/>
    <w:rsid w:val="009F559B"/>
    <w:rsid w:val="009F70A4"/>
    <w:rsid w:val="00A019C9"/>
    <w:rsid w:val="00A069BC"/>
    <w:rsid w:val="00A114A4"/>
    <w:rsid w:val="00A23CD8"/>
    <w:rsid w:val="00A32D6D"/>
    <w:rsid w:val="00A41141"/>
    <w:rsid w:val="00A41605"/>
    <w:rsid w:val="00A77ACB"/>
    <w:rsid w:val="00A851F2"/>
    <w:rsid w:val="00A9063B"/>
    <w:rsid w:val="00AA0AF6"/>
    <w:rsid w:val="00AA1EB4"/>
    <w:rsid w:val="00AC17F7"/>
    <w:rsid w:val="00AC21A5"/>
    <w:rsid w:val="00AC560D"/>
    <w:rsid w:val="00AE01EA"/>
    <w:rsid w:val="00AE169B"/>
    <w:rsid w:val="00AE3486"/>
    <w:rsid w:val="00AE5874"/>
    <w:rsid w:val="00B1047B"/>
    <w:rsid w:val="00B11B24"/>
    <w:rsid w:val="00B12427"/>
    <w:rsid w:val="00B16F16"/>
    <w:rsid w:val="00B232EE"/>
    <w:rsid w:val="00B2740A"/>
    <w:rsid w:val="00B42663"/>
    <w:rsid w:val="00B4349E"/>
    <w:rsid w:val="00B442F6"/>
    <w:rsid w:val="00B45007"/>
    <w:rsid w:val="00B45193"/>
    <w:rsid w:val="00B4783D"/>
    <w:rsid w:val="00B536DB"/>
    <w:rsid w:val="00B54DDF"/>
    <w:rsid w:val="00B553B2"/>
    <w:rsid w:val="00B635CE"/>
    <w:rsid w:val="00B63E86"/>
    <w:rsid w:val="00B6430C"/>
    <w:rsid w:val="00B72013"/>
    <w:rsid w:val="00B72F21"/>
    <w:rsid w:val="00B92626"/>
    <w:rsid w:val="00BB21F2"/>
    <w:rsid w:val="00BC38AD"/>
    <w:rsid w:val="00BC45AC"/>
    <w:rsid w:val="00BC4BF0"/>
    <w:rsid w:val="00BE14E8"/>
    <w:rsid w:val="00BF17B1"/>
    <w:rsid w:val="00BF205F"/>
    <w:rsid w:val="00C11001"/>
    <w:rsid w:val="00C13A32"/>
    <w:rsid w:val="00C17C7B"/>
    <w:rsid w:val="00C17CE4"/>
    <w:rsid w:val="00C17E71"/>
    <w:rsid w:val="00C24073"/>
    <w:rsid w:val="00C30896"/>
    <w:rsid w:val="00C32866"/>
    <w:rsid w:val="00C50D58"/>
    <w:rsid w:val="00C51CCC"/>
    <w:rsid w:val="00C5513D"/>
    <w:rsid w:val="00C611D5"/>
    <w:rsid w:val="00C65718"/>
    <w:rsid w:val="00C75FB5"/>
    <w:rsid w:val="00C827A9"/>
    <w:rsid w:val="00C841C2"/>
    <w:rsid w:val="00C8633F"/>
    <w:rsid w:val="00C90F03"/>
    <w:rsid w:val="00C94493"/>
    <w:rsid w:val="00C9488C"/>
    <w:rsid w:val="00CA28DD"/>
    <w:rsid w:val="00CB55B1"/>
    <w:rsid w:val="00CC75A5"/>
    <w:rsid w:val="00CD1904"/>
    <w:rsid w:val="00CD2223"/>
    <w:rsid w:val="00CD4AAF"/>
    <w:rsid w:val="00CE3E73"/>
    <w:rsid w:val="00CE46A3"/>
    <w:rsid w:val="00D01C12"/>
    <w:rsid w:val="00D0696F"/>
    <w:rsid w:val="00D07992"/>
    <w:rsid w:val="00D1006F"/>
    <w:rsid w:val="00D12042"/>
    <w:rsid w:val="00D13DC5"/>
    <w:rsid w:val="00D13FE8"/>
    <w:rsid w:val="00D14093"/>
    <w:rsid w:val="00D24A08"/>
    <w:rsid w:val="00D263AF"/>
    <w:rsid w:val="00D26C1E"/>
    <w:rsid w:val="00D460BE"/>
    <w:rsid w:val="00D51270"/>
    <w:rsid w:val="00D57F38"/>
    <w:rsid w:val="00D6260A"/>
    <w:rsid w:val="00D72E0B"/>
    <w:rsid w:val="00D741D9"/>
    <w:rsid w:val="00D7536D"/>
    <w:rsid w:val="00D811B3"/>
    <w:rsid w:val="00D82ACB"/>
    <w:rsid w:val="00D867FB"/>
    <w:rsid w:val="00D86C18"/>
    <w:rsid w:val="00D87428"/>
    <w:rsid w:val="00D914D1"/>
    <w:rsid w:val="00D93021"/>
    <w:rsid w:val="00D94089"/>
    <w:rsid w:val="00D958EF"/>
    <w:rsid w:val="00D96BC6"/>
    <w:rsid w:val="00D96FCB"/>
    <w:rsid w:val="00DB40A7"/>
    <w:rsid w:val="00DB507E"/>
    <w:rsid w:val="00DB52CD"/>
    <w:rsid w:val="00DC0542"/>
    <w:rsid w:val="00DC580C"/>
    <w:rsid w:val="00DD1F57"/>
    <w:rsid w:val="00DE16F3"/>
    <w:rsid w:val="00DE62D7"/>
    <w:rsid w:val="00DF17B3"/>
    <w:rsid w:val="00DF1FB5"/>
    <w:rsid w:val="00DF40C1"/>
    <w:rsid w:val="00E064AC"/>
    <w:rsid w:val="00E359C8"/>
    <w:rsid w:val="00E403BF"/>
    <w:rsid w:val="00E45C8D"/>
    <w:rsid w:val="00E57418"/>
    <w:rsid w:val="00E73B14"/>
    <w:rsid w:val="00E7425D"/>
    <w:rsid w:val="00E900AD"/>
    <w:rsid w:val="00E978F3"/>
    <w:rsid w:val="00ED0412"/>
    <w:rsid w:val="00EE3501"/>
    <w:rsid w:val="00EE6FAD"/>
    <w:rsid w:val="00EF7CC5"/>
    <w:rsid w:val="00F00D54"/>
    <w:rsid w:val="00F2552C"/>
    <w:rsid w:val="00F27AA2"/>
    <w:rsid w:val="00F31E6B"/>
    <w:rsid w:val="00F3566E"/>
    <w:rsid w:val="00F4755F"/>
    <w:rsid w:val="00F605EC"/>
    <w:rsid w:val="00F8478B"/>
    <w:rsid w:val="00FA021D"/>
    <w:rsid w:val="00FA06A7"/>
    <w:rsid w:val="00FA0B45"/>
    <w:rsid w:val="00FA188F"/>
    <w:rsid w:val="00FA4FF5"/>
    <w:rsid w:val="00FB2322"/>
    <w:rsid w:val="00FB46A7"/>
    <w:rsid w:val="00FC0A2F"/>
    <w:rsid w:val="00FD1B7D"/>
    <w:rsid w:val="00FE53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_x0000_s1027"/>
        <o:r id="V:Rule4"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4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7418"/>
    <w:pPr>
      <w:tabs>
        <w:tab w:val="center" w:pos="4320"/>
        <w:tab w:val="right" w:pos="8640"/>
      </w:tabs>
    </w:pPr>
  </w:style>
  <w:style w:type="character" w:customStyle="1" w:styleId="FooterChar">
    <w:name w:val="Footer Char"/>
    <w:basedOn w:val="DefaultParagraphFont"/>
    <w:link w:val="Footer"/>
    <w:uiPriority w:val="99"/>
    <w:rsid w:val="00E57418"/>
    <w:rPr>
      <w:rFonts w:ascii="Times New Roman" w:eastAsia="Times New Roman" w:hAnsi="Times New Roman" w:cs="Times New Roman"/>
      <w:sz w:val="24"/>
      <w:szCs w:val="24"/>
    </w:rPr>
  </w:style>
  <w:style w:type="character" w:styleId="PageNumber">
    <w:name w:val="page number"/>
    <w:basedOn w:val="DefaultParagraphFont"/>
    <w:rsid w:val="00E57418"/>
  </w:style>
  <w:style w:type="paragraph" w:styleId="Header">
    <w:name w:val="header"/>
    <w:basedOn w:val="Normal"/>
    <w:link w:val="HeaderChar"/>
    <w:uiPriority w:val="99"/>
    <w:rsid w:val="00E57418"/>
    <w:pPr>
      <w:tabs>
        <w:tab w:val="center" w:pos="4320"/>
        <w:tab w:val="right" w:pos="8640"/>
      </w:tabs>
    </w:pPr>
  </w:style>
  <w:style w:type="character" w:customStyle="1" w:styleId="HeaderChar">
    <w:name w:val="Header Char"/>
    <w:basedOn w:val="DefaultParagraphFont"/>
    <w:link w:val="Header"/>
    <w:uiPriority w:val="99"/>
    <w:rsid w:val="00E57418"/>
    <w:rPr>
      <w:rFonts w:ascii="Times New Roman" w:eastAsia="Times New Roman" w:hAnsi="Times New Roman" w:cs="Times New Roman"/>
      <w:sz w:val="24"/>
      <w:szCs w:val="24"/>
    </w:rPr>
  </w:style>
  <w:style w:type="paragraph" w:styleId="NormalWeb">
    <w:name w:val="Normal (Web)"/>
    <w:basedOn w:val="Normal"/>
    <w:uiPriority w:val="99"/>
    <w:unhideWhenUsed/>
    <w:rsid w:val="00E57418"/>
    <w:rPr>
      <w:lang w:val="vi-VN" w:eastAsia="vi-VN"/>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iPriority w:val="99"/>
    <w:unhideWhenUsed/>
    <w:rsid w:val="00E57418"/>
    <w:rPr>
      <w:rFonts w:ascii="Calibri" w:hAnsi="Calibri"/>
      <w:sz w:val="20"/>
      <w:szCs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uiPriority w:val="99"/>
    <w:rsid w:val="00E57418"/>
    <w:rPr>
      <w:rFonts w:ascii="Calibri" w:eastAsia="Times New Roman" w:hAnsi="Calibri" w:cs="Times New Roman"/>
      <w:sz w:val="20"/>
      <w:szCs w:val="20"/>
    </w:rPr>
  </w:style>
  <w:style w:type="character" w:styleId="FootnoteReference">
    <w:name w:val="footnote reference"/>
    <w:aliases w:val="Footnote,Footnote Text1,ftref,BVI fnr,footnote ref,Footnote dich,SUPERS,(NECG) Footnote Reference,16 Point,Superscript 6 Point,Footnote + Arial,10 pt,fr,BearingPoint,Footnote Reference Number,Footnote Reference_LVL6,Ref,f"/>
    <w:basedOn w:val="DefaultParagraphFont"/>
    <w:uiPriority w:val="99"/>
    <w:rsid w:val="00E57418"/>
    <w:rPr>
      <w:vertAlign w:val="superscript"/>
    </w:rPr>
  </w:style>
  <w:style w:type="table" w:styleId="TableGrid">
    <w:name w:val="Table Grid"/>
    <w:basedOn w:val="TableNormal"/>
    <w:uiPriority w:val="59"/>
    <w:rsid w:val="00A41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49773-A1A3-4DE8-8878-D7DFEB14B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1648</TotalTime>
  <Pages>12</Pages>
  <Words>4351</Words>
  <Characters>24806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ngolanphuong</dc:creator>
  <cp:lastModifiedBy>Nguyen Thi Hong Van1</cp:lastModifiedBy>
  <cp:revision>20</cp:revision>
  <cp:lastPrinted>2023-08-07T01:11:00Z</cp:lastPrinted>
  <dcterms:created xsi:type="dcterms:W3CDTF">2023-05-04T02:21:00Z</dcterms:created>
  <dcterms:modified xsi:type="dcterms:W3CDTF">2023-08-07T01:18:00Z</dcterms:modified>
</cp:coreProperties>
</file>