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GÓP Ý DỰ THẢO NGHỊ ĐỊNH THAY THẾ NGHỊ ĐỊNH 72/2013/NĐ-CP VỀ QUẢN LÝ, CUNG CẤP, SỬ DỤNG DỊCH VỤ INTERNET VÀ THÔNG TIN TRÊN MẠNG</w:t>
      </w:r>
    </w:p>
    <w:p w:rsidR="00000000" w:rsidDel="00000000" w:rsidP="00000000" w:rsidRDefault="00000000" w:rsidRPr="00000000" w14:paraId="00000002">
      <w:pPr>
        <w:shd w:fill="ffffff" w:val="clear"/>
        <w:spacing w:after="0" w:before="120" w:line="312"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Vũ Tú Thành, Phó Giám đốc Điều hành khu vực</w:t>
      </w:r>
    </w:p>
    <w:p w:rsidR="00000000" w:rsidDel="00000000" w:rsidP="00000000" w:rsidRDefault="00000000" w:rsidRPr="00000000" w14:paraId="00000003">
      <w:pPr>
        <w:shd w:fill="ffffff" w:val="clear"/>
        <w:spacing w:after="120" w:line="312"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Hội đồng Kinh doanh Hoa Kỳ-ASEAN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Phạm vi điều chỉnh và đối tượng áp dụng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1, Điều 2, Điều 26.1)</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có phạm vi điều chỉnh bao gồm một loạt các dịch vụ thông tin trực tuyến và nghĩa vụ đã được điều chỉnh trong các quy định chuyên ngành khác như quảng cáo, dịch vụ trực tuyến, sở hữu trí tuệ, viễn thông và bảo vệ dữ liệu cá nhân. (Điều 1)</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cũng điều chỉnh cả các công ty có mô hình kinh doanh chính là cung cấp dịch vụ doanh nghiệp cho các doanh nghiệp Việt Nam (tức là các dịch vụ giữa doanh nghiệp với doanh nghiệp hoặc dịch vụ trực tuyến B2B). (Điều 2)</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dùng khái niệm “thông tin” thay cho “thông tin công cộng” (Điều 26.1)</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Phương pháp xác định ngưỡng thuộc đối tượng điều chỉnh: Điều 26.3</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Nghĩa vụ của bên thứ ba (cloud, data center): Điều 71,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71.1, Điều 71.4., Điều 83.3, Điều 84</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Nghĩa vụ của nhà cung cấp giải pháp thanh toán: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72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Khuyến nghị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Chúng tôi khuyến nghị rằng Ban Soạn thảo làm rõ các đối tượng thuộc phạm vi của Dự thảo Nghị định, và loại bỏ các nhà cung cấp dịch vụ bên thứ ba (không được phép hoặc không có khả năng kiểm soát hành vi và thông tin của người dùng cuối).</w:t>
      </w:r>
    </w:p>
    <w:bookmarkStart w:colFirst="0" w:colLast="0" w:name="bookmark=id.30j0zll" w:id="0"/>
    <w:bookmarkEnd w:id="0"/>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Điều khoản chuyển tiếp và thi hành của Dự thảo Nghị định</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khá phức tạp, có phạm vi rộng và sẽ đòi hỏi những thay đổi quan trọng về kỹ thuật và hoạt động, do đó cần có giai đoạn chuyển tiếp thích hợp để các nhà cung cấp dịch vụ số có thời gian thực hiện những điều chỉnh cần thiết đối với dịch vụ tại Việt Nam của họ.</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Hiện tại, Dự thảo không đưa ra mốc thời gian nào về việc thực hiện các nghĩa vụ tuân thủ khác nhau. Chúng tôi ghi nhận rằng các khu vực pháp lý như EU, ví dụ như General Data Protection Regulation (Quy định bảo vệ dữ liệu chung) cùng với luật bảo vệ dữ liệu hiện hành của họ, đã quy định thời gian chuyển tiếp rõ ràng là 2 năm để tuân thủ. Vì vậy, chúng tôi xin đề xuất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thời gian chuyển tiếp là ít nhất 2 năm (24 tháng).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85)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Các nghĩa vụ về nội dung: gỡ bỏ, tạm khóa, giám sát, rà quét, chặn lọc, tạm khoá nội dung, tài khoản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Nghĩa vụ chủ động rà soát, lọc bỏ: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26.3.b , 26.3.i,</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cụ rà quét: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26.3.m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Chặn truy cập: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3.12, 26.6.c</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Khái niệm tin giả: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3.20</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Yêu cầu gỡ bỏ nội dung, ứng dụng: 26.5.b,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83.3</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Thời hạn xử lý: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26.3.c và 26.5.b, 26.3.h, 27.4</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Nghĩa vụ với người dùng: 26.3.k, 26.3.l, 26.3.n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Khả năng truy cập là một vấn đề quan trọng. Cần phải chống lại việc điều chỉnh hoặc chặn Internet và nguyên tắc thông tin có thể di chuyển qua biên giới một cách tự do và an toàn như một phần của Internet toàn cầu phải là cốt lõi của một quy định công bằng. Việc chặn nội dung mà không có hướng dẫn rõ ràng, không xét đến bản chất toàn cầu của Internet, có nguy cơ cô lập Việt Nam khỏi cuộc xu hường Internet mở toàn cầu, với cái giá phải trả về kinh tế và xã hội.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yêu cầu tạm khoá và khoá vĩnh viễn các tài khoản mạng xã hội, trang cộng đồng, nhóm cộng đồng, kênh nội dung, chặn và gỡ bỏ ứng dụng là quá nhiều và không khả thi về mặt vận hành. Dự thảo mới cũng đã mở rộng cơ sở pháp lý cho việc áp dụng các biện pháp quản lý thông tin để điều chỉnh mọi hành vi “vi phạm pháp luật Việt Nam”. Điều này gây gánh nặng lớn cho doanh nghiệp và có thể cản trở mục tiêu của Chính phủ trong việc xử lý nội dung bất hợp pháp.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duy trì một số nghĩa vụ khác mà các công ty đơn giản là không thể tuân thủ và có thể khiến các công ty buộc phải thực hiện cách tiếp cận quá thận trọng và xóa nhiều nội dung hơn. Ví dụ: thời gian thực hiện ngắn trong 3 giờ hoặc 24 giờ đối với các yêu cầu gỡ bỏ nội dung của cơ quan quản lý, xóa ứng dụng, hạn chế đối với các dịch vụ tạo doanh thu, yêu cầu đối với các nền tảng xuyên biên giới phải có bộ phận chuyên trách xử lý các yêu cầu của cơ quan có thẩm quyền của Việt Nam, v.v… không thực tế và không khả thi. Việc phát triển các công cụ để tuân thủ các nghĩa vụ được đề xuất này sẽ tạo ra chi phí hoạt động đáng kể và những thách thức về nguồn lực, có thể gây khó khăn cho các nền tảng nước ngoài trong việc tiếp tục đầu tư vào thị trường Việt Nam.</w:t>
      </w:r>
    </w:p>
    <w:bookmarkStart w:colFirst="0" w:colLast="0" w:name="bookmark=id.1fob9te" w:id="1"/>
    <w:bookmarkEnd w:id="1"/>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Nghĩa vụ thu thập và lưu trữ dữ liệu tại Việt Nam và tính nhất quán với NĐ 13/2023 ( bảo vệ dữ liệu cá nhân) và NĐ 53/2022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26.3.đ)</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Yêu cầu về lưu trữ dữ liệu tại Việt Nam đối với các nhà cung cấp dịch vụ xuyên biên giới có tác động bất lợi đến an ninh, hạn chế đổi mới và tăng chi phí kinh doanh cho các tổ chức Internet nước ngoài khi nỗ lực tuân thủ, dẫn đến chi phí có thể cao hơn cho các doanh nghiệp Việt Nam khi sử dụng các nền tảng này. Yêu cầu này cũng trùng lặp với các yêu cầu liên quan trong Nghị định 53/2022 hướng dẫn Luật An ninh mạng mới ban hành, vốn đã gây hoang mang và căng thẳng cho các nhà cung cấp dịch vụ nước ngoài trong việc làm rõ các nghĩa vụ cần tuân thủ. Do đó, việc bổ sung yêu cầu lưu trữ dữ liệu tại Việt Nam như vậy trong một Nghị định khác có thể tạo ra gánh nặng lớn cho các nhà cung cấp dịch vụ ra nước ngoài và là một bước thụt lùi nghiêm trọng đối với hệ sinh thái số của Việt Nam.</w:t>
      </w:r>
    </w:p>
    <w:bookmarkStart w:colFirst="0" w:colLast="0" w:name="bookmark=id.3znysh7" w:id="2"/>
    <w:bookmarkEnd w:id="2"/>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Nghĩa vụ về đăng ký, cấp phép, báo cáo Bộ TT&amp;TT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Yêu cầu về báo cáo: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26.3.o, 26.4, Phụ lục Mẫu số 04</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Đầu mối liên hệ: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26.4.a</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Làm rõ yêu cầu về cấp phép chỉ áp dụng với DN trong nước: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27.1, Điều 27.7.d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312"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Yêu cầu cấp phép và đăng ký đối với trò chơi và ứng dụng: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Điều 49 tới Điều 79</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điều khoản này yêu cầu các công ty nền tảng xuyên biên giới cung cấp nhiều loại thông tin cho Bộ TT &amp; TT. Các yêu cầu quá rộng, mang tính bắt buộc và đặt ra gánh nặng đáng kể cho các nhà cung cấp dịch vụ nước ngoài.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Phạm vi của các tổ chức, cá nhân cung cấp thông tin qua biên giới quá rộng và mơ hồ, chẳng hạn như yêu cầu cung cấp “báo cáo đột xuất khi có yêu cầu”. Cụ thể, không rõ Bộ TT&amp;TT có thể yêu cầu thông tin gì và căn cứ để yêu cầu báo cáo như vậy. Các yêu cầu báo cáo này tạo ra gánh nặng hành chính không tương xứng đối với cả tổ chức, cá nhân và BỘ TT&amp;TT mà không nhất thiết giải quyết được tác hại thực sự mà BỘ TT&amp;TT quan ngại.</w:t>
      </w:r>
    </w:p>
    <w:p w:rsidR="00000000" w:rsidDel="00000000" w:rsidP="00000000" w:rsidRDefault="00000000" w:rsidRPr="00000000" w14:paraId="00000023">
      <w:pPr>
        <w:spacing w:after="0" w:before="60" w:line="312"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msolistparagraph" w:customStyle="1">
    <w:name w:val="x_msolistparagraph"/>
    <w:basedOn w:val="Normal"/>
    <w:rsid w:val="00E2363B"/>
    <w:pPr>
      <w:spacing w:after="100" w:afterAutospacing="1" w:before="100" w:beforeAutospacing="1" w:line="240" w:lineRule="auto"/>
    </w:pPr>
    <w:rPr>
      <w:rFonts w:ascii="Times New Roman" w:cs="Times New Roman" w:eastAsia="Times New Roman" w:hAnsi="Times New Roman"/>
      <w:kern w:val="0"/>
      <w:sz w:val="24"/>
      <w:szCs w:val="24"/>
      <w:lang w:eastAsia="de-DE"/>
    </w:rPr>
  </w:style>
  <w:style w:type="paragraph" w:styleId="xmsonormal" w:customStyle="1">
    <w:name w:val="x_msonormal"/>
    <w:basedOn w:val="Normal"/>
    <w:rsid w:val="00E2363B"/>
    <w:pPr>
      <w:spacing w:after="100" w:afterAutospacing="1" w:before="100" w:beforeAutospacing="1" w:line="240" w:lineRule="auto"/>
    </w:pPr>
    <w:rPr>
      <w:rFonts w:ascii="Times New Roman" w:cs="Times New Roman" w:eastAsia="Times New Roman" w:hAnsi="Times New Roman"/>
      <w:kern w:val="0"/>
      <w:sz w:val="24"/>
      <w:szCs w:val="24"/>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NRdpt4ft22I+dNl80Cc2zWVPtQ==">CgMxLjAyCmlkLjMwajB6bGwyCmlkLjFmb2I5dGUyCmlkLjN6bnlzaDc4AHIhMW1jdkwxOVAwbm5XdklGUTZPV3dIWEZnMTBYaFVTamlv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2023-09-07T09:07:00Z</dcterms:created>
  <dc:creator>Vũ Thu Trang</dc:creator>
</cp:coreProperties>
</file>