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459" w:type="dxa"/>
        <w:tblLook w:val="01E0" w:firstRow="1" w:lastRow="1" w:firstColumn="1" w:lastColumn="1" w:noHBand="0" w:noVBand="0"/>
      </w:tblPr>
      <w:tblGrid>
        <w:gridCol w:w="4111"/>
        <w:gridCol w:w="5670"/>
      </w:tblGrid>
      <w:tr w:rsidR="004A04D3" w:rsidRPr="00DE6E0B" w:rsidTr="00672D6A">
        <w:trPr>
          <w:trHeight w:val="899"/>
        </w:trPr>
        <w:tc>
          <w:tcPr>
            <w:tcW w:w="4111" w:type="dxa"/>
          </w:tcPr>
          <w:p w:rsidR="004A04D3" w:rsidRPr="005218BE" w:rsidRDefault="0021705A" w:rsidP="005218BE">
            <w:pPr>
              <w:spacing w:before="120"/>
              <w:jc w:val="center"/>
              <w:rPr>
                <w:color w:val="00000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507945</wp:posOffset>
                      </wp:positionH>
                      <wp:positionV relativeFrom="paragraph">
                        <wp:posOffset>286385</wp:posOffset>
                      </wp:positionV>
                      <wp:extent cx="1262380" cy="0"/>
                      <wp:effectExtent l="0" t="0" r="1397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23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D13632"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22.55pt" to="139.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">
                      <o:lock v:ext="edit" shapetype="f"/>
                    </v:line>
                  </w:pict>
                </mc:Fallback>
              </mc:AlternateContent>
            </w:r>
            <w:r w:rsidR="004A04D3" w:rsidRPr="005218BE">
              <w:rPr>
                <w:b/>
                <w:bCs/>
                <w:color w:val="000000"/>
              </w:rPr>
              <w:t xml:space="preserve"> BỘ GIAO THÔNG VẬN TẢI</w:t>
            </w:r>
            <w:r w:rsidR="004A04D3" w:rsidRPr="005218BE">
              <w:rPr>
                <w:b/>
                <w:bCs/>
                <w:color w:val="000000"/>
                <w:lang w:val="vi-VN"/>
              </w:rPr>
              <w:br/>
            </w:r>
          </w:p>
        </w:tc>
        <w:tc>
          <w:tcPr>
            <w:tcW w:w="5670" w:type="dxa"/>
          </w:tcPr>
          <w:p w:rsidR="004A04D3" w:rsidRPr="005218BE" w:rsidRDefault="0021705A" w:rsidP="005218BE">
            <w:pPr>
              <w:spacing w:before="120"/>
              <w:jc w:val="center"/>
              <w:rPr>
                <w:color w:val="00000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935355</wp:posOffset>
                      </wp:positionH>
                      <wp:positionV relativeFrom="paragraph">
                        <wp:posOffset>480694</wp:posOffset>
                      </wp:positionV>
                      <wp:extent cx="153543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5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483CF88"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3.65pt,37.85pt" to="194.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">
                      <o:lock v:ext="edit" shapetype="f"/>
                    </v:line>
                  </w:pict>
                </mc:Fallback>
              </mc:AlternateContent>
            </w:r>
            <w:r w:rsidR="004A04D3" w:rsidRPr="005218BE">
              <w:rPr>
                <w:b/>
                <w:bCs/>
                <w:color w:val="000000"/>
                <w:lang w:val="vi-VN"/>
              </w:rPr>
              <w:t>CỘNG HÒA XÃ HỘI CHỦ NGHĨA VIỆT NAM</w:t>
            </w:r>
            <w:r w:rsidR="004A04D3" w:rsidRPr="005218BE">
              <w:rPr>
                <w:b/>
                <w:bCs/>
                <w:color w:val="000000"/>
                <w:lang w:val="vi-VN"/>
              </w:rPr>
              <w:br/>
              <w:t xml:space="preserve">Độc lập - Tự do - Hạnh phúc </w:t>
            </w:r>
            <w:r w:rsidR="004A04D3" w:rsidRPr="005218BE">
              <w:rPr>
                <w:b/>
                <w:bCs/>
                <w:color w:val="000000"/>
                <w:lang w:val="vi-VN"/>
              </w:rPr>
              <w:br/>
            </w:r>
          </w:p>
        </w:tc>
      </w:tr>
      <w:tr w:rsidR="004A04D3" w:rsidRPr="00DE6E0B" w:rsidTr="00672D6A">
        <w:trPr>
          <w:trHeight w:val="515"/>
        </w:trPr>
        <w:tc>
          <w:tcPr>
            <w:tcW w:w="4111" w:type="dxa"/>
          </w:tcPr>
          <w:p w:rsidR="004A04D3" w:rsidRPr="005218BE" w:rsidRDefault="004A04D3" w:rsidP="001A0F17">
            <w:pPr>
              <w:jc w:val="center"/>
              <w:rPr>
                <w:color w:val="000000"/>
                <w:sz w:val="28"/>
                <w:szCs w:val="28"/>
              </w:rPr>
            </w:pPr>
            <w:r w:rsidRPr="005218BE">
              <w:rPr>
                <w:color w:val="000000"/>
                <w:sz w:val="28"/>
                <w:szCs w:val="28"/>
                <w:lang w:val="vi-VN"/>
              </w:rPr>
              <w:t>Số:</w:t>
            </w:r>
            <w:r w:rsidR="0021705A">
              <w:rPr>
                <w:color w:val="000000"/>
                <w:sz w:val="28"/>
                <w:szCs w:val="28"/>
              </w:rPr>
              <w:t xml:space="preserve"> </w:t>
            </w:r>
            <w:r w:rsidR="001A0F17">
              <w:rPr>
                <w:color w:val="000000"/>
                <w:sz w:val="28"/>
                <w:szCs w:val="28"/>
              </w:rPr>
              <w:t>4403</w:t>
            </w:r>
            <w:r w:rsidRPr="005218BE">
              <w:rPr>
                <w:color w:val="000000"/>
                <w:sz w:val="28"/>
                <w:szCs w:val="28"/>
              </w:rPr>
              <w:t>/BC-BGTVT</w:t>
            </w:r>
          </w:p>
        </w:tc>
        <w:tc>
          <w:tcPr>
            <w:tcW w:w="5670" w:type="dxa"/>
          </w:tcPr>
          <w:p w:rsidR="004A04D3" w:rsidRPr="005218BE" w:rsidRDefault="004A04D3" w:rsidP="001A0F17">
            <w:pPr>
              <w:jc w:val="center"/>
              <w:rPr>
                <w:color w:val="000000"/>
                <w:sz w:val="28"/>
                <w:szCs w:val="28"/>
              </w:rPr>
            </w:pPr>
            <w:r w:rsidRPr="005218BE">
              <w:rPr>
                <w:i/>
                <w:iCs/>
                <w:color w:val="000000"/>
                <w:sz w:val="28"/>
                <w:szCs w:val="28"/>
              </w:rPr>
              <w:t>Hà Nội</w:t>
            </w:r>
            <w:r w:rsidRPr="005218BE">
              <w:rPr>
                <w:i/>
                <w:iCs/>
                <w:color w:val="000000"/>
                <w:sz w:val="28"/>
                <w:szCs w:val="28"/>
                <w:lang w:val="vi-VN"/>
              </w:rPr>
              <w:t>, ngày</w:t>
            </w:r>
            <w:r w:rsidR="0021705A">
              <w:rPr>
                <w:i/>
                <w:iCs/>
                <w:color w:val="000000"/>
                <w:sz w:val="28"/>
                <w:szCs w:val="28"/>
              </w:rPr>
              <w:t xml:space="preserve"> </w:t>
            </w:r>
            <w:r w:rsidR="003B3E77">
              <w:rPr>
                <w:i/>
                <w:iCs/>
                <w:color w:val="000000"/>
                <w:sz w:val="28"/>
                <w:szCs w:val="28"/>
              </w:rPr>
              <w:t>2</w:t>
            </w:r>
            <w:r w:rsidR="001A0F17">
              <w:rPr>
                <w:i/>
                <w:iCs/>
                <w:color w:val="000000"/>
                <w:sz w:val="28"/>
                <w:szCs w:val="28"/>
              </w:rPr>
              <w:t>7</w:t>
            </w:r>
            <w:r w:rsidR="003B3E77">
              <w:rPr>
                <w:i/>
                <w:iCs/>
                <w:color w:val="000000"/>
                <w:sz w:val="28"/>
                <w:szCs w:val="28"/>
              </w:rPr>
              <w:t xml:space="preserve"> </w:t>
            </w:r>
            <w:r w:rsidRPr="005218BE">
              <w:rPr>
                <w:i/>
                <w:iCs/>
                <w:color w:val="000000"/>
                <w:sz w:val="28"/>
                <w:szCs w:val="28"/>
                <w:lang w:val="vi-VN"/>
              </w:rPr>
              <w:t>tháng</w:t>
            </w:r>
            <w:r w:rsidR="00257DB3">
              <w:rPr>
                <w:i/>
                <w:iCs/>
                <w:color w:val="000000"/>
                <w:sz w:val="28"/>
                <w:szCs w:val="28"/>
              </w:rPr>
              <w:t xml:space="preserve"> </w:t>
            </w:r>
            <w:r w:rsidR="001A0F17">
              <w:rPr>
                <w:i/>
                <w:iCs/>
                <w:color w:val="000000"/>
                <w:sz w:val="28"/>
                <w:szCs w:val="28"/>
              </w:rPr>
              <w:t>4</w:t>
            </w:r>
            <w:r w:rsidR="00257DB3">
              <w:rPr>
                <w:i/>
                <w:iCs/>
                <w:color w:val="000000"/>
                <w:sz w:val="28"/>
                <w:szCs w:val="28"/>
              </w:rPr>
              <w:t xml:space="preserve"> </w:t>
            </w:r>
            <w:r w:rsidRPr="005218BE">
              <w:rPr>
                <w:i/>
                <w:iCs/>
                <w:color w:val="000000"/>
                <w:sz w:val="28"/>
                <w:szCs w:val="28"/>
                <w:lang w:val="vi-VN"/>
              </w:rPr>
              <w:t xml:space="preserve">năm </w:t>
            </w:r>
            <w:r w:rsidRPr="005218BE">
              <w:rPr>
                <w:i/>
                <w:iCs/>
                <w:color w:val="000000"/>
                <w:sz w:val="28"/>
                <w:szCs w:val="28"/>
              </w:rPr>
              <w:t>202</w:t>
            </w:r>
            <w:r w:rsidR="00A52E01">
              <w:rPr>
                <w:i/>
                <w:iCs/>
                <w:color w:val="000000"/>
                <w:sz w:val="28"/>
                <w:szCs w:val="28"/>
              </w:rPr>
              <w:t>3</w:t>
            </w:r>
          </w:p>
        </w:tc>
      </w:tr>
    </w:tbl>
    <w:p w:rsidR="00A6619B" w:rsidRPr="00DE6E0B" w:rsidRDefault="00A6619B" w:rsidP="00D41BD3">
      <w:pPr>
        <w:spacing w:before="480"/>
        <w:jc w:val="center"/>
        <w:rPr>
          <w:b/>
          <w:sz w:val="28"/>
          <w:szCs w:val="28"/>
        </w:rPr>
      </w:pPr>
      <w:r w:rsidRPr="00DE6E0B">
        <w:rPr>
          <w:b/>
          <w:sz w:val="28"/>
          <w:szCs w:val="28"/>
        </w:rPr>
        <w:t xml:space="preserve">BÁO CÁO </w:t>
      </w:r>
    </w:p>
    <w:p w:rsidR="00E101F9" w:rsidRPr="00DE6E0B" w:rsidRDefault="00672D6A" w:rsidP="006B183D">
      <w:pPr>
        <w:jc w:val="center"/>
        <w:rPr>
          <w:b/>
          <w:sz w:val="28"/>
          <w:szCs w:val="28"/>
        </w:rPr>
      </w:pPr>
      <w:r w:rsidRPr="00DE6E0B">
        <w:rPr>
          <w:b/>
          <w:sz w:val="28"/>
          <w:szCs w:val="28"/>
        </w:rPr>
        <w:t xml:space="preserve">Đánh giá tác động </w:t>
      </w:r>
      <w:r w:rsidR="009C3552" w:rsidRPr="00DE6E0B">
        <w:rPr>
          <w:b/>
          <w:sz w:val="28"/>
          <w:szCs w:val="28"/>
        </w:rPr>
        <w:t xml:space="preserve">của </w:t>
      </w:r>
      <w:r w:rsidRPr="00DE6E0B">
        <w:rPr>
          <w:b/>
          <w:sz w:val="28"/>
          <w:szCs w:val="28"/>
        </w:rPr>
        <w:t xml:space="preserve">thủ tục hành chính </w:t>
      </w:r>
      <w:r w:rsidR="00293878" w:rsidRPr="00DE6E0B">
        <w:rPr>
          <w:b/>
          <w:sz w:val="28"/>
          <w:szCs w:val="28"/>
        </w:rPr>
        <w:t>trong</w:t>
      </w:r>
      <w:r w:rsidRPr="00DE6E0B">
        <w:rPr>
          <w:b/>
          <w:sz w:val="28"/>
          <w:szCs w:val="28"/>
        </w:rPr>
        <w:t xml:space="preserve"> dự </w:t>
      </w:r>
      <w:r w:rsidR="00293878" w:rsidRPr="00DE6E0B">
        <w:rPr>
          <w:b/>
          <w:sz w:val="28"/>
          <w:szCs w:val="28"/>
        </w:rPr>
        <w:t>án</w:t>
      </w:r>
    </w:p>
    <w:p w:rsidR="00A6619B" w:rsidRPr="00DE6E0B" w:rsidRDefault="00672D6A" w:rsidP="006B183D">
      <w:pPr>
        <w:jc w:val="center"/>
        <w:rPr>
          <w:b/>
          <w:spacing w:val="-4"/>
          <w:sz w:val="28"/>
          <w:szCs w:val="28"/>
        </w:rPr>
      </w:pPr>
      <w:r w:rsidRPr="00DE6E0B">
        <w:rPr>
          <w:b/>
          <w:sz w:val="28"/>
          <w:szCs w:val="28"/>
        </w:rPr>
        <w:t xml:space="preserve"> Luật </w:t>
      </w:r>
      <w:r w:rsidR="00036217" w:rsidRPr="00DE6E0B">
        <w:rPr>
          <w:b/>
          <w:sz w:val="28"/>
          <w:szCs w:val="28"/>
        </w:rPr>
        <w:t>Đường bộ</w:t>
      </w:r>
    </w:p>
    <w:p w:rsidR="0049107F" w:rsidRPr="00DE6E0B" w:rsidRDefault="0021705A" w:rsidP="0049107F">
      <w:pPr>
        <w:spacing w:before="120" w:line="360" w:lineRule="exact"/>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2573020</wp:posOffset>
                </wp:positionH>
                <wp:positionV relativeFrom="paragraph">
                  <wp:posOffset>121920</wp:posOffset>
                </wp:positionV>
                <wp:extent cx="571500" cy="0"/>
                <wp:effectExtent l="10795" t="7620" r="825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EF6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9.6pt" to="247.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"/>
            </w:pict>
          </mc:Fallback>
        </mc:AlternateContent>
      </w:r>
      <w:r w:rsidR="00A6619B" w:rsidRPr="00DE6E0B">
        <w:rPr>
          <w:sz w:val="28"/>
          <w:szCs w:val="28"/>
        </w:rPr>
        <w:t xml:space="preserve">                                 </w:t>
      </w:r>
    </w:p>
    <w:p w:rsidR="00EE3030" w:rsidRPr="00DE6E0B" w:rsidRDefault="00325BEE" w:rsidP="00D41BD3">
      <w:pPr>
        <w:pStyle w:val="NormalWeb"/>
        <w:spacing w:before="240" w:beforeAutospacing="0" w:after="120" w:afterAutospacing="0" w:line="340" w:lineRule="exact"/>
        <w:ind w:firstLine="720"/>
        <w:jc w:val="both"/>
        <w:rPr>
          <w:bCs/>
          <w:sz w:val="28"/>
          <w:szCs w:val="28"/>
        </w:rPr>
      </w:pPr>
      <w:r w:rsidRPr="00DE6E0B">
        <w:rPr>
          <w:rFonts w:eastAsia="MS Mincho"/>
          <w:sz w:val="28"/>
          <w:szCs w:val="28"/>
        </w:rPr>
        <w:t xml:space="preserve">Thực hiện quy định </w:t>
      </w:r>
      <w:r w:rsidR="0096188C" w:rsidRPr="00DE6E0B">
        <w:rPr>
          <w:rFonts w:eastAsia="MS Mincho"/>
          <w:sz w:val="28"/>
          <w:szCs w:val="28"/>
        </w:rPr>
        <w:t xml:space="preserve">tại Nghị định số 63/2010/NĐ-CP ngày </w:t>
      </w:r>
      <w:r w:rsidR="00683036" w:rsidRPr="00DE6E0B">
        <w:rPr>
          <w:rFonts w:eastAsia="MS Mincho"/>
          <w:sz w:val="28"/>
          <w:szCs w:val="28"/>
        </w:rPr>
        <w:t xml:space="preserve">08/6/2010 của Chính phủ về kiểm soát thủ tục hành chính (TTHC), Nghị định số </w:t>
      </w:r>
      <w:r w:rsidR="005711FB" w:rsidRPr="00DE6E0B">
        <w:rPr>
          <w:rFonts w:eastAsia="MS Mincho"/>
          <w:sz w:val="28"/>
          <w:szCs w:val="28"/>
        </w:rPr>
        <w:t xml:space="preserve">48/2013/NĐ-CP ngày 14/5/2013 </w:t>
      </w:r>
      <w:r w:rsidR="005711FB" w:rsidRPr="00DE6E0B">
        <w:rPr>
          <w:bCs/>
          <w:sz w:val="28"/>
          <w:szCs w:val="28"/>
        </w:rPr>
        <w:t>s</w:t>
      </w:r>
      <w:r w:rsidR="005711FB" w:rsidRPr="00DE6E0B">
        <w:rPr>
          <w:bCs/>
          <w:sz w:val="28"/>
          <w:szCs w:val="28"/>
          <w:lang w:val="vi-VN"/>
        </w:rPr>
        <w:t xml:space="preserve">ửa đổi, bổ sung một số điều của các </w:t>
      </w:r>
      <w:r w:rsidR="005711FB" w:rsidRPr="00DE6E0B">
        <w:rPr>
          <w:bCs/>
          <w:sz w:val="28"/>
          <w:szCs w:val="28"/>
        </w:rPr>
        <w:t>N</w:t>
      </w:r>
      <w:r w:rsidR="005711FB" w:rsidRPr="00DE6E0B">
        <w:rPr>
          <w:bCs/>
          <w:sz w:val="28"/>
          <w:szCs w:val="28"/>
          <w:lang w:val="vi-VN"/>
        </w:rPr>
        <w:t>ghị định</w:t>
      </w:r>
      <w:r w:rsidR="005711FB" w:rsidRPr="00DE6E0B">
        <w:rPr>
          <w:bCs/>
          <w:sz w:val="28"/>
          <w:szCs w:val="28"/>
        </w:rPr>
        <w:t> </w:t>
      </w:r>
      <w:r w:rsidR="005711FB" w:rsidRPr="00DE6E0B">
        <w:rPr>
          <w:bCs/>
          <w:sz w:val="28"/>
          <w:szCs w:val="28"/>
          <w:lang w:val="vi-VN"/>
        </w:rPr>
        <w:t>liên quan đến kiểm soát thủ tục hành chính</w:t>
      </w:r>
      <w:r w:rsidR="005711FB" w:rsidRPr="00DE6E0B">
        <w:rPr>
          <w:bCs/>
          <w:sz w:val="28"/>
          <w:szCs w:val="28"/>
        </w:rPr>
        <w:t xml:space="preserve"> và Thông tư số 0</w:t>
      </w:r>
      <w:r w:rsidR="00726B3D">
        <w:rPr>
          <w:bCs/>
          <w:sz w:val="28"/>
          <w:szCs w:val="28"/>
        </w:rPr>
        <w:t>3</w:t>
      </w:r>
      <w:r w:rsidR="005711FB" w:rsidRPr="00DE6E0B">
        <w:rPr>
          <w:bCs/>
          <w:sz w:val="28"/>
          <w:szCs w:val="28"/>
        </w:rPr>
        <w:t>/20</w:t>
      </w:r>
      <w:r w:rsidR="00726B3D">
        <w:rPr>
          <w:bCs/>
          <w:sz w:val="28"/>
          <w:szCs w:val="28"/>
        </w:rPr>
        <w:t>22</w:t>
      </w:r>
      <w:r w:rsidR="005711FB" w:rsidRPr="00DE6E0B">
        <w:rPr>
          <w:bCs/>
          <w:sz w:val="28"/>
          <w:szCs w:val="28"/>
        </w:rPr>
        <w:t xml:space="preserve">/TT-BTP ngày </w:t>
      </w:r>
      <w:r w:rsidR="00726B3D">
        <w:rPr>
          <w:bCs/>
          <w:sz w:val="28"/>
          <w:szCs w:val="28"/>
        </w:rPr>
        <w:t>10/2/2022</w:t>
      </w:r>
      <w:r w:rsidR="005711FB" w:rsidRPr="00DE6E0B">
        <w:rPr>
          <w:bCs/>
          <w:sz w:val="28"/>
          <w:szCs w:val="28"/>
        </w:rPr>
        <w:t xml:space="preserve"> của Bộ Tư pháp </w:t>
      </w:r>
      <w:r w:rsidR="00726B3D" w:rsidRPr="00726B3D">
        <w:rPr>
          <w:iCs/>
          <w:color w:val="000000"/>
          <w:sz w:val="28"/>
          <w:szCs w:val="28"/>
          <w:lang w:val="vi-VN"/>
        </w:rPr>
        <w:t>hướng dẫn việc đ</w:t>
      </w:r>
      <w:r w:rsidR="00726B3D" w:rsidRPr="00726B3D">
        <w:rPr>
          <w:iCs/>
          <w:color w:val="000000"/>
          <w:sz w:val="28"/>
          <w:szCs w:val="28"/>
        </w:rPr>
        <w:t>á</w:t>
      </w:r>
      <w:r w:rsidR="00726B3D" w:rsidRPr="00726B3D">
        <w:rPr>
          <w:iCs/>
          <w:color w:val="000000"/>
          <w:sz w:val="28"/>
          <w:szCs w:val="28"/>
          <w:lang w:val="vi-VN"/>
        </w:rPr>
        <w:t>nh giá tác động của thủ tục hành chính trong lập đề nghị xây dựng văn bản quy phạm pháp luật và soạn thảo dự án, dự thảo văn bản quy phạm pháp luật</w:t>
      </w:r>
      <w:r w:rsidR="00726B3D">
        <w:rPr>
          <w:bCs/>
          <w:sz w:val="28"/>
          <w:szCs w:val="28"/>
        </w:rPr>
        <w:t>.</w:t>
      </w:r>
    </w:p>
    <w:p w:rsidR="00AD4AF3" w:rsidRPr="00DE6E0B" w:rsidRDefault="00E101F9" w:rsidP="00036217">
      <w:pPr>
        <w:pStyle w:val="NormalWeb"/>
        <w:spacing w:before="120" w:beforeAutospacing="0" w:after="120" w:afterAutospacing="0" w:line="340" w:lineRule="exact"/>
        <w:ind w:firstLine="720"/>
        <w:jc w:val="both"/>
        <w:rPr>
          <w:bCs/>
          <w:sz w:val="28"/>
          <w:szCs w:val="28"/>
        </w:rPr>
      </w:pPr>
      <w:r w:rsidRPr="00DE6E0B">
        <w:rPr>
          <w:bCs/>
          <w:sz w:val="28"/>
          <w:szCs w:val="28"/>
        </w:rPr>
        <w:t>Bộ Giao thông vận tải</w:t>
      </w:r>
      <w:r w:rsidR="00537406" w:rsidRPr="00DE6E0B">
        <w:rPr>
          <w:bCs/>
          <w:sz w:val="28"/>
          <w:szCs w:val="28"/>
        </w:rPr>
        <w:t xml:space="preserve"> báo cáo kết quả đánh giá tác động TTHC tại dự thảo </w:t>
      </w:r>
      <w:r w:rsidR="00DE6E0B" w:rsidRPr="00DE6E0B">
        <w:rPr>
          <w:bCs/>
          <w:sz w:val="28"/>
          <w:szCs w:val="28"/>
        </w:rPr>
        <w:t>Luật Đường bộ</w:t>
      </w:r>
      <w:r w:rsidR="00537406" w:rsidRPr="00DE6E0B">
        <w:rPr>
          <w:bCs/>
          <w:sz w:val="28"/>
          <w:szCs w:val="28"/>
        </w:rPr>
        <w:t xml:space="preserve"> như sau:</w:t>
      </w:r>
    </w:p>
    <w:p w:rsidR="001F73C7" w:rsidRPr="00DE6E0B" w:rsidRDefault="00AD4AF3" w:rsidP="00036217">
      <w:pPr>
        <w:pStyle w:val="NormalWeb"/>
        <w:spacing w:before="120" w:beforeAutospacing="0" w:after="120" w:afterAutospacing="0" w:line="340" w:lineRule="exact"/>
        <w:ind w:firstLine="720"/>
        <w:jc w:val="both"/>
        <w:rPr>
          <w:bCs/>
          <w:sz w:val="28"/>
          <w:szCs w:val="28"/>
        </w:rPr>
      </w:pPr>
      <w:r w:rsidRPr="00DE6E0B">
        <w:rPr>
          <w:b/>
          <w:bCs/>
          <w:sz w:val="28"/>
          <w:szCs w:val="28"/>
        </w:rPr>
        <w:t>I</w:t>
      </w:r>
      <w:r w:rsidR="001F73C7" w:rsidRPr="00DE6E0B">
        <w:rPr>
          <w:b/>
          <w:sz w:val="28"/>
          <w:szCs w:val="28"/>
          <w:lang w:val="vi-VN"/>
        </w:rPr>
        <w:t xml:space="preserve">. Thống kê các thủ tục hành chính trong </w:t>
      </w:r>
      <w:r w:rsidR="006B183D" w:rsidRPr="00DE6E0B">
        <w:rPr>
          <w:b/>
          <w:bCs/>
          <w:sz w:val="28"/>
          <w:szCs w:val="28"/>
        </w:rPr>
        <w:t>d</w:t>
      </w:r>
      <w:r w:rsidR="001F73C7" w:rsidRPr="00DE6E0B">
        <w:rPr>
          <w:b/>
          <w:bCs/>
          <w:sz w:val="28"/>
          <w:szCs w:val="28"/>
          <w:lang w:val="vi-VN"/>
        </w:rPr>
        <w:t>ự thảo</w:t>
      </w:r>
      <w:r w:rsidR="001F73C7" w:rsidRPr="00DE6E0B">
        <w:rPr>
          <w:b/>
          <w:sz w:val="28"/>
          <w:szCs w:val="28"/>
          <w:lang w:val="vi-VN"/>
        </w:rPr>
        <w:t xml:space="preserve"> </w:t>
      </w:r>
      <w:r w:rsidR="00DE6E0B" w:rsidRPr="00DE6E0B">
        <w:rPr>
          <w:b/>
          <w:sz w:val="28"/>
          <w:szCs w:val="28"/>
          <w:lang w:val="vi-VN"/>
        </w:rPr>
        <w:t>Luật Đường bộ</w:t>
      </w:r>
    </w:p>
    <w:p w:rsidR="0049107F" w:rsidRPr="00DE6E0B" w:rsidRDefault="00467C72" w:rsidP="00036217">
      <w:pPr>
        <w:spacing w:before="120" w:after="120" w:line="340" w:lineRule="exact"/>
        <w:ind w:firstLine="720"/>
        <w:jc w:val="both"/>
        <w:rPr>
          <w:bCs/>
          <w:sz w:val="28"/>
          <w:szCs w:val="28"/>
        </w:rPr>
      </w:pPr>
      <w:r w:rsidRPr="00DE6E0B">
        <w:rPr>
          <w:sz w:val="28"/>
          <w:szCs w:val="28"/>
        </w:rPr>
        <w:t>Dự thảo</w:t>
      </w:r>
      <w:r w:rsidR="002C3FAD" w:rsidRPr="00DE6E0B">
        <w:rPr>
          <w:sz w:val="28"/>
          <w:szCs w:val="28"/>
        </w:rPr>
        <w:t xml:space="preserve"> </w:t>
      </w:r>
      <w:r w:rsidR="00DE6E0B" w:rsidRPr="00DE6E0B">
        <w:rPr>
          <w:bCs/>
          <w:sz w:val="28"/>
          <w:szCs w:val="28"/>
        </w:rPr>
        <w:t>Luật Đường bộ</w:t>
      </w:r>
      <w:r w:rsidR="00E101F9" w:rsidRPr="00DE6E0B">
        <w:rPr>
          <w:bCs/>
          <w:sz w:val="28"/>
          <w:szCs w:val="28"/>
        </w:rPr>
        <w:t xml:space="preserve"> </w:t>
      </w:r>
      <w:r w:rsidR="002C3FAD" w:rsidRPr="00DE6E0B">
        <w:rPr>
          <w:sz w:val="28"/>
          <w:szCs w:val="28"/>
        </w:rPr>
        <w:t>quy định các chính sách</w:t>
      </w:r>
      <w:r w:rsidR="00E101F9" w:rsidRPr="00DE6E0B">
        <w:rPr>
          <w:sz w:val="28"/>
          <w:szCs w:val="28"/>
        </w:rPr>
        <w:t xml:space="preserve"> có </w:t>
      </w:r>
      <w:r w:rsidR="00E101F9" w:rsidRPr="00DE6E0B">
        <w:rPr>
          <w:bCs/>
          <w:sz w:val="28"/>
          <w:szCs w:val="28"/>
        </w:rPr>
        <w:t>liên quan đến</w:t>
      </w:r>
      <w:r w:rsidR="002C3FAD" w:rsidRPr="00DE6E0B">
        <w:rPr>
          <w:bCs/>
          <w:sz w:val="28"/>
          <w:szCs w:val="28"/>
        </w:rPr>
        <w:t xml:space="preserve"> </w:t>
      </w:r>
      <w:r w:rsidR="00E101F9" w:rsidRPr="00DE6E0B">
        <w:rPr>
          <w:bCs/>
          <w:sz w:val="28"/>
          <w:szCs w:val="28"/>
        </w:rPr>
        <w:t>kết cấu hạ tầng giao thông đường bộ; phương tiện</w:t>
      </w:r>
      <w:r w:rsidR="00C543B0" w:rsidRPr="00DE6E0B">
        <w:rPr>
          <w:bCs/>
          <w:sz w:val="28"/>
          <w:szCs w:val="28"/>
        </w:rPr>
        <w:t xml:space="preserve"> </w:t>
      </w:r>
      <w:r w:rsidR="00E101F9" w:rsidRPr="00DE6E0B">
        <w:rPr>
          <w:bCs/>
          <w:sz w:val="28"/>
          <w:szCs w:val="28"/>
        </w:rPr>
        <w:t xml:space="preserve">giao thông đường bộ; vận tải đường bộ và quản lý nhà nước về </w:t>
      </w:r>
      <w:r w:rsidR="00AA6991">
        <w:rPr>
          <w:bCs/>
          <w:sz w:val="28"/>
          <w:szCs w:val="28"/>
        </w:rPr>
        <w:t xml:space="preserve">hoạt động </w:t>
      </w:r>
      <w:bookmarkStart w:id="0" w:name="_GoBack"/>
      <w:bookmarkEnd w:id="0"/>
      <w:r w:rsidR="00E101F9" w:rsidRPr="00DE6E0B">
        <w:rPr>
          <w:bCs/>
          <w:sz w:val="28"/>
          <w:szCs w:val="28"/>
        </w:rPr>
        <w:t>đường bộ</w:t>
      </w:r>
      <w:r w:rsidR="00E101F9" w:rsidRPr="00DE6E0B">
        <w:rPr>
          <w:color w:val="000000"/>
          <w:szCs w:val="28"/>
        </w:rPr>
        <w:t>.</w:t>
      </w:r>
      <w:r w:rsidR="001F73C7" w:rsidRPr="00DE6E0B">
        <w:rPr>
          <w:color w:val="000000"/>
          <w:szCs w:val="28"/>
        </w:rPr>
        <w:t xml:space="preserve"> </w:t>
      </w:r>
      <w:r w:rsidR="00E101F9" w:rsidRPr="00DE6E0B">
        <w:rPr>
          <w:bCs/>
          <w:sz w:val="28"/>
          <w:szCs w:val="28"/>
        </w:rPr>
        <w:t>T</w:t>
      </w:r>
      <w:r w:rsidR="00844140" w:rsidRPr="00DE6E0B">
        <w:rPr>
          <w:bCs/>
          <w:sz w:val="28"/>
          <w:szCs w:val="28"/>
        </w:rPr>
        <w:t xml:space="preserve">rong toàn bộ dự thảo Luật </w:t>
      </w:r>
      <w:r w:rsidRPr="00DE6E0B">
        <w:rPr>
          <w:bCs/>
          <w:sz w:val="28"/>
          <w:szCs w:val="28"/>
        </w:rPr>
        <w:t xml:space="preserve"> quy định </w:t>
      </w:r>
      <w:r w:rsidR="001F73C7" w:rsidRPr="00B65DAA">
        <w:rPr>
          <w:bCs/>
          <w:color w:val="000000" w:themeColor="text1"/>
          <w:sz w:val="28"/>
          <w:szCs w:val="28"/>
        </w:rPr>
        <w:t xml:space="preserve">các nhóm </w:t>
      </w:r>
      <w:r w:rsidRPr="00B65DAA">
        <w:rPr>
          <w:bCs/>
          <w:color w:val="000000" w:themeColor="text1"/>
          <w:sz w:val="28"/>
          <w:szCs w:val="28"/>
        </w:rPr>
        <w:t>TTHC</w:t>
      </w:r>
      <w:r w:rsidR="006162E6" w:rsidRPr="00B65DAA">
        <w:rPr>
          <w:bCs/>
          <w:color w:val="000000" w:themeColor="text1"/>
          <w:sz w:val="28"/>
          <w:szCs w:val="28"/>
        </w:rPr>
        <w:t xml:space="preserve"> </w:t>
      </w:r>
      <w:r w:rsidR="006162E6" w:rsidRPr="00DE6E0B">
        <w:rPr>
          <w:bCs/>
          <w:sz w:val="28"/>
          <w:szCs w:val="28"/>
        </w:rPr>
        <w:t>như</w:t>
      </w:r>
      <w:r w:rsidRPr="00DE6E0B">
        <w:rPr>
          <w:bCs/>
          <w:sz w:val="28"/>
          <w:szCs w:val="28"/>
        </w:rPr>
        <w:t xml:space="preserve"> sau:</w:t>
      </w:r>
    </w:p>
    <w:p w:rsidR="00844140" w:rsidRPr="00DE6E0B" w:rsidRDefault="001F73C7" w:rsidP="00036217">
      <w:pPr>
        <w:tabs>
          <w:tab w:val="left" w:pos="6521"/>
        </w:tabs>
        <w:spacing w:before="120" w:after="120" w:line="340" w:lineRule="exact"/>
        <w:ind w:firstLine="567"/>
        <w:jc w:val="both"/>
        <w:rPr>
          <w:sz w:val="28"/>
          <w:szCs w:val="28"/>
        </w:rPr>
      </w:pPr>
      <w:r w:rsidRPr="00DE6E0B">
        <w:rPr>
          <w:sz w:val="28"/>
          <w:szCs w:val="28"/>
        </w:rPr>
        <w:t>-</w:t>
      </w:r>
      <w:r w:rsidR="00844140" w:rsidRPr="00DE6E0B">
        <w:rPr>
          <w:sz w:val="28"/>
          <w:szCs w:val="28"/>
        </w:rPr>
        <w:t xml:space="preserve"> Nhóm TTHC liên quan đến </w:t>
      </w:r>
      <w:r w:rsidR="006B183D" w:rsidRPr="00DE6E0B">
        <w:rPr>
          <w:sz w:val="28"/>
          <w:szCs w:val="28"/>
        </w:rPr>
        <w:t xml:space="preserve">quản lý </w:t>
      </w:r>
      <w:r w:rsidR="00844140" w:rsidRPr="00DE6E0B">
        <w:rPr>
          <w:sz w:val="28"/>
          <w:szCs w:val="28"/>
        </w:rPr>
        <w:t>kết cấu hạ tầng giao thông đường bộ</w:t>
      </w:r>
      <w:r w:rsidR="00AD4AF3" w:rsidRPr="00DE6E0B">
        <w:rPr>
          <w:sz w:val="28"/>
          <w:szCs w:val="28"/>
        </w:rPr>
        <w:t>;</w:t>
      </w:r>
      <w:r w:rsidRPr="00DE6E0B">
        <w:rPr>
          <w:sz w:val="28"/>
          <w:szCs w:val="28"/>
        </w:rPr>
        <w:t xml:space="preserve"> </w:t>
      </w:r>
    </w:p>
    <w:p w:rsidR="00844140" w:rsidRPr="00DE6E0B" w:rsidRDefault="001F73C7" w:rsidP="00036217">
      <w:pPr>
        <w:tabs>
          <w:tab w:val="left" w:pos="6521"/>
        </w:tabs>
        <w:spacing w:before="120" w:after="120" w:line="340" w:lineRule="exact"/>
        <w:ind w:firstLine="567"/>
        <w:jc w:val="both"/>
        <w:rPr>
          <w:sz w:val="28"/>
          <w:szCs w:val="28"/>
        </w:rPr>
      </w:pPr>
      <w:r w:rsidRPr="00DE6E0B">
        <w:rPr>
          <w:sz w:val="28"/>
          <w:szCs w:val="28"/>
        </w:rPr>
        <w:t>-</w:t>
      </w:r>
      <w:r w:rsidR="006B183D" w:rsidRPr="00DE6E0B">
        <w:rPr>
          <w:sz w:val="28"/>
          <w:szCs w:val="28"/>
        </w:rPr>
        <w:t xml:space="preserve"> </w:t>
      </w:r>
      <w:r w:rsidR="00844140" w:rsidRPr="00DE6E0B">
        <w:rPr>
          <w:sz w:val="28"/>
          <w:szCs w:val="28"/>
        </w:rPr>
        <w:t>Nhóm TTHC li</w:t>
      </w:r>
      <w:r w:rsidR="00C543B0" w:rsidRPr="00DE6E0B">
        <w:rPr>
          <w:sz w:val="28"/>
          <w:szCs w:val="28"/>
        </w:rPr>
        <w:t>ên quan đến quản lý phương tiện</w:t>
      </w:r>
      <w:r w:rsidR="00844140" w:rsidRPr="00DE6E0B">
        <w:rPr>
          <w:sz w:val="28"/>
          <w:szCs w:val="28"/>
        </w:rPr>
        <w:t xml:space="preserve"> giao thông đường bộ</w:t>
      </w:r>
      <w:r w:rsidR="00AD4AF3" w:rsidRPr="00DE6E0B">
        <w:rPr>
          <w:sz w:val="28"/>
          <w:szCs w:val="28"/>
        </w:rPr>
        <w:t>;</w:t>
      </w:r>
    </w:p>
    <w:p w:rsidR="00844140" w:rsidRPr="00DE6E0B" w:rsidRDefault="001F73C7" w:rsidP="00036217">
      <w:pPr>
        <w:tabs>
          <w:tab w:val="left" w:pos="6521"/>
        </w:tabs>
        <w:spacing w:before="120" w:after="120" w:line="340" w:lineRule="exact"/>
        <w:ind w:firstLine="567"/>
        <w:jc w:val="both"/>
        <w:rPr>
          <w:sz w:val="28"/>
          <w:szCs w:val="28"/>
        </w:rPr>
      </w:pPr>
      <w:r w:rsidRPr="00DE6E0B">
        <w:rPr>
          <w:sz w:val="28"/>
          <w:szCs w:val="28"/>
        </w:rPr>
        <w:t>-</w:t>
      </w:r>
      <w:r w:rsidR="00844140" w:rsidRPr="00DE6E0B">
        <w:rPr>
          <w:sz w:val="28"/>
          <w:szCs w:val="28"/>
        </w:rPr>
        <w:t xml:space="preserve"> Nhóm TTHC liên quan đến quản lý hoạt động vận tải và kinh doanh vận tải bằng xe ô tô, dịch vụ hỗ trợ vận tải</w:t>
      </w:r>
      <w:r w:rsidR="00AD4AF3" w:rsidRPr="00DE6E0B">
        <w:rPr>
          <w:sz w:val="28"/>
          <w:szCs w:val="28"/>
        </w:rPr>
        <w:t>.</w:t>
      </w:r>
    </w:p>
    <w:p w:rsidR="00AD4AF3" w:rsidRPr="00DE6E0B" w:rsidRDefault="00AD4AF3" w:rsidP="00036217">
      <w:pPr>
        <w:pStyle w:val="NormalWeb"/>
        <w:spacing w:before="120" w:beforeAutospacing="0" w:after="120" w:afterAutospacing="0" w:line="340" w:lineRule="exact"/>
        <w:ind w:firstLine="720"/>
        <w:jc w:val="both"/>
        <w:rPr>
          <w:b/>
          <w:bCs/>
          <w:sz w:val="28"/>
          <w:szCs w:val="28"/>
        </w:rPr>
      </w:pPr>
      <w:r w:rsidRPr="00DE6E0B">
        <w:rPr>
          <w:b/>
          <w:sz w:val="28"/>
          <w:szCs w:val="28"/>
        </w:rPr>
        <w:t>II</w:t>
      </w:r>
      <w:r w:rsidR="001F73C7" w:rsidRPr="00DE6E0B">
        <w:rPr>
          <w:b/>
          <w:sz w:val="28"/>
          <w:szCs w:val="28"/>
        </w:rPr>
        <w:t xml:space="preserve">. </w:t>
      </w:r>
      <w:r w:rsidRPr="00DE6E0B">
        <w:rPr>
          <w:b/>
          <w:bCs/>
          <w:sz w:val="28"/>
          <w:szCs w:val="28"/>
        </w:rPr>
        <w:t xml:space="preserve">Sự cần thiết, tính hợp lý, hợp pháp của các quy định về TTHC trong dự thảo </w:t>
      </w:r>
      <w:r w:rsidR="00DE6E0B" w:rsidRPr="00DE6E0B">
        <w:rPr>
          <w:b/>
          <w:bCs/>
          <w:sz w:val="28"/>
          <w:szCs w:val="28"/>
        </w:rPr>
        <w:t>Luật Đường bộ</w:t>
      </w:r>
    </w:p>
    <w:p w:rsidR="006B183D" w:rsidRPr="00DE6E0B" w:rsidRDefault="001F73C7" w:rsidP="00036217">
      <w:pPr>
        <w:tabs>
          <w:tab w:val="left" w:pos="6521"/>
        </w:tabs>
        <w:spacing w:before="120" w:after="120" w:line="340" w:lineRule="exact"/>
        <w:ind w:firstLine="720"/>
        <w:jc w:val="both"/>
        <w:rPr>
          <w:spacing w:val="-2"/>
          <w:sz w:val="28"/>
          <w:szCs w:val="28"/>
        </w:rPr>
      </w:pPr>
      <w:r w:rsidRPr="00DE6E0B">
        <w:rPr>
          <w:spacing w:val="-2"/>
          <w:sz w:val="28"/>
          <w:szCs w:val="28"/>
        </w:rPr>
        <w:t>Các TTHC</w:t>
      </w:r>
      <w:r w:rsidR="006B183D" w:rsidRPr="00DE6E0B">
        <w:rPr>
          <w:spacing w:val="-2"/>
          <w:sz w:val="28"/>
          <w:szCs w:val="28"/>
        </w:rPr>
        <w:t xml:space="preserve"> dự kiến đưa ra trong nội dung d</w:t>
      </w:r>
      <w:r w:rsidRPr="00DE6E0B">
        <w:rPr>
          <w:spacing w:val="-2"/>
          <w:sz w:val="28"/>
          <w:szCs w:val="28"/>
        </w:rPr>
        <w:t xml:space="preserve">ự thảo </w:t>
      </w:r>
      <w:r w:rsidR="00DE6E0B" w:rsidRPr="00DE6E0B">
        <w:rPr>
          <w:spacing w:val="-2"/>
          <w:sz w:val="28"/>
          <w:szCs w:val="28"/>
        </w:rPr>
        <w:t>Luật Đường bộ</w:t>
      </w:r>
      <w:r w:rsidRPr="00DE6E0B">
        <w:rPr>
          <w:bCs/>
          <w:spacing w:val="-2"/>
          <w:sz w:val="28"/>
          <w:szCs w:val="28"/>
        </w:rPr>
        <w:t xml:space="preserve"> </w:t>
      </w:r>
      <w:r w:rsidRPr="00DE6E0B">
        <w:rPr>
          <w:spacing w:val="-2"/>
          <w:sz w:val="28"/>
          <w:szCs w:val="28"/>
        </w:rPr>
        <w:t>về cơ bản chỉ cấu thành tên TTHC, chưa hình thành đầy đủ nội dung TTHC (chưa bao gồm trình tự thực hiện, cách thức thực hiện, thành phần hồ sơ, mẫu đơn, mẫu tờ khai, thời hạn giải quyết, phí, lệ phí...). Vì vậy, trong báo cáo này không đánh giá sâu vào số lượng hồ sơ hay thời hạn giải quyết TTHC mà chỉ đánh giá tác động chung của các thủ tục, bao gồm sự cần thiết, tính hợp lý, tính hợp pháp, các tác động mang tính định tính (chưa thể lượng hóa được các tác động do phụ thuộc vào nội dung cụ thể hóa của các văn bản dưới luật).</w:t>
      </w:r>
    </w:p>
    <w:p w:rsidR="00AD4AF3" w:rsidRPr="00DE6E0B" w:rsidRDefault="006B183D" w:rsidP="00036217">
      <w:pPr>
        <w:tabs>
          <w:tab w:val="left" w:pos="993"/>
          <w:tab w:val="left" w:pos="6521"/>
        </w:tabs>
        <w:spacing w:before="120" w:after="120" w:line="340" w:lineRule="exact"/>
        <w:ind w:firstLine="709"/>
        <w:jc w:val="both"/>
        <w:rPr>
          <w:b/>
          <w:sz w:val="28"/>
          <w:szCs w:val="28"/>
        </w:rPr>
      </w:pPr>
      <w:r w:rsidRPr="00DE6E0B">
        <w:rPr>
          <w:b/>
          <w:sz w:val="28"/>
          <w:szCs w:val="28"/>
        </w:rPr>
        <w:lastRenderedPageBreak/>
        <w:t xml:space="preserve">1. </w:t>
      </w:r>
      <w:r w:rsidR="00AD4AF3" w:rsidRPr="00DE6E0B">
        <w:rPr>
          <w:b/>
          <w:sz w:val="28"/>
          <w:szCs w:val="28"/>
        </w:rPr>
        <w:t xml:space="preserve">Nhóm TTHC liên quan đến </w:t>
      </w:r>
      <w:r w:rsidRPr="00DE6E0B">
        <w:rPr>
          <w:b/>
          <w:sz w:val="28"/>
          <w:szCs w:val="28"/>
        </w:rPr>
        <w:t xml:space="preserve">quản lý </w:t>
      </w:r>
      <w:r w:rsidR="00AD4AF3" w:rsidRPr="00DE6E0B">
        <w:rPr>
          <w:b/>
          <w:sz w:val="28"/>
          <w:szCs w:val="28"/>
        </w:rPr>
        <w:t xml:space="preserve">kết cấu hạ tầng giao thông đường bộ </w:t>
      </w:r>
    </w:p>
    <w:p w:rsidR="00AD4AF3" w:rsidRPr="00DE6E0B" w:rsidRDefault="00AD4AF3" w:rsidP="00036217">
      <w:pPr>
        <w:spacing w:before="120" w:after="120" w:line="340" w:lineRule="exact"/>
        <w:ind w:firstLine="720"/>
        <w:jc w:val="both"/>
        <w:rPr>
          <w:bCs/>
          <w:i/>
          <w:sz w:val="28"/>
          <w:szCs w:val="28"/>
        </w:rPr>
      </w:pPr>
      <w:r w:rsidRPr="00DE6E0B">
        <w:rPr>
          <w:bCs/>
          <w:i/>
          <w:sz w:val="28"/>
          <w:szCs w:val="28"/>
          <w:lang w:val="vi-VN"/>
        </w:rPr>
        <w:t>a</w:t>
      </w:r>
      <w:r w:rsidRPr="00DE6E0B">
        <w:rPr>
          <w:bCs/>
          <w:i/>
          <w:sz w:val="28"/>
          <w:szCs w:val="28"/>
        </w:rPr>
        <w:t>)</w:t>
      </w:r>
      <w:r w:rsidRPr="00DE6E0B">
        <w:rPr>
          <w:bCs/>
          <w:i/>
          <w:sz w:val="28"/>
          <w:szCs w:val="28"/>
          <w:lang w:val="vi-VN"/>
        </w:rPr>
        <w:t xml:space="preserve"> Sự cần thiết của TTHC</w:t>
      </w:r>
    </w:p>
    <w:p w:rsidR="00E95FF9" w:rsidRPr="00DE6E0B" w:rsidRDefault="00E95FF9" w:rsidP="00036217">
      <w:pPr>
        <w:spacing w:before="120" w:after="120" w:line="340" w:lineRule="exact"/>
        <w:ind w:firstLine="720"/>
        <w:jc w:val="both"/>
        <w:rPr>
          <w:sz w:val="28"/>
          <w:szCs w:val="28"/>
        </w:rPr>
      </w:pPr>
      <w:r w:rsidRPr="00DE6E0B">
        <w:rPr>
          <w:sz w:val="28"/>
          <w:szCs w:val="28"/>
        </w:rPr>
        <w:t>Tính</w:t>
      </w:r>
      <w:r w:rsidRPr="00DE6E0B">
        <w:rPr>
          <w:sz w:val="28"/>
          <w:szCs w:val="28"/>
          <w:lang w:val="vi-VN"/>
        </w:rPr>
        <w:t xml:space="preserve"> đến</w:t>
      </w:r>
      <w:r w:rsidRPr="00DE6E0B">
        <w:rPr>
          <w:sz w:val="28"/>
          <w:szCs w:val="28"/>
        </w:rPr>
        <w:t xml:space="preserve"> hết năm</w:t>
      </w:r>
      <w:r w:rsidRPr="00DE6E0B">
        <w:rPr>
          <w:sz w:val="28"/>
          <w:szCs w:val="28"/>
          <w:lang w:val="vi-VN"/>
        </w:rPr>
        <w:t xml:space="preserve"> </w:t>
      </w:r>
      <w:r w:rsidRPr="00DE6E0B">
        <w:rPr>
          <w:sz w:val="28"/>
          <w:szCs w:val="28"/>
        </w:rPr>
        <w:t>2018,</w:t>
      </w:r>
      <w:r w:rsidRPr="00DE6E0B">
        <w:rPr>
          <w:sz w:val="28"/>
          <w:szCs w:val="28"/>
          <w:lang w:val="vi-VN"/>
        </w:rPr>
        <w:t xml:space="preserve"> mạng lưới đường bộ Việt Nam </w:t>
      </w:r>
      <w:r w:rsidRPr="00DE6E0B">
        <w:rPr>
          <w:sz w:val="28"/>
          <w:szCs w:val="28"/>
          <w:lang w:val="nb-NO"/>
        </w:rPr>
        <w:t>đạt 668.597 km</w:t>
      </w:r>
      <w:r w:rsidRPr="00DE6E0B">
        <w:rPr>
          <w:b/>
          <w:sz w:val="28"/>
          <w:szCs w:val="28"/>
          <w:lang w:val="nb-NO"/>
        </w:rPr>
        <w:t>,</w:t>
      </w:r>
      <w:r w:rsidRPr="00DE6E0B">
        <w:rPr>
          <w:sz w:val="28"/>
          <w:szCs w:val="28"/>
          <w:lang w:val="nb-NO"/>
        </w:rPr>
        <w:t xml:space="preserve"> trong đó 154 tuyến quốc lộ dài 24.598 km chiếm 3,68%, đường cao tốc có 15 tuyến dài 909 km chiếm 0,12%; hệ thống đường địa phương dài 643.183 km chiếm 96,20%</w:t>
      </w:r>
      <w:r w:rsidRPr="00DE6E0B">
        <w:rPr>
          <w:sz w:val="28"/>
          <w:szCs w:val="28"/>
          <w:lang w:val="vi-VN"/>
        </w:rPr>
        <w:t>.</w:t>
      </w:r>
    </w:p>
    <w:p w:rsidR="00E95FF9" w:rsidRPr="00DE6E0B" w:rsidRDefault="00E95FF9" w:rsidP="00036217">
      <w:pPr>
        <w:spacing w:before="120" w:after="120" w:line="340" w:lineRule="exact"/>
        <w:ind w:firstLine="720"/>
        <w:jc w:val="both"/>
        <w:rPr>
          <w:strike/>
          <w:spacing w:val="-2"/>
          <w:sz w:val="28"/>
          <w:szCs w:val="28"/>
          <w:lang w:val="sv-SE"/>
        </w:rPr>
      </w:pPr>
      <w:r w:rsidRPr="00DE6E0B">
        <w:rPr>
          <w:spacing w:val="-2"/>
          <w:sz w:val="28"/>
          <w:szCs w:val="28"/>
          <w:lang w:val="sv-SE"/>
        </w:rPr>
        <w:t>Công tác thẩm tra, thẩm định an toàn giao thông đường bộ: theo quy định tại Luật GTĐB năm 2008, công trình đường bộ phải được thẩm định về an toàn giao thông từ khi lập dự án, thiết kế, thi công, trước và trong quá trình khai thác. Về cơ bản, đến nay đã tương đối đầy đủ các văn bản quy phạm pháp luật để triển khai thực hiện. Công tác đào tạo, cấp chứng chỉ Thẩm tra viên an toàn giao thông đường bộ đã và đang được triển khai theo Nghị định số 11/2010/NĐ - CP, Nghị định 64/2016/NĐ - CP, Nghị định số 125/2018/NĐ - CP, Thông tư số 29/2017/TT-BGTVT ngày 01/9/2017. Tính đến 31/12/2018 đã đào tạo được nhiều khóa học và cấp được 1.204 chứng chỉ thẩm tra viên an toàn giao thông đường bộ. N</w:t>
      </w:r>
      <w:r w:rsidRPr="00DE6E0B">
        <w:rPr>
          <w:spacing w:val="-2"/>
          <w:sz w:val="28"/>
          <w:szCs w:val="28"/>
          <w:lang w:val="vi-VN"/>
        </w:rPr>
        <w:t xml:space="preserve">hiều công trình đường bộ cải tạo, nâng cấp, xây dựng mới; nhiều đoạn, tuyến đường bộ đang khai thác được thẩm tra, thẩm định </w:t>
      </w:r>
      <w:r w:rsidRPr="00DE6E0B">
        <w:rPr>
          <w:spacing w:val="-2"/>
          <w:sz w:val="28"/>
          <w:szCs w:val="28"/>
        </w:rPr>
        <w:t>an toàn giao thông</w:t>
      </w:r>
      <w:r w:rsidRPr="00DE6E0B">
        <w:rPr>
          <w:spacing w:val="-2"/>
          <w:sz w:val="28"/>
          <w:szCs w:val="28"/>
          <w:lang w:val="vi-VN"/>
        </w:rPr>
        <w:t xml:space="preserve"> đã phát huy được</w:t>
      </w:r>
      <w:r w:rsidRPr="00DE6E0B">
        <w:rPr>
          <w:spacing w:val="-2"/>
          <w:sz w:val="28"/>
          <w:szCs w:val="28"/>
          <w:lang w:val="sv-SE"/>
        </w:rPr>
        <w:t xml:space="preserve"> sự</w:t>
      </w:r>
      <w:r w:rsidRPr="00DE6E0B">
        <w:rPr>
          <w:spacing w:val="-2"/>
          <w:sz w:val="28"/>
          <w:szCs w:val="28"/>
          <w:lang w:val="vi-VN"/>
        </w:rPr>
        <w:t xml:space="preserve"> ưu việt của công tác thẩm định </w:t>
      </w:r>
      <w:r w:rsidRPr="00DE6E0B">
        <w:rPr>
          <w:spacing w:val="-2"/>
          <w:sz w:val="28"/>
          <w:szCs w:val="28"/>
        </w:rPr>
        <w:t>an toàn giao thông</w:t>
      </w:r>
      <w:r w:rsidRPr="00DE6E0B">
        <w:rPr>
          <w:spacing w:val="-2"/>
          <w:sz w:val="28"/>
          <w:szCs w:val="28"/>
          <w:lang w:val="vi-VN"/>
        </w:rPr>
        <w:t>.</w:t>
      </w:r>
      <w:r w:rsidRPr="00DE6E0B">
        <w:rPr>
          <w:spacing w:val="-2"/>
          <w:sz w:val="28"/>
          <w:szCs w:val="28"/>
          <w:lang w:val="sv-SE"/>
        </w:rPr>
        <w:t xml:space="preserve"> Trong thời gian tới, Bộ GTVT triển khai đề án tăng cường công tác thẩm định, thẩm tra an toàn giao thông trên đường cao tốc và quốc lộ để đảm bảo yêu cầu đặt ra hiện nay. </w:t>
      </w:r>
    </w:p>
    <w:p w:rsidR="00E95FF9" w:rsidRPr="00DE6E0B" w:rsidRDefault="00E95FF9" w:rsidP="00036217">
      <w:pPr>
        <w:spacing w:before="120" w:after="120" w:line="340" w:lineRule="exact"/>
        <w:ind w:firstLine="720"/>
        <w:jc w:val="both"/>
        <w:rPr>
          <w:sz w:val="28"/>
          <w:szCs w:val="28"/>
          <w:lang w:val="vi-VN"/>
        </w:rPr>
      </w:pPr>
      <w:r w:rsidRPr="00DE6E0B">
        <w:rPr>
          <w:sz w:val="28"/>
          <w:szCs w:val="28"/>
          <w:lang w:val="vi-VN"/>
        </w:rPr>
        <w:t xml:space="preserve">Về thi công trên đường bộ đang khai thác: </w:t>
      </w:r>
      <w:r w:rsidRPr="00DE6E0B">
        <w:rPr>
          <w:sz w:val="28"/>
          <w:szCs w:val="28"/>
          <w:lang w:val="sv-SE"/>
        </w:rPr>
        <w:t>c</w:t>
      </w:r>
      <w:r w:rsidRPr="00DE6E0B">
        <w:rPr>
          <w:sz w:val="28"/>
          <w:szCs w:val="28"/>
          <w:lang w:val="vi-VN"/>
        </w:rPr>
        <w:t>ác quy định về việc thi công trên đường bộ đang khai thác tương đối đầy đủ và chi tiết. Tất cả các công trình thi công trên quốc lộ đang khai thác đều được cấp phép thi công với thủ tục hành chính đã được đơn giản hóa, tạo điều kiện thuận lợi cho các đơn vị thi công, nhưng vẫn đáp ứng nhiệm vụ quản lý nhà nước, bảo đảm giao thông qua khu vực thi công được an toàn, thông suốt.</w:t>
      </w:r>
    </w:p>
    <w:p w:rsidR="00E95FF9" w:rsidRPr="00DE6E0B" w:rsidRDefault="00E95FF9" w:rsidP="00036217">
      <w:pPr>
        <w:spacing w:before="120" w:after="120" w:line="340" w:lineRule="exact"/>
        <w:ind w:firstLine="561"/>
        <w:jc w:val="both"/>
        <w:rPr>
          <w:sz w:val="28"/>
          <w:szCs w:val="28"/>
        </w:rPr>
      </w:pPr>
      <w:r w:rsidRPr="00DE6E0B">
        <w:rPr>
          <w:sz w:val="28"/>
          <w:szCs w:val="28"/>
          <w:lang w:val="vi-VN"/>
        </w:rPr>
        <w:t xml:space="preserve"> Triển khai thực hiện Nghị quyết của Chính phủ số 32/2007/NQ</w:t>
      </w:r>
      <w:r w:rsidRPr="00DE6E0B">
        <w:rPr>
          <w:sz w:val="28"/>
          <w:szCs w:val="28"/>
        </w:rPr>
        <w:t xml:space="preserve"> </w:t>
      </w:r>
      <w:r w:rsidRPr="00DE6E0B">
        <w:rPr>
          <w:sz w:val="28"/>
          <w:szCs w:val="28"/>
          <w:lang w:val="vi-VN"/>
        </w:rPr>
        <w:t>-</w:t>
      </w:r>
      <w:r w:rsidRPr="00DE6E0B">
        <w:rPr>
          <w:sz w:val="28"/>
          <w:szCs w:val="28"/>
        </w:rPr>
        <w:t xml:space="preserve"> </w:t>
      </w:r>
      <w:r w:rsidRPr="00DE6E0B">
        <w:rPr>
          <w:sz w:val="28"/>
          <w:szCs w:val="28"/>
          <w:lang w:val="vi-VN"/>
        </w:rPr>
        <w:t>CP ngày 29/6/2007 và Nghị quyết số 88/NQ</w:t>
      </w:r>
      <w:r w:rsidRPr="00DE6E0B">
        <w:rPr>
          <w:sz w:val="28"/>
          <w:szCs w:val="28"/>
        </w:rPr>
        <w:t xml:space="preserve"> </w:t>
      </w:r>
      <w:r w:rsidRPr="00DE6E0B">
        <w:rPr>
          <w:sz w:val="28"/>
          <w:szCs w:val="28"/>
          <w:lang w:val="vi-VN"/>
        </w:rPr>
        <w:t>-</w:t>
      </w:r>
      <w:r w:rsidRPr="00DE6E0B">
        <w:rPr>
          <w:sz w:val="28"/>
          <w:szCs w:val="28"/>
        </w:rPr>
        <w:t xml:space="preserve"> </w:t>
      </w:r>
      <w:r w:rsidRPr="00DE6E0B">
        <w:rPr>
          <w:sz w:val="28"/>
          <w:szCs w:val="28"/>
          <w:lang w:val="vi-VN"/>
        </w:rPr>
        <w:t xml:space="preserve">CP ngày 24/8/2011, công tác quản lý hành lang an toàn đường bộ, đấu nối  đường nhánh vào quốc lộ đã được chú trọng, góp phần nâng cao hiệu quả khai thác sử dụng kết cấu hạ tầng. </w:t>
      </w:r>
      <w:r w:rsidRPr="00DE6E0B">
        <w:rPr>
          <w:sz w:val="28"/>
          <w:szCs w:val="28"/>
        </w:rPr>
        <w:t>Đến 12/2018, đã có 60</w:t>
      </w:r>
      <w:r w:rsidRPr="00DE6E0B">
        <w:rPr>
          <w:sz w:val="28"/>
          <w:szCs w:val="28"/>
          <w:lang w:val="vi-VN"/>
        </w:rPr>
        <w:t xml:space="preserve">/63 địa phương có quy hoạch đấu nối đường nhánh vào quốc lộ đồng thời thực hiện xóa bỏ nhiều điểm đấu nối trái phép và cải tạo được nhiều điểm đấu nối mất </w:t>
      </w:r>
      <w:r w:rsidRPr="00DE6E0B">
        <w:rPr>
          <w:sz w:val="28"/>
          <w:szCs w:val="28"/>
        </w:rPr>
        <w:t>an toàn giao thông.</w:t>
      </w:r>
    </w:p>
    <w:p w:rsidR="00E95FF9" w:rsidRPr="00DE6E0B" w:rsidRDefault="00AD4AF3" w:rsidP="00036217">
      <w:pPr>
        <w:spacing w:before="120" w:after="120" w:line="340" w:lineRule="exact"/>
        <w:ind w:firstLine="720"/>
        <w:jc w:val="both"/>
        <w:rPr>
          <w:sz w:val="28"/>
          <w:szCs w:val="28"/>
          <w:lang w:val="pt-BR"/>
        </w:rPr>
      </w:pPr>
      <w:r w:rsidRPr="00DE6E0B">
        <w:rPr>
          <w:sz w:val="28"/>
          <w:szCs w:val="28"/>
        </w:rPr>
        <w:t xml:space="preserve">Vì vậy, </w:t>
      </w:r>
      <w:r w:rsidRPr="00DE6E0B">
        <w:rPr>
          <w:sz w:val="28"/>
          <w:szCs w:val="28"/>
          <w:lang w:val="vi-VN"/>
        </w:rPr>
        <w:t>cơ quan quản lý nhà nước phải</w:t>
      </w:r>
      <w:r w:rsidRPr="00DE6E0B">
        <w:rPr>
          <w:sz w:val="28"/>
          <w:szCs w:val="28"/>
        </w:rPr>
        <w:t xml:space="preserve"> nâng cao hiệu quả, hiệu lực đối với việc xây dựng công trình trong phạm vi bảo vệ công trình, hành lang an toàn giao thông đường </w:t>
      </w:r>
      <w:r w:rsidR="00E95FF9" w:rsidRPr="00DE6E0B">
        <w:rPr>
          <w:sz w:val="28"/>
          <w:szCs w:val="28"/>
        </w:rPr>
        <w:t>bộ</w:t>
      </w:r>
      <w:r w:rsidRPr="00DE6E0B">
        <w:rPr>
          <w:sz w:val="28"/>
          <w:szCs w:val="28"/>
        </w:rPr>
        <w:t>.</w:t>
      </w:r>
      <w:r w:rsidR="00E95FF9" w:rsidRPr="00DE6E0B">
        <w:rPr>
          <w:sz w:val="28"/>
          <w:szCs w:val="28"/>
        </w:rPr>
        <w:t xml:space="preserve"> </w:t>
      </w:r>
      <w:r w:rsidRPr="00DE6E0B">
        <w:rPr>
          <w:sz w:val="28"/>
          <w:szCs w:val="28"/>
        </w:rPr>
        <w:t>Bên cạnh đó còn phải xem xét ưu tiên các công trình</w:t>
      </w:r>
      <w:r w:rsidRPr="00DE6E0B">
        <w:rPr>
          <w:sz w:val="28"/>
          <w:szCs w:val="28"/>
          <w:lang w:val="pt-BR"/>
        </w:rPr>
        <w:t xml:space="preserve"> thiết yếu phục vụ mục đích đảm bảo an ninh – quốc phòng, phát triển kinh tế - xã hội. </w:t>
      </w:r>
    </w:p>
    <w:p w:rsidR="00AD4AF3" w:rsidRPr="00DE6E0B" w:rsidRDefault="00AD4AF3" w:rsidP="00036217">
      <w:pPr>
        <w:spacing w:before="120" w:after="120" w:line="340" w:lineRule="exact"/>
        <w:ind w:firstLine="720"/>
        <w:jc w:val="both"/>
        <w:rPr>
          <w:sz w:val="28"/>
          <w:szCs w:val="28"/>
          <w:lang w:val="vi-VN"/>
        </w:rPr>
      </w:pPr>
      <w:r w:rsidRPr="00DE6E0B">
        <w:rPr>
          <w:sz w:val="28"/>
          <w:szCs w:val="28"/>
          <w:lang w:val="vi-VN"/>
        </w:rPr>
        <w:t>Từ đó, phát sinh nghĩa vụ cho các bên liên quan về công tác quản lý hoạt động xây dựng trong phạm vi đất dành cho đường</w:t>
      </w:r>
      <w:r w:rsidR="00D41BD3">
        <w:rPr>
          <w:sz w:val="28"/>
          <w:szCs w:val="28"/>
        </w:rPr>
        <w:t xml:space="preserve"> bộ</w:t>
      </w:r>
      <w:r w:rsidRPr="00DE6E0B">
        <w:rPr>
          <w:sz w:val="28"/>
          <w:szCs w:val="28"/>
          <w:lang w:val="vi-VN"/>
        </w:rPr>
        <w:t>.</w:t>
      </w:r>
      <w:r w:rsidRPr="00DE6E0B">
        <w:rPr>
          <w:sz w:val="28"/>
          <w:szCs w:val="28"/>
          <w:lang w:val="pt-BR"/>
        </w:rPr>
        <w:t xml:space="preserve"> </w:t>
      </w:r>
      <w:r w:rsidRPr="00DE6E0B">
        <w:rPr>
          <w:sz w:val="28"/>
          <w:szCs w:val="28"/>
          <w:lang w:val="vi-VN"/>
        </w:rPr>
        <w:t xml:space="preserve">Các thủ tục này là các </w:t>
      </w:r>
      <w:r w:rsidRPr="00DE6E0B">
        <w:rPr>
          <w:sz w:val="28"/>
          <w:szCs w:val="28"/>
          <w:lang w:val="vi-VN"/>
        </w:rPr>
        <w:lastRenderedPageBreak/>
        <w:t>cam kết ràng buộc các tổ chức, cá nhân có ý thức chủ động trong hoạt động xây dựng với cơ quan quản lý nhà nước.</w:t>
      </w:r>
    </w:p>
    <w:p w:rsidR="00AD4AF3" w:rsidRPr="00DE6E0B" w:rsidRDefault="00AD4AF3" w:rsidP="00036217">
      <w:pPr>
        <w:spacing w:before="120" w:after="120" w:line="340" w:lineRule="exact"/>
        <w:ind w:firstLine="720"/>
        <w:jc w:val="both"/>
        <w:rPr>
          <w:i/>
          <w:sz w:val="28"/>
          <w:szCs w:val="28"/>
          <w:lang w:val="vi-VN"/>
        </w:rPr>
      </w:pPr>
      <w:r w:rsidRPr="00DE6E0B">
        <w:rPr>
          <w:i/>
          <w:sz w:val="28"/>
          <w:szCs w:val="28"/>
          <w:lang w:val="vi-VN"/>
        </w:rPr>
        <w:t>b) Tính hợp lý của TTHC</w:t>
      </w:r>
    </w:p>
    <w:p w:rsidR="00AD4AF3" w:rsidRPr="00DE6E0B" w:rsidRDefault="00AD4AF3" w:rsidP="00036217">
      <w:pPr>
        <w:spacing w:before="120" w:after="120" w:line="340" w:lineRule="exact"/>
        <w:ind w:firstLine="720"/>
        <w:jc w:val="both"/>
        <w:rPr>
          <w:sz w:val="28"/>
          <w:szCs w:val="28"/>
          <w:lang w:val="vi-VN"/>
        </w:rPr>
      </w:pPr>
      <w:r w:rsidRPr="00DE6E0B">
        <w:rPr>
          <w:sz w:val="28"/>
          <w:szCs w:val="28"/>
          <w:lang w:val="vi-VN"/>
        </w:rPr>
        <w:t>Các biện pháp, TTHC đưa ra cơ bản bảo đảm tính cân xứng, phù hợp với yêu cầu quản lý nhà nước trong giai đoạn hiện nay.</w:t>
      </w:r>
    </w:p>
    <w:p w:rsidR="00AD4AF3" w:rsidRPr="00DE6E0B" w:rsidRDefault="00AD4AF3" w:rsidP="00036217">
      <w:pPr>
        <w:spacing w:before="120" w:after="120" w:line="340" w:lineRule="exact"/>
        <w:ind w:firstLine="720"/>
        <w:jc w:val="both"/>
        <w:rPr>
          <w:i/>
          <w:sz w:val="28"/>
          <w:szCs w:val="28"/>
          <w:lang w:val="vi-VN"/>
        </w:rPr>
      </w:pPr>
      <w:r w:rsidRPr="00DE6E0B">
        <w:rPr>
          <w:i/>
          <w:sz w:val="28"/>
          <w:szCs w:val="28"/>
          <w:lang w:val="vi-VN"/>
        </w:rPr>
        <w:t>c) Tính hợp pháp của TTHC</w:t>
      </w:r>
    </w:p>
    <w:p w:rsidR="00AD4AF3" w:rsidRPr="00DE6E0B" w:rsidRDefault="00AD4AF3" w:rsidP="00036217">
      <w:pPr>
        <w:spacing w:before="120" w:after="120" w:line="340" w:lineRule="exact"/>
        <w:ind w:firstLine="720"/>
        <w:jc w:val="both"/>
        <w:rPr>
          <w:sz w:val="28"/>
          <w:szCs w:val="28"/>
          <w:lang w:val="vi-VN"/>
        </w:rPr>
      </w:pPr>
      <w:r w:rsidRPr="00DE6E0B">
        <w:rPr>
          <w:sz w:val="28"/>
          <w:szCs w:val="28"/>
          <w:lang w:val="vi-VN"/>
        </w:rPr>
        <w:t>Các TTHC không chồng chéo, trùng lặp với các TTHC khác; đồng thời phù hợp thẩm quyền quy định của Quốc hội, phù hợp với việc giao cho Chính phủ hay Bộ trưởng liên quan.</w:t>
      </w:r>
    </w:p>
    <w:p w:rsidR="00AD4AF3" w:rsidRPr="00DE6E0B" w:rsidRDefault="00AD4AF3" w:rsidP="00036217">
      <w:pPr>
        <w:spacing w:before="120" w:after="120" w:line="340" w:lineRule="exact"/>
        <w:ind w:firstLine="720"/>
        <w:jc w:val="both"/>
        <w:rPr>
          <w:i/>
          <w:sz w:val="28"/>
          <w:szCs w:val="28"/>
          <w:lang w:val="vi-VN"/>
        </w:rPr>
      </w:pPr>
      <w:r w:rsidRPr="00DE6E0B">
        <w:rPr>
          <w:i/>
          <w:sz w:val="28"/>
          <w:szCs w:val="28"/>
          <w:lang w:val="vi-VN"/>
        </w:rPr>
        <w:t>d)  Đánh giá tác động về chi phí tuân thủ của các thủ tục</w:t>
      </w:r>
    </w:p>
    <w:p w:rsidR="00AD4AF3" w:rsidRPr="00DE6E0B" w:rsidRDefault="00AD4AF3" w:rsidP="00036217">
      <w:pPr>
        <w:spacing w:before="120" w:after="120" w:line="340" w:lineRule="exact"/>
        <w:ind w:firstLine="720"/>
        <w:jc w:val="both"/>
        <w:rPr>
          <w:sz w:val="28"/>
          <w:szCs w:val="28"/>
          <w:lang w:val="vi-VN"/>
        </w:rPr>
      </w:pPr>
      <w:r w:rsidRPr="00DE6E0B">
        <w:rPr>
          <w:sz w:val="28"/>
          <w:szCs w:val="28"/>
          <w:lang w:val="vi-VN"/>
        </w:rPr>
        <w:t xml:space="preserve">Văn bản dưới luật sẽ quy định </w:t>
      </w:r>
      <w:r w:rsidRPr="00DE6E0B">
        <w:rPr>
          <w:bCs/>
          <w:sz w:val="28"/>
          <w:szCs w:val="28"/>
          <w:lang w:val="vi-VN"/>
        </w:rPr>
        <w:t>trình tự thực hiện, cách thức thực hiện, thành phần hồ sơ, mẫu đơn, mẫu tờ khai, thời hạn giải quyết, phí, lệ phí... trong nội dung các TTHC</w:t>
      </w:r>
      <w:r w:rsidRPr="00DE6E0B">
        <w:rPr>
          <w:sz w:val="28"/>
          <w:szCs w:val="28"/>
          <w:lang w:val="vi-VN"/>
        </w:rPr>
        <w:t xml:space="preserve"> nêu trên.</w:t>
      </w:r>
    </w:p>
    <w:p w:rsidR="00AD4AF3" w:rsidRPr="00DE6E0B" w:rsidRDefault="00E95FF9" w:rsidP="00036217">
      <w:pPr>
        <w:tabs>
          <w:tab w:val="left" w:pos="6521"/>
        </w:tabs>
        <w:spacing w:before="120" w:after="120" w:line="340" w:lineRule="exact"/>
        <w:ind w:firstLine="720"/>
        <w:jc w:val="both"/>
        <w:rPr>
          <w:b/>
          <w:spacing w:val="-4"/>
          <w:sz w:val="28"/>
          <w:szCs w:val="28"/>
        </w:rPr>
      </w:pPr>
      <w:r w:rsidRPr="00DE6E0B">
        <w:rPr>
          <w:b/>
          <w:spacing w:val="-4"/>
          <w:sz w:val="28"/>
          <w:szCs w:val="28"/>
        </w:rPr>
        <w:t xml:space="preserve">2. </w:t>
      </w:r>
      <w:r w:rsidR="00AD4AF3" w:rsidRPr="00DE6E0B">
        <w:rPr>
          <w:b/>
          <w:spacing w:val="-4"/>
          <w:sz w:val="28"/>
          <w:szCs w:val="28"/>
        </w:rPr>
        <w:t>Nhóm TTHC liên quan đến quản lý phương tiện giao thông đường bộ</w:t>
      </w:r>
    </w:p>
    <w:p w:rsidR="00E95FF9" w:rsidRPr="00DE6E0B" w:rsidRDefault="00E95FF9" w:rsidP="00036217">
      <w:pPr>
        <w:spacing w:before="120" w:after="120" w:line="340" w:lineRule="exact"/>
        <w:ind w:firstLine="720"/>
        <w:jc w:val="both"/>
        <w:rPr>
          <w:bCs/>
          <w:i/>
          <w:sz w:val="28"/>
          <w:szCs w:val="28"/>
        </w:rPr>
      </w:pPr>
      <w:r w:rsidRPr="00DE6E0B">
        <w:rPr>
          <w:bCs/>
          <w:i/>
          <w:sz w:val="28"/>
          <w:szCs w:val="28"/>
          <w:lang w:val="vi-VN"/>
        </w:rPr>
        <w:t>a</w:t>
      </w:r>
      <w:r w:rsidRPr="00DE6E0B">
        <w:rPr>
          <w:bCs/>
          <w:i/>
          <w:sz w:val="28"/>
          <w:szCs w:val="28"/>
        </w:rPr>
        <w:t>)</w:t>
      </w:r>
      <w:r w:rsidRPr="00DE6E0B">
        <w:rPr>
          <w:bCs/>
          <w:i/>
          <w:sz w:val="28"/>
          <w:szCs w:val="28"/>
          <w:lang w:val="vi-VN"/>
        </w:rPr>
        <w:t xml:space="preserve"> Sự cần thiết của TTHC</w:t>
      </w:r>
    </w:p>
    <w:p w:rsidR="00E95FF9" w:rsidRPr="00DE6E0B" w:rsidRDefault="00E95FF9" w:rsidP="00036217">
      <w:pPr>
        <w:spacing w:before="120" w:after="120" w:line="340" w:lineRule="exact"/>
        <w:ind w:firstLine="720"/>
        <w:jc w:val="both"/>
        <w:rPr>
          <w:sz w:val="28"/>
          <w:szCs w:val="28"/>
          <w:lang w:val="sv-SE"/>
        </w:rPr>
      </w:pPr>
      <w:r w:rsidRPr="00DE6E0B">
        <w:rPr>
          <w:sz w:val="28"/>
          <w:szCs w:val="28"/>
        </w:rPr>
        <w:t>Về nhóm TTHC liên quan đến quản lý phương tiện giao thông đường bộ</w:t>
      </w:r>
      <w:r w:rsidRPr="00DE6E0B">
        <w:rPr>
          <w:sz w:val="28"/>
          <w:szCs w:val="28"/>
          <w:lang w:val="sv-SE"/>
        </w:rPr>
        <w:t xml:space="preserve">, trong dự thảo </w:t>
      </w:r>
      <w:r w:rsidR="00DE6E0B" w:rsidRPr="00DE6E0B">
        <w:rPr>
          <w:sz w:val="28"/>
          <w:szCs w:val="28"/>
          <w:lang w:val="sv-SE"/>
        </w:rPr>
        <w:t>Luật Đường bộ</w:t>
      </w:r>
      <w:r w:rsidRPr="00DE6E0B">
        <w:rPr>
          <w:sz w:val="28"/>
          <w:szCs w:val="28"/>
          <w:lang w:val="sv-SE"/>
        </w:rPr>
        <w:t xml:space="preserve"> quy định các TTHC như sau:</w:t>
      </w:r>
    </w:p>
    <w:p w:rsidR="00E95FF9" w:rsidRPr="00DE6E0B" w:rsidRDefault="00E95FF9" w:rsidP="00036217">
      <w:pPr>
        <w:spacing w:before="120" w:after="120" w:line="340" w:lineRule="exact"/>
        <w:ind w:firstLine="720"/>
        <w:jc w:val="both"/>
        <w:rPr>
          <w:sz w:val="28"/>
          <w:szCs w:val="28"/>
          <w:lang w:val="vi-VN"/>
        </w:rPr>
      </w:pPr>
      <w:r w:rsidRPr="00DE6E0B">
        <w:rPr>
          <w:sz w:val="28"/>
          <w:szCs w:val="28"/>
          <w:lang w:val="sv-SE"/>
        </w:rPr>
        <w:t>- TTHC liên quan đến công tác kiểm định xe cơ giới, xe máy chuyên dùng đang khai thác;</w:t>
      </w:r>
    </w:p>
    <w:p w:rsidR="00E95FF9" w:rsidRPr="00DE6E0B" w:rsidRDefault="00E95FF9" w:rsidP="00036217">
      <w:pPr>
        <w:spacing w:before="120" w:after="120" w:line="340" w:lineRule="exact"/>
        <w:ind w:firstLine="720"/>
        <w:jc w:val="both"/>
        <w:rPr>
          <w:sz w:val="28"/>
          <w:szCs w:val="28"/>
          <w:lang w:val="vi-VN"/>
        </w:rPr>
      </w:pPr>
      <w:r w:rsidRPr="00DE6E0B">
        <w:rPr>
          <w:sz w:val="28"/>
          <w:szCs w:val="28"/>
          <w:lang w:val="vi-VN"/>
        </w:rPr>
        <w:t xml:space="preserve">- TTHC </w:t>
      </w:r>
      <w:r w:rsidRPr="00DE6E0B">
        <w:rPr>
          <w:sz w:val="28"/>
          <w:szCs w:val="28"/>
          <w:lang w:val="sv-SE"/>
        </w:rPr>
        <w:t>liên quan đến</w:t>
      </w:r>
      <w:r w:rsidRPr="00DE6E0B">
        <w:rPr>
          <w:sz w:val="28"/>
          <w:szCs w:val="28"/>
        </w:rPr>
        <w:t xml:space="preserve"> </w:t>
      </w:r>
      <w:r w:rsidRPr="00DE6E0B">
        <w:rPr>
          <w:sz w:val="28"/>
          <w:szCs w:val="28"/>
          <w:lang w:val="vi-VN"/>
        </w:rPr>
        <w:t>công tác kiểm định kỹ thuật an toàn xe của lực lượng quân sự;</w:t>
      </w:r>
    </w:p>
    <w:p w:rsidR="00E95FF9" w:rsidRPr="00DE6E0B" w:rsidRDefault="00E95FF9" w:rsidP="00036217">
      <w:pPr>
        <w:spacing w:before="120" w:after="120" w:line="340" w:lineRule="exact"/>
        <w:ind w:firstLine="720"/>
        <w:jc w:val="both"/>
        <w:rPr>
          <w:sz w:val="28"/>
          <w:szCs w:val="28"/>
          <w:lang w:val="vi-VN"/>
        </w:rPr>
      </w:pPr>
      <w:r w:rsidRPr="00DE6E0B">
        <w:rPr>
          <w:sz w:val="28"/>
          <w:szCs w:val="28"/>
          <w:lang w:val="vi-VN"/>
        </w:rPr>
        <w:t xml:space="preserve">- </w:t>
      </w:r>
      <w:r w:rsidRPr="00DE6E0B">
        <w:rPr>
          <w:sz w:val="28"/>
          <w:szCs w:val="28"/>
        </w:rPr>
        <w:t xml:space="preserve">TTHC </w:t>
      </w:r>
      <w:r w:rsidRPr="00DE6E0B">
        <w:rPr>
          <w:sz w:val="28"/>
          <w:szCs w:val="28"/>
          <w:lang w:val="sv-SE"/>
        </w:rPr>
        <w:t xml:space="preserve">liên quan đến </w:t>
      </w:r>
      <w:r w:rsidRPr="00DE6E0B">
        <w:rPr>
          <w:sz w:val="28"/>
          <w:szCs w:val="28"/>
          <w:lang w:val="vi-VN"/>
        </w:rPr>
        <w:t>công tác kiểm định kỹ thuật an toàn xe của lực lượng Công an nhân dân</w:t>
      </w:r>
    </w:p>
    <w:p w:rsidR="00E95FF9" w:rsidRPr="00DE6E0B" w:rsidRDefault="00E95FF9" w:rsidP="00036217">
      <w:pPr>
        <w:spacing w:before="120" w:after="120" w:line="340" w:lineRule="exact"/>
        <w:ind w:firstLine="720"/>
        <w:jc w:val="both"/>
        <w:rPr>
          <w:sz w:val="28"/>
          <w:szCs w:val="28"/>
        </w:rPr>
      </w:pPr>
      <w:r w:rsidRPr="00DE6E0B">
        <w:rPr>
          <w:sz w:val="28"/>
          <w:szCs w:val="28"/>
          <w:lang w:val="sv-SE"/>
        </w:rPr>
        <w:t xml:space="preserve">Việc quản lý xe cơ giới, xe máy chuyên dùng đã góp phần kiểm soát chặt chẽ </w:t>
      </w:r>
      <w:r w:rsidRPr="00DE6E0B">
        <w:rPr>
          <w:spacing w:val="-2"/>
          <w:sz w:val="28"/>
          <w:szCs w:val="28"/>
          <w:lang w:val="sv-SE"/>
        </w:rPr>
        <w:t>chất lượng, an toàn kỹ thuật và bảo vệ môi trường, loại bỏ phương tiện hết niên hạn sử dụng, nâng cao trách nhiệm của nhà sản xuất và cơ quan quản lý đối với chất lượng, bảo vệ người tiêu dùng, giảm thiểu tai nạn giao thông. Đồng thời, t</w:t>
      </w:r>
      <w:r w:rsidRPr="00DE6E0B">
        <w:rPr>
          <w:spacing w:val="-2"/>
          <w:sz w:val="28"/>
          <w:szCs w:val="28"/>
          <w:lang w:val="vi-VN"/>
        </w:rPr>
        <w:t xml:space="preserve">hông qua </w:t>
      </w:r>
      <w:r w:rsidRPr="00DE6E0B">
        <w:rPr>
          <w:spacing w:val="-2"/>
          <w:sz w:val="28"/>
          <w:szCs w:val="28"/>
          <w:lang w:val="sv-SE"/>
        </w:rPr>
        <w:t>q</w:t>
      </w:r>
      <w:r w:rsidRPr="00DE6E0B">
        <w:rPr>
          <w:spacing w:val="-2"/>
          <w:sz w:val="28"/>
          <w:szCs w:val="28"/>
          <w:lang w:val="vi-VN"/>
        </w:rPr>
        <w:t xml:space="preserve">uy định về việc </w:t>
      </w:r>
      <w:r w:rsidRPr="00DE6E0B">
        <w:rPr>
          <w:spacing w:val="-2"/>
          <w:sz w:val="28"/>
          <w:szCs w:val="28"/>
          <w:lang w:val="sv-SE"/>
        </w:rPr>
        <w:t>p</w:t>
      </w:r>
      <w:r w:rsidRPr="00DE6E0B">
        <w:rPr>
          <w:spacing w:val="-2"/>
          <w:sz w:val="28"/>
          <w:szCs w:val="28"/>
          <w:lang w:val="vi-VN"/>
        </w:rPr>
        <w:t>hương tiện giao thông cơ giới đường bộ phải thực hiện kiểm tra định kỳ về an toàn kỹ thuật và bảo vệ môi trường đã loại bỏ được các phương tiện không đạt tiêu chuẩn an toàn kỹ thuật và bảo vệ môi trường tham gia giao thông, giảm thiểu tai nạn giao thông do nguyên nhân kỹ thuật</w:t>
      </w:r>
      <w:r w:rsidRPr="00DE6E0B">
        <w:rPr>
          <w:spacing w:val="-2"/>
          <w:sz w:val="28"/>
          <w:szCs w:val="28"/>
        </w:rPr>
        <w:t>.</w:t>
      </w:r>
    </w:p>
    <w:p w:rsidR="00E95FF9" w:rsidRPr="00DE6E0B" w:rsidRDefault="00E95FF9" w:rsidP="00036217">
      <w:pPr>
        <w:spacing w:before="120" w:after="120" w:line="340" w:lineRule="exact"/>
        <w:ind w:firstLine="720"/>
        <w:jc w:val="both"/>
        <w:rPr>
          <w:i/>
          <w:sz w:val="28"/>
          <w:szCs w:val="28"/>
          <w:lang w:val="vi-VN"/>
        </w:rPr>
      </w:pPr>
      <w:r w:rsidRPr="00DE6E0B">
        <w:rPr>
          <w:i/>
          <w:sz w:val="28"/>
          <w:szCs w:val="28"/>
          <w:lang w:val="vi-VN"/>
        </w:rPr>
        <w:t>b) Tính hợp lý của TTHC</w:t>
      </w:r>
    </w:p>
    <w:p w:rsidR="00E95FF9" w:rsidRPr="00DE6E0B" w:rsidRDefault="00E95FF9" w:rsidP="00036217">
      <w:pPr>
        <w:spacing w:before="120" w:after="120" w:line="340" w:lineRule="exact"/>
        <w:ind w:firstLine="720"/>
        <w:jc w:val="both"/>
        <w:rPr>
          <w:sz w:val="28"/>
          <w:szCs w:val="28"/>
          <w:lang w:val="vi-VN"/>
        </w:rPr>
      </w:pPr>
      <w:r w:rsidRPr="00DE6E0B">
        <w:rPr>
          <w:sz w:val="28"/>
          <w:szCs w:val="28"/>
          <w:lang w:val="vi-VN"/>
        </w:rPr>
        <w:t>Các biện pháp, TTHC đưa ra cơ bản bảo đảm tính cân xứng, phù hợp với yêu cầu quản lý nhà nước trong giai đoạn hiện nay.</w:t>
      </w:r>
    </w:p>
    <w:p w:rsidR="00E95FF9" w:rsidRPr="00DE6E0B" w:rsidRDefault="00E95FF9" w:rsidP="00036217">
      <w:pPr>
        <w:spacing w:before="120" w:after="120" w:line="340" w:lineRule="exact"/>
        <w:ind w:firstLine="720"/>
        <w:jc w:val="both"/>
        <w:rPr>
          <w:i/>
          <w:sz w:val="28"/>
          <w:szCs w:val="28"/>
          <w:lang w:val="vi-VN"/>
        </w:rPr>
      </w:pPr>
      <w:r w:rsidRPr="00DE6E0B">
        <w:rPr>
          <w:i/>
          <w:sz w:val="28"/>
          <w:szCs w:val="28"/>
          <w:lang w:val="vi-VN"/>
        </w:rPr>
        <w:t>c) Tính hợp pháp của TTHC</w:t>
      </w:r>
    </w:p>
    <w:p w:rsidR="00E95FF9" w:rsidRPr="00DE6E0B" w:rsidRDefault="00E95FF9" w:rsidP="00036217">
      <w:pPr>
        <w:spacing w:before="120" w:after="120" w:line="340" w:lineRule="exact"/>
        <w:ind w:firstLine="720"/>
        <w:jc w:val="both"/>
        <w:rPr>
          <w:sz w:val="28"/>
          <w:szCs w:val="28"/>
          <w:lang w:val="vi-VN"/>
        </w:rPr>
      </w:pPr>
      <w:r w:rsidRPr="00DE6E0B">
        <w:rPr>
          <w:sz w:val="28"/>
          <w:szCs w:val="28"/>
          <w:lang w:val="vi-VN"/>
        </w:rPr>
        <w:lastRenderedPageBreak/>
        <w:t>Các TTHC không chồng chéo, trùng lặp với các TTHC khác; đồng thời phù hợp thẩm quyền quy định của Quốc hội, phù hợp với việc giao cho Chính phủ hay Bộ trưởng liên quan.</w:t>
      </w:r>
    </w:p>
    <w:p w:rsidR="00AD4AF3" w:rsidRPr="00DE6E0B" w:rsidRDefault="00C543B0" w:rsidP="00036217">
      <w:pPr>
        <w:tabs>
          <w:tab w:val="left" w:pos="6521"/>
        </w:tabs>
        <w:spacing w:before="120" w:after="120" w:line="340" w:lineRule="exact"/>
        <w:ind w:firstLine="720"/>
        <w:jc w:val="both"/>
        <w:rPr>
          <w:b/>
          <w:sz w:val="28"/>
          <w:szCs w:val="28"/>
        </w:rPr>
      </w:pPr>
      <w:r w:rsidRPr="00DE6E0B">
        <w:rPr>
          <w:b/>
          <w:sz w:val="28"/>
          <w:szCs w:val="28"/>
        </w:rPr>
        <w:t>3</w:t>
      </w:r>
      <w:r w:rsidR="00E95FF9" w:rsidRPr="00DE6E0B">
        <w:rPr>
          <w:b/>
          <w:sz w:val="28"/>
          <w:szCs w:val="28"/>
        </w:rPr>
        <w:t>. N</w:t>
      </w:r>
      <w:r w:rsidR="00AD4AF3" w:rsidRPr="00DE6E0B">
        <w:rPr>
          <w:b/>
          <w:sz w:val="28"/>
          <w:szCs w:val="28"/>
        </w:rPr>
        <w:t>hóm TTHC liên quan đến quản lý hoạt động vận tải và kinh doanh vận tải bằng xe ô tô, dịch vụ hỗ trợ vận tải.</w:t>
      </w:r>
    </w:p>
    <w:p w:rsidR="00E95FF9" w:rsidRPr="00DE6E0B" w:rsidRDefault="00E95FF9" w:rsidP="00036217">
      <w:pPr>
        <w:spacing w:before="120" w:after="120" w:line="340" w:lineRule="exact"/>
        <w:ind w:firstLine="720"/>
        <w:jc w:val="both"/>
        <w:rPr>
          <w:bCs/>
          <w:i/>
          <w:sz w:val="28"/>
          <w:szCs w:val="28"/>
          <w:lang w:val="vi-VN"/>
        </w:rPr>
      </w:pPr>
      <w:r w:rsidRPr="00DE6E0B">
        <w:rPr>
          <w:bCs/>
          <w:i/>
          <w:sz w:val="28"/>
          <w:szCs w:val="28"/>
          <w:lang w:val="vi-VN"/>
        </w:rPr>
        <w:t>a</w:t>
      </w:r>
      <w:r w:rsidRPr="00DE6E0B">
        <w:rPr>
          <w:bCs/>
          <w:i/>
          <w:sz w:val="28"/>
          <w:szCs w:val="28"/>
        </w:rPr>
        <w:t>)</w:t>
      </w:r>
      <w:r w:rsidRPr="00DE6E0B">
        <w:rPr>
          <w:bCs/>
          <w:i/>
          <w:sz w:val="28"/>
          <w:szCs w:val="28"/>
          <w:lang w:val="vi-VN"/>
        </w:rPr>
        <w:t xml:space="preserve"> Sự cần thiết của TTHC</w:t>
      </w:r>
    </w:p>
    <w:p w:rsidR="00E95FF9" w:rsidRPr="00DE6E0B" w:rsidRDefault="00E95FF9" w:rsidP="00036217">
      <w:pPr>
        <w:tabs>
          <w:tab w:val="left" w:pos="6521"/>
        </w:tabs>
        <w:spacing w:before="120" w:after="120" w:line="340" w:lineRule="exact"/>
        <w:ind w:firstLine="720"/>
        <w:jc w:val="both"/>
        <w:rPr>
          <w:i/>
          <w:strike/>
          <w:sz w:val="28"/>
          <w:szCs w:val="28"/>
          <w:shd w:val="clear" w:color="auto" w:fill="FFFFFF"/>
        </w:rPr>
      </w:pPr>
      <w:r w:rsidRPr="00DE6E0B">
        <w:rPr>
          <w:sz w:val="28"/>
          <w:szCs w:val="28"/>
          <w:lang w:val="vi-VN"/>
        </w:rPr>
        <w:t xml:space="preserve">Trong những năm qua, hoạt động vận tải đường bộ đã phát triển mạnh mẽ, các phương tiện kinh doanh vận tải gia tăng nhanh chóng cả về số lượng và chất lượng, đáp ứng ngày càng tốt nhu cầu đi lại của người dân. Hiện nay, vận tải ô tô đảm nhiệm trên 90% tổng khối lượng vận chuyển hành khách và trên 70% tổng khối lượng vận chuyển hàng hóa. Cùng với sự phát triển của lực lượng vận tải, công tác quản lý hoạt động vận tải đường bộ cũng đã có những chuyển biến tích cực và ngày càng được hoàn thiện. </w:t>
      </w:r>
    </w:p>
    <w:p w:rsidR="00E95FF9" w:rsidRPr="00DE6E0B" w:rsidRDefault="00F91403" w:rsidP="00036217">
      <w:pPr>
        <w:spacing w:before="120" w:after="120" w:line="340" w:lineRule="exact"/>
        <w:ind w:firstLine="720"/>
        <w:jc w:val="both"/>
        <w:rPr>
          <w:sz w:val="28"/>
          <w:szCs w:val="28"/>
          <w:lang w:val="sv-SE"/>
        </w:rPr>
      </w:pPr>
      <w:r w:rsidRPr="00DE6E0B">
        <w:rPr>
          <w:sz w:val="28"/>
          <w:szCs w:val="28"/>
          <w:lang w:val="sv-SE"/>
        </w:rPr>
        <w:t xml:space="preserve">Để nâng cao hơn nữa công tác quản lý hoạt động vận tải và kinh doanh vận tải bằng xe ô tô, dịch vụ hỗ trợ vận tải, tại dự thảo </w:t>
      </w:r>
      <w:r w:rsidR="00DE6E0B" w:rsidRPr="00DE6E0B">
        <w:rPr>
          <w:sz w:val="28"/>
          <w:szCs w:val="28"/>
          <w:lang w:val="sv-SE"/>
        </w:rPr>
        <w:t>Luật Đường bộ</w:t>
      </w:r>
      <w:r w:rsidRPr="00DE6E0B">
        <w:rPr>
          <w:sz w:val="28"/>
          <w:szCs w:val="28"/>
          <w:lang w:val="sv-SE"/>
        </w:rPr>
        <w:t xml:space="preserve"> quy định các TTHC như sau:</w:t>
      </w:r>
    </w:p>
    <w:p w:rsidR="00F91403" w:rsidRPr="00DE6E0B" w:rsidRDefault="00F91403" w:rsidP="00036217">
      <w:pPr>
        <w:spacing w:before="120" w:after="120" w:line="340" w:lineRule="exact"/>
        <w:ind w:firstLine="720"/>
        <w:jc w:val="both"/>
        <w:rPr>
          <w:sz w:val="28"/>
          <w:szCs w:val="28"/>
          <w:lang w:val="sv-SE"/>
        </w:rPr>
      </w:pPr>
      <w:r w:rsidRPr="00DE6E0B">
        <w:rPr>
          <w:sz w:val="28"/>
          <w:szCs w:val="28"/>
          <w:lang w:val="sv-SE"/>
        </w:rPr>
        <w:t>- TTHC liên quan đến cấp giấy phép kinh doanh vận tải bằng xe ô tô;</w:t>
      </w:r>
    </w:p>
    <w:p w:rsidR="00F91403" w:rsidRPr="00DE6E0B" w:rsidRDefault="00F91403" w:rsidP="00036217">
      <w:pPr>
        <w:spacing w:before="120" w:after="120" w:line="340" w:lineRule="exact"/>
        <w:ind w:firstLine="720"/>
        <w:jc w:val="both"/>
        <w:rPr>
          <w:sz w:val="28"/>
          <w:szCs w:val="28"/>
          <w:lang w:val="sv-SE"/>
        </w:rPr>
      </w:pPr>
      <w:r w:rsidRPr="00DE6E0B">
        <w:rPr>
          <w:sz w:val="28"/>
          <w:szCs w:val="28"/>
          <w:lang w:val="sv-SE"/>
        </w:rPr>
        <w:t>- TTCH liên quan đến cấp giấy phép vận tải quốc tế;</w:t>
      </w:r>
    </w:p>
    <w:p w:rsidR="00F91403" w:rsidRPr="00DE6E0B" w:rsidRDefault="00F91403" w:rsidP="00036217">
      <w:pPr>
        <w:spacing w:before="120" w:after="120" w:line="340" w:lineRule="exact"/>
        <w:ind w:firstLine="720"/>
        <w:jc w:val="both"/>
        <w:rPr>
          <w:sz w:val="28"/>
          <w:szCs w:val="28"/>
          <w:lang w:val="sv-SE"/>
        </w:rPr>
      </w:pPr>
      <w:r w:rsidRPr="00DE6E0B">
        <w:rPr>
          <w:sz w:val="28"/>
          <w:szCs w:val="28"/>
          <w:lang w:val="sv-SE"/>
        </w:rPr>
        <w:t>- TTHC liên quan đến phương tiện kinh doanh vận tải bằng xe ô tô;</w:t>
      </w:r>
    </w:p>
    <w:p w:rsidR="00F91403" w:rsidRPr="00DE6E0B" w:rsidRDefault="00F91403" w:rsidP="00036217">
      <w:pPr>
        <w:spacing w:before="120" w:after="120" w:line="340" w:lineRule="exact"/>
        <w:ind w:firstLine="720"/>
        <w:jc w:val="both"/>
        <w:rPr>
          <w:bCs/>
          <w:i/>
          <w:sz w:val="28"/>
          <w:szCs w:val="28"/>
        </w:rPr>
      </w:pPr>
      <w:r w:rsidRPr="00DE6E0B">
        <w:rPr>
          <w:sz w:val="28"/>
          <w:szCs w:val="28"/>
          <w:lang w:val="sv-SE"/>
        </w:rPr>
        <w:t>- TTHC liên quan đến công bố trạm dừng nghỉ đưa vào khai thác;</w:t>
      </w:r>
    </w:p>
    <w:p w:rsidR="00E95FF9" w:rsidRPr="00DE6E0B" w:rsidRDefault="00E95FF9" w:rsidP="00036217">
      <w:pPr>
        <w:spacing w:before="120" w:after="120" w:line="340" w:lineRule="exact"/>
        <w:ind w:firstLine="720"/>
        <w:jc w:val="both"/>
        <w:rPr>
          <w:i/>
          <w:sz w:val="28"/>
          <w:szCs w:val="28"/>
          <w:lang w:val="vi-VN"/>
        </w:rPr>
      </w:pPr>
      <w:r w:rsidRPr="00DE6E0B">
        <w:rPr>
          <w:i/>
          <w:sz w:val="28"/>
          <w:szCs w:val="28"/>
          <w:lang w:val="vi-VN"/>
        </w:rPr>
        <w:t>b) Tính hợp lý của TTHC</w:t>
      </w:r>
    </w:p>
    <w:p w:rsidR="00E95FF9" w:rsidRPr="00DE6E0B" w:rsidRDefault="00E95FF9" w:rsidP="00036217">
      <w:pPr>
        <w:spacing w:before="120" w:after="120" w:line="340" w:lineRule="exact"/>
        <w:ind w:firstLine="720"/>
        <w:jc w:val="both"/>
        <w:rPr>
          <w:sz w:val="28"/>
          <w:szCs w:val="28"/>
          <w:lang w:val="vi-VN"/>
        </w:rPr>
      </w:pPr>
      <w:r w:rsidRPr="00DE6E0B">
        <w:rPr>
          <w:sz w:val="28"/>
          <w:szCs w:val="28"/>
          <w:lang w:val="vi-VN"/>
        </w:rPr>
        <w:t>Các biện pháp, TTHC đưa ra cơ bản bảo đảm tính cân xứng, phù hợp với yêu cầu quản lý nhà nước trong giai đoạn hiện nay.</w:t>
      </w:r>
    </w:p>
    <w:p w:rsidR="00E95FF9" w:rsidRPr="00DE6E0B" w:rsidRDefault="00E95FF9" w:rsidP="00036217">
      <w:pPr>
        <w:spacing w:before="120" w:after="120" w:line="340" w:lineRule="exact"/>
        <w:ind w:firstLine="720"/>
        <w:jc w:val="both"/>
        <w:rPr>
          <w:i/>
          <w:sz w:val="28"/>
          <w:szCs w:val="28"/>
          <w:lang w:val="vi-VN"/>
        </w:rPr>
      </w:pPr>
      <w:r w:rsidRPr="00DE6E0B">
        <w:rPr>
          <w:i/>
          <w:sz w:val="28"/>
          <w:szCs w:val="28"/>
          <w:lang w:val="vi-VN"/>
        </w:rPr>
        <w:t>c) Tính hợp pháp của TTHC</w:t>
      </w:r>
    </w:p>
    <w:p w:rsidR="00E95FF9" w:rsidRPr="00DE6E0B" w:rsidRDefault="00E95FF9" w:rsidP="00036217">
      <w:pPr>
        <w:spacing w:before="120" w:after="120" w:line="340" w:lineRule="exact"/>
        <w:ind w:firstLine="720"/>
        <w:jc w:val="both"/>
        <w:rPr>
          <w:sz w:val="28"/>
          <w:szCs w:val="28"/>
          <w:lang w:val="vi-VN"/>
        </w:rPr>
      </w:pPr>
      <w:r w:rsidRPr="00DE6E0B">
        <w:rPr>
          <w:sz w:val="28"/>
          <w:szCs w:val="28"/>
          <w:lang w:val="vi-VN"/>
        </w:rPr>
        <w:t>Các TTHC không chồng chéo, trùng lặp với các TTHC khác; đồng thời phù hợp thẩm quyền quy định của Quốc hội, phù hợp với việc giao cho Chính phủ hay Bộ trưởng liên quan.</w:t>
      </w:r>
    </w:p>
    <w:p w:rsidR="00EE3030" w:rsidRPr="00DE6E0B" w:rsidRDefault="00E95FF9" w:rsidP="00036217">
      <w:pPr>
        <w:spacing w:before="120" w:after="120" w:line="340" w:lineRule="exact"/>
        <w:ind w:firstLine="720"/>
        <w:jc w:val="both"/>
        <w:rPr>
          <w:b/>
          <w:sz w:val="28"/>
          <w:szCs w:val="28"/>
        </w:rPr>
      </w:pPr>
      <w:r w:rsidRPr="00DE6E0B">
        <w:rPr>
          <w:b/>
          <w:sz w:val="28"/>
          <w:szCs w:val="28"/>
        </w:rPr>
        <w:t>III</w:t>
      </w:r>
      <w:r w:rsidR="00EE3030" w:rsidRPr="00DE6E0B">
        <w:rPr>
          <w:b/>
          <w:sz w:val="28"/>
          <w:szCs w:val="28"/>
        </w:rPr>
        <w:t>. Về tính toán chi phí tuân thủ đối với các TTHC quy định tại dự thảo Luật</w:t>
      </w:r>
    </w:p>
    <w:p w:rsidR="00EE3030" w:rsidRPr="00DE6E0B" w:rsidRDefault="00EE3030" w:rsidP="00036217">
      <w:pPr>
        <w:tabs>
          <w:tab w:val="left" w:pos="6521"/>
        </w:tabs>
        <w:spacing w:before="120" w:after="120" w:line="340" w:lineRule="exact"/>
        <w:ind w:firstLine="720"/>
        <w:jc w:val="both"/>
        <w:rPr>
          <w:sz w:val="28"/>
          <w:szCs w:val="28"/>
        </w:rPr>
      </w:pPr>
      <w:r w:rsidRPr="00DE6E0B">
        <w:rPr>
          <w:sz w:val="28"/>
          <w:szCs w:val="28"/>
        </w:rPr>
        <w:t>C</w:t>
      </w:r>
      <w:r w:rsidR="00A66D3F" w:rsidRPr="00DE6E0B">
        <w:rPr>
          <w:sz w:val="28"/>
          <w:szCs w:val="28"/>
        </w:rPr>
        <w:t xml:space="preserve">ác TTHC được quy định tại dự thảo Luật chưa đầy đủ các bộ phận cấu thành, mới chủ yếu có tên TTHC; các bộ phận khác của TTHC sẽ được quy định tại các văn bản hướng dẫn thi hành Luật và Thông tư của Bộ trưởng Bộ Giao thông vận tải nên chưa đủ cơ sở để thực hiện tính toán chi phí tuân thủ TTHC. </w:t>
      </w:r>
    </w:p>
    <w:p w:rsidR="00A66D3F" w:rsidRPr="00DE6E0B" w:rsidRDefault="00A66D3F" w:rsidP="00036217">
      <w:pPr>
        <w:tabs>
          <w:tab w:val="left" w:pos="6521"/>
        </w:tabs>
        <w:spacing w:before="120" w:after="120" w:line="340" w:lineRule="exact"/>
        <w:ind w:firstLine="720"/>
        <w:jc w:val="both"/>
        <w:rPr>
          <w:sz w:val="28"/>
          <w:szCs w:val="28"/>
        </w:rPr>
      </w:pPr>
      <w:r w:rsidRPr="00DE6E0B">
        <w:rPr>
          <w:sz w:val="28"/>
          <w:szCs w:val="28"/>
        </w:rPr>
        <w:t>Do đó, Bộ Giao thông vận tải sẽ thực hiện đánh giá tác động đầy đủ và tính toán chi phí đối với các TTHC này khi soạn thảo các văn bản quy phạm pháp luật quy định đầy đủ các bộ phận của TTHC trình cơ quan, người có thẩm quyền ban hành hoặc ban hành theo thẩm quyền.</w:t>
      </w:r>
      <w:r w:rsidR="00EE3030" w:rsidRPr="00DE6E0B">
        <w:rPr>
          <w:sz w:val="28"/>
          <w:szCs w:val="28"/>
        </w:rPr>
        <w:t>/.</w:t>
      </w:r>
    </w:p>
    <w:p w:rsidR="00C543B0" w:rsidRPr="00232F1F" w:rsidRDefault="00C543B0" w:rsidP="00036217">
      <w:pPr>
        <w:tabs>
          <w:tab w:val="left" w:pos="6521"/>
        </w:tabs>
        <w:spacing w:before="120" w:after="120" w:line="340" w:lineRule="exact"/>
        <w:ind w:firstLine="709"/>
        <w:jc w:val="both"/>
        <w:rPr>
          <w:i/>
          <w:sz w:val="28"/>
          <w:szCs w:val="28"/>
        </w:rPr>
      </w:pPr>
      <w:r w:rsidRPr="00232F1F">
        <w:rPr>
          <w:i/>
          <w:sz w:val="28"/>
          <w:szCs w:val="28"/>
        </w:rPr>
        <w:lastRenderedPageBreak/>
        <w:t xml:space="preserve">Gửi kèm theo báo cáo này các biểu đánh giá tác động </w:t>
      </w:r>
      <w:r w:rsidR="00D41BD3" w:rsidRPr="00232F1F">
        <w:rPr>
          <w:i/>
          <w:sz w:val="28"/>
          <w:szCs w:val="28"/>
        </w:rPr>
        <w:t xml:space="preserve">thủ tục </w:t>
      </w:r>
      <w:r w:rsidRPr="00232F1F">
        <w:rPr>
          <w:i/>
          <w:sz w:val="28"/>
          <w:szCs w:val="28"/>
        </w:rPr>
        <w:t xml:space="preserve">hành chính dự kiến quy định tại các Nghị định quy định chi tiết </w:t>
      </w:r>
      <w:r w:rsidR="00DE6E0B" w:rsidRPr="00232F1F">
        <w:rPr>
          <w:i/>
          <w:sz w:val="28"/>
          <w:szCs w:val="28"/>
        </w:rPr>
        <w:t>Luật Đường bộ</w:t>
      </w:r>
      <w:r w:rsidRPr="00232F1F">
        <w:rPr>
          <w:i/>
          <w:sz w:val="28"/>
          <w:szCs w:val="28"/>
        </w:rPr>
        <w:t>.</w:t>
      </w:r>
    </w:p>
    <w:p w:rsidR="00036217" w:rsidRPr="00DE6E0B" w:rsidRDefault="00036217" w:rsidP="00036217">
      <w:pPr>
        <w:tabs>
          <w:tab w:val="left" w:pos="2422"/>
        </w:tabs>
        <w:autoSpaceDE w:val="0"/>
        <w:autoSpaceDN w:val="0"/>
        <w:adjustRightInd w:val="0"/>
        <w:spacing w:before="120"/>
        <w:ind w:firstLine="709"/>
        <w:jc w:val="both"/>
        <w:rPr>
          <w:color w:val="000000"/>
          <w:sz w:val="28"/>
          <w:szCs w:val="28"/>
        </w:rPr>
      </w:pPr>
      <w:r w:rsidRPr="00DE6E0B">
        <w:rPr>
          <w:color w:val="000000"/>
          <w:sz w:val="28"/>
          <w:szCs w:val="28"/>
        </w:rPr>
        <w:t>Trên đây là báo cáo đánh giá tác động của thủ tục hành chính trong dự án Luật Đường bộ./.</w:t>
      </w:r>
    </w:p>
    <w:p w:rsidR="00036217" w:rsidRPr="00DE6E0B" w:rsidRDefault="00036217" w:rsidP="00036217">
      <w:pPr>
        <w:tabs>
          <w:tab w:val="left" w:pos="567"/>
        </w:tabs>
        <w:spacing w:before="120" w:after="120" w:line="320" w:lineRule="exact"/>
        <w:jc w:val="both"/>
        <w:rPr>
          <w:spacing w:val="-4"/>
          <w:szCs w:val="28"/>
          <w:lang w:val="nl-NL"/>
        </w:rPr>
      </w:pPr>
    </w:p>
    <w:tbl>
      <w:tblPr>
        <w:tblW w:w="9890" w:type="dxa"/>
        <w:tblInd w:w="108" w:type="dxa"/>
        <w:tblCellMar>
          <w:left w:w="10" w:type="dxa"/>
          <w:right w:w="10" w:type="dxa"/>
        </w:tblCellMar>
        <w:tblLook w:val="0000" w:firstRow="0" w:lastRow="0" w:firstColumn="0" w:lastColumn="0" w:noHBand="0" w:noVBand="0"/>
      </w:tblPr>
      <w:tblGrid>
        <w:gridCol w:w="9890"/>
      </w:tblGrid>
      <w:tr w:rsidR="002B25CA" w:rsidRPr="00DE6E0B" w:rsidTr="002B25CA">
        <w:trPr>
          <w:trHeight w:val="383"/>
        </w:trPr>
        <w:tc>
          <w:tcPr>
            <w:tcW w:w="9890" w:type="dxa"/>
            <w:shd w:val="clear" w:color="auto" w:fill="auto"/>
            <w:tcMar>
              <w:top w:w="0" w:type="dxa"/>
              <w:left w:w="108" w:type="dxa"/>
              <w:bottom w:w="0" w:type="dxa"/>
              <w:right w:w="108" w:type="dxa"/>
            </w:tcMar>
          </w:tcPr>
          <w:tbl>
            <w:tblPr>
              <w:tblW w:w="9674" w:type="dxa"/>
              <w:tblLook w:val="01E0" w:firstRow="1" w:lastRow="1" w:firstColumn="1" w:lastColumn="1" w:noHBand="0" w:noVBand="0"/>
            </w:tblPr>
            <w:tblGrid>
              <w:gridCol w:w="4503"/>
              <w:gridCol w:w="5171"/>
            </w:tblGrid>
            <w:tr w:rsidR="002B25CA" w:rsidRPr="0030381F" w:rsidTr="00D93764">
              <w:trPr>
                <w:trHeight w:val="383"/>
              </w:trPr>
              <w:tc>
                <w:tcPr>
                  <w:tcW w:w="4503" w:type="dxa"/>
                </w:tcPr>
                <w:p w:rsidR="002B25CA" w:rsidRPr="0030381F" w:rsidRDefault="002B25CA" w:rsidP="00D93764">
                  <w:pPr>
                    <w:autoSpaceDE w:val="0"/>
                    <w:jc w:val="both"/>
                    <w:rPr>
                      <w:color w:val="000000" w:themeColor="text1"/>
                      <w:sz w:val="22"/>
                    </w:rPr>
                  </w:pPr>
                  <w:r w:rsidRPr="0030381F">
                    <w:rPr>
                      <w:b/>
                      <w:bCs/>
                      <w:i/>
                      <w:iCs/>
                      <w:color w:val="000000" w:themeColor="text1"/>
                      <w:sz w:val="22"/>
                      <w:lang w:val="de-DE" w:eastAsia="vi-VN"/>
                    </w:rPr>
                    <w:t>N</w:t>
                  </w:r>
                  <w:r w:rsidRPr="0030381F">
                    <w:rPr>
                      <w:b/>
                      <w:bCs/>
                      <w:i/>
                      <w:iCs/>
                      <w:color w:val="000000" w:themeColor="text1"/>
                      <w:sz w:val="22"/>
                      <w:lang w:val="vi-VN" w:eastAsia="vi-VN"/>
                    </w:rPr>
                    <w:t>ơi nhận:</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Ủy ban Thường vụ Quốc hội;</w:t>
                  </w:r>
                </w:p>
                <w:p w:rsidR="002B25CA" w:rsidRPr="0030381F" w:rsidRDefault="002B25CA" w:rsidP="00D93764">
                  <w:pPr>
                    <w:autoSpaceDE w:val="0"/>
                    <w:jc w:val="both"/>
                    <w:rPr>
                      <w:color w:val="000000" w:themeColor="text1"/>
                      <w:sz w:val="22"/>
                    </w:rPr>
                  </w:pPr>
                  <w:r w:rsidRPr="0030381F">
                    <w:rPr>
                      <w:color w:val="000000" w:themeColor="text1"/>
                      <w:sz w:val="22"/>
                      <w:lang w:val="de-DE" w:eastAsia="vi-VN"/>
                    </w:rPr>
                    <w:t>- Thủ tướng Chính phủ;</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Các Phó Thủ tướng Chính phủ;</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Văn phòng Trung ương Đảng;</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xml:space="preserve">- Ủy ban Quốc phòng và An ninh của Quốc hội; </w:t>
                  </w:r>
                </w:p>
                <w:p w:rsidR="002B25CA" w:rsidRPr="0030381F" w:rsidRDefault="002B25CA" w:rsidP="00D93764">
                  <w:pPr>
                    <w:autoSpaceDE w:val="0"/>
                    <w:jc w:val="both"/>
                    <w:rPr>
                      <w:color w:val="000000" w:themeColor="text1"/>
                      <w:sz w:val="22"/>
                    </w:rPr>
                  </w:pPr>
                  <w:r w:rsidRPr="0030381F">
                    <w:rPr>
                      <w:color w:val="000000" w:themeColor="text1"/>
                      <w:sz w:val="22"/>
                      <w:lang w:val="de-DE" w:eastAsia="vi-VN"/>
                    </w:rPr>
                    <w:t>- Ủy ban Pháp luật của Quốc hội;</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Văn phòng Quốc hội;</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Văn phòng Chủ tịch nước;</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Văn phòng Chính phủ</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Các Bộ: Tư pháp, Công an;</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xml:space="preserve">- Văn phòng Chính phủ: BTCN, các PCN; </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TTr. Lê Đình Thọ;</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Các Cục: ĐBVN, ĐKVN, ĐCTVN;</w:t>
                  </w:r>
                </w:p>
                <w:p w:rsidR="002B25CA" w:rsidRPr="0030381F" w:rsidRDefault="002B25CA" w:rsidP="00D93764">
                  <w:pPr>
                    <w:autoSpaceDE w:val="0"/>
                    <w:jc w:val="both"/>
                    <w:rPr>
                      <w:color w:val="000000" w:themeColor="text1"/>
                      <w:sz w:val="22"/>
                      <w:lang w:val="de-DE" w:eastAsia="vi-VN"/>
                    </w:rPr>
                  </w:pPr>
                  <w:r w:rsidRPr="0030381F">
                    <w:rPr>
                      <w:color w:val="000000" w:themeColor="text1"/>
                      <w:sz w:val="22"/>
                      <w:lang w:val="de-DE" w:eastAsia="vi-VN"/>
                    </w:rPr>
                    <w:t>- Các Vụ: VT, KCHTGT;</w:t>
                  </w:r>
                </w:p>
                <w:p w:rsidR="002B25CA" w:rsidRPr="0030381F" w:rsidRDefault="002B25CA" w:rsidP="00D93764">
                  <w:pPr>
                    <w:autoSpaceDE w:val="0"/>
                    <w:jc w:val="both"/>
                    <w:rPr>
                      <w:color w:val="000000" w:themeColor="text1"/>
                      <w:sz w:val="22"/>
                    </w:rPr>
                  </w:pPr>
                  <w:r w:rsidRPr="0030381F">
                    <w:rPr>
                      <w:color w:val="000000" w:themeColor="text1"/>
                      <w:sz w:val="22"/>
                      <w:lang w:val="de-DE" w:eastAsia="vi-VN"/>
                    </w:rPr>
                    <w:t>- Thanh tra Bộ;</w:t>
                  </w:r>
                </w:p>
                <w:p w:rsidR="002B25CA" w:rsidRPr="0030381F" w:rsidRDefault="002B25CA" w:rsidP="00D93764">
                  <w:pPr>
                    <w:jc w:val="both"/>
                  </w:pPr>
                  <w:r w:rsidRPr="0030381F">
                    <w:rPr>
                      <w:color w:val="000000" w:themeColor="text1"/>
                      <w:sz w:val="22"/>
                      <w:lang w:val="sv-SE"/>
                    </w:rPr>
                    <w:t>- Lưu: VT, PC.</w:t>
                  </w:r>
                </w:p>
              </w:tc>
              <w:tc>
                <w:tcPr>
                  <w:tcW w:w="5171" w:type="dxa"/>
                </w:tcPr>
                <w:p w:rsidR="002B25CA" w:rsidRPr="002B25CA" w:rsidRDefault="002B25CA" w:rsidP="00D93764">
                  <w:pPr>
                    <w:jc w:val="center"/>
                    <w:rPr>
                      <w:b/>
                      <w:color w:val="000000" w:themeColor="text1"/>
                      <w:sz w:val="28"/>
                      <w:szCs w:val="28"/>
                      <w:lang w:val="sv-SE"/>
                    </w:rPr>
                  </w:pPr>
                  <w:r w:rsidRPr="002B25CA">
                    <w:rPr>
                      <w:b/>
                      <w:color w:val="000000" w:themeColor="text1"/>
                      <w:sz w:val="28"/>
                      <w:szCs w:val="28"/>
                      <w:lang w:val="sv-SE"/>
                    </w:rPr>
                    <w:t xml:space="preserve">BỘ TRƯỞNG </w:t>
                  </w:r>
                </w:p>
                <w:p w:rsidR="002B25CA" w:rsidRPr="002B25CA" w:rsidRDefault="002B25CA" w:rsidP="00D93764">
                  <w:pPr>
                    <w:jc w:val="center"/>
                    <w:rPr>
                      <w:b/>
                      <w:color w:val="000000" w:themeColor="text1"/>
                      <w:sz w:val="28"/>
                      <w:szCs w:val="28"/>
                      <w:lang w:val="sv-SE"/>
                    </w:rPr>
                  </w:pPr>
                </w:p>
                <w:p w:rsidR="002B25CA" w:rsidRPr="002B25CA" w:rsidRDefault="002B25CA" w:rsidP="00D93764">
                  <w:pPr>
                    <w:jc w:val="center"/>
                    <w:rPr>
                      <w:b/>
                      <w:color w:val="000000" w:themeColor="text1"/>
                      <w:sz w:val="28"/>
                      <w:szCs w:val="28"/>
                      <w:lang w:val="sv-SE"/>
                    </w:rPr>
                  </w:pPr>
                </w:p>
                <w:p w:rsidR="002B25CA" w:rsidRPr="002B25CA" w:rsidRDefault="002B25CA" w:rsidP="00D93764">
                  <w:pPr>
                    <w:jc w:val="center"/>
                    <w:rPr>
                      <w:b/>
                      <w:color w:val="000000" w:themeColor="text1"/>
                      <w:sz w:val="28"/>
                      <w:szCs w:val="28"/>
                      <w:lang w:val="sv-SE"/>
                    </w:rPr>
                  </w:pPr>
                </w:p>
                <w:p w:rsidR="002B25CA" w:rsidRPr="002B25CA" w:rsidRDefault="002B25CA" w:rsidP="00D93764">
                  <w:pPr>
                    <w:rPr>
                      <w:b/>
                      <w:color w:val="000000" w:themeColor="text1"/>
                      <w:sz w:val="28"/>
                      <w:szCs w:val="28"/>
                      <w:lang w:val="sv-SE"/>
                    </w:rPr>
                  </w:pPr>
                </w:p>
                <w:p w:rsidR="002B25CA" w:rsidRPr="002B25CA" w:rsidRDefault="002B25CA" w:rsidP="00D93764">
                  <w:pPr>
                    <w:jc w:val="center"/>
                    <w:rPr>
                      <w:b/>
                      <w:color w:val="000000" w:themeColor="text1"/>
                      <w:sz w:val="28"/>
                      <w:szCs w:val="28"/>
                      <w:lang w:val="sv-SE"/>
                    </w:rPr>
                  </w:pPr>
                </w:p>
                <w:p w:rsidR="002B25CA" w:rsidRPr="002B25CA" w:rsidRDefault="002B25CA" w:rsidP="00D93764">
                  <w:pPr>
                    <w:jc w:val="center"/>
                    <w:rPr>
                      <w:b/>
                      <w:color w:val="000000" w:themeColor="text1"/>
                      <w:sz w:val="28"/>
                      <w:szCs w:val="28"/>
                      <w:lang w:val="sv-SE"/>
                    </w:rPr>
                  </w:pPr>
                  <w:r w:rsidRPr="002B25CA">
                    <w:rPr>
                      <w:b/>
                      <w:color w:val="000000" w:themeColor="text1"/>
                      <w:sz w:val="28"/>
                      <w:szCs w:val="28"/>
                      <w:lang w:val="sv-SE"/>
                    </w:rPr>
                    <w:t>Nguyễn Văn Thắng</w:t>
                  </w:r>
                </w:p>
                <w:p w:rsidR="002B25CA" w:rsidRPr="0030381F" w:rsidRDefault="002B25CA" w:rsidP="00D93764">
                  <w:pPr>
                    <w:jc w:val="center"/>
                    <w:rPr>
                      <w:b/>
                      <w:color w:val="000000"/>
                      <w:sz w:val="26"/>
                      <w:szCs w:val="26"/>
                      <w:lang w:val="sv-SE"/>
                    </w:rPr>
                  </w:pPr>
                </w:p>
              </w:tc>
            </w:tr>
          </w:tbl>
          <w:p w:rsidR="002B25CA" w:rsidRDefault="002B25CA"/>
        </w:tc>
      </w:tr>
    </w:tbl>
    <w:p w:rsidR="00036217" w:rsidRPr="00DE6E0B" w:rsidRDefault="00036217" w:rsidP="00036217">
      <w:pPr>
        <w:tabs>
          <w:tab w:val="left" w:pos="6521"/>
        </w:tabs>
        <w:spacing w:before="120" w:after="120" w:line="340" w:lineRule="exact"/>
        <w:ind w:firstLine="709"/>
        <w:jc w:val="both"/>
        <w:rPr>
          <w:i/>
        </w:rPr>
      </w:pPr>
    </w:p>
    <w:p w:rsidR="00BE1867" w:rsidRPr="00DE6E0B" w:rsidRDefault="00BE1867" w:rsidP="00293878">
      <w:pPr>
        <w:jc w:val="right"/>
        <w:rPr>
          <w:b/>
        </w:rPr>
      </w:pPr>
    </w:p>
    <w:sectPr w:rsidR="00BE1867" w:rsidRPr="00DE6E0B" w:rsidSect="00C543B0">
      <w:headerReference w:type="default" r:id="rId11"/>
      <w:footerReference w:type="even" r:id="rId12"/>
      <w:footerReference w:type="default" r:id="rId13"/>
      <w:headerReference w:type="first" r:id="rId14"/>
      <w:footerReference w:type="first" r:id="rId15"/>
      <w:pgSz w:w="11909" w:h="16834" w:code="9"/>
      <w:pgMar w:top="1134" w:right="1134" w:bottom="1134" w:left="1701" w:header="431" w:footer="43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B2" w:rsidRDefault="007E4BB2">
      <w:r>
        <w:separator/>
      </w:r>
    </w:p>
  </w:endnote>
  <w:endnote w:type="continuationSeparator" w:id="0">
    <w:p w:rsidR="007E4BB2" w:rsidRDefault="007E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47" w:rsidRDefault="00481747" w:rsidP="00491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747" w:rsidRDefault="00481747" w:rsidP="004913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47" w:rsidRDefault="00481747" w:rsidP="0049131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50" w:rsidRDefault="004E0050" w:rsidP="006716DB">
    <w:pPr>
      <w:pStyle w:val="Footer"/>
      <w:tabs>
        <w:tab w:val="clear" w:pos="4320"/>
        <w:tab w:val="clear" w:pos="8640"/>
        <w:tab w:val="center" w:pos="4537"/>
        <w:tab w:val="right" w:pos="907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B2" w:rsidRDefault="007E4BB2">
      <w:r>
        <w:separator/>
      </w:r>
    </w:p>
  </w:footnote>
  <w:footnote w:type="continuationSeparator" w:id="0">
    <w:p w:rsidR="007E4BB2" w:rsidRDefault="007E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17" w:rsidRDefault="00036217">
    <w:pPr>
      <w:pStyle w:val="Header"/>
      <w:jc w:val="center"/>
    </w:pPr>
    <w:r>
      <w:fldChar w:fldCharType="begin"/>
    </w:r>
    <w:r>
      <w:instrText xml:space="preserve"> PAGE   \* MERGEFORMAT </w:instrText>
    </w:r>
    <w:r>
      <w:fldChar w:fldCharType="separate"/>
    </w:r>
    <w:r w:rsidR="00AA6991">
      <w:rPr>
        <w:noProof/>
      </w:rPr>
      <w:t>2</w:t>
    </w:r>
    <w:r>
      <w:rPr>
        <w:noProof/>
      </w:rPr>
      <w:fldChar w:fldCharType="end"/>
    </w:r>
  </w:p>
  <w:p w:rsidR="006716DB" w:rsidRDefault="00671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50" w:rsidRDefault="004E0050">
    <w:pPr>
      <w:pStyle w:val="Header"/>
      <w:jc w:val="center"/>
    </w:pPr>
  </w:p>
  <w:p w:rsidR="004E0050" w:rsidRDefault="004E0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6C5"/>
    <w:multiLevelType w:val="hybridMultilevel"/>
    <w:tmpl w:val="C4848BA4"/>
    <w:lvl w:ilvl="0" w:tplc="E856AD0A">
      <w:start w:val="1"/>
      <w:numFmt w:val="bullet"/>
      <w:lvlText w:val="-"/>
      <w:lvlJc w:val="left"/>
      <w:pPr>
        <w:tabs>
          <w:tab w:val="num" w:pos="497"/>
        </w:tabs>
        <w:ind w:left="497" w:hanging="170"/>
      </w:pPr>
      <w:rPr>
        <w:rFonts w:ascii="Times New Roman" w:hAnsi="Times New Roman" w:cs="Times New Roman" w:hint="default"/>
        <w:b/>
      </w:rPr>
    </w:lvl>
    <w:lvl w:ilvl="1" w:tplc="0409000F">
      <w:start w:val="1"/>
      <w:numFmt w:val="decimal"/>
      <w:lvlText w:val="%2."/>
      <w:lvlJc w:val="left"/>
      <w:pPr>
        <w:tabs>
          <w:tab w:val="num" w:pos="1767"/>
        </w:tabs>
        <w:ind w:left="1767" w:hanging="360"/>
      </w:pPr>
      <w:rPr>
        <w:rFonts w:hint="default"/>
        <w:b/>
      </w:rPr>
    </w:lvl>
    <w:lvl w:ilvl="2" w:tplc="04090005" w:tentative="1">
      <w:start w:val="1"/>
      <w:numFmt w:val="bullet"/>
      <w:lvlText w:val=""/>
      <w:lvlJc w:val="left"/>
      <w:pPr>
        <w:tabs>
          <w:tab w:val="num" w:pos="2487"/>
        </w:tabs>
        <w:ind w:left="2487" w:hanging="360"/>
      </w:pPr>
      <w:rPr>
        <w:rFonts w:ascii="Wingdings" w:hAnsi="Wingdings" w:hint="default"/>
      </w:rPr>
    </w:lvl>
    <w:lvl w:ilvl="3" w:tplc="04090001" w:tentative="1">
      <w:start w:val="1"/>
      <w:numFmt w:val="bullet"/>
      <w:lvlText w:val=""/>
      <w:lvlJc w:val="left"/>
      <w:pPr>
        <w:tabs>
          <w:tab w:val="num" w:pos="3207"/>
        </w:tabs>
        <w:ind w:left="3207" w:hanging="360"/>
      </w:pPr>
      <w:rPr>
        <w:rFonts w:ascii="Symbol" w:hAnsi="Symbol" w:hint="default"/>
      </w:rPr>
    </w:lvl>
    <w:lvl w:ilvl="4" w:tplc="04090003" w:tentative="1">
      <w:start w:val="1"/>
      <w:numFmt w:val="bullet"/>
      <w:lvlText w:val="o"/>
      <w:lvlJc w:val="left"/>
      <w:pPr>
        <w:tabs>
          <w:tab w:val="num" w:pos="3927"/>
        </w:tabs>
        <w:ind w:left="3927" w:hanging="360"/>
      </w:pPr>
      <w:rPr>
        <w:rFonts w:ascii="Courier New" w:hAnsi="Courier New" w:cs="Courier New" w:hint="default"/>
      </w:rPr>
    </w:lvl>
    <w:lvl w:ilvl="5" w:tplc="04090005" w:tentative="1">
      <w:start w:val="1"/>
      <w:numFmt w:val="bullet"/>
      <w:lvlText w:val=""/>
      <w:lvlJc w:val="left"/>
      <w:pPr>
        <w:tabs>
          <w:tab w:val="num" w:pos="4647"/>
        </w:tabs>
        <w:ind w:left="4647" w:hanging="360"/>
      </w:pPr>
      <w:rPr>
        <w:rFonts w:ascii="Wingdings" w:hAnsi="Wingdings" w:hint="default"/>
      </w:rPr>
    </w:lvl>
    <w:lvl w:ilvl="6" w:tplc="04090001" w:tentative="1">
      <w:start w:val="1"/>
      <w:numFmt w:val="bullet"/>
      <w:lvlText w:val=""/>
      <w:lvlJc w:val="left"/>
      <w:pPr>
        <w:tabs>
          <w:tab w:val="num" w:pos="5367"/>
        </w:tabs>
        <w:ind w:left="5367" w:hanging="360"/>
      </w:pPr>
      <w:rPr>
        <w:rFonts w:ascii="Symbol" w:hAnsi="Symbol" w:hint="default"/>
      </w:rPr>
    </w:lvl>
    <w:lvl w:ilvl="7" w:tplc="04090003" w:tentative="1">
      <w:start w:val="1"/>
      <w:numFmt w:val="bullet"/>
      <w:lvlText w:val="o"/>
      <w:lvlJc w:val="left"/>
      <w:pPr>
        <w:tabs>
          <w:tab w:val="num" w:pos="6087"/>
        </w:tabs>
        <w:ind w:left="6087" w:hanging="360"/>
      </w:pPr>
      <w:rPr>
        <w:rFonts w:ascii="Courier New" w:hAnsi="Courier New" w:cs="Courier New" w:hint="default"/>
      </w:rPr>
    </w:lvl>
    <w:lvl w:ilvl="8" w:tplc="04090005" w:tentative="1">
      <w:start w:val="1"/>
      <w:numFmt w:val="bullet"/>
      <w:lvlText w:val=""/>
      <w:lvlJc w:val="left"/>
      <w:pPr>
        <w:tabs>
          <w:tab w:val="num" w:pos="6807"/>
        </w:tabs>
        <w:ind w:left="6807" w:hanging="360"/>
      </w:pPr>
      <w:rPr>
        <w:rFonts w:ascii="Wingdings" w:hAnsi="Wingdings" w:hint="default"/>
      </w:rPr>
    </w:lvl>
  </w:abstractNum>
  <w:abstractNum w:abstractNumId="1">
    <w:nsid w:val="19C00F09"/>
    <w:multiLevelType w:val="hybridMultilevel"/>
    <w:tmpl w:val="F202E0D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D9435ED"/>
    <w:multiLevelType w:val="hybridMultilevel"/>
    <w:tmpl w:val="7654CF30"/>
    <w:lvl w:ilvl="0" w:tplc="46A21E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CE3EEA"/>
    <w:multiLevelType w:val="hybridMultilevel"/>
    <w:tmpl w:val="91CEFC68"/>
    <w:lvl w:ilvl="0" w:tplc="2D18673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412157"/>
    <w:multiLevelType w:val="hybridMultilevel"/>
    <w:tmpl w:val="D2B4CA82"/>
    <w:lvl w:ilvl="0" w:tplc="826873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B14188"/>
    <w:multiLevelType w:val="hybridMultilevel"/>
    <w:tmpl w:val="FDF2C512"/>
    <w:lvl w:ilvl="0" w:tplc="CD7A6B42">
      <w:start w:val="1"/>
      <w:numFmt w:val="decimal"/>
      <w:lvlText w:val="(%1)"/>
      <w:lvlJc w:val="left"/>
      <w:pPr>
        <w:ind w:left="1120" w:hanging="400"/>
      </w:pPr>
      <w:rPr>
        <w:rFonts w:hint="default"/>
        <w:i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9B"/>
    <w:rsid w:val="00002A6F"/>
    <w:rsid w:val="000127F6"/>
    <w:rsid w:val="00020F74"/>
    <w:rsid w:val="000225D7"/>
    <w:rsid w:val="00031392"/>
    <w:rsid w:val="00036217"/>
    <w:rsid w:val="00055CCD"/>
    <w:rsid w:val="00057C94"/>
    <w:rsid w:val="000739CD"/>
    <w:rsid w:val="00074FEE"/>
    <w:rsid w:val="00085A7A"/>
    <w:rsid w:val="000879D0"/>
    <w:rsid w:val="000A2DF8"/>
    <w:rsid w:val="000A4F5E"/>
    <w:rsid w:val="000B28A5"/>
    <w:rsid w:val="000C441C"/>
    <w:rsid w:val="000C5326"/>
    <w:rsid w:val="000D1146"/>
    <w:rsid w:val="000D1590"/>
    <w:rsid w:val="000D349B"/>
    <w:rsid w:val="000E4E3C"/>
    <w:rsid w:val="000E740A"/>
    <w:rsid w:val="00100A69"/>
    <w:rsid w:val="00103E0F"/>
    <w:rsid w:val="001068D4"/>
    <w:rsid w:val="001071B1"/>
    <w:rsid w:val="00110430"/>
    <w:rsid w:val="00120A0F"/>
    <w:rsid w:val="00124FCE"/>
    <w:rsid w:val="00130D41"/>
    <w:rsid w:val="00137143"/>
    <w:rsid w:val="00141CF7"/>
    <w:rsid w:val="0014630A"/>
    <w:rsid w:val="00150474"/>
    <w:rsid w:val="001567A2"/>
    <w:rsid w:val="001917FE"/>
    <w:rsid w:val="001A0F17"/>
    <w:rsid w:val="001B1398"/>
    <w:rsid w:val="001D517B"/>
    <w:rsid w:val="001E2639"/>
    <w:rsid w:val="001E79FF"/>
    <w:rsid w:val="001F73C7"/>
    <w:rsid w:val="00203722"/>
    <w:rsid w:val="002065FB"/>
    <w:rsid w:val="00207541"/>
    <w:rsid w:val="002076B0"/>
    <w:rsid w:val="0021705A"/>
    <w:rsid w:val="00225258"/>
    <w:rsid w:val="0022677F"/>
    <w:rsid w:val="00232F1F"/>
    <w:rsid w:val="00234431"/>
    <w:rsid w:val="0023582A"/>
    <w:rsid w:val="00240FE8"/>
    <w:rsid w:val="00257DB3"/>
    <w:rsid w:val="002630D5"/>
    <w:rsid w:val="00271480"/>
    <w:rsid w:val="00285E9E"/>
    <w:rsid w:val="00293878"/>
    <w:rsid w:val="002B25CA"/>
    <w:rsid w:val="002B3C97"/>
    <w:rsid w:val="002C3FAD"/>
    <w:rsid w:val="002C440C"/>
    <w:rsid w:val="002F5B47"/>
    <w:rsid w:val="00300341"/>
    <w:rsid w:val="00301788"/>
    <w:rsid w:val="003056A4"/>
    <w:rsid w:val="00306EA8"/>
    <w:rsid w:val="00312F4A"/>
    <w:rsid w:val="0032433D"/>
    <w:rsid w:val="00325BEE"/>
    <w:rsid w:val="0034033A"/>
    <w:rsid w:val="0037475A"/>
    <w:rsid w:val="003813E9"/>
    <w:rsid w:val="003A1CB5"/>
    <w:rsid w:val="003B3E77"/>
    <w:rsid w:val="003C3FB2"/>
    <w:rsid w:val="003D099C"/>
    <w:rsid w:val="00400CC2"/>
    <w:rsid w:val="00403449"/>
    <w:rsid w:val="00404A9C"/>
    <w:rsid w:val="00406C26"/>
    <w:rsid w:val="0041023B"/>
    <w:rsid w:val="00423AD3"/>
    <w:rsid w:val="0042603E"/>
    <w:rsid w:val="00430FCD"/>
    <w:rsid w:val="00437162"/>
    <w:rsid w:val="00442134"/>
    <w:rsid w:val="0046598E"/>
    <w:rsid w:val="00465D40"/>
    <w:rsid w:val="00467C72"/>
    <w:rsid w:val="00474A67"/>
    <w:rsid w:val="0047723D"/>
    <w:rsid w:val="00481747"/>
    <w:rsid w:val="00484E0E"/>
    <w:rsid w:val="004874C7"/>
    <w:rsid w:val="0049107F"/>
    <w:rsid w:val="00491316"/>
    <w:rsid w:val="004A04D3"/>
    <w:rsid w:val="004B17B0"/>
    <w:rsid w:val="004C51A9"/>
    <w:rsid w:val="004D2DE0"/>
    <w:rsid w:val="004E0050"/>
    <w:rsid w:val="004E058D"/>
    <w:rsid w:val="004F3244"/>
    <w:rsid w:val="00510A4B"/>
    <w:rsid w:val="0051799B"/>
    <w:rsid w:val="005218BE"/>
    <w:rsid w:val="00521D2F"/>
    <w:rsid w:val="00532FA0"/>
    <w:rsid w:val="00535686"/>
    <w:rsid w:val="00537406"/>
    <w:rsid w:val="00544BB9"/>
    <w:rsid w:val="00550E81"/>
    <w:rsid w:val="005606B8"/>
    <w:rsid w:val="005711FB"/>
    <w:rsid w:val="00574074"/>
    <w:rsid w:val="00575CBA"/>
    <w:rsid w:val="00586336"/>
    <w:rsid w:val="005D5698"/>
    <w:rsid w:val="00610891"/>
    <w:rsid w:val="00613517"/>
    <w:rsid w:val="006162E6"/>
    <w:rsid w:val="00622DBF"/>
    <w:rsid w:val="00630F26"/>
    <w:rsid w:val="006423DB"/>
    <w:rsid w:val="00647367"/>
    <w:rsid w:val="006701C0"/>
    <w:rsid w:val="006716DB"/>
    <w:rsid w:val="006720D2"/>
    <w:rsid w:val="00672D6A"/>
    <w:rsid w:val="00682F5D"/>
    <w:rsid w:val="00683036"/>
    <w:rsid w:val="00684493"/>
    <w:rsid w:val="00696752"/>
    <w:rsid w:val="00696B6A"/>
    <w:rsid w:val="006A2888"/>
    <w:rsid w:val="006A6C7F"/>
    <w:rsid w:val="006B087C"/>
    <w:rsid w:val="006B183D"/>
    <w:rsid w:val="006B238E"/>
    <w:rsid w:val="006C4BF6"/>
    <w:rsid w:val="006E1DC0"/>
    <w:rsid w:val="006E3820"/>
    <w:rsid w:val="006F519C"/>
    <w:rsid w:val="00724FAD"/>
    <w:rsid w:val="00726B3D"/>
    <w:rsid w:val="00746646"/>
    <w:rsid w:val="007470E4"/>
    <w:rsid w:val="00752CD6"/>
    <w:rsid w:val="00755842"/>
    <w:rsid w:val="00755F49"/>
    <w:rsid w:val="0075694C"/>
    <w:rsid w:val="0076752D"/>
    <w:rsid w:val="00770C02"/>
    <w:rsid w:val="0078314C"/>
    <w:rsid w:val="007919AE"/>
    <w:rsid w:val="007B5C49"/>
    <w:rsid w:val="007C02ED"/>
    <w:rsid w:val="007D5C14"/>
    <w:rsid w:val="007E4BB2"/>
    <w:rsid w:val="007E7046"/>
    <w:rsid w:val="007E7A01"/>
    <w:rsid w:val="008055AE"/>
    <w:rsid w:val="0082222B"/>
    <w:rsid w:val="00822AFB"/>
    <w:rsid w:val="00837742"/>
    <w:rsid w:val="00841099"/>
    <w:rsid w:val="00844140"/>
    <w:rsid w:val="0084553E"/>
    <w:rsid w:val="008571B6"/>
    <w:rsid w:val="00861EE7"/>
    <w:rsid w:val="00870E9A"/>
    <w:rsid w:val="00883E38"/>
    <w:rsid w:val="0089314B"/>
    <w:rsid w:val="008A33EA"/>
    <w:rsid w:val="008E79CE"/>
    <w:rsid w:val="008F3D47"/>
    <w:rsid w:val="008F5AD1"/>
    <w:rsid w:val="00900BB1"/>
    <w:rsid w:val="00900CD6"/>
    <w:rsid w:val="00911D8D"/>
    <w:rsid w:val="00934AA2"/>
    <w:rsid w:val="00936A00"/>
    <w:rsid w:val="00942A2E"/>
    <w:rsid w:val="00942B65"/>
    <w:rsid w:val="0095272B"/>
    <w:rsid w:val="0096188C"/>
    <w:rsid w:val="00977390"/>
    <w:rsid w:val="009923FC"/>
    <w:rsid w:val="00996AF1"/>
    <w:rsid w:val="009C3552"/>
    <w:rsid w:val="009D2691"/>
    <w:rsid w:val="009E1AB2"/>
    <w:rsid w:val="009E720E"/>
    <w:rsid w:val="009F62D4"/>
    <w:rsid w:val="00A233B1"/>
    <w:rsid w:val="00A463A8"/>
    <w:rsid w:val="00A52E01"/>
    <w:rsid w:val="00A54BEA"/>
    <w:rsid w:val="00A5588B"/>
    <w:rsid w:val="00A651F5"/>
    <w:rsid w:val="00A65269"/>
    <w:rsid w:val="00A6619B"/>
    <w:rsid w:val="00A66D3F"/>
    <w:rsid w:val="00A8797A"/>
    <w:rsid w:val="00A87DF7"/>
    <w:rsid w:val="00AA0331"/>
    <w:rsid w:val="00AA2A09"/>
    <w:rsid w:val="00AA5EA4"/>
    <w:rsid w:val="00AA5FB0"/>
    <w:rsid w:val="00AA6991"/>
    <w:rsid w:val="00AB4D70"/>
    <w:rsid w:val="00AC3A57"/>
    <w:rsid w:val="00AC69AE"/>
    <w:rsid w:val="00AD21A2"/>
    <w:rsid w:val="00AD4AF3"/>
    <w:rsid w:val="00AD7155"/>
    <w:rsid w:val="00AE71EB"/>
    <w:rsid w:val="00B02CE5"/>
    <w:rsid w:val="00B14418"/>
    <w:rsid w:val="00B15663"/>
    <w:rsid w:val="00B30998"/>
    <w:rsid w:val="00B60553"/>
    <w:rsid w:val="00B65DAA"/>
    <w:rsid w:val="00B67409"/>
    <w:rsid w:val="00B70EA5"/>
    <w:rsid w:val="00B9433E"/>
    <w:rsid w:val="00BA38B3"/>
    <w:rsid w:val="00BA4B4A"/>
    <w:rsid w:val="00BB0097"/>
    <w:rsid w:val="00BC3D20"/>
    <w:rsid w:val="00BD055A"/>
    <w:rsid w:val="00BD307D"/>
    <w:rsid w:val="00BE1867"/>
    <w:rsid w:val="00C04491"/>
    <w:rsid w:val="00C046B1"/>
    <w:rsid w:val="00C359B9"/>
    <w:rsid w:val="00C37858"/>
    <w:rsid w:val="00C543B0"/>
    <w:rsid w:val="00C6009C"/>
    <w:rsid w:val="00C60A14"/>
    <w:rsid w:val="00C7211C"/>
    <w:rsid w:val="00C85846"/>
    <w:rsid w:val="00CA0157"/>
    <w:rsid w:val="00CA327F"/>
    <w:rsid w:val="00CB262B"/>
    <w:rsid w:val="00CB41A9"/>
    <w:rsid w:val="00CC190D"/>
    <w:rsid w:val="00D055BD"/>
    <w:rsid w:val="00D15B22"/>
    <w:rsid w:val="00D21900"/>
    <w:rsid w:val="00D31450"/>
    <w:rsid w:val="00D31B68"/>
    <w:rsid w:val="00D41BD3"/>
    <w:rsid w:val="00D450DE"/>
    <w:rsid w:val="00D60EE7"/>
    <w:rsid w:val="00D65EA6"/>
    <w:rsid w:val="00D82F67"/>
    <w:rsid w:val="00D84346"/>
    <w:rsid w:val="00D87CD8"/>
    <w:rsid w:val="00DA24D5"/>
    <w:rsid w:val="00DA27FC"/>
    <w:rsid w:val="00DC0451"/>
    <w:rsid w:val="00DD14A2"/>
    <w:rsid w:val="00DE0B7C"/>
    <w:rsid w:val="00DE6E0B"/>
    <w:rsid w:val="00DF4A9D"/>
    <w:rsid w:val="00E036C2"/>
    <w:rsid w:val="00E05301"/>
    <w:rsid w:val="00E101F9"/>
    <w:rsid w:val="00E122C7"/>
    <w:rsid w:val="00E127E8"/>
    <w:rsid w:val="00E16B92"/>
    <w:rsid w:val="00E35B4D"/>
    <w:rsid w:val="00E427DE"/>
    <w:rsid w:val="00E52076"/>
    <w:rsid w:val="00E53865"/>
    <w:rsid w:val="00E609AC"/>
    <w:rsid w:val="00E6462E"/>
    <w:rsid w:val="00E6612B"/>
    <w:rsid w:val="00E84A3D"/>
    <w:rsid w:val="00E95FF9"/>
    <w:rsid w:val="00EA5608"/>
    <w:rsid w:val="00EB70CD"/>
    <w:rsid w:val="00ED62C0"/>
    <w:rsid w:val="00EE3030"/>
    <w:rsid w:val="00EE6BCA"/>
    <w:rsid w:val="00EF7BF7"/>
    <w:rsid w:val="00F15492"/>
    <w:rsid w:val="00F1554D"/>
    <w:rsid w:val="00F15B2B"/>
    <w:rsid w:val="00F236BA"/>
    <w:rsid w:val="00F367F3"/>
    <w:rsid w:val="00F501E9"/>
    <w:rsid w:val="00F50C76"/>
    <w:rsid w:val="00F54BBA"/>
    <w:rsid w:val="00F54C98"/>
    <w:rsid w:val="00F6139C"/>
    <w:rsid w:val="00F70728"/>
    <w:rsid w:val="00F822D7"/>
    <w:rsid w:val="00F82F7F"/>
    <w:rsid w:val="00F83A09"/>
    <w:rsid w:val="00F91403"/>
    <w:rsid w:val="00F97DA0"/>
    <w:rsid w:val="00FA10BE"/>
    <w:rsid w:val="00FE1D00"/>
    <w:rsid w:val="00FE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F0E9F-D08B-41E8-AD6B-5F04330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
    <w:name w:val="Char Char Char Char Char Char1 Char"/>
    <w:basedOn w:val="Normal"/>
    <w:semiHidden/>
    <w:rsid w:val="00A6619B"/>
    <w:pPr>
      <w:spacing w:after="160" w:line="240" w:lineRule="exact"/>
    </w:pPr>
    <w:rPr>
      <w:rFonts w:ascii="Arial" w:eastAsia="MS Mincho" w:hAnsi="Arial"/>
      <w:sz w:val="22"/>
      <w:szCs w:val="22"/>
    </w:rPr>
  </w:style>
  <w:style w:type="paragraph" w:styleId="FootnoteText">
    <w:name w:val="footnote text"/>
    <w:aliases w:val="FOOTNOTES,fn,single space,footnote text,ft,Footnotes,Footnote ak,fn cafc,fn Char,footnote text Char,Footnotes Char,Footnote ak Char,Footnotes Char Char,Footnote Text Char Char,fn Char Char,footnote text Char Char Char Ch,FOOTNOTE"/>
    <w:basedOn w:val="Normal"/>
    <w:link w:val="FootnoteTextChar"/>
    <w:rsid w:val="00A6619B"/>
    <w:rPr>
      <w:sz w:val="20"/>
      <w:szCs w:val="20"/>
    </w:rPr>
  </w:style>
  <w:style w:type="character" w:styleId="FootnoteReference">
    <w:name w:val="footnote reference"/>
    <w:semiHidden/>
    <w:rsid w:val="00A6619B"/>
    <w:rPr>
      <w:vertAlign w:val="superscript"/>
    </w:rPr>
  </w:style>
  <w:style w:type="paragraph" w:styleId="Footer">
    <w:name w:val="footer"/>
    <w:basedOn w:val="Normal"/>
    <w:link w:val="FooterChar"/>
    <w:uiPriority w:val="99"/>
    <w:rsid w:val="00A6619B"/>
    <w:pPr>
      <w:tabs>
        <w:tab w:val="center" w:pos="4320"/>
        <w:tab w:val="right" w:pos="8640"/>
      </w:tabs>
    </w:pPr>
    <w:rPr>
      <w:rFonts w:eastAsia="MS Mincho"/>
      <w:lang w:eastAsia="ja-JP"/>
    </w:rPr>
  </w:style>
  <w:style w:type="character" w:styleId="PageNumber">
    <w:name w:val="page number"/>
    <w:basedOn w:val="DefaultParagraphFont"/>
    <w:rsid w:val="00A6619B"/>
  </w:style>
  <w:style w:type="paragraph" w:styleId="Title">
    <w:name w:val="Title"/>
    <w:basedOn w:val="Normal"/>
    <w:link w:val="TitleChar"/>
    <w:qFormat/>
    <w:rsid w:val="00A6619B"/>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link w:val="Title"/>
    <w:rsid w:val="00A6619B"/>
    <w:rPr>
      <w:rFonts w:ascii=".VnTimeH" w:eastAsia="MS Mincho" w:hAnsi=".VnTimeH"/>
      <w:b/>
      <w:bCs/>
      <w:sz w:val="32"/>
      <w:szCs w:val="32"/>
      <w:lang w:val="en-US" w:eastAsia="en-US" w:bidi="ar-SA"/>
    </w:rPr>
  </w:style>
  <w:style w:type="paragraph" w:customStyle="1" w:styleId="1">
    <w:name w:val="1"/>
    <w:basedOn w:val="DocumentMap"/>
    <w:autoRedefine/>
    <w:rsid w:val="000D1146"/>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rsid w:val="000D1146"/>
    <w:rPr>
      <w:rFonts w:ascii="Tahoma" w:hAnsi="Tahoma"/>
      <w:sz w:val="16"/>
      <w:szCs w:val="16"/>
      <w:lang w:val="x-none" w:eastAsia="x-none"/>
    </w:rPr>
  </w:style>
  <w:style w:type="character" w:customStyle="1" w:styleId="DocumentMapChar">
    <w:name w:val="Document Map Char"/>
    <w:link w:val="DocumentMap"/>
    <w:rsid w:val="000D1146"/>
    <w:rPr>
      <w:rFonts w:ascii="Tahoma" w:hAnsi="Tahoma" w:cs="Tahoma"/>
      <w:sz w:val="16"/>
      <w:szCs w:val="16"/>
    </w:rPr>
  </w:style>
  <w:style w:type="paragraph" w:customStyle="1" w:styleId="CharCharCharCharCharCharChar">
    <w:name w:val="Char Char Char Char Char Char Char"/>
    <w:basedOn w:val="Normal"/>
    <w:semiHidden/>
    <w:rsid w:val="00CA0157"/>
    <w:pPr>
      <w:spacing w:after="160" w:line="240" w:lineRule="exact"/>
    </w:pPr>
    <w:rPr>
      <w:rFonts w:ascii="Arial" w:hAnsi="Arial"/>
      <w:sz w:val="22"/>
      <w:szCs w:val="22"/>
    </w:rPr>
  </w:style>
  <w:style w:type="paragraph" w:styleId="NormalWeb">
    <w:name w:val="Normal (Web)"/>
    <w:basedOn w:val="Normal"/>
    <w:uiPriority w:val="99"/>
    <w:unhideWhenUsed/>
    <w:rsid w:val="005711FB"/>
    <w:pPr>
      <w:spacing w:before="100" w:beforeAutospacing="1" w:after="100" w:afterAutospacing="1"/>
    </w:pPr>
  </w:style>
  <w:style w:type="paragraph" w:customStyle="1" w:styleId="normal-p">
    <w:name w:val="normal-p"/>
    <w:basedOn w:val="Normal"/>
    <w:rsid w:val="00E101F9"/>
    <w:rPr>
      <w:sz w:val="20"/>
      <w:szCs w:val="20"/>
    </w:rPr>
  </w:style>
  <w:style w:type="character" w:customStyle="1" w:styleId="normal-h1">
    <w:name w:val="normal-h1"/>
    <w:rsid w:val="00E101F9"/>
    <w:rPr>
      <w:rFonts w:ascii="Times New Roman" w:hAnsi="Times New Roman" w:cs="Times New Roman" w:hint="default"/>
      <w:sz w:val="28"/>
      <w:szCs w:val="28"/>
    </w:rPr>
  </w:style>
  <w:style w:type="table" w:styleId="TableGrid">
    <w:name w:val="Table Grid"/>
    <w:basedOn w:val="TableNormal"/>
    <w:rsid w:val="00BE18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S Char,fn Char1,single space Char,footnote text Char1,ft Char,Footnotes Char1,Footnote ak Char1,fn cafc Char,fn Char Char1,footnote text Char Char,Footnotes Char Char1,Footnote ak Char Char,Footnotes Char Char Char"/>
    <w:link w:val="FootnoteText"/>
    <w:rsid w:val="00E95FF9"/>
  </w:style>
  <w:style w:type="paragraph" w:styleId="Header">
    <w:name w:val="header"/>
    <w:basedOn w:val="Normal"/>
    <w:link w:val="HeaderChar"/>
    <w:uiPriority w:val="99"/>
    <w:rsid w:val="004E0050"/>
    <w:pPr>
      <w:tabs>
        <w:tab w:val="center" w:pos="4680"/>
        <w:tab w:val="right" w:pos="9360"/>
      </w:tabs>
    </w:pPr>
  </w:style>
  <w:style w:type="character" w:customStyle="1" w:styleId="HeaderChar">
    <w:name w:val="Header Char"/>
    <w:link w:val="Header"/>
    <w:uiPriority w:val="99"/>
    <w:rsid w:val="004E0050"/>
    <w:rPr>
      <w:sz w:val="24"/>
      <w:szCs w:val="24"/>
    </w:rPr>
  </w:style>
  <w:style w:type="paragraph" w:styleId="BalloonText">
    <w:name w:val="Balloon Text"/>
    <w:basedOn w:val="Normal"/>
    <w:link w:val="BalloonTextChar"/>
    <w:rsid w:val="004E0050"/>
    <w:rPr>
      <w:rFonts w:ascii="Tahoma" w:hAnsi="Tahoma" w:cs="Tahoma"/>
      <w:sz w:val="16"/>
      <w:szCs w:val="16"/>
    </w:rPr>
  </w:style>
  <w:style w:type="character" w:customStyle="1" w:styleId="BalloonTextChar">
    <w:name w:val="Balloon Text Char"/>
    <w:link w:val="BalloonText"/>
    <w:rsid w:val="004E0050"/>
    <w:rPr>
      <w:rFonts w:ascii="Tahoma" w:hAnsi="Tahoma" w:cs="Tahoma"/>
      <w:sz w:val="16"/>
      <w:szCs w:val="16"/>
    </w:rPr>
  </w:style>
  <w:style w:type="character" w:customStyle="1" w:styleId="FooterChar">
    <w:name w:val="Footer Char"/>
    <w:link w:val="Footer"/>
    <w:uiPriority w:val="99"/>
    <w:rsid w:val="006B183D"/>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7676">
      <w:bodyDiv w:val="1"/>
      <w:marLeft w:val="0"/>
      <w:marRight w:val="0"/>
      <w:marTop w:val="0"/>
      <w:marBottom w:val="0"/>
      <w:divBdr>
        <w:top w:val="none" w:sz="0" w:space="0" w:color="auto"/>
        <w:left w:val="none" w:sz="0" w:space="0" w:color="auto"/>
        <w:bottom w:val="none" w:sz="0" w:space="0" w:color="auto"/>
        <w:right w:val="none" w:sz="0" w:space="0" w:color="auto"/>
      </w:divBdr>
    </w:div>
    <w:div w:id="18420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C059-D3B7-42A8-8F5D-3F503B8F72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EB9DB-6769-41EC-AC55-C508F84A1A76}">
  <ds:schemaRefs>
    <ds:schemaRef ds:uri="http://schemas.microsoft.com/sharepoint/v3/contenttype/forms"/>
  </ds:schemaRefs>
</ds:datastoreItem>
</file>

<file path=customXml/itemProps3.xml><?xml version="1.0" encoding="utf-8"?>
<ds:datastoreItem xmlns:ds="http://schemas.openxmlformats.org/officeDocument/2006/customXml" ds:itemID="{E4F6234F-2BD1-411B-80F6-66CEF440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86DF36-C3D3-4C3E-89FE-CDC802C4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BỘ TƯ PHÁP</vt:lpstr>
    </vt:vector>
  </TitlesOfParts>
  <Company>Grizli777</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SONY</cp:lastModifiedBy>
  <cp:revision>21</cp:revision>
  <cp:lastPrinted>2023-02-27T11:40:00Z</cp:lastPrinted>
  <dcterms:created xsi:type="dcterms:W3CDTF">2022-03-24T08:41:00Z</dcterms:created>
  <dcterms:modified xsi:type="dcterms:W3CDTF">2023-05-03T07:34:00Z</dcterms:modified>
</cp:coreProperties>
</file>