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8C" w:rsidRPr="004F1E92" w:rsidRDefault="0053448C" w:rsidP="005270A8">
      <w:pPr>
        <w:spacing w:before="0" w:after="0"/>
        <w:jc w:val="center"/>
        <w:rPr>
          <w:rFonts w:eastAsia="Times New Roman"/>
          <w:bCs/>
          <w:szCs w:val="28"/>
          <w:lang w:val="nl-NL"/>
        </w:rPr>
      </w:pPr>
    </w:p>
    <w:tbl>
      <w:tblPr>
        <w:tblW w:w="9464" w:type="dxa"/>
        <w:jc w:val="center"/>
        <w:tblLook w:val="00A0" w:firstRow="1" w:lastRow="0" w:firstColumn="1" w:lastColumn="0" w:noHBand="0" w:noVBand="0"/>
      </w:tblPr>
      <w:tblGrid>
        <w:gridCol w:w="3475"/>
        <w:gridCol w:w="5989"/>
      </w:tblGrid>
      <w:tr w:rsidR="004F1E92" w:rsidRPr="001E61BC" w:rsidTr="002154F7">
        <w:trPr>
          <w:trHeight w:val="284"/>
          <w:jc w:val="center"/>
        </w:trPr>
        <w:tc>
          <w:tcPr>
            <w:tcW w:w="3475" w:type="dxa"/>
          </w:tcPr>
          <w:p w:rsidR="00D965EE" w:rsidRPr="001E61BC" w:rsidRDefault="00D965EE" w:rsidP="00D965EE">
            <w:pPr>
              <w:spacing w:before="0" w:after="0"/>
              <w:jc w:val="center"/>
              <w:rPr>
                <w:rFonts w:ascii=".VnFree" w:hAnsi=".VnFree"/>
                <w:sz w:val="26"/>
                <w:szCs w:val="26"/>
                <w:lang w:val="nl-NL"/>
              </w:rPr>
            </w:pPr>
            <w:r w:rsidRPr="001E61BC">
              <w:rPr>
                <w:b/>
                <w:sz w:val="26"/>
                <w:szCs w:val="26"/>
                <w:lang w:val="nl-NL"/>
              </w:rPr>
              <w:t>BỘ TÀI CHÍNH</w:t>
            </w:r>
          </w:p>
        </w:tc>
        <w:tc>
          <w:tcPr>
            <w:tcW w:w="5989" w:type="dxa"/>
          </w:tcPr>
          <w:p w:rsidR="00D965EE" w:rsidRPr="001E61BC" w:rsidRDefault="00D965EE" w:rsidP="00D965EE">
            <w:pPr>
              <w:spacing w:before="0" w:after="0"/>
              <w:rPr>
                <w:b/>
                <w:sz w:val="26"/>
                <w:szCs w:val="26"/>
                <w:lang w:val="nl-NL"/>
              </w:rPr>
            </w:pPr>
            <w:r w:rsidRPr="001E61BC">
              <w:rPr>
                <w:b/>
                <w:sz w:val="26"/>
                <w:szCs w:val="26"/>
                <w:lang w:val="nl-NL"/>
              </w:rPr>
              <w:t>CỘNG HÒA XÃ HỘI CHỦ NGHĨA VIỆT NAM</w:t>
            </w:r>
          </w:p>
        </w:tc>
      </w:tr>
      <w:tr w:rsidR="004F1E92" w:rsidRPr="001E61BC" w:rsidTr="002154F7">
        <w:trPr>
          <w:jc w:val="center"/>
        </w:trPr>
        <w:tc>
          <w:tcPr>
            <w:tcW w:w="3475" w:type="dxa"/>
          </w:tcPr>
          <w:p w:rsidR="00D965EE" w:rsidRPr="001E61BC" w:rsidRDefault="00755AE7" w:rsidP="00D965EE">
            <w:pPr>
              <w:spacing w:before="0" w:after="0"/>
              <w:ind w:firstLine="38"/>
              <w:rPr>
                <w:lang w:val="nl-NL"/>
              </w:rPr>
            </w:pPr>
            <w:r>
              <w:rPr>
                <w:rFonts w:ascii=".VnFree" w:hAnsi=".VnFree"/>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65.9pt;margin-top:6.05pt;width:33.75pt;height:0;z-index:251657216;mso-position-horizontal-relative:text;mso-position-vertical-relative:text" o:connectortype="straight"/>
              </w:pict>
            </w:r>
          </w:p>
        </w:tc>
        <w:tc>
          <w:tcPr>
            <w:tcW w:w="5989" w:type="dxa"/>
          </w:tcPr>
          <w:p w:rsidR="00D965EE" w:rsidRPr="001E61BC" w:rsidRDefault="00D965EE" w:rsidP="00D965EE">
            <w:pPr>
              <w:spacing w:before="0" w:after="0"/>
              <w:jc w:val="center"/>
              <w:rPr>
                <w:b/>
                <w:lang w:val="nl-NL"/>
              </w:rPr>
            </w:pPr>
            <w:r w:rsidRPr="001E61BC">
              <w:rPr>
                <w:b/>
                <w:lang w:val="nl-NL"/>
              </w:rPr>
              <w:t>Độc lập - Tự do - Hạnh phúc</w:t>
            </w:r>
          </w:p>
          <w:p w:rsidR="00D965EE" w:rsidRPr="001E61BC" w:rsidRDefault="00755AE7" w:rsidP="00D965EE">
            <w:pPr>
              <w:spacing w:before="0" w:after="0"/>
              <w:jc w:val="center"/>
              <w:rPr>
                <w:rFonts w:ascii=".VnFree" w:hAnsi=".VnFree"/>
                <w:i/>
                <w:lang w:val="nl-NL"/>
              </w:rPr>
            </w:pPr>
            <w:r>
              <w:rPr>
                <w:b/>
                <w:noProof/>
                <w:lang w:val="en-US"/>
              </w:rPr>
              <w:pict>
                <v:shape id="_x0000_s1027" type="#_x0000_t32" style="position:absolute;left:0;text-align:left;margin-left:61.6pt;margin-top:6.2pt;width:161.8pt;height:0;z-index:251658240" o:connectortype="straight"/>
              </w:pict>
            </w:r>
          </w:p>
        </w:tc>
      </w:tr>
      <w:tr w:rsidR="00D965EE" w:rsidRPr="001E61BC" w:rsidTr="002154F7">
        <w:trPr>
          <w:trHeight w:val="403"/>
          <w:jc w:val="center"/>
        </w:trPr>
        <w:tc>
          <w:tcPr>
            <w:tcW w:w="3475" w:type="dxa"/>
          </w:tcPr>
          <w:p w:rsidR="00D965EE" w:rsidRPr="001E61BC" w:rsidRDefault="00D965EE" w:rsidP="00D965EE">
            <w:pPr>
              <w:spacing w:before="0" w:after="0"/>
              <w:jc w:val="center"/>
              <w:rPr>
                <w:rFonts w:eastAsia="Times New Roman"/>
                <w:sz w:val="24"/>
                <w:szCs w:val="24"/>
                <w:lang w:val="nl-NL"/>
              </w:rPr>
            </w:pPr>
            <w:r w:rsidRPr="001E61BC">
              <w:rPr>
                <w:rFonts w:eastAsia="Times New Roman"/>
                <w:sz w:val="26"/>
                <w:szCs w:val="24"/>
                <w:lang w:val="nl-NL"/>
              </w:rPr>
              <w:t>Số:          /TTr-BTC</w:t>
            </w:r>
          </w:p>
          <w:p w:rsidR="00D965EE" w:rsidRPr="001E61BC" w:rsidRDefault="00D965EE" w:rsidP="00D965EE">
            <w:pPr>
              <w:spacing w:before="0" w:after="0"/>
              <w:ind w:left="-43" w:right="-48" w:firstLine="43"/>
              <w:jc w:val="center"/>
              <w:rPr>
                <w:sz w:val="24"/>
                <w:szCs w:val="24"/>
                <w:lang w:val="nl-NL"/>
              </w:rPr>
            </w:pPr>
          </w:p>
        </w:tc>
        <w:tc>
          <w:tcPr>
            <w:tcW w:w="5989" w:type="dxa"/>
          </w:tcPr>
          <w:p w:rsidR="00D965EE" w:rsidRPr="001E61BC" w:rsidRDefault="00D965EE" w:rsidP="00D965EE">
            <w:pPr>
              <w:spacing w:before="0" w:after="0"/>
              <w:jc w:val="center"/>
              <w:rPr>
                <w:i/>
              </w:rPr>
            </w:pPr>
            <w:r w:rsidRPr="001E61BC">
              <w:rPr>
                <w:i/>
                <w:lang w:val="nl-NL"/>
              </w:rPr>
              <w:t>Hà Nội, ngày      tháng     năm 2023</w:t>
            </w:r>
          </w:p>
        </w:tc>
      </w:tr>
    </w:tbl>
    <w:p w:rsidR="00D965EE" w:rsidRPr="001E61BC" w:rsidRDefault="00D965EE" w:rsidP="00714BA8">
      <w:pPr>
        <w:spacing w:before="0" w:after="0"/>
        <w:ind w:right="-357"/>
        <w:jc w:val="center"/>
        <w:rPr>
          <w:rFonts w:asciiTheme="majorHAnsi" w:eastAsia="Calibri" w:hAnsiTheme="majorHAnsi" w:cstheme="majorHAnsi"/>
          <w:b/>
          <w:szCs w:val="28"/>
        </w:rPr>
      </w:pPr>
    </w:p>
    <w:p w:rsidR="001A797C" w:rsidRDefault="001A797C" w:rsidP="009B539C">
      <w:pPr>
        <w:spacing w:before="0" w:after="0"/>
        <w:ind w:right="-357"/>
        <w:rPr>
          <w:rFonts w:asciiTheme="majorHAnsi" w:eastAsia="Calibri" w:hAnsiTheme="majorHAnsi" w:cstheme="majorHAnsi"/>
          <w:b/>
          <w:szCs w:val="28"/>
        </w:rPr>
      </w:pPr>
      <w:bookmarkStart w:id="0" w:name="_GoBack"/>
      <w:bookmarkEnd w:id="0"/>
    </w:p>
    <w:p w:rsidR="001A797C" w:rsidRDefault="001A797C" w:rsidP="00A86B28">
      <w:pPr>
        <w:spacing w:before="0" w:after="0"/>
        <w:ind w:right="-357"/>
        <w:jc w:val="center"/>
        <w:rPr>
          <w:rFonts w:asciiTheme="majorHAnsi" w:eastAsia="Calibri" w:hAnsiTheme="majorHAnsi" w:cstheme="majorHAnsi"/>
          <w:b/>
          <w:szCs w:val="28"/>
        </w:rPr>
      </w:pPr>
    </w:p>
    <w:p w:rsidR="00714BA8" w:rsidRPr="001E61BC" w:rsidRDefault="00714BA8" w:rsidP="00A86B28">
      <w:pPr>
        <w:spacing w:before="0" w:after="0"/>
        <w:ind w:right="-357"/>
        <w:jc w:val="center"/>
        <w:rPr>
          <w:rFonts w:asciiTheme="majorHAnsi" w:eastAsia="Calibri" w:hAnsiTheme="majorHAnsi" w:cstheme="majorHAnsi"/>
          <w:b/>
          <w:szCs w:val="28"/>
        </w:rPr>
      </w:pPr>
      <w:r w:rsidRPr="001E61BC">
        <w:rPr>
          <w:rFonts w:asciiTheme="majorHAnsi" w:eastAsia="Calibri" w:hAnsiTheme="majorHAnsi" w:cstheme="majorHAnsi"/>
          <w:b/>
          <w:szCs w:val="28"/>
        </w:rPr>
        <w:t>TỜ TRÌNH</w:t>
      </w:r>
    </w:p>
    <w:p w:rsidR="00B57316" w:rsidRPr="001E61BC" w:rsidRDefault="00641AD2" w:rsidP="00B57316">
      <w:pPr>
        <w:spacing w:before="0" w:after="0"/>
        <w:jc w:val="center"/>
        <w:rPr>
          <w:rFonts w:asciiTheme="majorHAnsi" w:eastAsia="Calibri" w:hAnsiTheme="majorHAnsi" w:cstheme="majorHAnsi"/>
          <w:b/>
          <w:szCs w:val="28"/>
          <w:lang w:val="nl-NL"/>
        </w:rPr>
      </w:pPr>
      <w:r>
        <w:rPr>
          <w:rFonts w:asciiTheme="majorHAnsi" w:eastAsia="Times New Roman" w:hAnsiTheme="majorHAnsi" w:cstheme="majorHAnsi"/>
          <w:b/>
          <w:szCs w:val="28"/>
          <w:lang w:val="nl-NL"/>
        </w:rPr>
        <w:t xml:space="preserve">       </w:t>
      </w:r>
      <w:r w:rsidR="00714BA8" w:rsidRPr="001E61BC">
        <w:rPr>
          <w:rFonts w:asciiTheme="majorHAnsi" w:eastAsia="Times New Roman" w:hAnsiTheme="majorHAnsi" w:cstheme="majorHAnsi"/>
          <w:b/>
          <w:szCs w:val="28"/>
          <w:lang w:val="nl-NL"/>
        </w:rPr>
        <w:t xml:space="preserve">Về </w:t>
      </w:r>
      <w:r w:rsidR="00B57316" w:rsidRPr="001E61BC">
        <w:rPr>
          <w:b/>
          <w:szCs w:val="28"/>
        </w:rPr>
        <w:t xml:space="preserve">đề nghị xây dựng </w:t>
      </w:r>
      <w:r>
        <w:rPr>
          <w:b/>
          <w:szCs w:val="28"/>
          <w:lang w:val="en-US"/>
        </w:rPr>
        <w:t>Nghị quyết</w:t>
      </w:r>
      <w:r w:rsidR="00B57316" w:rsidRPr="001E61BC">
        <w:rPr>
          <w:b/>
          <w:szCs w:val="28"/>
        </w:rPr>
        <w:t xml:space="preserve"> của Quốc hội về việc áp dụng thuế thu nhập doanh nghiệp bổ sung theo quy định chống xói mòn cơ sở thuế toàn cầu</w:t>
      </w:r>
      <w:r w:rsidR="00B57316" w:rsidRPr="001E61BC">
        <w:rPr>
          <w:rFonts w:asciiTheme="majorHAnsi" w:eastAsia="Calibri" w:hAnsiTheme="majorHAnsi" w:cstheme="majorHAnsi"/>
          <w:b/>
          <w:szCs w:val="28"/>
          <w:lang w:val="nl-NL"/>
        </w:rPr>
        <w:t xml:space="preserve"> </w:t>
      </w:r>
    </w:p>
    <w:p w:rsidR="00714BA8" w:rsidRPr="001E61BC" w:rsidRDefault="00714BA8" w:rsidP="00B57316">
      <w:pPr>
        <w:spacing w:before="0" w:after="0"/>
        <w:jc w:val="center"/>
        <w:rPr>
          <w:rFonts w:asciiTheme="majorHAnsi" w:eastAsia="Calibri" w:hAnsiTheme="majorHAnsi" w:cstheme="majorHAnsi"/>
          <w:b/>
          <w:sz w:val="12"/>
          <w:szCs w:val="12"/>
          <w:lang w:val="nl-NL"/>
        </w:rPr>
      </w:pPr>
      <w:r w:rsidRPr="001E61BC">
        <w:rPr>
          <w:rFonts w:asciiTheme="majorHAnsi" w:eastAsia="Calibri" w:hAnsiTheme="majorHAnsi" w:cstheme="majorHAnsi"/>
          <w:b/>
          <w:sz w:val="12"/>
          <w:szCs w:val="12"/>
          <w:lang w:val="nl-NL"/>
        </w:rPr>
        <w:t>_________________________</w:t>
      </w:r>
    </w:p>
    <w:p w:rsidR="00714BA8" w:rsidRPr="001E61BC" w:rsidRDefault="00714BA8" w:rsidP="00714BA8">
      <w:pPr>
        <w:spacing w:before="60" w:after="60"/>
        <w:ind w:right="-360"/>
        <w:jc w:val="center"/>
        <w:rPr>
          <w:rFonts w:asciiTheme="majorHAnsi" w:eastAsia="Calibri" w:hAnsiTheme="majorHAnsi" w:cstheme="majorHAnsi"/>
          <w:szCs w:val="28"/>
          <w:lang w:val="nl-NL"/>
        </w:rPr>
      </w:pPr>
    </w:p>
    <w:p w:rsidR="00DC15BA" w:rsidRPr="001E61BC" w:rsidRDefault="00DC15BA" w:rsidP="005270A8">
      <w:pPr>
        <w:spacing w:before="0" w:after="0"/>
        <w:jc w:val="center"/>
        <w:rPr>
          <w:rFonts w:eastAsia="Times New Roman"/>
          <w:bCs/>
          <w:szCs w:val="28"/>
          <w:lang w:val="nl-NL"/>
        </w:rPr>
      </w:pPr>
    </w:p>
    <w:p w:rsidR="005270A8" w:rsidRPr="001E61BC" w:rsidRDefault="005270A8" w:rsidP="005270A8">
      <w:pPr>
        <w:spacing w:before="0" w:after="0"/>
        <w:jc w:val="center"/>
        <w:rPr>
          <w:rFonts w:eastAsia="Times New Roman"/>
          <w:bCs/>
          <w:szCs w:val="28"/>
          <w:lang w:val="nl-NL"/>
        </w:rPr>
      </w:pPr>
      <w:r w:rsidRPr="001E61BC">
        <w:rPr>
          <w:rFonts w:eastAsia="Times New Roman"/>
          <w:bCs/>
          <w:szCs w:val="28"/>
          <w:lang w:val="nl-NL"/>
        </w:rPr>
        <w:t>Kính gửi: Chính phủ</w:t>
      </w:r>
    </w:p>
    <w:p w:rsidR="003C0CC0" w:rsidRPr="001E61BC" w:rsidRDefault="003C0CC0" w:rsidP="005270A8">
      <w:pPr>
        <w:spacing w:before="0" w:after="0"/>
        <w:jc w:val="center"/>
        <w:rPr>
          <w:lang w:val="nl-NL"/>
        </w:rPr>
      </w:pPr>
    </w:p>
    <w:p w:rsidR="00DC15BA" w:rsidRPr="001E61BC" w:rsidRDefault="00DC15BA" w:rsidP="005270A8">
      <w:pPr>
        <w:spacing w:before="0" w:after="0"/>
        <w:jc w:val="center"/>
        <w:rPr>
          <w:lang w:val="nl-NL"/>
        </w:rPr>
      </w:pPr>
    </w:p>
    <w:p w:rsidR="003B3D8E" w:rsidRDefault="00852E74" w:rsidP="00852E74">
      <w:pPr>
        <w:widowControl w:val="0"/>
        <w:adjustRightInd w:val="0"/>
        <w:snapToGrid w:val="0"/>
        <w:ind w:firstLine="720"/>
        <w:jc w:val="both"/>
        <w:rPr>
          <w:rFonts w:eastAsia="Times New Roman" w:cs="Times New Roman"/>
          <w:i/>
          <w:color w:val="000000"/>
          <w:szCs w:val="28"/>
          <w:lang w:val="en-US"/>
        </w:rPr>
      </w:pPr>
      <w:r w:rsidRPr="00B342C9">
        <w:rPr>
          <w:rFonts w:eastAsia="Times New Roman" w:cs="Times New Roman"/>
          <w:color w:val="000000"/>
          <w:szCs w:val="28"/>
        </w:rPr>
        <w:t>Ngày 1</w:t>
      </w:r>
      <w:r w:rsidRPr="00B342C9">
        <w:rPr>
          <w:rFonts w:eastAsia="Times New Roman" w:cs="Times New Roman"/>
          <w:color w:val="000000"/>
          <w:szCs w:val="28"/>
          <w:lang w:val="en-US"/>
        </w:rPr>
        <w:t>9</w:t>
      </w:r>
      <w:r w:rsidRPr="00B342C9">
        <w:rPr>
          <w:rFonts w:eastAsia="Times New Roman" w:cs="Times New Roman"/>
          <w:color w:val="000000"/>
          <w:szCs w:val="28"/>
        </w:rPr>
        <w:t xml:space="preserve">/7/2023, </w:t>
      </w:r>
      <w:r w:rsidRPr="00B342C9">
        <w:rPr>
          <w:rFonts w:eastAsia="Times New Roman" w:cs="Times New Roman"/>
          <w:szCs w:val="28"/>
          <w:lang w:val="en-US"/>
        </w:rPr>
        <w:t xml:space="preserve">Thủ tướng Chính phủ đã chủ trì cuộc họp </w:t>
      </w:r>
      <w:r w:rsidRPr="00B342C9">
        <w:rPr>
          <w:rFonts w:eastAsia="Times New Roman" w:cs="Times New Roman"/>
          <w:color w:val="000000"/>
          <w:szCs w:val="28"/>
        </w:rPr>
        <w:t xml:space="preserve">Thường trực Chính phủ </w:t>
      </w:r>
      <w:r w:rsidRPr="00B342C9">
        <w:rPr>
          <w:rFonts w:eastAsia="Times New Roman" w:cs="Times New Roman"/>
          <w:color w:val="000000"/>
          <w:szCs w:val="28"/>
          <w:lang w:val="en-US"/>
        </w:rPr>
        <w:t>về</w:t>
      </w:r>
      <w:r w:rsidRPr="00B342C9">
        <w:rPr>
          <w:rFonts w:eastAsia="Times New Roman" w:cs="Times New Roman"/>
          <w:color w:val="000000"/>
          <w:szCs w:val="28"/>
        </w:rPr>
        <w:t xml:space="preserve"> việc áp dụng Thuế tối thiểu toàn cầu và cơ chế, chính sách hỗ trợ nhà đầu tư ngoài thuế</w:t>
      </w:r>
      <w:r w:rsidRPr="00B342C9">
        <w:rPr>
          <w:rFonts w:eastAsia="Times New Roman" w:cs="Times New Roman"/>
          <w:i/>
          <w:color w:val="000000"/>
          <w:szCs w:val="28"/>
        </w:rPr>
        <w:t>.</w:t>
      </w:r>
    </w:p>
    <w:p w:rsidR="00A217A3" w:rsidRPr="001E61BC" w:rsidRDefault="00852E74" w:rsidP="00852E74">
      <w:pPr>
        <w:widowControl w:val="0"/>
        <w:adjustRightInd w:val="0"/>
        <w:snapToGrid w:val="0"/>
        <w:ind w:firstLine="720"/>
        <w:jc w:val="both"/>
        <w:rPr>
          <w:rFonts w:cs="Times New Roman"/>
          <w:szCs w:val="28"/>
          <w:lang w:val="nl-NL"/>
        </w:rPr>
      </w:pPr>
      <w:r>
        <w:rPr>
          <w:rFonts w:eastAsia="Times New Roman" w:cs="Times New Roman"/>
          <w:color w:val="000000"/>
          <w:szCs w:val="28"/>
          <w:lang w:val="en-US"/>
        </w:rPr>
        <w:t xml:space="preserve">Thực hiện </w:t>
      </w:r>
      <w:r>
        <w:rPr>
          <w:rFonts w:cs="Times New Roman"/>
          <w:szCs w:val="28"/>
          <w:lang w:val="nl-NL"/>
        </w:rPr>
        <w:t>K</w:t>
      </w:r>
      <w:r w:rsidRPr="00B342C9">
        <w:rPr>
          <w:rFonts w:cs="Times New Roman"/>
          <w:szCs w:val="28"/>
          <w:lang w:val="nl-NL"/>
        </w:rPr>
        <w:t>ết luận của Thường trực Chính phủ tại cuộc họp</w:t>
      </w:r>
      <w:r>
        <w:rPr>
          <w:rFonts w:eastAsia="Times New Roman" w:cs="Times New Roman"/>
          <w:color w:val="000000"/>
          <w:szCs w:val="28"/>
          <w:lang w:val="en-US"/>
        </w:rPr>
        <w:t>,</w:t>
      </w:r>
      <w:r>
        <w:rPr>
          <w:rFonts w:cs="Times New Roman"/>
          <w:szCs w:val="28"/>
          <w:lang w:val="nl-NL"/>
        </w:rPr>
        <w:t xml:space="preserve"> </w:t>
      </w:r>
      <w:r w:rsidR="00621E25" w:rsidRPr="001E61BC">
        <w:rPr>
          <w:rFonts w:cs="Times New Roman"/>
          <w:szCs w:val="28"/>
          <w:lang w:val="nl-NL"/>
        </w:rPr>
        <w:t xml:space="preserve">Bộ Tài chính </w:t>
      </w:r>
      <w:r w:rsidR="00A217A3" w:rsidRPr="001E61BC">
        <w:rPr>
          <w:rFonts w:cs="Times New Roman"/>
          <w:szCs w:val="28"/>
          <w:lang w:val="nl-NL"/>
        </w:rPr>
        <w:t xml:space="preserve">xin </w:t>
      </w:r>
      <w:r w:rsidR="00B57316" w:rsidRPr="001E61BC">
        <w:rPr>
          <w:rFonts w:cs="Times New Roman"/>
          <w:szCs w:val="28"/>
          <w:lang w:val="nl-NL"/>
        </w:rPr>
        <w:t>trình</w:t>
      </w:r>
      <w:r w:rsidR="00A217A3" w:rsidRPr="001E61BC">
        <w:rPr>
          <w:rFonts w:cs="Times New Roman"/>
          <w:szCs w:val="28"/>
          <w:lang w:val="nl-NL"/>
        </w:rPr>
        <w:t xml:space="preserve"> Chính phủ </w:t>
      </w:r>
      <w:r w:rsidR="00B57316" w:rsidRPr="001E61BC">
        <w:rPr>
          <w:rFonts w:cs="Times New Roman"/>
          <w:szCs w:val="28"/>
          <w:lang w:val="nl-NL"/>
        </w:rPr>
        <w:t xml:space="preserve">đề nghị xây dựng </w:t>
      </w:r>
      <w:r w:rsidR="00641AD2">
        <w:rPr>
          <w:rFonts w:cs="Times New Roman"/>
          <w:szCs w:val="28"/>
          <w:lang w:val="nl-NL"/>
        </w:rPr>
        <w:t>Nghị quyết</w:t>
      </w:r>
      <w:r w:rsidR="00B57316" w:rsidRPr="001E61BC">
        <w:rPr>
          <w:rFonts w:cs="Times New Roman"/>
          <w:szCs w:val="28"/>
          <w:lang w:val="nl-NL"/>
        </w:rPr>
        <w:t xml:space="preserve"> của Quốc hội về việc áp dụng thuế thu nhập doanh nghiệp bổ sung theo quy định chống xói mòn cơ sở thuế toàn cầu </w:t>
      </w:r>
      <w:r w:rsidR="004B41B9" w:rsidRPr="001E61BC">
        <w:rPr>
          <w:rFonts w:cs="Times New Roman"/>
          <w:szCs w:val="28"/>
          <w:lang w:val="nl-NL"/>
        </w:rPr>
        <w:t xml:space="preserve">theo trình tự, thủ tục rút gọn </w:t>
      </w:r>
      <w:r w:rsidR="00A217A3" w:rsidRPr="001E61BC">
        <w:rPr>
          <w:rFonts w:cs="Times New Roman"/>
          <w:szCs w:val="28"/>
          <w:lang w:val="nl-NL"/>
        </w:rPr>
        <w:t>như sau:</w:t>
      </w:r>
    </w:p>
    <w:p w:rsidR="0023481E" w:rsidRPr="001E61BC" w:rsidRDefault="008D29E8" w:rsidP="001E61BC">
      <w:pPr>
        <w:jc w:val="both"/>
        <w:rPr>
          <w:rFonts w:cs="Times New Roman"/>
          <w:b/>
          <w:szCs w:val="28"/>
          <w:lang w:val="nl-NL"/>
        </w:rPr>
      </w:pPr>
      <w:r w:rsidRPr="001E61BC">
        <w:rPr>
          <w:rFonts w:cs="Times New Roman"/>
          <w:b/>
          <w:szCs w:val="28"/>
          <w:lang w:val="nl-NL"/>
        </w:rPr>
        <w:tab/>
      </w:r>
      <w:r w:rsidR="001D4EC0" w:rsidRPr="001E61BC">
        <w:rPr>
          <w:rFonts w:cs="Times New Roman"/>
          <w:b/>
          <w:szCs w:val="28"/>
          <w:lang w:val="nl-NL"/>
        </w:rPr>
        <w:t>I</w:t>
      </w:r>
      <w:r w:rsidRPr="001E61BC">
        <w:rPr>
          <w:rFonts w:cs="Times New Roman"/>
          <w:b/>
          <w:szCs w:val="28"/>
          <w:lang w:val="nl-NL"/>
        </w:rPr>
        <w:t xml:space="preserve">. </w:t>
      </w:r>
      <w:r w:rsidR="00B57316" w:rsidRPr="001E61BC">
        <w:rPr>
          <w:rFonts w:cs="Times New Roman"/>
          <w:b/>
          <w:szCs w:val="28"/>
          <w:lang w:val="nl-NL"/>
        </w:rPr>
        <w:t xml:space="preserve">SỰ CẦN THIẾT BAN HÀNH </w:t>
      </w:r>
      <w:r w:rsidR="00641AD2">
        <w:rPr>
          <w:rFonts w:cs="Times New Roman"/>
          <w:b/>
          <w:szCs w:val="28"/>
          <w:lang w:val="nl-NL"/>
        </w:rPr>
        <w:t>NGHỊ QUYẾT</w:t>
      </w:r>
      <w:r w:rsidR="00B57316" w:rsidRPr="001E61BC">
        <w:rPr>
          <w:rFonts w:cs="Times New Roman"/>
          <w:b/>
          <w:szCs w:val="28"/>
          <w:lang w:val="nl-NL"/>
        </w:rPr>
        <w:t xml:space="preserve"> CỦA QUỐC HỘI VỀ VIỆC ÁP DỤNG THUẾ THU NHẬP DOANH NGHIỆP BỔ SUNG THEO QUY ĐỊNH CHỐNG XÓI MÒN CƠ SỞ THUẾ TOÀN CẦU</w:t>
      </w:r>
    </w:p>
    <w:p w:rsidR="00102354" w:rsidRPr="001E61BC" w:rsidRDefault="00102354" w:rsidP="001E61BC">
      <w:pPr>
        <w:ind w:right="-1" w:firstLine="720"/>
        <w:jc w:val="both"/>
        <w:rPr>
          <w:rFonts w:eastAsia="Times New Roman" w:cs="Times New Roman"/>
          <w:b/>
          <w:szCs w:val="28"/>
        </w:rPr>
      </w:pPr>
      <w:r w:rsidRPr="001E61BC">
        <w:rPr>
          <w:rFonts w:eastAsia="Times New Roman" w:cs="Times New Roman"/>
          <w:b/>
          <w:szCs w:val="28"/>
        </w:rPr>
        <w:t>1. Thực hiện chủ trương, đường lối của Đảng và Nhà nước </w:t>
      </w:r>
    </w:p>
    <w:p w:rsidR="003B3D8E" w:rsidRDefault="003B3D8E" w:rsidP="001E61BC">
      <w:pPr>
        <w:ind w:right="-1" w:firstLine="720"/>
        <w:jc w:val="both"/>
        <w:rPr>
          <w:color w:val="000000" w:themeColor="text1"/>
          <w:szCs w:val="28"/>
          <w:lang w:val="nl-NL"/>
        </w:rPr>
      </w:pPr>
      <w:r>
        <w:rPr>
          <w:color w:val="000000" w:themeColor="text1"/>
          <w:szCs w:val="28"/>
          <w:lang w:val="nl-NL"/>
        </w:rPr>
        <w:t xml:space="preserve">- </w:t>
      </w:r>
      <w:r w:rsidRPr="00285D89">
        <w:rPr>
          <w:color w:val="000000" w:themeColor="text1"/>
          <w:szCs w:val="28"/>
          <w:lang w:val="nl-NL"/>
        </w:rPr>
        <w:t>Ngày 08/10/2021, OECD đưa ra tuyên bố Khung giải pháp Hai trụ cột, trong đó Trụ cột thứ hai đặt ra mức thuế tối thiểu toàn cầu 15% đối với các công ty đa quốc gia nhằm ngăn các công ty này chuyển lợi nhuận sang quốc gia có thuế suất thấp để tránh thuế.</w:t>
      </w:r>
      <w:r>
        <w:rPr>
          <w:color w:val="000000" w:themeColor="text1"/>
          <w:szCs w:val="28"/>
          <w:lang w:val="nl-NL"/>
        </w:rPr>
        <w:t xml:space="preserve"> </w:t>
      </w:r>
      <w:r w:rsidRPr="00285D89">
        <w:rPr>
          <w:color w:val="000000" w:themeColor="text1"/>
          <w:szCs w:val="28"/>
          <w:lang w:val="nl-NL"/>
        </w:rPr>
        <w:t>Đến nay, Khung giải pháp Hai trụ cột đã nhận được sự đồng thuận của 142/142 nước thành viên IF.</w:t>
      </w:r>
    </w:p>
    <w:p w:rsidR="001F7DAA" w:rsidRPr="003B3D8E" w:rsidRDefault="003B3D8E" w:rsidP="001F7DAA">
      <w:pPr>
        <w:ind w:right="-1" w:firstLine="720"/>
        <w:jc w:val="both"/>
        <w:rPr>
          <w:bCs/>
          <w:iCs/>
          <w:lang w:val="en-US"/>
        </w:rPr>
      </w:pPr>
      <w:r>
        <w:rPr>
          <w:color w:val="000000" w:themeColor="text1"/>
          <w:szCs w:val="28"/>
          <w:lang w:val="nl-NL"/>
        </w:rPr>
        <w:t xml:space="preserve">- </w:t>
      </w:r>
      <w:r>
        <w:rPr>
          <w:bCs/>
          <w:iCs/>
        </w:rPr>
        <w:t xml:space="preserve">Thuế tối thiểu toàn cầu </w:t>
      </w:r>
      <w:r>
        <w:rPr>
          <w:bCs/>
          <w:iCs/>
          <w:lang w:val="en-US"/>
        </w:rPr>
        <w:t xml:space="preserve">về bản chất </w:t>
      </w:r>
      <w:r>
        <w:rPr>
          <w:bCs/>
          <w:iCs/>
        </w:rPr>
        <w:t>là thuế thu nhập doanh nghiệp bổ sung đối với các trường hợp có mức thuế thực tế thấp hơn mức thuế tối thiểu do OECD đề xuất để áp dụng trên toàn cầu.</w:t>
      </w:r>
      <w:r>
        <w:rPr>
          <w:bCs/>
          <w:iCs/>
          <w:lang w:val="en-US"/>
        </w:rPr>
        <w:t xml:space="preserve"> Việc ban hành chính sách thuế thu nhập doanh nghiệp bổ sung </w:t>
      </w:r>
      <w:r w:rsidR="008B0AFF">
        <w:rPr>
          <w:bCs/>
          <w:iCs/>
          <w:lang w:val="en-US"/>
        </w:rPr>
        <w:t xml:space="preserve">theo quy định chống xói mòn cơ sở thuế toàn cầu </w:t>
      </w:r>
      <w:r w:rsidR="007920C6">
        <w:rPr>
          <w:bCs/>
          <w:iCs/>
          <w:lang w:val="en-US"/>
        </w:rPr>
        <w:t xml:space="preserve">tại Việt Nam </w:t>
      </w:r>
      <w:r>
        <w:rPr>
          <w:bCs/>
          <w:iCs/>
          <w:lang w:val="en-US"/>
        </w:rPr>
        <w:t>là phù hợp với chủ trương, đường lối của Đảng và Nhà nước, cụ thể là</w:t>
      </w:r>
      <w:r w:rsidR="001F7DAA">
        <w:rPr>
          <w:bCs/>
          <w:iCs/>
          <w:lang w:val="en-US"/>
        </w:rPr>
        <w:t>:</w:t>
      </w:r>
    </w:p>
    <w:p w:rsidR="00102354" w:rsidRPr="001E61BC" w:rsidRDefault="001F7DAA" w:rsidP="001E61BC">
      <w:pPr>
        <w:ind w:right="-1" w:firstLine="720"/>
        <w:jc w:val="both"/>
        <w:rPr>
          <w:rFonts w:eastAsia="Times New Roman" w:cs="Times New Roman"/>
          <w:szCs w:val="28"/>
        </w:rPr>
      </w:pPr>
      <w:r>
        <w:rPr>
          <w:rFonts w:eastAsia="Times New Roman" w:cs="Times New Roman"/>
          <w:szCs w:val="28"/>
          <w:lang w:val="en-US"/>
        </w:rPr>
        <w:lastRenderedPageBreak/>
        <w:t xml:space="preserve">+ Phù hợp với </w:t>
      </w:r>
      <w:r w:rsidR="00102354" w:rsidRPr="001E61BC">
        <w:rPr>
          <w:rFonts w:eastAsia="Times New Roman" w:cs="Times New Roman"/>
          <w:szCs w:val="28"/>
        </w:rPr>
        <w:t xml:space="preserve">Nghị quyết số 07- NQ/TW </w:t>
      </w:r>
      <w:r>
        <w:rPr>
          <w:rFonts w:eastAsia="Times New Roman" w:cs="Times New Roman"/>
          <w:szCs w:val="28"/>
          <w:lang w:val="en-US"/>
        </w:rPr>
        <w:t xml:space="preserve">ngày 18/11/2016 của Bộ Chính trị </w:t>
      </w:r>
      <w:r w:rsidR="00102354" w:rsidRPr="001E61BC">
        <w:rPr>
          <w:rFonts w:eastAsia="Times New Roman" w:cs="Times New Roman"/>
          <w:szCs w:val="28"/>
        </w:rPr>
        <w:t xml:space="preserve">về chủ trương, giải pháp cơ cấu </w:t>
      </w:r>
      <w:r>
        <w:rPr>
          <w:rFonts w:eastAsia="Times New Roman" w:cs="Times New Roman"/>
          <w:szCs w:val="28"/>
        </w:rPr>
        <w:t>lại ngân sách nhà nước (NSNN), </w:t>
      </w:r>
      <w:r w:rsidR="00102354" w:rsidRPr="001E61BC">
        <w:rPr>
          <w:rFonts w:eastAsia="Times New Roman" w:cs="Times New Roman"/>
          <w:szCs w:val="28"/>
        </w:rPr>
        <w:t>quản lý nợ công để đảm bảo nền tài chính quốc gia an toàn, bền vững trong  đó nhấn mạnh việc tập trung “</w:t>
      </w:r>
      <w:r w:rsidR="00102354" w:rsidRPr="001E61BC">
        <w:rPr>
          <w:rFonts w:eastAsia="Times New Roman" w:cs="Times New Roman"/>
          <w:i/>
          <w:szCs w:val="28"/>
        </w:rPr>
        <w:t>Hoàn thiện chính sách thu gắn với cơ cấu lại  thu NSNN theo hướng bao quát toàn bộ cá</w:t>
      </w:r>
      <w:r w:rsidR="00DE22FB" w:rsidRPr="001E61BC">
        <w:rPr>
          <w:rFonts w:eastAsia="Times New Roman" w:cs="Times New Roman"/>
          <w:i/>
          <w:szCs w:val="28"/>
        </w:rPr>
        <w:t>c nguồn thu, mở rộng cơ sở thu </w:t>
      </w:r>
      <w:r w:rsidR="00102354" w:rsidRPr="001E61BC">
        <w:rPr>
          <w:rFonts w:eastAsia="Times New Roman" w:cs="Times New Roman"/>
          <w:i/>
          <w:szCs w:val="28"/>
        </w:rPr>
        <w:t>nhất là các nguồn thu mới, phù hợp với thông lệ quốc tế...</w:t>
      </w:r>
      <w:r w:rsidR="00102354" w:rsidRPr="001E61BC">
        <w:rPr>
          <w:rFonts w:eastAsia="Times New Roman" w:cs="Times New Roman"/>
          <w:szCs w:val="28"/>
        </w:rPr>
        <w:t>”. </w:t>
      </w:r>
    </w:p>
    <w:p w:rsidR="009C0176" w:rsidRPr="009C0176" w:rsidRDefault="001F7DAA" w:rsidP="001E61BC">
      <w:pPr>
        <w:ind w:right="-1" w:firstLine="720"/>
        <w:jc w:val="both"/>
        <w:rPr>
          <w:rFonts w:eastAsia="Times New Roman" w:cs="Times New Roman"/>
          <w:szCs w:val="28"/>
          <w:lang w:val="en-US"/>
        </w:rPr>
      </w:pPr>
      <w:r>
        <w:rPr>
          <w:rFonts w:eastAsia="Times New Roman" w:cs="Times New Roman"/>
          <w:szCs w:val="28"/>
          <w:lang w:val="en-US"/>
        </w:rPr>
        <w:t xml:space="preserve">+ </w:t>
      </w:r>
      <w:r w:rsidR="00F367D3">
        <w:rPr>
          <w:rFonts w:eastAsia="Times New Roman" w:cs="Times New Roman"/>
          <w:szCs w:val="28"/>
          <w:lang w:val="en-US"/>
        </w:rPr>
        <w:t xml:space="preserve">Phù hợp với </w:t>
      </w:r>
      <w:r w:rsidR="00102354" w:rsidRPr="001E61BC">
        <w:rPr>
          <w:rFonts w:eastAsia="Times New Roman" w:cs="Times New Roman"/>
          <w:szCs w:val="28"/>
        </w:rPr>
        <w:t>Chiến lược phát triển kinh tế - xã hội 10 năm 2021</w:t>
      </w:r>
      <w:r w:rsidR="00DE22FB" w:rsidRPr="001E61BC">
        <w:rPr>
          <w:rFonts w:eastAsia="Times New Roman" w:cs="Times New Roman"/>
          <w:szCs w:val="28"/>
          <w:lang w:val="en-US"/>
        </w:rPr>
        <w:t>-</w:t>
      </w:r>
      <w:r w:rsidR="009C0176">
        <w:rPr>
          <w:rFonts w:eastAsia="Times New Roman" w:cs="Times New Roman"/>
          <w:szCs w:val="28"/>
        </w:rPr>
        <w:t xml:space="preserve">2030 </w:t>
      </w:r>
      <w:r w:rsidR="009C0176">
        <w:rPr>
          <w:rFonts w:eastAsia="Times New Roman" w:cs="Times New Roman"/>
          <w:szCs w:val="28"/>
          <w:lang w:val="en-US"/>
        </w:rPr>
        <w:t xml:space="preserve">tại </w:t>
      </w:r>
      <w:r w:rsidR="009C0176" w:rsidRPr="001E61BC">
        <w:rPr>
          <w:rFonts w:eastAsia="Times New Roman" w:cs="Times New Roman"/>
          <w:szCs w:val="28"/>
        </w:rPr>
        <w:t>Văn kiện đại hội đại biểu toàn q</w:t>
      </w:r>
      <w:r w:rsidR="009C0176">
        <w:rPr>
          <w:rFonts w:eastAsia="Times New Roman" w:cs="Times New Roman"/>
          <w:szCs w:val="28"/>
        </w:rPr>
        <w:t>uốc lần thứ XIII Đảng cộng sản </w:t>
      </w:r>
      <w:r w:rsidR="009C0176" w:rsidRPr="001E61BC">
        <w:rPr>
          <w:rFonts w:eastAsia="Times New Roman" w:cs="Times New Roman"/>
          <w:szCs w:val="28"/>
        </w:rPr>
        <w:t>Việt Nam</w:t>
      </w:r>
      <w:r w:rsidR="009C0176">
        <w:rPr>
          <w:rFonts w:eastAsia="Times New Roman" w:cs="Times New Roman"/>
          <w:szCs w:val="28"/>
          <w:lang w:val="en-US"/>
        </w:rPr>
        <w:t>:</w:t>
      </w:r>
    </w:p>
    <w:p w:rsidR="00102354" w:rsidRPr="001E61BC" w:rsidRDefault="00102354" w:rsidP="009C0176">
      <w:pPr>
        <w:ind w:right="-1" w:firstLine="720"/>
        <w:jc w:val="both"/>
        <w:rPr>
          <w:rFonts w:eastAsia="Times New Roman" w:cs="Times New Roman"/>
          <w:i/>
          <w:szCs w:val="28"/>
        </w:rPr>
      </w:pPr>
      <w:r w:rsidRPr="001E61BC">
        <w:rPr>
          <w:rFonts w:eastAsia="Times New Roman" w:cs="Times New Roman"/>
          <w:i/>
          <w:szCs w:val="28"/>
        </w:rPr>
        <w:t>“Sửa đổi, bổ sung các luật về thuế, phí theo nguyên tắc thị trường, phù  hợp với thông lệ quốc tế, gắn với cơ cấu lại</w:t>
      </w:r>
      <w:r w:rsidR="009C0176">
        <w:rPr>
          <w:rFonts w:eastAsia="Times New Roman" w:cs="Times New Roman"/>
          <w:i/>
          <w:szCs w:val="28"/>
        </w:rPr>
        <w:t xml:space="preserve"> nguồn thu, mở rộng cơ sở thuế</w:t>
      </w:r>
      <w:r w:rsidRPr="001E61BC">
        <w:rPr>
          <w:rFonts w:eastAsia="Times New Roman" w:cs="Times New Roman"/>
          <w:i/>
          <w:szCs w:val="28"/>
        </w:rPr>
        <w:t>”.  </w:t>
      </w:r>
    </w:p>
    <w:p w:rsidR="00102354" w:rsidRPr="001E61BC" w:rsidRDefault="00102354" w:rsidP="001E61BC">
      <w:pPr>
        <w:ind w:right="-1" w:firstLine="720"/>
        <w:jc w:val="both"/>
        <w:rPr>
          <w:rFonts w:eastAsia="Times New Roman" w:cs="Times New Roman"/>
          <w:i/>
          <w:szCs w:val="28"/>
        </w:rPr>
      </w:pPr>
      <w:r w:rsidRPr="001E61BC">
        <w:rPr>
          <w:rFonts w:eastAsia="Times New Roman" w:cs="Times New Roman"/>
          <w:i/>
          <w:szCs w:val="28"/>
        </w:rPr>
        <w:t>“Sửa đổi hệ thống luật và chính sách thuế, phí, lệ phí theo nguyên tắc  thị trường, phù hợp với thông lệ quốc tế</w:t>
      </w:r>
      <w:r w:rsidR="009C0176">
        <w:rPr>
          <w:rFonts w:eastAsia="Times New Roman" w:cs="Times New Roman"/>
          <w:i/>
          <w:szCs w:val="28"/>
          <w:lang w:val="en-US"/>
        </w:rPr>
        <w:t>…</w:t>
      </w:r>
      <w:r w:rsidRPr="001E61BC">
        <w:rPr>
          <w:rFonts w:eastAsia="Times New Roman" w:cs="Times New Roman"/>
          <w:i/>
          <w:szCs w:val="28"/>
        </w:rPr>
        <w:t>. Mở rộng cơ sở thu, bảo đảm tính công bằng, trung lập của  chính sách thuế”. </w:t>
      </w:r>
    </w:p>
    <w:p w:rsidR="00102354" w:rsidRPr="001E61BC" w:rsidRDefault="00C060D3" w:rsidP="001E61BC">
      <w:pPr>
        <w:ind w:right="-1" w:firstLine="720"/>
        <w:jc w:val="both"/>
        <w:rPr>
          <w:rFonts w:eastAsia="Times New Roman" w:cs="Times New Roman"/>
          <w:i/>
          <w:szCs w:val="28"/>
        </w:rPr>
      </w:pPr>
      <w:r>
        <w:rPr>
          <w:rFonts w:eastAsia="Times New Roman" w:cs="Times New Roman"/>
          <w:szCs w:val="28"/>
        </w:rPr>
        <w:t> </w:t>
      </w:r>
      <w:r>
        <w:rPr>
          <w:rFonts w:eastAsia="Times New Roman" w:cs="Times New Roman"/>
          <w:szCs w:val="28"/>
          <w:lang w:val="en-US"/>
        </w:rPr>
        <w:t>+</w:t>
      </w:r>
      <w:r w:rsidR="00102354" w:rsidRPr="001E61BC">
        <w:rPr>
          <w:rFonts w:eastAsia="Times New Roman" w:cs="Times New Roman"/>
          <w:szCs w:val="28"/>
        </w:rPr>
        <w:t xml:space="preserve"> </w:t>
      </w:r>
      <w:r>
        <w:rPr>
          <w:rFonts w:eastAsia="Times New Roman" w:cs="Times New Roman"/>
          <w:szCs w:val="28"/>
          <w:lang w:val="en-US"/>
        </w:rPr>
        <w:t>Phù hợp với</w:t>
      </w:r>
      <w:r w:rsidR="00102354" w:rsidRPr="001E61BC">
        <w:rPr>
          <w:rFonts w:eastAsia="Times New Roman" w:cs="Times New Roman"/>
          <w:szCs w:val="28"/>
        </w:rPr>
        <w:t xml:space="preserve"> Nghị quyết số </w:t>
      </w:r>
      <w:r w:rsidR="003239AA">
        <w:rPr>
          <w:rFonts w:eastAsia="Times New Roman" w:cs="Times New Roman"/>
          <w:szCs w:val="28"/>
        </w:rPr>
        <w:t>23/2021/QH15 ngày 28/7/2021 của</w:t>
      </w:r>
      <w:r w:rsidR="00102354" w:rsidRPr="001E61BC">
        <w:rPr>
          <w:rFonts w:eastAsia="Times New Roman" w:cs="Times New Roman"/>
          <w:szCs w:val="28"/>
        </w:rPr>
        <w:t xml:space="preserve"> Quốc hội về Kế hoạch tài chính quốc gia và vay, trả nợ công 5 năm giai đoạn  2</w:t>
      </w:r>
      <w:r w:rsidR="00DE22FB" w:rsidRPr="001E61BC">
        <w:rPr>
          <w:rFonts w:eastAsia="Times New Roman" w:cs="Times New Roman"/>
          <w:szCs w:val="28"/>
        </w:rPr>
        <w:t>021</w:t>
      </w:r>
      <w:r w:rsidR="003239AA">
        <w:rPr>
          <w:rFonts w:eastAsia="Times New Roman" w:cs="Times New Roman"/>
          <w:szCs w:val="28"/>
        </w:rPr>
        <w:t>-</w:t>
      </w:r>
      <w:r w:rsidR="00102354" w:rsidRPr="001E61BC">
        <w:rPr>
          <w:rFonts w:eastAsia="Times New Roman" w:cs="Times New Roman"/>
          <w:szCs w:val="28"/>
        </w:rPr>
        <w:t xml:space="preserve">2025 đưa ra nhiệm vụ và giải pháp thực hiện </w:t>
      </w:r>
      <w:r>
        <w:rPr>
          <w:rFonts w:eastAsia="Times New Roman" w:cs="Times New Roman"/>
          <w:szCs w:val="28"/>
          <w:lang w:val="en-US"/>
        </w:rPr>
        <w:t>là</w:t>
      </w:r>
      <w:r w:rsidR="00102354" w:rsidRPr="001E61BC">
        <w:rPr>
          <w:rFonts w:eastAsia="Times New Roman" w:cs="Times New Roman"/>
          <w:szCs w:val="28"/>
        </w:rPr>
        <w:t>:</w:t>
      </w:r>
      <w:r w:rsidR="00102354" w:rsidRPr="001E61BC">
        <w:rPr>
          <w:rFonts w:eastAsia="Times New Roman" w:cs="Times New Roman"/>
          <w:i/>
          <w:szCs w:val="28"/>
        </w:rPr>
        <w:t xml:space="preserve"> “</w:t>
      </w:r>
      <w:r>
        <w:rPr>
          <w:rFonts w:eastAsia="Times New Roman" w:cs="Times New Roman"/>
          <w:i/>
          <w:szCs w:val="28"/>
        </w:rPr>
        <w:t>...</w:t>
      </w:r>
      <w:r w:rsidR="00102354" w:rsidRPr="001E61BC">
        <w:rPr>
          <w:rFonts w:eastAsia="Times New Roman" w:cs="Times New Roman"/>
          <w:i/>
          <w:szCs w:val="28"/>
        </w:rPr>
        <w:t>khai  thác các dư địa thu, mở rộ</w:t>
      </w:r>
      <w:r>
        <w:rPr>
          <w:rFonts w:eastAsia="Times New Roman" w:cs="Times New Roman"/>
          <w:i/>
          <w:szCs w:val="28"/>
        </w:rPr>
        <w:t xml:space="preserve">ng và chống xói mòn cơ sở thuế... </w:t>
      </w:r>
      <w:r w:rsidR="00102354" w:rsidRPr="001E61BC">
        <w:rPr>
          <w:rFonts w:eastAsia="Times New Roman" w:cs="Times New Roman"/>
          <w:i/>
          <w:szCs w:val="28"/>
        </w:rPr>
        <w:t>Hạn chế việc lồng ghép các chính sách xã hội trong pháp luật về thuế.  Rà soát, hoàn thiện các quy định ưu đãi thuế để tránh thất thu, bảo đảm minh bạch, công bằng, khả thi, phù hợp với xu thế phát triển và thông lệ quốc tế”. </w:t>
      </w:r>
    </w:p>
    <w:p w:rsidR="00102354" w:rsidRDefault="002A3D36" w:rsidP="001E61BC">
      <w:pPr>
        <w:shd w:val="clear" w:color="auto" w:fill="FFFFFF"/>
        <w:ind w:firstLine="720"/>
        <w:jc w:val="both"/>
        <w:rPr>
          <w:rFonts w:eastAsia="Times New Roman" w:cs="Times New Roman"/>
          <w:i/>
          <w:szCs w:val="28"/>
        </w:rPr>
      </w:pPr>
      <w:r>
        <w:rPr>
          <w:rFonts w:eastAsia="Times New Roman" w:cs="Times New Roman"/>
          <w:szCs w:val="28"/>
          <w:lang w:val="en-US"/>
        </w:rPr>
        <w:t>+</w:t>
      </w:r>
      <w:r w:rsidR="00E90404" w:rsidRPr="001E61BC">
        <w:rPr>
          <w:rFonts w:eastAsia="Times New Roman" w:cs="Times New Roman"/>
          <w:szCs w:val="28"/>
        </w:rPr>
        <w:t xml:space="preserve"> </w:t>
      </w:r>
      <w:r>
        <w:rPr>
          <w:rFonts w:eastAsia="Times New Roman" w:cs="Times New Roman"/>
          <w:szCs w:val="28"/>
          <w:lang w:val="en-US"/>
        </w:rPr>
        <w:t xml:space="preserve">Phù hợp với </w:t>
      </w:r>
      <w:r w:rsidR="00E90404" w:rsidRPr="001E61BC">
        <w:rPr>
          <w:rFonts w:eastAsia="Times New Roman" w:cs="Times New Roman"/>
          <w:szCs w:val="28"/>
        </w:rPr>
        <w:t xml:space="preserve">Quyết định số 508/QĐ-TTg ngày 23/4/2022  của Thủ tướng Chính phủ phê duyệt Chiến lược cải cách hệ thống thuế đến  năm 2030, trong đó đối với thuế </w:t>
      </w:r>
      <w:r w:rsidR="00E90404" w:rsidRPr="001E61BC">
        <w:rPr>
          <w:rFonts w:eastAsia="Times New Roman" w:cs="Times New Roman"/>
          <w:szCs w:val="28"/>
          <w:lang w:val="en-US"/>
        </w:rPr>
        <w:t>TNDN</w:t>
      </w:r>
      <w:r w:rsidR="00E90404" w:rsidRPr="001E61BC">
        <w:rPr>
          <w:rFonts w:eastAsia="Times New Roman" w:cs="Times New Roman"/>
          <w:szCs w:val="28"/>
        </w:rPr>
        <w:t>:</w:t>
      </w:r>
      <w:r w:rsidR="00DE22FB" w:rsidRPr="001E61BC">
        <w:rPr>
          <w:rFonts w:eastAsia="Times New Roman" w:cs="Times New Roman"/>
          <w:szCs w:val="28"/>
          <w:lang w:val="en-US"/>
        </w:rPr>
        <w:t xml:space="preserve"> </w:t>
      </w:r>
      <w:r w:rsidR="00DE22FB" w:rsidRPr="001E61BC">
        <w:rPr>
          <w:rFonts w:eastAsia="Times New Roman" w:cs="Times New Roman"/>
          <w:i/>
          <w:szCs w:val="28"/>
        </w:rPr>
        <w:t>“Mở rộng cơ sở thuế phù hợp bối cảnh kinh tế - xã hội của đất nước và thông lệ quốc tế; thực hiện các tiêu chuẩn phòng, chống chuyển giá, chống xói mòn nguồn thu theo thông lệ quốc tế.”</w:t>
      </w:r>
    </w:p>
    <w:p w:rsidR="00A86B28" w:rsidRPr="005301AD" w:rsidRDefault="00A86B28" w:rsidP="00A86B28">
      <w:pPr>
        <w:widowControl w:val="0"/>
        <w:ind w:firstLine="720"/>
        <w:jc w:val="both"/>
        <w:rPr>
          <w:iCs/>
          <w:szCs w:val="28"/>
        </w:rPr>
      </w:pPr>
      <w:r>
        <w:rPr>
          <w:lang w:val="en-US"/>
        </w:rPr>
        <w:t xml:space="preserve">- </w:t>
      </w:r>
      <w:r w:rsidRPr="005301AD">
        <w:t xml:space="preserve">Theo </w:t>
      </w:r>
      <w:r w:rsidRPr="005301AD">
        <w:rPr>
          <w:bCs/>
          <w:lang w:val="nl-NL"/>
        </w:rPr>
        <w:t xml:space="preserve">quy định tại khoản 4, Điều 70 </w:t>
      </w:r>
      <w:r w:rsidRPr="005301AD">
        <w:rPr>
          <w:iCs/>
          <w:lang w:val="nl-NL"/>
        </w:rPr>
        <w:t>của</w:t>
      </w:r>
      <w:r w:rsidRPr="005301AD">
        <w:t xml:space="preserve"> </w:t>
      </w:r>
      <w:r w:rsidRPr="005301AD">
        <w:rPr>
          <w:iCs/>
          <w:szCs w:val="28"/>
        </w:rPr>
        <w:t xml:space="preserve">Hiến pháp nước Cộng hòa xã hội chủ nghĩa Việt Nam thì </w:t>
      </w:r>
      <w:r w:rsidRPr="005301AD">
        <w:rPr>
          <w:bCs/>
          <w:iCs/>
          <w:szCs w:val="28"/>
          <w:lang w:val="nl-NL"/>
        </w:rPr>
        <w:t>Quốc hội</w:t>
      </w:r>
      <w:r w:rsidRPr="005301AD">
        <w:rPr>
          <w:iCs/>
          <w:szCs w:val="28"/>
        </w:rPr>
        <w:t xml:space="preserve"> “</w:t>
      </w:r>
      <w:r w:rsidRPr="005301AD">
        <w:rPr>
          <w:i/>
        </w:rPr>
        <w:t>quy định, sửa đổi hoặc bãi bỏ các thứ thuế</w:t>
      </w:r>
      <w:r w:rsidRPr="005301AD">
        <w:rPr>
          <w:iCs/>
          <w:szCs w:val="28"/>
        </w:rPr>
        <w:t xml:space="preserve">”. </w:t>
      </w:r>
      <w:r w:rsidRPr="005301AD">
        <w:t xml:space="preserve">Thuế tối thiểu toàn cầu là </w:t>
      </w:r>
      <w:r w:rsidRPr="005301AD">
        <w:rPr>
          <w:bCs/>
          <w:lang w:val="nl-NL"/>
        </w:rPr>
        <w:t>quy định</w:t>
      </w:r>
      <w:r w:rsidRPr="005301AD">
        <w:t xml:space="preserve"> về thuế </w:t>
      </w:r>
      <w:r w:rsidRPr="005301AD">
        <w:rPr>
          <w:szCs w:val="28"/>
          <w:lang w:val="nl-NL"/>
        </w:rPr>
        <w:t>thu nhập</w:t>
      </w:r>
      <w:r w:rsidRPr="005301AD">
        <w:rPr>
          <w:szCs w:val="28"/>
        </w:rPr>
        <w:t xml:space="preserve"> doanh nghiệp. </w:t>
      </w:r>
      <w:r w:rsidRPr="005301AD">
        <w:rPr>
          <w:iCs/>
          <w:szCs w:val="28"/>
        </w:rPr>
        <w:t xml:space="preserve">Vì vậy, việc áp dụng Thuế tối thiểu toàn cầu cần phải trình </w:t>
      </w:r>
      <w:r w:rsidRPr="005301AD">
        <w:rPr>
          <w:bCs/>
          <w:iCs/>
          <w:szCs w:val="28"/>
          <w:lang w:val="nl-NL"/>
        </w:rPr>
        <w:t>Quốc hội</w:t>
      </w:r>
      <w:r w:rsidRPr="005301AD">
        <w:rPr>
          <w:iCs/>
          <w:szCs w:val="28"/>
        </w:rPr>
        <w:t xml:space="preserve"> </w:t>
      </w:r>
      <w:r w:rsidRPr="005301AD">
        <w:rPr>
          <w:iCs/>
          <w:szCs w:val="28"/>
          <w:lang w:val="nl-NL"/>
        </w:rPr>
        <w:t>xem xét</w:t>
      </w:r>
      <w:r w:rsidRPr="005301AD">
        <w:rPr>
          <w:iCs/>
          <w:szCs w:val="28"/>
        </w:rPr>
        <w:t xml:space="preserve">, </w:t>
      </w:r>
      <w:r w:rsidRPr="005301AD">
        <w:rPr>
          <w:bCs/>
          <w:iCs/>
          <w:szCs w:val="28"/>
          <w:lang w:val="nl-NL"/>
        </w:rPr>
        <w:t>quy định</w:t>
      </w:r>
      <w:r w:rsidRPr="005301AD">
        <w:rPr>
          <w:iCs/>
          <w:szCs w:val="28"/>
        </w:rPr>
        <w:t>.</w:t>
      </w:r>
    </w:p>
    <w:p w:rsidR="00665214" w:rsidRPr="001E61BC" w:rsidRDefault="00665214" w:rsidP="001E61BC">
      <w:pPr>
        <w:ind w:firstLine="720"/>
        <w:jc w:val="both"/>
        <w:rPr>
          <w:rFonts w:eastAsia="Times New Roman" w:cs="Times New Roman"/>
          <w:szCs w:val="28"/>
        </w:rPr>
      </w:pPr>
      <w:r w:rsidRPr="001E61BC">
        <w:rPr>
          <w:rFonts w:eastAsia="Times New Roman" w:cs="Times New Roman"/>
          <w:b/>
          <w:szCs w:val="28"/>
        </w:rPr>
        <w:t>2. Đáp ứng những yêu cầu từ thực tiễn phát sinh </w:t>
      </w:r>
    </w:p>
    <w:p w:rsidR="00D03597" w:rsidRPr="001E61BC" w:rsidRDefault="00D03597" w:rsidP="001E61BC">
      <w:pPr>
        <w:widowControl w:val="0"/>
        <w:ind w:right="-1" w:firstLine="720"/>
        <w:jc w:val="both"/>
        <w:rPr>
          <w:rFonts w:cs="Times New Roman"/>
          <w:szCs w:val="28"/>
          <w:lang w:val="en-US"/>
        </w:rPr>
      </w:pPr>
      <w:r w:rsidRPr="001E61BC">
        <w:rPr>
          <w:rFonts w:cs="Times New Roman"/>
          <w:szCs w:val="28"/>
        </w:rPr>
        <w:t>Trong bối cảnh toàn cầu hóa diễn ra ngày càng sâu rộng, sự phát triển của công nghệ thông tin</w:t>
      </w:r>
      <w:r w:rsidRPr="001E61BC">
        <w:rPr>
          <w:rFonts w:cs="Times New Roman"/>
          <w:szCs w:val="28"/>
          <w:lang w:val="nl-NL"/>
        </w:rPr>
        <w:t xml:space="preserve"> mà các mô hình kinh tế mới </w:t>
      </w:r>
      <w:r w:rsidRPr="001E61BC">
        <w:rPr>
          <w:rFonts w:cs="Times New Roman"/>
          <w:i/>
          <w:szCs w:val="28"/>
          <w:lang w:val="nl-NL"/>
        </w:rPr>
        <w:t>(kinh tế chia sẻ, kinh tế số…)</w:t>
      </w:r>
      <w:r w:rsidRPr="001E61BC">
        <w:rPr>
          <w:rFonts w:cs="Times New Roman"/>
          <w:szCs w:val="28"/>
        </w:rPr>
        <w:t xml:space="preserve"> </w:t>
      </w:r>
      <w:r w:rsidRPr="001E61BC">
        <w:rPr>
          <w:rFonts w:cs="Times New Roman"/>
          <w:szCs w:val="28"/>
          <w:lang w:val="nl-NL"/>
        </w:rPr>
        <w:t xml:space="preserve">đã và </w:t>
      </w:r>
      <w:r w:rsidRPr="001E61BC">
        <w:rPr>
          <w:rFonts w:cs="Times New Roman"/>
          <w:szCs w:val="28"/>
        </w:rPr>
        <w:t xml:space="preserve">đang làm thay đổi các </w:t>
      </w:r>
      <w:r w:rsidRPr="001E61BC">
        <w:rPr>
          <w:rFonts w:cs="Times New Roman"/>
          <w:szCs w:val="28"/>
          <w:lang w:val="nl-NL"/>
        </w:rPr>
        <w:t xml:space="preserve">mô hình </w:t>
      </w:r>
      <w:r w:rsidRPr="001E61BC">
        <w:rPr>
          <w:rFonts w:cs="Times New Roman"/>
          <w:szCs w:val="28"/>
        </w:rPr>
        <w:t>kinh doanh truyền thống</w:t>
      </w:r>
      <w:r w:rsidRPr="001E61BC">
        <w:rPr>
          <w:rFonts w:cs="Times New Roman"/>
          <w:szCs w:val="28"/>
          <w:lang w:val="en-US"/>
        </w:rPr>
        <w:t>, c</w:t>
      </w:r>
      <w:r w:rsidRPr="001E61BC">
        <w:rPr>
          <w:rFonts w:cs="Times New Roman"/>
          <w:szCs w:val="28"/>
        </w:rPr>
        <w:t xml:space="preserve">ác công ty đa quốc gia, thông qua các công cụ như các tài sản vô hình hay các hoạt động kinh doanh qua nền tảng số xuyên quốc gia đã tận dụng cơ hội để tránh nghĩa vụ thuế thông qua </w:t>
      </w:r>
      <w:r w:rsidRPr="001E61BC">
        <w:rPr>
          <w:rFonts w:cs="Times New Roman"/>
          <w:szCs w:val="28"/>
          <w:lang w:val="en-US"/>
        </w:rPr>
        <w:t xml:space="preserve">các hoạt động </w:t>
      </w:r>
      <w:r w:rsidRPr="001E61BC">
        <w:rPr>
          <w:rFonts w:cs="Times New Roman"/>
          <w:szCs w:val="28"/>
        </w:rPr>
        <w:t>chuyển lợi nhuận, chuyển giá... Các hoạt động trên đã gây xói mòn nghiêm trọng nguồn thu ngân sách của các quốc gia, dẫn đến việc nhiều nước trên thế giới đơn phương áp dụng các loại thuế khác nhau, phát sinh bất đồng, tranh chấp giữa các nước.</w:t>
      </w:r>
      <w:r w:rsidRPr="001E61BC">
        <w:rPr>
          <w:rFonts w:cs="Times New Roman"/>
          <w:szCs w:val="28"/>
          <w:lang w:val="en-US"/>
        </w:rPr>
        <w:t xml:space="preserve"> Cụ thể, các quốc gia đã và đang thực hiện </w:t>
      </w:r>
      <w:r w:rsidRPr="001E61BC">
        <w:rPr>
          <w:rFonts w:cs="Times New Roman"/>
          <w:szCs w:val="28"/>
        </w:rPr>
        <w:t xml:space="preserve">hạ thuế suất thuế </w:t>
      </w:r>
      <w:r w:rsidRPr="001E61BC">
        <w:rPr>
          <w:rFonts w:cs="Times New Roman"/>
          <w:szCs w:val="28"/>
          <w:lang w:val="nl-NL"/>
        </w:rPr>
        <w:t>thu nhập</w:t>
      </w:r>
      <w:r w:rsidRPr="001E61BC">
        <w:rPr>
          <w:rFonts w:cs="Times New Roman"/>
          <w:szCs w:val="28"/>
        </w:rPr>
        <w:t xml:space="preserve"> doanh nghiệp </w:t>
      </w:r>
      <w:r w:rsidRPr="001E61BC">
        <w:rPr>
          <w:rFonts w:cs="Times New Roman"/>
          <w:szCs w:val="28"/>
          <w:lang w:val="en-US"/>
        </w:rPr>
        <w:t>để</w:t>
      </w:r>
      <w:r w:rsidRPr="001E61BC">
        <w:rPr>
          <w:rFonts w:cs="Times New Roman"/>
          <w:szCs w:val="28"/>
        </w:rPr>
        <w:t xml:space="preserve"> thu hút và giữ chân </w:t>
      </w:r>
      <w:r w:rsidRPr="001E61BC">
        <w:rPr>
          <w:rFonts w:cs="Times New Roman"/>
          <w:szCs w:val="28"/>
          <w:lang w:val="en-US"/>
        </w:rPr>
        <w:t>nhà đầu tư</w:t>
      </w:r>
      <w:r w:rsidRPr="001E61BC">
        <w:rPr>
          <w:rFonts w:cs="Times New Roman"/>
          <w:szCs w:val="28"/>
        </w:rPr>
        <w:t xml:space="preserve">. Đối tượng hưởng lợi là các Tập đoàn đa quốc gia, mặc dù có </w:t>
      </w:r>
      <w:r w:rsidRPr="001E61BC">
        <w:rPr>
          <w:rFonts w:cs="Times New Roman"/>
          <w:szCs w:val="28"/>
        </w:rPr>
        <w:lastRenderedPageBreak/>
        <w:t>lợi nhuận cao, nhưng phải nộp thuế thu nhập doanh nghiệp rất thấp, thậm chí không bị đánh thuế.</w:t>
      </w:r>
    </w:p>
    <w:p w:rsidR="007F5BF7" w:rsidRPr="001E61BC" w:rsidRDefault="007F5BF7" w:rsidP="001E61BC">
      <w:pPr>
        <w:widowControl w:val="0"/>
        <w:adjustRightInd w:val="0"/>
        <w:snapToGrid w:val="0"/>
        <w:ind w:firstLine="720"/>
        <w:jc w:val="both"/>
        <w:rPr>
          <w:rFonts w:cs="Times New Roman"/>
          <w:szCs w:val="28"/>
        </w:rPr>
      </w:pPr>
      <w:r w:rsidRPr="001E61BC">
        <w:rPr>
          <w:rFonts w:cs="Times New Roman"/>
          <w:bCs/>
          <w:iCs/>
          <w:szCs w:val="28"/>
          <w:lang w:val="en-US"/>
        </w:rPr>
        <w:t xml:space="preserve">Trước bối cảnh đó, </w:t>
      </w:r>
      <w:r w:rsidRPr="001E61BC">
        <w:rPr>
          <w:rFonts w:cs="Times New Roman"/>
          <w:szCs w:val="28"/>
        </w:rPr>
        <w:t>vào tháng 6/2013, OECD đã khởi xướng và được nguyên thủ các quốc gia G20 thông qua sáng kiến chống xói mòn cơ sở thuế và chuyển dịch lợi nhuận (</w:t>
      </w:r>
      <w:r w:rsidRPr="001E61BC">
        <w:rPr>
          <w:rFonts w:cs="Times New Roman"/>
          <w:i/>
          <w:iCs/>
          <w:szCs w:val="28"/>
        </w:rPr>
        <w:t>Base Erosion and Profit Shifting – BEPS</w:t>
      </w:r>
      <w:r w:rsidRPr="001E61BC">
        <w:rPr>
          <w:rFonts w:cs="Times New Roman"/>
          <w:szCs w:val="28"/>
        </w:rPr>
        <w:t>) với 2 nội dung chính:</w:t>
      </w:r>
    </w:p>
    <w:p w:rsidR="007F5BF7" w:rsidRPr="001E61BC" w:rsidRDefault="007F5BF7" w:rsidP="001E61BC">
      <w:pPr>
        <w:widowControl w:val="0"/>
        <w:adjustRightInd w:val="0"/>
        <w:snapToGrid w:val="0"/>
        <w:ind w:firstLine="720"/>
        <w:jc w:val="both"/>
        <w:rPr>
          <w:rFonts w:cs="Times New Roman"/>
          <w:szCs w:val="28"/>
        </w:rPr>
      </w:pPr>
      <w:r w:rsidRPr="001E61BC">
        <w:rPr>
          <w:rFonts w:cs="Times New Roman"/>
          <w:szCs w:val="28"/>
        </w:rPr>
        <w:t>(i) Phân chia quyền đánh thuế, thực hiện đánh giá về phân bổ lợi nhuận và xây dựng các nguyên tắc phân bổ lợi nhuận toàn cầu;</w:t>
      </w:r>
    </w:p>
    <w:p w:rsidR="007F5BF7" w:rsidRPr="001E61BC" w:rsidRDefault="007F5BF7" w:rsidP="001E61BC">
      <w:pPr>
        <w:widowControl w:val="0"/>
        <w:adjustRightInd w:val="0"/>
        <w:snapToGrid w:val="0"/>
        <w:ind w:firstLine="720"/>
        <w:jc w:val="both"/>
        <w:rPr>
          <w:rFonts w:cs="Times New Roman"/>
          <w:szCs w:val="28"/>
        </w:rPr>
      </w:pPr>
      <w:r w:rsidRPr="001E61BC">
        <w:rPr>
          <w:rFonts w:cs="Times New Roman"/>
          <w:szCs w:val="28"/>
        </w:rPr>
        <w:t>(ii) Đảm bảo rằng tất cả các doanh nghiệp hoạt động đầu tư quốc tế phải trả mức thuế tối thiểu.</w:t>
      </w:r>
    </w:p>
    <w:p w:rsidR="007F5BF7" w:rsidRPr="001E61BC" w:rsidRDefault="007F5BF7" w:rsidP="001E61BC">
      <w:pPr>
        <w:widowControl w:val="0"/>
        <w:ind w:right="-1" w:firstLine="720"/>
        <w:jc w:val="both"/>
        <w:rPr>
          <w:rFonts w:cs="Times New Roman"/>
          <w:bCs/>
          <w:szCs w:val="28"/>
          <w:lang w:val="en-US"/>
        </w:rPr>
      </w:pPr>
      <w:r w:rsidRPr="001E61BC">
        <w:rPr>
          <w:rFonts w:cs="Times New Roman"/>
          <w:bCs/>
          <w:szCs w:val="28"/>
        </w:rPr>
        <w:t xml:space="preserve">Năm 2015, Bộ trưởng Tài chính các nước G20 đề nghị OECD thiết lập Khuôn khổ hợp tác chung, theo đó đến đầu năm 2016 các nước không thuộc nhóm G20, đặc biệt là các nước đang phát triển tham gia Diễn đàn hợp tác chung IF trên cơ sở bình đẳng như nhau. </w:t>
      </w:r>
      <w:r w:rsidRPr="001E61BC">
        <w:rPr>
          <w:rFonts w:cs="Times New Roman"/>
          <w:szCs w:val="28"/>
        </w:rPr>
        <w:t xml:space="preserve">Năm 2017, Việt Nam đã tham gia và là thành viên thứ 100 của BEPS. </w:t>
      </w:r>
      <w:r w:rsidRPr="001E61BC">
        <w:rPr>
          <w:rFonts w:cs="Times New Roman"/>
          <w:bCs/>
          <w:szCs w:val="28"/>
        </w:rPr>
        <w:t>Đến nay, đã có 142 nước tham gia Diễn đàn này.</w:t>
      </w:r>
    </w:p>
    <w:p w:rsidR="00D03597" w:rsidRPr="001E61BC" w:rsidRDefault="007F5BF7" w:rsidP="001E61BC">
      <w:pPr>
        <w:widowControl w:val="0"/>
        <w:ind w:right="-1" w:firstLine="720"/>
        <w:jc w:val="both"/>
        <w:rPr>
          <w:rFonts w:cs="Times New Roman"/>
          <w:iCs/>
          <w:szCs w:val="28"/>
        </w:rPr>
      </w:pPr>
      <w:r w:rsidRPr="001E61BC">
        <w:rPr>
          <w:rFonts w:cs="Times New Roman"/>
          <w:szCs w:val="28"/>
        </w:rPr>
        <w:t xml:space="preserve">Ngày </w:t>
      </w:r>
      <w:r w:rsidRPr="001E61BC">
        <w:rPr>
          <w:rFonts w:cs="Times New Roman"/>
          <w:szCs w:val="28"/>
          <w:lang w:val="en-US"/>
        </w:rPr>
        <w:t>5/6/2021</w:t>
      </w:r>
      <w:r w:rsidRPr="001E61BC">
        <w:rPr>
          <w:rFonts w:cs="Times New Roman"/>
          <w:szCs w:val="28"/>
        </w:rPr>
        <w:t>, các Bộ trưởng Tài chính của Nhóm các nền kinh tế phát triển (G7) đã đạt thỏa thuận về thuế doanh nghiệp tối thiểu toàn cầu, được ấn định là “</w:t>
      </w:r>
      <w:r w:rsidRPr="001E61BC">
        <w:rPr>
          <w:rFonts w:cs="Times New Roman"/>
          <w:i/>
          <w:szCs w:val="28"/>
        </w:rPr>
        <w:t>tối thiểu là 15%”</w:t>
      </w:r>
      <w:r w:rsidRPr="001E61BC">
        <w:rPr>
          <w:rFonts w:cs="Times New Roman"/>
          <w:iCs/>
          <w:szCs w:val="28"/>
        </w:rPr>
        <w:t>.</w:t>
      </w:r>
    </w:p>
    <w:p w:rsidR="00817C2E" w:rsidRPr="001E61BC" w:rsidRDefault="00363658" w:rsidP="001E61BC">
      <w:pPr>
        <w:widowControl w:val="0"/>
        <w:ind w:firstLine="720"/>
        <w:jc w:val="both"/>
        <w:rPr>
          <w:rFonts w:cs="Times New Roman"/>
          <w:szCs w:val="28"/>
        </w:rPr>
      </w:pPr>
      <w:r w:rsidRPr="001E61BC">
        <w:rPr>
          <w:rFonts w:cs="Times New Roman"/>
          <w:szCs w:val="28"/>
        </w:rPr>
        <w:t xml:space="preserve">Triển khai các hành động của BEPS, ngày 9/7/2021, Bộ trưởng Tài chính và Thống đốc Ngân hàng trung ương của Nhóm các nền kinh tế phát triển và mới nổi hàng đầu thế giới (G20) đã thống nhất về nguyên tắc </w:t>
      </w:r>
      <w:r w:rsidRPr="001E61BC">
        <w:rPr>
          <w:rFonts w:cs="Times New Roman"/>
          <w:i/>
          <w:szCs w:val="28"/>
        </w:rPr>
        <w:t>Giải pháp Hai trụ cột nhằm giải quyết các thách thức về thuế phát sinh trong quá trình số hóa nền kinh tế</w:t>
      </w:r>
      <w:r w:rsidR="00817C2E" w:rsidRPr="001E61BC">
        <w:rPr>
          <w:rFonts w:cs="Times New Roman"/>
          <w:i/>
          <w:szCs w:val="28"/>
          <w:lang w:val="en-US"/>
        </w:rPr>
        <w:t xml:space="preserve">. </w:t>
      </w:r>
      <w:r w:rsidR="00817C2E" w:rsidRPr="001E61BC">
        <w:rPr>
          <w:rFonts w:cs="Times New Roman"/>
          <w:szCs w:val="28"/>
          <w:lang w:val="en-US"/>
        </w:rPr>
        <w:t>N</w:t>
      </w:r>
      <w:r w:rsidR="00817C2E" w:rsidRPr="001E61BC">
        <w:rPr>
          <w:rFonts w:cs="Times New Roman"/>
          <w:szCs w:val="28"/>
        </w:rPr>
        <w:t xml:space="preserve">gày 08/10/2021, OECD đưa ra tuyên bố Khung giải pháp Hai trụ cột để giải quyết các thách thức phát sinh từ nền kinh tế kỹ thuật số, </w:t>
      </w:r>
      <w:r w:rsidR="00817C2E" w:rsidRPr="001E61BC">
        <w:rPr>
          <w:rFonts w:cs="Times New Roman"/>
          <w:szCs w:val="28"/>
          <w:lang w:val="en-US"/>
        </w:rPr>
        <w:t xml:space="preserve">trong đó Trụ cột thứ hai </w:t>
      </w:r>
      <w:r w:rsidR="00817C2E" w:rsidRPr="001E61BC">
        <w:rPr>
          <w:rFonts w:cs="Times New Roman"/>
          <w:szCs w:val="28"/>
        </w:rPr>
        <w:t>đặt ra mức thuế doanh nghiệp tối thiểu toàn cầu 15% đối với các công ty đa quốc gia nhằm ngăn các công ty này chuyển lợi nhuận sang quốc gia có thuế suất thấp để tránh thuế. Đối với giải pháp này, các Tập đoàn công ty đa quốc gia (MNE) có mức doanh thu hợp nhất ít nhất 2 năm trong 4 năm liền kề trước năm xem xét đạt tối thiểu 750 triệu EUR căn cứ theo báo cáo tài chính của tập đoàn, thì tập đoàn đó thuộc đối tượng áp dụng Thuế tối thiểu toàn cầu, tức sẽ bị đánh thuế bổ sung phần chênh lệch nếu thuế suất thực tế thấp hơn mức tối thiểu 15%.</w:t>
      </w:r>
    </w:p>
    <w:p w:rsidR="00363658" w:rsidRPr="001E61BC" w:rsidRDefault="00817C2E" w:rsidP="001E61BC">
      <w:pPr>
        <w:widowControl w:val="0"/>
        <w:ind w:right="-1" w:firstLine="720"/>
        <w:jc w:val="both"/>
        <w:rPr>
          <w:rFonts w:cs="Times New Roman"/>
          <w:bCs/>
          <w:iCs/>
          <w:szCs w:val="28"/>
          <w:lang w:val="en-US"/>
        </w:rPr>
      </w:pPr>
      <w:r w:rsidRPr="001E61BC">
        <w:rPr>
          <w:rFonts w:cs="Times New Roman"/>
          <w:szCs w:val="28"/>
        </w:rPr>
        <w:t>Đến ngày 16/12/2022, Diễn đàn hợp tác toàn cầu về BEPS (IF) đã công bố có 138 nước đồng thuận (</w:t>
      </w:r>
      <w:r w:rsidRPr="001E61BC">
        <w:rPr>
          <w:rFonts w:cs="Times New Roman"/>
          <w:i/>
          <w:szCs w:val="28"/>
        </w:rPr>
        <w:t>không phản đối</w:t>
      </w:r>
      <w:r w:rsidRPr="001E61BC">
        <w:rPr>
          <w:rFonts w:cs="Times New Roman"/>
          <w:szCs w:val="28"/>
        </w:rPr>
        <w:t>) đối với nội dung về Khung giải pháp Hai trụ cột để giải quyết các thách thức phát sinh từ nền kinh tế kỹ thuật số mà OECD đưa ra ngày 8/10/2021 nêu trên. Việt Nam là thành viên thứ 100 của BEPS và không có ý kiến bảo lưu về nội dung này, nên là một trong những nước đồng thuận. Đến nay, Khung giải pháp Hai trụ cột đã nhận được sự đồng thuận của 142/142 nước thành viên IF.</w:t>
      </w:r>
    </w:p>
    <w:p w:rsidR="00102354" w:rsidRPr="001E61BC" w:rsidRDefault="00817C2E" w:rsidP="001E61BC">
      <w:pPr>
        <w:widowControl w:val="0"/>
        <w:ind w:right="-1" w:firstLine="720"/>
        <w:jc w:val="both"/>
        <w:rPr>
          <w:rFonts w:cs="Times New Roman"/>
          <w:bCs/>
          <w:iCs/>
          <w:szCs w:val="28"/>
          <w:lang w:val="en-US"/>
        </w:rPr>
      </w:pPr>
      <w:r w:rsidRPr="001E61BC">
        <w:rPr>
          <w:rFonts w:cs="Times New Roman"/>
          <w:bCs/>
          <w:iCs/>
          <w:szCs w:val="28"/>
          <w:lang w:val="en-US"/>
        </w:rPr>
        <w:t>Về tình hình triển khai Trụ cột 2 (Thuế tối thiểu toàn cầu), đ</w:t>
      </w:r>
      <w:r w:rsidR="00102354" w:rsidRPr="001E61BC">
        <w:rPr>
          <w:rFonts w:cs="Times New Roman"/>
          <w:bCs/>
          <w:iCs/>
          <w:szCs w:val="28"/>
        </w:rPr>
        <w:t xml:space="preserve">ối với các nước có vốn đầu tư ra nước ngoài, về cơ bản sẽ áp dụng Thuế tối thiểu toàn </w:t>
      </w:r>
      <w:r w:rsidR="00102354" w:rsidRPr="001E61BC">
        <w:rPr>
          <w:rFonts w:cs="Times New Roman"/>
          <w:bCs/>
          <w:iCs/>
          <w:szCs w:val="28"/>
        </w:rPr>
        <w:lastRenderedPageBreak/>
        <w:t>cầu từ năm 2024 để thu thêm phần chênh lệch từ mức thuế thực tế so với Thuế tối thiểu toàn cầu (15%), trong đó có các nước có số vốn đầu tư lớn vào Việt Nam như Hàn Quốc, Nhật Bản, Hồng Kông, Singapore....</w:t>
      </w:r>
    </w:p>
    <w:p w:rsidR="00102354" w:rsidRPr="001E61BC" w:rsidRDefault="00817C2E" w:rsidP="001E61BC">
      <w:pPr>
        <w:widowControl w:val="0"/>
        <w:ind w:firstLine="720"/>
        <w:jc w:val="both"/>
        <w:rPr>
          <w:rFonts w:cs="Times New Roman"/>
          <w:bCs/>
          <w:iCs/>
          <w:szCs w:val="28"/>
        </w:rPr>
      </w:pPr>
      <w:r w:rsidRPr="001E61BC">
        <w:rPr>
          <w:rFonts w:cs="Times New Roman"/>
          <w:bCs/>
          <w:iCs/>
          <w:szCs w:val="28"/>
          <w:lang w:val="en-US"/>
        </w:rPr>
        <w:t>Đối với c</w:t>
      </w:r>
      <w:r w:rsidR="00102354" w:rsidRPr="001E61BC">
        <w:rPr>
          <w:rFonts w:cs="Times New Roman"/>
          <w:bCs/>
          <w:iCs/>
          <w:szCs w:val="28"/>
        </w:rPr>
        <w:t>ác nước nhận vốn đầu tư từ nước ngoài, tương tự như Việt Nam đang nghiên cứu để đưa ra chính sách ứng phó Thuế tối thiểu toàn cầu, trong đó có việc áp dụng quy định Thuế bổ sung tối thiểu nội địa đạt chuẩn (QDMTT) để tránh việc nộp thuế bổ sung đối với phần thu nhập của công ty thành viên có thuế suất thực tế thấp hơn mức tối thiểu về các nước có công ty mẹ đóng trụ sở chính, đồng thời cũng nghiên cứu một số giải pháp hỗ trợ về tài chính (ví dụ như Thái Lan) để giữ chân các doanh nghiệp FDI thuộc đối tượng của Thuế tối thiểu toàn cầu và thu hút các nhà đầu tư mới.</w:t>
      </w:r>
    </w:p>
    <w:p w:rsidR="00102354" w:rsidRPr="001E61BC" w:rsidRDefault="00102354" w:rsidP="001E61BC">
      <w:pPr>
        <w:widowControl w:val="0"/>
        <w:ind w:firstLine="720"/>
        <w:jc w:val="both"/>
        <w:rPr>
          <w:rFonts w:cs="Times New Roman"/>
          <w:szCs w:val="28"/>
        </w:rPr>
      </w:pPr>
      <w:r w:rsidRPr="001E61BC">
        <w:rPr>
          <w:rFonts w:cs="Times New Roman"/>
          <w:szCs w:val="28"/>
        </w:rPr>
        <w:t>Theo nguyên tắc áp dụng, Thuế tối thiểu toàn cầu không phải là điều ước quốc tế, không phải là cam kết quốc tế, không bắt buộc các quốc gia phải áp dụng. Tuy nhiên, nếu Việt Nam không áp dụng thì vẫn phải chấp nhận việc các quốc gia khác áp dụng Thuế tối thiểu toàn cầu, có quyền thu thuế bổ sung đối với các doanh nghiệp tại Việt Nam (nếu thuộc đối tượng áp dụng) mà được hưởng mức thuế suất thực tế tại Việt Nam thấp hơn mức tối thiểu toàn cầu 15%, đặc biệt là các doanh nghiệp có vốn đầu tư nước ngoài. Việt Nam là nước chủ yếu nhận vốn đầu tư từ nước ngoài, theo đó sẽ bị ảnh hưởng bởi Thuế tối thiểu toàn cầu.</w:t>
      </w:r>
    </w:p>
    <w:p w:rsidR="00532B97" w:rsidRPr="001E61BC" w:rsidRDefault="00102354" w:rsidP="001E61BC">
      <w:pPr>
        <w:widowControl w:val="0"/>
        <w:ind w:firstLine="720"/>
        <w:jc w:val="both"/>
        <w:rPr>
          <w:rFonts w:cs="Times New Roman"/>
          <w:szCs w:val="28"/>
        </w:rPr>
      </w:pPr>
      <w:r w:rsidRPr="001E61BC">
        <w:rPr>
          <w:rFonts w:cs="Times New Roman"/>
          <w:szCs w:val="28"/>
        </w:rPr>
        <w:t xml:space="preserve">Trước bối cảnh các quốc gia có vốn đầu tư lớn vào Việt Nam đã có kế hoạch áp dụng Thuế tối thiểu toàn cầu để giành quyền thu thuế và các quốc gia nhận vốn đầu tư tương tự như Việt Nam đã và đang nghiên cứu chính sách ứng phó, chính sách hỗ trợ nhà đầu tư trước tác động của Thuế tối thiểu toàn cầu, để </w:t>
      </w:r>
      <w:r w:rsidRPr="001E61BC">
        <w:rPr>
          <w:rFonts w:cs="Times New Roman"/>
          <w:szCs w:val="28"/>
          <w:lang w:val="nl-NL"/>
        </w:rPr>
        <w:t>đảm bảo</w:t>
      </w:r>
      <w:r w:rsidRPr="001E61BC">
        <w:rPr>
          <w:rFonts w:cs="Times New Roman"/>
          <w:szCs w:val="28"/>
        </w:rPr>
        <w:t xml:space="preserve"> quyền và lợi ích hợp pháp </w:t>
      </w:r>
      <w:r w:rsidRPr="001E61BC">
        <w:rPr>
          <w:rFonts w:cs="Times New Roman"/>
          <w:iCs/>
          <w:szCs w:val="28"/>
          <w:lang w:val="nl-NL"/>
        </w:rPr>
        <w:t>của</w:t>
      </w:r>
      <w:r w:rsidRPr="001E61BC">
        <w:rPr>
          <w:rFonts w:cs="Times New Roman"/>
          <w:szCs w:val="28"/>
        </w:rPr>
        <w:t xml:space="preserve"> mình, Việt Nam cần khẳng định áp dụng Thuế tối thiểu toàn cầu tại Việt Nam thông qua việc ban hành văn bản quy định việc áp dụng Thuế tối thiểu toàn cầu.</w:t>
      </w:r>
    </w:p>
    <w:p w:rsidR="00D03597" w:rsidRPr="001E61BC" w:rsidRDefault="00D03597" w:rsidP="001E61BC">
      <w:pPr>
        <w:adjustRightInd w:val="0"/>
        <w:snapToGrid w:val="0"/>
        <w:ind w:firstLine="720"/>
        <w:jc w:val="both"/>
        <w:rPr>
          <w:rFonts w:cs="Times New Roman"/>
          <w:szCs w:val="28"/>
        </w:rPr>
      </w:pPr>
      <w:r w:rsidRPr="001E61BC">
        <w:rPr>
          <w:rFonts w:cs="Times New Roman"/>
          <w:szCs w:val="28"/>
        </w:rPr>
        <w:t>Việc áp dụng các quy định về thuế tối thiểu toàn cầu mang lại cho Việt Nam nhưng cơ hội mới, cụ thể:</w:t>
      </w:r>
    </w:p>
    <w:p w:rsidR="00D03597" w:rsidRPr="001E61BC" w:rsidRDefault="00D03597" w:rsidP="001E61BC">
      <w:pPr>
        <w:ind w:firstLine="720"/>
        <w:jc w:val="both"/>
        <w:rPr>
          <w:rFonts w:cs="Times New Roman"/>
          <w:i/>
          <w:iCs/>
          <w:szCs w:val="28"/>
        </w:rPr>
      </w:pPr>
      <w:r w:rsidRPr="001E61BC">
        <w:rPr>
          <w:rFonts w:cs="Times New Roman"/>
          <w:i/>
          <w:iCs/>
          <w:szCs w:val="28"/>
        </w:rPr>
        <w:t>a) Tăng nguồn thu ngân sách nhà nước từ phần thu thuế bổ sung:</w:t>
      </w:r>
    </w:p>
    <w:p w:rsidR="00D03597" w:rsidRPr="001E61BC" w:rsidRDefault="00D03597" w:rsidP="001E61BC">
      <w:pPr>
        <w:ind w:firstLine="720"/>
        <w:jc w:val="both"/>
        <w:rPr>
          <w:rFonts w:cs="Times New Roman"/>
          <w:i/>
          <w:iCs/>
          <w:szCs w:val="28"/>
        </w:rPr>
      </w:pPr>
      <w:r w:rsidRPr="001E61BC">
        <w:rPr>
          <w:rFonts w:cs="Times New Roman"/>
          <w:i/>
          <w:iCs/>
          <w:szCs w:val="28"/>
        </w:rPr>
        <w:t>b) Tăng cường hội nhập quốc tế:</w:t>
      </w:r>
    </w:p>
    <w:p w:rsidR="00D03597" w:rsidRPr="001E61BC" w:rsidRDefault="00D03597" w:rsidP="001E61BC">
      <w:pPr>
        <w:ind w:firstLine="720"/>
        <w:jc w:val="both"/>
        <w:rPr>
          <w:rFonts w:cs="Times New Roman"/>
          <w:szCs w:val="28"/>
        </w:rPr>
      </w:pPr>
      <w:r w:rsidRPr="001E61BC">
        <w:rPr>
          <w:rFonts w:cs="Times New Roman"/>
          <w:szCs w:val="28"/>
        </w:rPr>
        <w:t>Việc áp dụng Thuế tối thiểu toàn cầu sẽ góp phần tăng cường hội nhập quốc tế của Việt Nam, cải cách hệ thống thuế theo hướng phù hợp với thông lệ và chuẩn mực quốc tế thông qua việc sửa đổi chính sách thuế thu nhập doanh nghiệp và pháp luật có liên quan.</w:t>
      </w:r>
    </w:p>
    <w:p w:rsidR="00D03597" w:rsidRPr="001E61BC" w:rsidRDefault="00D03597" w:rsidP="001E61BC">
      <w:pPr>
        <w:ind w:firstLine="720"/>
        <w:jc w:val="both"/>
        <w:rPr>
          <w:rFonts w:cs="Times New Roman"/>
          <w:i/>
          <w:iCs/>
          <w:szCs w:val="28"/>
        </w:rPr>
      </w:pPr>
      <w:r w:rsidRPr="001E61BC">
        <w:rPr>
          <w:rFonts w:cs="Times New Roman"/>
          <w:i/>
          <w:iCs/>
          <w:szCs w:val="28"/>
        </w:rPr>
        <w:t>c) Giảm thiểu hiện tượng trốn thuế, tránh thuế, chuyển giá, chuyển lợi nhuận:</w:t>
      </w:r>
    </w:p>
    <w:p w:rsidR="00D03597" w:rsidRPr="001E61BC" w:rsidRDefault="00D03597" w:rsidP="001E61BC">
      <w:pPr>
        <w:ind w:firstLine="720"/>
        <w:jc w:val="both"/>
        <w:rPr>
          <w:rFonts w:cs="Times New Roman"/>
          <w:szCs w:val="28"/>
        </w:rPr>
      </w:pPr>
      <w:r w:rsidRPr="001E61BC">
        <w:rPr>
          <w:rFonts w:cs="Times New Roman"/>
          <w:szCs w:val="28"/>
        </w:rPr>
        <w:t xml:space="preserve">Việc các nước ban hành các chính sách ưu đãi thuế thu nhập doanh nghiệp để thu hút đầu tư nước ngoài khiến cho hiện tượng trốn thuế, tránh thuế, chuyển giá, chuyển lợi nhuận diễn ra ngày càng phức tạp. Các doanh nghiệp đã lợi dụng các cơ hội để chuyển lợi nhuận từ nước có thuế suất cao </w:t>
      </w:r>
      <w:r w:rsidRPr="001E61BC">
        <w:rPr>
          <w:rFonts w:cs="Times New Roman"/>
          <w:szCs w:val="28"/>
        </w:rPr>
        <w:lastRenderedPageBreak/>
        <w:t>sang nước có thuế suất thấp hơn, từ đó xảy ra tình trạng thất thu thuế. Trong bối cảnh đó, việc áp dụng Thuế tối thiểu toàn cầu sẽ tạo một bằng chung về thuế tại tất cả các quốc gia, từ đó tránh việc cạnh tranh về thuế giữa các nước hiện nay và giảm thiểu tình trạng chuyển giá, chuyển lợi nhuận, giữ vững nguồn thu thuế.</w:t>
      </w:r>
    </w:p>
    <w:p w:rsidR="007A0C3C" w:rsidRPr="001E61BC" w:rsidRDefault="00892FB5" w:rsidP="001E61BC">
      <w:pPr>
        <w:jc w:val="both"/>
        <w:rPr>
          <w:rFonts w:cs="Times New Roman"/>
          <w:b/>
          <w:szCs w:val="28"/>
          <w:lang w:val="nl-NL"/>
        </w:rPr>
      </w:pPr>
      <w:r w:rsidRPr="001E61BC">
        <w:rPr>
          <w:rFonts w:cs="Times New Roman"/>
          <w:b/>
          <w:szCs w:val="28"/>
          <w:lang w:val="nl-NL"/>
        </w:rPr>
        <w:tab/>
      </w:r>
      <w:r w:rsidR="001D4EC0" w:rsidRPr="001E61BC">
        <w:rPr>
          <w:rFonts w:cs="Times New Roman"/>
          <w:b/>
          <w:szCs w:val="28"/>
          <w:lang w:val="nl-NL"/>
        </w:rPr>
        <w:t>II</w:t>
      </w:r>
      <w:r w:rsidR="00297BFE" w:rsidRPr="001E61BC">
        <w:rPr>
          <w:rFonts w:cs="Times New Roman"/>
          <w:b/>
          <w:szCs w:val="28"/>
          <w:lang w:val="nl-NL"/>
        </w:rPr>
        <w:t xml:space="preserve">. </w:t>
      </w:r>
      <w:r w:rsidR="00B57316" w:rsidRPr="001E61BC">
        <w:rPr>
          <w:rFonts w:cs="Times New Roman"/>
          <w:b/>
          <w:szCs w:val="28"/>
          <w:lang w:val="nl-NL"/>
        </w:rPr>
        <w:t xml:space="preserve">MỤC TIÊU, QUAN ĐIỂM XÂY DỰNG </w:t>
      </w:r>
      <w:r w:rsidR="00641AD2">
        <w:rPr>
          <w:rFonts w:cs="Times New Roman"/>
          <w:b/>
          <w:szCs w:val="28"/>
          <w:lang w:val="nl-NL"/>
        </w:rPr>
        <w:t>NGHỊ QUYẾT</w:t>
      </w:r>
      <w:r w:rsidR="007A0C3C" w:rsidRPr="001E61BC">
        <w:rPr>
          <w:rFonts w:cs="Times New Roman"/>
          <w:b/>
          <w:szCs w:val="28"/>
          <w:lang w:val="nl-NL"/>
        </w:rPr>
        <w:t xml:space="preserve"> CỦA QUỐC HỘI VỀ VIỆC ÁP DỤNG THUẾ THU NHẬP DOANH NGHIỆP BỔ SUNG THEO QUY ĐỊNH CHỐNG XÓI MÒN CƠ SỞ THUẾ TOÀN CẦU</w:t>
      </w:r>
    </w:p>
    <w:p w:rsidR="00C404C3" w:rsidRPr="001E61BC" w:rsidRDefault="00C404C3" w:rsidP="001E61BC">
      <w:pPr>
        <w:ind w:firstLineChars="257" w:firstLine="720"/>
        <w:jc w:val="both"/>
        <w:rPr>
          <w:rFonts w:eastAsia="Times New Roman" w:cs="Times New Roman"/>
          <w:b/>
          <w:bCs/>
          <w:color w:val="000000"/>
          <w:szCs w:val="28"/>
        </w:rPr>
      </w:pPr>
      <w:r w:rsidRPr="001E61BC">
        <w:rPr>
          <w:rFonts w:eastAsia="Times New Roman" w:cs="Times New Roman"/>
          <w:b/>
          <w:bCs/>
          <w:color w:val="000000"/>
          <w:szCs w:val="28"/>
          <w:lang w:val="en-US"/>
        </w:rPr>
        <w:t xml:space="preserve">1. </w:t>
      </w:r>
      <w:r w:rsidRPr="001E61BC">
        <w:rPr>
          <w:rFonts w:eastAsia="Times New Roman" w:cs="Times New Roman"/>
          <w:b/>
          <w:bCs/>
          <w:color w:val="000000"/>
          <w:szCs w:val="28"/>
        </w:rPr>
        <w:t>Mục tiêu xây dựng chính sách</w:t>
      </w:r>
    </w:p>
    <w:p w:rsidR="00C404C3" w:rsidRPr="001E61BC" w:rsidRDefault="000127BF" w:rsidP="001E61BC">
      <w:pPr>
        <w:ind w:leftChars="234" w:left="655" w:firstLineChars="51" w:firstLine="143"/>
        <w:jc w:val="both"/>
        <w:rPr>
          <w:rFonts w:eastAsia="Times New Roman" w:cs="Times New Roman"/>
          <w:b/>
          <w:bCs/>
          <w:i/>
          <w:color w:val="000000"/>
          <w:szCs w:val="28"/>
        </w:rPr>
      </w:pPr>
      <w:r w:rsidRPr="001E61BC">
        <w:rPr>
          <w:rFonts w:eastAsia="Times New Roman" w:cs="Times New Roman"/>
          <w:b/>
          <w:i/>
          <w:color w:val="000000"/>
          <w:szCs w:val="28"/>
          <w:lang w:val="en-US"/>
        </w:rPr>
        <w:t>a)</w:t>
      </w:r>
      <w:r w:rsidR="00C404C3" w:rsidRPr="001E61BC">
        <w:rPr>
          <w:rFonts w:eastAsia="Times New Roman" w:cs="Times New Roman"/>
          <w:b/>
          <w:i/>
          <w:color w:val="000000"/>
          <w:szCs w:val="28"/>
        </w:rPr>
        <w:t xml:space="preserve"> </w:t>
      </w:r>
      <w:r w:rsidR="00C404C3" w:rsidRPr="001E61BC">
        <w:rPr>
          <w:rFonts w:eastAsia="Times New Roman" w:cs="Times New Roman"/>
          <w:b/>
          <w:bCs/>
          <w:i/>
          <w:color w:val="000000"/>
          <w:szCs w:val="28"/>
        </w:rPr>
        <w:t>Mục tiêu tổng thể</w:t>
      </w:r>
    </w:p>
    <w:p w:rsidR="00C404C3" w:rsidRPr="001E61BC" w:rsidRDefault="00C404C3" w:rsidP="001E61BC">
      <w:pPr>
        <w:widowControl w:val="0"/>
        <w:ind w:firstLine="720"/>
        <w:jc w:val="both"/>
        <w:rPr>
          <w:rFonts w:eastAsia="Calibri" w:cs="Times New Roman"/>
          <w:szCs w:val="28"/>
        </w:rPr>
      </w:pPr>
      <w:r w:rsidRPr="001E61BC">
        <w:rPr>
          <w:rFonts w:eastAsia="Calibri" w:cs="Times New Roman"/>
          <w:szCs w:val="28"/>
          <w:lang w:val="nl-NL"/>
        </w:rPr>
        <w:t>Xây dựng</w:t>
      </w:r>
      <w:r w:rsidRPr="001E61BC">
        <w:rPr>
          <w:rFonts w:eastAsia="Calibri" w:cs="Times New Roman"/>
          <w:szCs w:val="28"/>
        </w:rPr>
        <w:t xml:space="preserve"> chính sách thuế Thuế tối thiểu toàn cầu để áp dụng từ năm 2024 (</w:t>
      </w:r>
      <w:r w:rsidRPr="001E61BC">
        <w:rPr>
          <w:rFonts w:eastAsia="Calibri" w:cs="Times New Roman"/>
          <w:i/>
          <w:szCs w:val="28"/>
        </w:rPr>
        <w:t xml:space="preserve">bao gồm </w:t>
      </w:r>
      <w:r w:rsidRPr="001E61BC">
        <w:rPr>
          <w:rFonts w:eastAsia="Calibri" w:cs="Times New Roman"/>
          <w:bCs/>
          <w:i/>
          <w:szCs w:val="28"/>
          <w:lang w:val="nl-NL"/>
        </w:rPr>
        <w:t>quy định</w:t>
      </w:r>
      <w:r w:rsidRPr="001E61BC">
        <w:rPr>
          <w:rFonts w:eastAsia="Calibri" w:cs="Times New Roman"/>
          <w:i/>
          <w:szCs w:val="28"/>
        </w:rPr>
        <w:t xml:space="preserve"> tổng hợp </w:t>
      </w:r>
      <w:r w:rsidRPr="001E61BC">
        <w:rPr>
          <w:rFonts w:eastAsia="Calibri" w:cs="Times New Roman"/>
          <w:i/>
          <w:szCs w:val="28"/>
          <w:lang w:val="nl-NL"/>
        </w:rPr>
        <w:t>thu nhập</w:t>
      </w:r>
      <w:r w:rsidRPr="001E61BC">
        <w:rPr>
          <w:rFonts w:eastAsia="Calibri" w:cs="Times New Roman"/>
          <w:i/>
          <w:szCs w:val="28"/>
        </w:rPr>
        <w:t xml:space="preserve"> chịu thuế tối thiểu (IIR) và thuế tối thiểu bổ sung nội địa đạt chuẩn (QDMTT)</w:t>
      </w:r>
      <w:r w:rsidRPr="001E61BC">
        <w:rPr>
          <w:rFonts w:eastAsia="Calibri" w:cs="Times New Roman"/>
          <w:szCs w:val="28"/>
        </w:rPr>
        <w:t xml:space="preserve">) và các giải pháp hỗ trợ phù hợp để giữ chân các nhà </w:t>
      </w:r>
      <w:r w:rsidRPr="001E61BC">
        <w:rPr>
          <w:rFonts w:eastAsia="Calibri" w:cs="Times New Roman"/>
          <w:szCs w:val="28"/>
          <w:lang w:val="nl-NL"/>
        </w:rPr>
        <w:t>đầu tư hiện hữu và thu hút nhà đầu tư mới, đảm bảo bình đẳng giữa nhà đầu tư trong nước và nước ngoài, nhà đầu tư trực tiếp và nhà đầu tư gián tiếp.</w:t>
      </w:r>
    </w:p>
    <w:p w:rsidR="000127BF" w:rsidRPr="001E61BC" w:rsidRDefault="000127BF" w:rsidP="001E61BC">
      <w:pPr>
        <w:ind w:leftChars="234" w:left="655" w:firstLineChars="51" w:firstLine="143"/>
        <w:jc w:val="both"/>
        <w:rPr>
          <w:rFonts w:eastAsia="Times New Roman" w:cs="Times New Roman"/>
          <w:b/>
          <w:i/>
          <w:color w:val="000000"/>
          <w:szCs w:val="28"/>
          <w:lang w:val="en-US"/>
        </w:rPr>
      </w:pPr>
      <w:r w:rsidRPr="001E61BC">
        <w:rPr>
          <w:rFonts w:eastAsia="Times New Roman" w:cs="Times New Roman"/>
          <w:b/>
          <w:i/>
          <w:color w:val="000000"/>
          <w:szCs w:val="28"/>
          <w:lang w:val="en-US"/>
        </w:rPr>
        <w:t xml:space="preserve"> b) Mục tiêu cụ thể</w:t>
      </w:r>
    </w:p>
    <w:p w:rsidR="00C404C3" w:rsidRPr="00883D70" w:rsidRDefault="00883D70" w:rsidP="001E61BC">
      <w:pPr>
        <w:ind w:leftChars="234" w:left="655" w:firstLineChars="51" w:firstLine="143"/>
        <w:jc w:val="both"/>
        <w:rPr>
          <w:rFonts w:eastAsia="Times New Roman" w:cs="Times New Roman"/>
          <w:b/>
          <w:i/>
          <w:color w:val="000000"/>
          <w:szCs w:val="28"/>
          <w:lang w:val="en-US"/>
        </w:rPr>
      </w:pPr>
      <w:r>
        <w:rPr>
          <w:rFonts w:cs="Times New Roman"/>
          <w:szCs w:val="28"/>
          <w:lang w:val="en-US"/>
        </w:rPr>
        <w:t xml:space="preserve">- </w:t>
      </w:r>
      <w:r w:rsidR="00C404C3" w:rsidRPr="001E61BC">
        <w:rPr>
          <w:rFonts w:cs="Times New Roman"/>
          <w:szCs w:val="28"/>
        </w:rPr>
        <w:t>Đảm bảo quyền và lợi ích hợp pháp của Việ</w:t>
      </w:r>
      <w:r>
        <w:rPr>
          <w:rFonts w:cs="Times New Roman"/>
          <w:szCs w:val="28"/>
        </w:rPr>
        <w:t>t Nam</w:t>
      </w:r>
      <w:r>
        <w:rPr>
          <w:rFonts w:cs="Times New Roman"/>
          <w:szCs w:val="28"/>
          <w:lang w:val="en-US"/>
        </w:rPr>
        <w:t>;</w:t>
      </w:r>
    </w:p>
    <w:p w:rsidR="00C404C3" w:rsidRPr="001E61BC" w:rsidRDefault="00883D70" w:rsidP="001E61BC">
      <w:pPr>
        <w:ind w:firstLineChars="285" w:firstLine="798"/>
        <w:jc w:val="both"/>
        <w:rPr>
          <w:rFonts w:eastAsia="Times New Roman" w:cs="Times New Roman"/>
          <w:color w:val="000000"/>
          <w:szCs w:val="28"/>
          <w:lang w:val="en-US"/>
        </w:rPr>
      </w:pPr>
      <w:r>
        <w:rPr>
          <w:rFonts w:eastAsia="Times New Roman" w:cs="Times New Roman"/>
          <w:color w:val="000000"/>
          <w:szCs w:val="28"/>
          <w:lang w:val="en-US"/>
        </w:rPr>
        <w:t xml:space="preserve">- </w:t>
      </w:r>
      <w:r w:rsidR="00C404C3" w:rsidRPr="001E61BC">
        <w:rPr>
          <w:rFonts w:eastAsia="Times New Roman" w:cs="Times New Roman"/>
          <w:color w:val="000000"/>
          <w:szCs w:val="28"/>
          <w:lang w:val="en-US"/>
        </w:rPr>
        <w:t xml:space="preserve">Tạo mức độ tin tưởng giữa doanh nghiệp và Chính phủ để doanh nghiệp tiếp tục đầu tư và mở rộng đầu tư tại Việt Nam; </w:t>
      </w:r>
    </w:p>
    <w:p w:rsidR="00C404C3" w:rsidRPr="001E61BC" w:rsidRDefault="00883D70" w:rsidP="001E61BC">
      <w:pPr>
        <w:ind w:firstLineChars="285" w:firstLine="798"/>
        <w:jc w:val="both"/>
        <w:rPr>
          <w:rFonts w:eastAsia="Times New Roman" w:cs="Times New Roman"/>
          <w:color w:val="000000"/>
          <w:szCs w:val="28"/>
          <w:lang w:val="en-US"/>
        </w:rPr>
      </w:pPr>
      <w:r>
        <w:rPr>
          <w:rFonts w:eastAsia="Times New Roman" w:cs="Times New Roman"/>
          <w:color w:val="000000"/>
          <w:szCs w:val="28"/>
          <w:lang w:val="en-US"/>
        </w:rPr>
        <w:t>-</w:t>
      </w:r>
      <w:r w:rsidR="00C404C3" w:rsidRPr="001E61BC">
        <w:rPr>
          <w:rFonts w:eastAsia="Times New Roman" w:cs="Times New Roman"/>
          <w:color w:val="000000"/>
          <w:szCs w:val="28"/>
          <w:lang w:val="en-US"/>
        </w:rPr>
        <w:t xml:space="preserve"> Thể hiện sự tiến bộ và minh bạch trong hệ thống quản lý thuế và môi trường đầu tư kinh doanh tiệm cận với các chuẩn mực quốc tế;</w:t>
      </w:r>
    </w:p>
    <w:p w:rsidR="00C404C3" w:rsidRPr="001E61BC" w:rsidRDefault="00883D70" w:rsidP="001E61BC">
      <w:pPr>
        <w:ind w:firstLineChars="285" w:firstLine="798"/>
        <w:jc w:val="both"/>
        <w:rPr>
          <w:rFonts w:eastAsia="Times New Roman" w:cs="Times New Roman"/>
          <w:color w:val="000000"/>
          <w:szCs w:val="28"/>
          <w:lang w:val="en-US"/>
        </w:rPr>
      </w:pPr>
      <w:r>
        <w:rPr>
          <w:rFonts w:eastAsia="Times New Roman" w:cs="Times New Roman"/>
          <w:color w:val="000000"/>
          <w:szCs w:val="28"/>
          <w:lang w:val="en-US"/>
        </w:rPr>
        <w:t>-</w:t>
      </w:r>
      <w:r w:rsidR="00C404C3" w:rsidRPr="001E61BC">
        <w:rPr>
          <w:rFonts w:eastAsia="Times New Roman" w:cs="Times New Roman"/>
          <w:color w:val="000000"/>
          <w:szCs w:val="28"/>
          <w:lang w:val="en-US"/>
        </w:rPr>
        <w:t xml:space="preserve"> Giữ nguyên các chính sách ưu đãi hiện hành áp dụng cho các doanh nghiệp không thuộc đối tượng áp dụng của Thuế tối thiểu toàn cầu.</w:t>
      </w:r>
    </w:p>
    <w:p w:rsidR="00FB2AB7" w:rsidRPr="001E61BC" w:rsidRDefault="00FB2AB7" w:rsidP="001E61BC">
      <w:pPr>
        <w:widowControl w:val="0"/>
        <w:ind w:firstLineChars="252" w:firstLine="706"/>
        <w:jc w:val="both"/>
        <w:rPr>
          <w:rFonts w:eastAsia="Courier New" w:cs="Times New Roman"/>
          <w:b/>
          <w:bCs/>
          <w:szCs w:val="28"/>
          <w:lang w:eastAsia="vi-VN"/>
        </w:rPr>
      </w:pPr>
      <w:r w:rsidRPr="001E61BC">
        <w:rPr>
          <w:rFonts w:eastAsia="Courier New" w:cs="Times New Roman"/>
          <w:b/>
          <w:bCs/>
          <w:szCs w:val="28"/>
          <w:lang w:eastAsia="vi-VN"/>
        </w:rPr>
        <w:t>2. Quan điểm xây dựng văn bản</w:t>
      </w:r>
    </w:p>
    <w:p w:rsidR="00EF0E3A" w:rsidRPr="00285D89" w:rsidRDefault="00EF0E3A" w:rsidP="00EF0E3A">
      <w:pPr>
        <w:widowControl w:val="0"/>
        <w:ind w:firstLine="720"/>
        <w:rPr>
          <w:color w:val="000000" w:themeColor="text1"/>
        </w:rPr>
      </w:pPr>
      <w:r w:rsidRPr="00285D89">
        <w:rPr>
          <w:b/>
          <w:color w:val="000000" w:themeColor="text1"/>
        </w:rPr>
        <w:t xml:space="preserve">- </w:t>
      </w:r>
      <w:r w:rsidRPr="00285D89">
        <w:rPr>
          <w:color w:val="000000" w:themeColor="text1"/>
        </w:rPr>
        <w:t xml:space="preserve">Chủ trương và các chính sách của Việt Nam chủ động ứng phó đối với đề xuất thuế tối thiểu toàn cầu của OECD phải đặt lợi ích quốc gia, dân tộc lên trên hết và trước hết, phù hợp với chủ trương, giải pháp </w:t>
      </w:r>
      <w:r w:rsidRPr="00285D89">
        <w:rPr>
          <w:iCs/>
          <w:color w:val="000000" w:themeColor="text1"/>
          <w:lang w:val="nl-NL"/>
        </w:rPr>
        <w:t>của</w:t>
      </w:r>
      <w:r w:rsidRPr="00285D89">
        <w:rPr>
          <w:color w:val="000000" w:themeColor="text1"/>
        </w:rPr>
        <w:t xml:space="preserve"> Đảng về hoàn thiện chính sách thu, phù hợp với hội nhập kinh tế quốc tế trong tình hình mới.</w:t>
      </w:r>
    </w:p>
    <w:p w:rsidR="00EF0E3A" w:rsidRPr="00C67DB4" w:rsidRDefault="00EF0E3A" w:rsidP="00EF0E3A">
      <w:pPr>
        <w:widowControl w:val="0"/>
        <w:ind w:firstLine="720"/>
        <w:rPr>
          <w:color w:val="000000" w:themeColor="text1"/>
        </w:rPr>
      </w:pPr>
      <w:r w:rsidRPr="00285D89">
        <w:rPr>
          <w:color w:val="000000" w:themeColor="text1"/>
        </w:rPr>
        <w:t>- Việt Nam ủng hộ và chủ động áp dụng quy định Thuế tối thiểu toàn cầu</w:t>
      </w:r>
      <w:r>
        <w:rPr>
          <w:color w:val="000000" w:themeColor="text1"/>
        </w:rPr>
        <w:t xml:space="preserve"> từ năm 2024</w:t>
      </w:r>
      <w:r w:rsidRPr="00285D89">
        <w:rPr>
          <w:color w:val="000000" w:themeColor="text1"/>
        </w:rPr>
        <w:t>, tạo cơ chế thuận lợi để khuyến khích các doanh nghiệp nộp bổ sung thuế tại Việt Nam</w:t>
      </w:r>
      <w:r>
        <w:rPr>
          <w:color w:val="000000" w:themeColor="text1"/>
        </w:rPr>
        <w:t>.</w:t>
      </w:r>
    </w:p>
    <w:p w:rsidR="00FB2AB7" w:rsidRPr="001E61BC" w:rsidRDefault="00EF0E3A" w:rsidP="00EF0E3A">
      <w:pPr>
        <w:widowControl w:val="0"/>
        <w:ind w:firstLine="720"/>
        <w:jc w:val="both"/>
        <w:rPr>
          <w:rFonts w:cs="Times New Roman"/>
          <w:szCs w:val="28"/>
        </w:rPr>
      </w:pPr>
      <w:r w:rsidRPr="00285D89">
        <w:rPr>
          <w:color w:val="000000" w:themeColor="text1"/>
        </w:rPr>
        <w:t>- Do Thuế tối thiểu toàn cầu chỉ áp dụng với một nhóm đối tượng, nên cần tiếp tục duy trì các chính sách ưu đãi thuế hợp lý đối với các doanh nghiệp không thuộc đối tượng áp dụng của Thuế tối thiểu toàn cầu.</w:t>
      </w:r>
    </w:p>
    <w:p w:rsidR="00B57316" w:rsidRPr="001E61BC" w:rsidRDefault="00B57316" w:rsidP="001E61BC">
      <w:pPr>
        <w:ind w:firstLine="720"/>
        <w:rPr>
          <w:rFonts w:eastAsia="Times New Roman" w:cs="Times New Roman"/>
          <w:szCs w:val="28"/>
        </w:rPr>
      </w:pPr>
      <w:r w:rsidRPr="001E61BC">
        <w:rPr>
          <w:rFonts w:eastAsia="Times New Roman" w:cs="Times New Roman"/>
          <w:b/>
          <w:szCs w:val="28"/>
        </w:rPr>
        <w:t>III. PHẠM VI ĐIỀU CHỈNH </w:t>
      </w:r>
    </w:p>
    <w:p w:rsidR="00123BC4" w:rsidRPr="001E61BC" w:rsidRDefault="00123BC4" w:rsidP="001E61BC">
      <w:pPr>
        <w:pStyle w:val="NormalWeb"/>
        <w:widowControl w:val="0"/>
        <w:shd w:val="clear" w:color="auto" w:fill="FFFFFF"/>
        <w:adjustRightInd w:val="0"/>
        <w:snapToGrid w:val="0"/>
        <w:ind w:firstLineChars="253" w:firstLine="708"/>
        <w:rPr>
          <w:b/>
          <w:bCs/>
          <w:sz w:val="28"/>
          <w:szCs w:val="28"/>
          <w:shd w:val="clear" w:color="auto" w:fill="FFFFFF"/>
        </w:rPr>
      </w:pPr>
      <w:r w:rsidRPr="001E61BC">
        <w:rPr>
          <w:b/>
          <w:bCs/>
          <w:sz w:val="28"/>
          <w:szCs w:val="28"/>
          <w:shd w:val="clear" w:color="auto" w:fill="FFFFFF"/>
        </w:rPr>
        <w:t>1. Phạm vi điều chỉnh</w:t>
      </w:r>
    </w:p>
    <w:p w:rsidR="00123BC4" w:rsidRPr="001E61BC" w:rsidRDefault="00123BC4" w:rsidP="001E61BC">
      <w:pPr>
        <w:widowControl w:val="0"/>
        <w:adjustRightInd w:val="0"/>
        <w:snapToGrid w:val="0"/>
        <w:ind w:firstLine="720"/>
        <w:jc w:val="both"/>
        <w:rPr>
          <w:rFonts w:cs="Times New Roman"/>
          <w:szCs w:val="28"/>
        </w:rPr>
      </w:pPr>
      <w:r w:rsidRPr="001E61BC">
        <w:rPr>
          <w:rFonts w:cs="Times New Roman"/>
          <w:szCs w:val="28"/>
        </w:rPr>
        <w:t xml:space="preserve">Văn bản quy định việc áp dụng thuế thu nhập doanh nghiệp bổ sung theo </w:t>
      </w:r>
      <w:r w:rsidRPr="001E61BC">
        <w:rPr>
          <w:rFonts w:cs="Times New Roman"/>
          <w:szCs w:val="28"/>
        </w:rPr>
        <w:lastRenderedPageBreak/>
        <w:t>quy định chống xói mòn cơ sở thuế toàn cầu (Quy định GloBE). Trong đó, quy định GloBE là bộ quy định của Diễn đàn hợp tác chung OECD/G20 về quy định chống xói mòn cơ sở thuế và chuyển lợi nhuận (Diễn đàn), bao gồm: Quy định mẫu, Tài liệu diễn giải, Hướng dẫn hành chính, Hướng dẫn quy định miễn trừ và các văn bản quy định chi tiết khác.</w:t>
      </w:r>
    </w:p>
    <w:p w:rsidR="00123BC4" w:rsidRPr="001E61BC" w:rsidRDefault="00123BC4" w:rsidP="001E61BC">
      <w:pPr>
        <w:pStyle w:val="NormalWeb"/>
        <w:widowControl w:val="0"/>
        <w:shd w:val="clear" w:color="auto" w:fill="FFFFFF"/>
        <w:adjustRightInd w:val="0"/>
        <w:snapToGrid w:val="0"/>
        <w:ind w:firstLine="709"/>
        <w:jc w:val="both"/>
        <w:rPr>
          <w:sz w:val="28"/>
          <w:szCs w:val="28"/>
          <w:shd w:val="clear" w:color="auto" w:fill="FFFFFF"/>
          <w:lang w:eastAsia="ko-KR"/>
        </w:rPr>
      </w:pPr>
      <w:r w:rsidRPr="001E61BC">
        <w:rPr>
          <w:b/>
          <w:bCs/>
          <w:sz w:val="28"/>
          <w:szCs w:val="28"/>
          <w:shd w:val="clear" w:color="auto" w:fill="FFFFFF"/>
        </w:rPr>
        <w:t>2. Đối tượng áp dụng</w:t>
      </w:r>
      <w:r w:rsidRPr="001E61BC">
        <w:rPr>
          <w:sz w:val="28"/>
          <w:szCs w:val="28"/>
          <w:shd w:val="clear" w:color="auto" w:fill="FFFFFF"/>
          <w:lang w:eastAsia="ko-KR"/>
        </w:rPr>
        <w:t xml:space="preserve"> </w:t>
      </w:r>
    </w:p>
    <w:p w:rsidR="00123BC4" w:rsidRPr="001E61BC" w:rsidRDefault="00123BC4" w:rsidP="001E61BC">
      <w:pPr>
        <w:pStyle w:val="NormalWeb"/>
        <w:widowControl w:val="0"/>
        <w:shd w:val="clear" w:color="auto" w:fill="FFFFFF"/>
        <w:ind w:firstLine="709"/>
        <w:jc w:val="both"/>
        <w:rPr>
          <w:sz w:val="28"/>
          <w:szCs w:val="28"/>
          <w:lang w:eastAsia="ko-KR"/>
        </w:rPr>
      </w:pPr>
      <w:r w:rsidRPr="001E61BC">
        <w:rPr>
          <w:sz w:val="28"/>
          <w:szCs w:val="28"/>
        </w:rPr>
        <w:t>Công ty thành viên, Công ty mẹ tối cao của Tập đoàn đa quốc gia có doanh thu trong Báo cáo tài chính hợp nhất của Công ty mẹ tối cao ít nhất hai trong số bốn năm tài chính ngay trước năm tính thuế tương đương 750 triệu EUR trở lên</w:t>
      </w:r>
      <w:r w:rsidRPr="001E61BC">
        <w:rPr>
          <w:sz w:val="28"/>
          <w:szCs w:val="28"/>
          <w:shd w:val="clear" w:color="auto" w:fill="FFFFFF"/>
        </w:rPr>
        <w:t>, trừ các trường hợp sau:</w:t>
      </w:r>
    </w:p>
    <w:p w:rsidR="00123BC4" w:rsidRPr="001E61BC" w:rsidRDefault="00123BC4" w:rsidP="001E61BC">
      <w:pPr>
        <w:pStyle w:val="NormalWeb"/>
        <w:widowControl w:val="0"/>
        <w:shd w:val="clear" w:color="auto" w:fill="FFFFFF"/>
        <w:adjustRightInd w:val="0"/>
        <w:snapToGrid w:val="0"/>
        <w:ind w:firstLine="720"/>
        <w:jc w:val="both"/>
        <w:rPr>
          <w:sz w:val="28"/>
          <w:szCs w:val="28"/>
        </w:rPr>
      </w:pPr>
      <w:r w:rsidRPr="001E61BC">
        <w:rPr>
          <w:sz w:val="28"/>
          <w:szCs w:val="28"/>
        </w:rPr>
        <w:t>a) Các tổ chức của chính phủ;</w:t>
      </w:r>
    </w:p>
    <w:p w:rsidR="00123BC4" w:rsidRPr="001E61BC" w:rsidRDefault="00123BC4" w:rsidP="001E61BC">
      <w:pPr>
        <w:pStyle w:val="NormalWeb"/>
        <w:widowControl w:val="0"/>
        <w:shd w:val="clear" w:color="auto" w:fill="FFFFFF"/>
        <w:adjustRightInd w:val="0"/>
        <w:snapToGrid w:val="0"/>
        <w:ind w:firstLine="720"/>
        <w:jc w:val="both"/>
        <w:rPr>
          <w:sz w:val="28"/>
          <w:szCs w:val="28"/>
        </w:rPr>
      </w:pPr>
      <w:r w:rsidRPr="001E61BC">
        <w:rPr>
          <w:sz w:val="28"/>
          <w:szCs w:val="28"/>
        </w:rPr>
        <w:t>b) Tổ chức quốc tế;</w:t>
      </w:r>
    </w:p>
    <w:p w:rsidR="00123BC4" w:rsidRPr="001E61BC" w:rsidRDefault="00123BC4" w:rsidP="001E61BC">
      <w:pPr>
        <w:pStyle w:val="NormalWeb"/>
        <w:widowControl w:val="0"/>
        <w:shd w:val="clear" w:color="auto" w:fill="FFFFFF"/>
        <w:adjustRightInd w:val="0"/>
        <w:snapToGrid w:val="0"/>
        <w:ind w:firstLine="720"/>
        <w:jc w:val="both"/>
        <w:rPr>
          <w:sz w:val="28"/>
          <w:szCs w:val="28"/>
        </w:rPr>
      </w:pPr>
      <w:r w:rsidRPr="001E61BC">
        <w:rPr>
          <w:sz w:val="28"/>
          <w:szCs w:val="28"/>
        </w:rPr>
        <w:t>c) Tổ chức phi lợi nhuận;</w:t>
      </w:r>
    </w:p>
    <w:p w:rsidR="00123BC4" w:rsidRPr="001E61BC" w:rsidRDefault="00123BC4" w:rsidP="001E61BC">
      <w:pPr>
        <w:pStyle w:val="NormalWeb"/>
        <w:widowControl w:val="0"/>
        <w:shd w:val="clear" w:color="auto" w:fill="FFFFFF"/>
        <w:adjustRightInd w:val="0"/>
        <w:snapToGrid w:val="0"/>
        <w:ind w:firstLine="720"/>
        <w:jc w:val="both"/>
        <w:rPr>
          <w:sz w:val="28"/>
          <w:szCs w:val="28"/>
        </w:rPr>
      </w:pPr>
      <w:r w:rsidRPr="001E61BC">
        <w:rPr>
          <w:sz w:val="28"/>
          <w:szCs w:val="28"/>
        </w:rPr>
        <w:t>d) Quỹ hưu trí;</w:t>
      </w:r>
    </w:p>
    <w:p w:rsidR="00123BC4" w:rsidRPr="001E61BC" w:rsidRDefault="00FF6B84" w:rsidP="001E61BC">
      <w:pPr>
        <w:pStyle w:val="NormalWeb"/>
        <w:widowControl w:val="0"/>
        <w:shd w:val="clear" w:color="auto" w:fill="FFFFFF"/>
        <w:adjustRightInd w:val="0"/>
        <w:snapToGrid w:val="0"/>
        <w:ind w:firstLine="720"/>
        <w:jc w:val="both"/>
        <w:rPr>
          <w:sz w:val="28"/>
          <w:szCs w:val="28"/>
        </w:rPr>
      </w:pPr>
      <w:r>
        <w:rPr>
          <w:sz w:val="28"/>
          <w:szCs w:val="28"/>
        </w:rPr>
        <w:t>đ</w:t>
      </w:r>
      <w:r w:rsidR="00123BC4" w:rsidRPr="001E61BC">
        <w:rPr>
          <w:sz w:val="28"/>
          <w:szCs w:val="28"/>
        </w:rPr>
        <w:t>) Quỹ đầu tư là Công ty mẹ tối cao;</w:t>
      </w:r>
    </w:p>
    <w:p w:rsidR="00123BC4" w:rsidRPr="001E61BC" w:rsidRDefault="00FF6B84" w:rsidP="001E61BC">
      <w:pPr>
        <w:pStyle w:val="NormalWeb"/>
        <w:widowControl w:val="0"/>
        <w:shd w:val="clear" w:color="auto" w:fill="FFFFFF"/>
        <w:adjustRightInd w:val="0"/>
        <w:snapToGrid w:val="0"/>
        <w:ind w:firstLine="720"/>
        <w:jc w:val="both"/>
        <w:rPr>
          <w:sz w:val="28"/>
          <w:szCs w:val="28"/>
        </w:rPr>
      </w:pPr>
      <w:r>
        <w:rPr>
          <w:sz w:val="28"/>
          <w:szCs w:val="28"/>
        </w:rPr>
        <w:t>e</w:t>
      </w:r>
      <w:r w:rsidR="00123BC4" w:rsidRPr="001E61BC">
        <w:rPr>
          <w:sz w:val="28"/>
          <w:szCs w:val="28"/>
        </w:rPr>
        <w:t>) Tổ chức đầu tư bất động sản là Công ty mẹ tối cao</w:t>
      </w:r>
    </w:p>
    <w:p w:rsidR="00123BC4" w:rsidRPr="001E61BC" w:rsidRDefault="00123BC4" w:rsidP="001E61BC">
      <w:pPr>
        <w:pStyle w:val="NormalWeb"/>
        <w:widowControl w:val="0"/>
        <w:shd w:val="clear" w:color="auto" w:fill="FFFFFF"/>
        <w:adjustRightInd w:val="0"/>
        <w:snapToGrid w:val="0"/>
        <w:ind w:firstLine="720"/>
        <w:jc w:val="both"/>
        <w:rPr>
          <w:sz w:val="28"/>
          <w:szCs w:val="28"/>
        </w:rPr>
      </w:pPr>
      <w:r w:rsidRPr="001E61BC">
        <w:rPr>
          <w:sz w:val="28"/>
          <w:szCs w:val="28"/>
        </w:rPr>
        <w:t>g) Tổ chức có ít nhất 85% giá trị tài sản thuộc sở hữu trực tiếp hoặc gián tiếp thông qua các tổ chức nêu trên.</w:t>
      </w:r>
    </w:p>
    <w:p w:rsidR="00B57316" w:rsidRPr="00641AD2" w:rsidRDefault="00123BC4" w:rsidP="001E61BC">
      <w:pPr>
        <w:ind w:firstLine="720"/>
        <w:jc w:val="both"/>
        <w:rPr>
          <w:rFonts w:eastAsia="Times New Roman" w:cs="Times New Roman"/>
          <w:b/>
          <w:szCs w:val="28"/>
          <w:lang w:val="en-US"/>
        </w:rPr>
      </w:pPr>
      <w:r w:rsidRPr="001E61BC">
        <w:rPr>
          <w:rFonts w:eastAsia="Times New Roman" w:cs="Times New Roman"/>
          <w:b/>
          <w:szCs w:val="28"/>
          <w:lang w:val="en-US"/>
        </w:rPr>
        <w:t>3</w:t>
      </w:r>
      <w:r w:rsidR="00B57316" w:rsidRPr="001E61BC">
        <w:rPr>
          <w:rFonts w:eastAsia="Times New Roman" w:cs="Times New Roman"/>
          <w:b/>
          <w:szCs w:val="28"/>
        </w:rPr>
        <w:t xml:space="preserve">. Mục tiêu, nội dung chính sách trong đề nghị xây dựng </w:t>
      </w:r>
      <w:r w:rsidR="00641AD2">
        <w:rPr>
          <w:rFonts w:eastAsia="Times New Roman" w:cs="Times New Roman"/>
          <w:b/>
          <w:szCs w:val="28"/>
          <w:lang w:val="en-US"/>
        </w:rPr>
        <w:t>Nghị quyết</w:t>
      </w:r>
    </w:p>
    <w:p w:rsidR="00B57316" w:rsidRPr="001E61BC" w:rsidRDefault="00123BC4" w:rsidP="001E61BC">
      <w:pPr>
        <w:ind w:firstLine="720"/>
        <w:jc w:val="both"/>
        <w:rPr>
          <w:rFonts w:cs="Times New Roman"/>
          <w:noProof/>
          <w:szCs w:val="28"/>
        </w:rPr>
      </w:pPr>
      <w:r w:rsidRPr="001E61BC">
        <w:rPr>
          <w:rFonts w:eastAsia="Times New Roman" w:cs="Times New Roman"/>
          <w:b/>
          <w:szCs w:val="28"/>
          <w:lang w:val="en-US"/>
        </w:rPr>
        <w:t>3</w:t>
      </w:r>
      <w:r w:rsidR="00B57316" w:rsidRPr="001E61BC">
        <w:rPr>
          <w:rFonts w:eastAsia="Times New Roman" w:cs="Times New Roman"/>
          <w:b/>
          <w:szCs w:val="28"/>
        </w:rPr>
        <w:t xml:space="preserve">.1. Chính sách 1: </w:t>
      </w:r>
      <w:r w:rsidR="002F4B41" w:rsidRPr="001E61BC">
        <w:rPr>
          <w:rFonts w:cs="Times New Roman"/>
          <w:noProof/>
          <w:szCs w:val="28"/>
          <w:lang w:val="en-US"/>
        </w:rPr>
        <w:t>Q</w:t>
      </w:r>
      <w:r w:rsidR="000E53D0" w:rsidRPr="001E61BC">
        <w:rPr>
          <w:rFonts w:cs="Times New Roman"/>
          <w:noProof/>
          <w:szCs w:val="28"/>
        </w:rPr>
        <w:t>uy định Thuế bổ sung tối thiểu nội địa đạt chuẩn (QDMTT)</w:t>
      </w:r>
    </w:p>
    <w:p w:rsidR="00B57316" w:rsidRPr="001E61BC" w:rsidRDefault="00123BC4" w:rsidP="001E61BC">
      <w:pPr>
        <w:ind w:firstLine="720"/>
        <w:jc w:val="both"/>
        <w:rPr>
          <w:rFonts w:eastAsia="Times New Roman" w:cs="Times New Roman"/>
          <w:b/>
          <w:szCs w:val="28"/>
        </w:rPr>
      </w:pPr>
      <w:r w:rsidRPr="001E61BC">
        <w:rPr>
          <w:rFonts w:eastAsia="Times New Roman" w:cs="Times New Roman"/>
          <w:b/>
          <w:szCs w:val="28"/>
          <w:lang w:val="en-US"/>
        </w:rPr>
        <w:t>3</w:t>
      </w:r>
      <w:r w:rsidR="00B57316" w:rsidRPr="001E61BC">
        <w:rPr>
          <w:rFonts w:eastAsia="Times New Roman" w:cs="Times New Roman"/>
          <w:b/>
          <w:szCs w:val="28"/>
        </w:rPr>
        <w:t>.1.1. Mục tiêu </w:t>
      </w:r>
    </w:p>
    <w:p w:rsidR="00507290" w:rsidRPr="001E61BC" w:rsidRDefault="00507290" w:rsidP="001E61BC">
      <w:pPr>
        <w:ind w:firstLine="720"/>
        <w:jc w:val="both"/>
        <w:rPr>
          <w:rFonts w:eastAsia="Times New Roman" w:cs="Times New Roman"/>
          <w:szCs w:val="28"/>
          <w:lang w:val="en-US"/>
        </w:rPr>
      </w:pPr>
      <w:r w:rsidRPr="001E61BC">
        <w:rPr>
          <w:rFonts w:eastAsia="Times New Roman" w:cs="Times New Roman"/>
          <w:szCs w:val="28"/>
          <w:lang w:val="en-US"/>
        </w:rPr>
        <w:t>- Tuân thủ theo hướng dẫn tại các văn bản, tài liệu quy định về Thuế tối thiểu toàn cầu của OECD;</w:t>
      </w:r>
    </w:p>
    <w:p w:rsidR="00507290" w:rsidRPr="001E61BC" w:rsidRDefault="00507290" w:rsidP="001E61BC">
      <w:pPr>
        <w:ind w:firstLine="720"/>
        <w:jc w:val="both"/>
        <w:rPr>
          <w:rFonts w:eastAsia="Times New Roman" w:cs="Times New Roman"/>
          <w:szCs w:val="28"/>
          <w:lang w:val="en-US"/>
        </w:rPr>
      </w:pPr>
      <w:r w:rsidRPr="001E61BC">
        <w:rPr>
          <w:rFonts w:eastAsia="Times New Roman" w:cs="Times New Roman"/>
          <w:szCs w:val="28"/>
          <w:lang w:val="en-US"/>
        </w:rPr>
        <w:t>- Bảo đảm chính sách minh bạch, rõ ràng, tạo thuận lợi trong thực hiện, qua đó nâng cao hiệu quả quản lý thuế;</w:t>
      </w:r>
    </w:p>
    <w:p w:rsidR="00507290" w:rsidRPr="001E61BC" w:rsidRDefault="00507290" w:rsidP="001E61BC">
      <w:pPr>
        <w:ind w:firstLine="720"/>
        <w:jc w:val="both"/>
        <w:rPr>
          <w:rFonts w:eastAsia="Times New Roman" w:cs="Times New Roman"/>
          <w:b/>
          <w:szCs w:val="28"/>
          <w:lang w:val="en-US"/>
        </w:rPr>
      </w:pPr>
      <w:r w:rsidRPr="001E61BC">
        <w:rPr>
          <w:rFonts w:eastAsia="Times New Roman" w:cs="Times New Roman"/>
          <w:szCs w:val="28"/>
          <w:lang w:val="en-US"/>
        </w:rPr>
        <w:t xml:space="preserve">- </w:t>
      </w:r>
      <w:r w:rsidRPr="001E61BC">
        <w:rPr>
          <w:rFonts w:eastAsia="Times New Roman" w:cs="Times New Roman"/>
          <w:szCs w:val="28"/>
        </w:rPr>
        <w:t>Mở rộng cơ sở thuế phù hợp bối cảnh kinh tế - xã hội của đất nước và thông lệ quốc tế</w:t>
      </w:r>
      <w:r w:rsidRPr="001E61BC">
        <w:rPr>
          <w:rFonts w:eastAsia="Times New Roman" w:cs="Times New Roman"/>
          <w:b/>
          <w:szCs w:val="28"/>
          <w:lang w:val="en-US"/>
        </w:rPr>
        <w:t>.</w:t>
      </w:r>
    </w:p>
    <w:p w:rsidR="00B57316" w:rsidRPr="001E61BC" w:rsidRDefault="00123BC4" w:rsidP="001E61BC">
      <w:pPr>
        <w:ind w:firstLine="720"/>
        <w:jc w:val="both"/>
        <w:rPr>
          <w:rFonts w:eastAsia="Times New Roman" w:cs="Times New Roman"/>
          <w:b/>
          <w:szCs w:val="28"/>
        </w:rPr>
      </w:pPr>
      <w:r w:rsidRPr="001E61BC">
        <w:rPr>
          <w:rFonts w:eastAsia="Times New Roman" w:cs="Times New Roman"/>
          <w:b/>
          <w:szCs w:val="28"/>
          <w:lang w:val="en-US"/>
        </w:rPr>
        <w:t>3</w:t>
      </w:r>
      <w:r w:rsidR="00B57316" w:rsidRPr="001E61BC">
        <w:rPr>
          <w:rFonts w:eastAsia="Times New Roman" w:cs="Times New Roman"/>
          <w:b/>
          <w:szCs w:val="28"/>
        </w:rPr>
        <w:t>.1.2. Giải pháp </w:t>
      </w:r>
    </w:p>
    <w:p w:rsidR="008213F2" w:rsidRPr="001E61BC" w:rsidRDefault="008213F2" w:rsidP="001E61BC">
      <w:pPr>
        <w:widowControl w:val="0"/>
        <w:ind w:firstLine="720"/>
        <w:jc w:val="both"/>
        <w:rPr>
          <w:rFonts w:cs="Times New Roman"/>
          <w:szCs w:val="28"/>
        </w:rPr>
      </w:pPr>
      <w:r w:rsidRPr="001E61BC">
        <w:rPr>
          <w:rFonts w:cs="Times New Roman"/>
          <w:b/>
          <w:bCs/>
          <w:i/>
          <w:iCs/>
          <w:szCs w:val="28"/>
        </w:rPr>
        <w:t>- Về đối tượng áp dụng:</w:t>
      </w:r>
      <w:r w:rsidRPr="001E61BC">
        <w:rPr>
          <w:rFonts w:cs="Times New Roman"/>
          <w:szCs w:val="28"/>
        </w:rPr>
        <w:t xml:space="preserve"> Công ty thành viên hoặc tập hợp các Công ty thành viên của Tập đoàn đa quốc gia có doanh thu nêu trong báo cáo tài chính hợp nhất của Công ty mẹ tối cao có ít nhất 2 năm trong 4 năm liền kề trước năm tính thuế tương đương 750 triệu EUR trở lên, </w:t>
      </w:r>
      <w:r w:rsidRPr="001E61BC">
        <w:rPr>
          <w:rFonts w:cs="Times New Roman"/>
          <w:spacing w:val="-2"/>
          <w:szCs w:val="28"/>
          <w:lang w:val="nl-NL"/>
        </w:rPr>
        <w:t>có hoạt động sản xuất kinh doanh tại Việt Nam</w:t>
      </w:r>
      <w:r w:rsidRPr="001E61BC">
        <w:rPr>
          <w:rFonts w:cs="Times New Roman"/>
          <w:spacing w:val="-2"/>
          <w:szCs w:val="28"/>
        </w:rPr>
        <w:t>,</w:t>
      </w:r>
      <w:r w:rsidRPr="001E61BC">
        <w:rPr>
          <w:rFonts w:cs="Times New Roman"/>
          <w:szCs w:val="28"/>
        </w:rPr>
        <w:t xml:space="preserve"> có lợi nhuận tại Việt Nam vượt ngưỡng trong năm tính thuế và có mức thuế suất thực tế tại Việt Nam thấp hơn thuế suất tối thiểu trong năm tính thuế</w:t>
      </w:r>
      <w:r w:rsidRPr="001E61BC">
        <w:rPr>
          <w:rFonts w:cs="Times New Roman"/>
          <w:szCs w:val="28"/>
          <w:lang w:val="nl-NL"/>
        </w:rPr>
        <w:t>.</w:t>
      </w:r>
    </w:p>
    <w:p w:rsidR="008213F2" w:rsidRPr="001E61BC" w:rsidRDefault="008213F2" w:rsidP="001E61BC">
      <w:pPr>
        <w:widowControl w:val="0"/>
        <w:ind w:firstLine="720"/>
        <w:jc w:val="both"/>
        <w:rPr>
          <w:rFonts w:cs="Times New Roman"/>
          <w:szCs w:val="28"/>
        </w:rPr>
      </w:pPr>
      <w:r w:rsidRPr="001E61BC">
        <w:rPr>
          <w:rFonts w:cs="Times New Roman"/>
          <w:b/>
          <w:bCs/>
          <w:i/>
          <w:iCs/>
          <w:szCs w:val="28"/>
        </w:rPr>
        <w:t xml:space="preserve">- Các </w:t>
      </w:r>
      <w:r w:rsidRPr="001E61BC">
        <w:rPr>
          <w:rFonts w:cs="Times New Roman"/>
          <w:b/>
          <w:bCs/>
          <w:i/>
          <w:iCs/>
          <w:szCs w:val="28"/>
          <w:lang w:val="nl-NL"/>
        </w:rPr>
        <w:t>trường hợp</w:t>
      </w:r>
      <w:r w:rsidRPr="001E61BC">
        <w:rPr>
          <w:rFonts w:cs="Times New Roman"/>
          <w:b/>
          <w:bCs/>
          <w:i/>
          <w:iCs/>
          <w:szCs w:val="28"/>
        </w:rPr>
        <w:t xml:space="preserve"> loại trừ, gồm: </w:t>
      </w:r>
      <w:r w:rsidRPr="001E61BC">
        <w:rPr>
          <w:rFonts w:cs="Times New Roman"/>
          <w:szCs w:val="28"/>
        </w:rPr>
        <w:t xml:space="preserve">Các tổ chức của chính phủ, tổ chức quốc tế, tổ chức phi lợi nhuận, quỹ hưu trí, quỹ đầu tư là Công ty mẹ tối cao, tổ </w:t>
      </w:r>
      <w:r w:rsidRPr="001E61BC">
        <w:rPr>
          <w:rFonts w:cs="Times New Roman"/>
          <w:szCs w:val="28"/>
        </w:rPr>
        <w:lastRenderedPageBreak/>
        <w:t>chức đầu tư bất động sản là Công ty mẹ tối cao, hoặc Tổ chức có ít nhất 85% giá trị tài sản thuộc sở hữu trực tiếp hoặc gián tiếp thông qua các các đối tượng vừa nêu theo quy định của Chính phủ.</w:t>
      </w:r>
    </w:p>
    <w:p w:rsidR="008213F2" w:rsidRPr="001E61BC" w:rsidRDefault="008213F2" w:rsidP="001E61BC">
      <w:pPr>
        <w:widowControl w:val="0"/>
        <w:adjustRightInd w:val="0"/>
        <w:snapToGrid w:val="0"/>
        <w:ind w:firstLine="720"/>
        <w:rPr>
          <w:rFonts w:cs="Times New Roman"/>
          <w:b/>
          <w:bCs/>
          <w:i/>
          <w:iCs/>
          <w:szCs w:val="28"/>
        </w:rPr>
      </w:pPr>
      <w:r w:rsidRPr="001E61BC">
        <w:rPr>
          <w:rFonts w:cs="Times New Roman"/>
          <w:szCs w:val="28"/>
        </w:rPr>
        <w:t xml:space="preserve">- </w:t>
      </w:r>
      <w:r w:rsidRPr="001E61BC">
        <w:rPr>
          <w:rFonts w:cs="Times New Roman"/>
          <w:b/>
          <w:bCs/>
          <w:i/>
          <w:iCs/>
          <w:szCs w:val="28"/>
        </w:rPr>
        <w:t xml:space="preserve">Cách </w:t>
      </w:r>
      <w:r w:rsidRPr="001E61BC">
        <w:rPr>
          <w:rFonts w:cs="Times New Roman"/>
          <w:b/>
          <w:bCs/>
          <w:i/>
          <w:iCs/>
          <w:szCs w:val="28"/>
          <w:lang w:val="nl-NL"/>
        </w:rPr>
        <w:t>xác định</w:t>
      </w:r>
      <w:r w:rsidRPr="001E61BC">
        <w:rPr>
          <w:rFonts w:cs="Times New Roman"/>
          <w:b/>
          <w:bCs/>
          <w:i/>
          <w:iCs/>
          <w:szCs w:val="28"/>
        </w:rPr>
        <w:t xml:space="preserve"> số thuế </w:t>
      </w:r>
      <w:r w:rsidRPr="001E61BC">
        <w:rPr>
          <w:rFonts w:cs="Times New Roman"/>
          <w:b/>
          <w:bCs/>
          <w:i/>
          <w:iCs/>
          <w:szCs w:val="28"/>
          <w:lang w:val="nl-NL"/>
        </w:rPr>
        <w:t>bổ sung</w:t>
      </w:r>
      <w:r w:rsidRPr="001E61BC">
        <w:rPr>
          <w:rFonts w:cs="Times New Roman"/>
          <w:b/>
          <w:bCs/>
          <w:i/>
          <w:iCs/>
          <w:szCs w:val="28"/>
        </w:rPr>
        <w:t xml:space="preserve"> theo </w:t>
      </w:r>
      <w:r w:rsidRPr="001E61BC">
        <w:rPr>
          <w:rFonts w:cs="Times New Roman"/>
          <w:b/>
          <w:bCs/>
          <w:i/>
          <w:iCs/>
          <w:szCs w:val="28"/>
          <w:lang w:val="nl-NL"/>
        </w:rPr>
        <w:t>quy định</w:t>
      </w:r>
      <w:r w:rsidRPr="001E61BC">
        <w:rPr>
          <w:rFonts w:cs="Times New Roman"/>
          <w:b/>
          <w:bCs/>
          <w:i/>
          <w:iCs/>
          <w:szCs w:val="28"/>
        </w:rPr>
        <w:t xml:space="preserve"> QDMTT:</w:t>
      </w:r>
    </w:p>
    <w:p w:rsidR="008213F2" w:rsidRPr="001E61BC" w:rsidRDefault="008213F2" w:rsidP="001E61BC">
      <w:pPr>
        <w:widowControl w:val="0"/>
        <w:adjustRightInd w:val="0"/>
        <w:snapToGrid w:val="0"/>
        <w:ind w:firstLine="720"/>
        <w:jc w:val="both"/>
        <w:rPr>
          <w:rFonts w:cs="Times New Roman"/>
          <w:szCs w:val="28"/>
          <w:lang w:val="nl-NL"/>
        </w:rPr>
      </w:pPr>
      <w:r w:rsidRPr="001E61BC">
        <w:rPr>
          <w:rFonts w:cs="Times New Roman"/>
          <w:szCs w:val="28"/>
        </w:rPr>
        <w:t xml:space="preserve">+ </w:t>
      </w:r>
      <w:r w:rsidRPr="001E61BC">
        <w:rPr>
          <w:rFonts w:cs="Times New Roman"/>
          <w:szCs w:val="28"/>
          <w:lang w:val="nl-NL"/>
        </w:rPr>
        <w:t xml:space="preserve">Thuế thu nhập doanh nghiệp bổ sung tối thiểu nội địa đạt chuẩn = </w:t>
      </w:r>
      <w:r w:rsidRPr="001E61BC">
        <w:rPr>
          <w:rFonts w:eastAsia="Cambria Math" w:cs="Times New Roman"/>
          <w:iCs/>
          <w:szCs w:val="28"/>
          <w:lang w:val="nl-NL"/>
        </w:rPr>
        <w:t>(Tỷ lệ thuế bổ sung x Lợi nhuận vượt ngưỡng) + Thuế bổ sung được điều chỉnh cho năm hiện hành (nếu có)</w:t>
      </w:r>
      <w:r w:rsidRPr="001E61BC">
        <w:rPr>
          <w:rFonts w:cs="Times New Roman"/>
          <w:szCs w:val="28"/>
          <w:lang w:val="nl-NL"/>
        </w:rPr>
        <w:t>.</w:t>
      </w:r>
    </w:p>
    <w:p w:rsidR="008213F2" w:rsidRPr="001E61BC" w:rsidRDefault="008213F2" w:rsidP="001E61BC">
      <w:pPr>
        <w:ind w:right="-1" w:firstLine="709"/>
        <w:jc w:val="both"/>
        <w:rPr>
          <w:rFonts w:cs="Times New Roman"/>
          <w:szCs w:val="28"/>
          <w:lang w:val="nl-NL"/>
        </w:rPr>
      </w:pPr>
      <w:r w:rsidRPr="001E61BC">
        <w:rPr>
          <w:rFonts w:cs="Times New Roman"/>
          <w:szCs w:val="28"/>
        </w:rPr>
        <w:t xml:space="preserve">+ </w:t>
      </w:r>
      <w:r w:rsidRPr="001E61BC">
        <w:rPr>
          <w:rFonts w:cs="Times New Roman"/>
          <w:szCs w:val="28"/>
          <w:lang w:val="nl-NL"/>
        </w:rPr>
        <w:t xml:space="preserve">Thuế thu nhập doanh nghiệp bổ sung tối thiểu nội địa đạt chuẩn được </w:t>
      </w:r>
      <w:r w:rsidR="00B3675A">
        <w:rPr>
          <w:rFonts w:cs="Times New Roman"/>
          <w:szCs w:val="28"/>
          <w:lang w:val="nl-NL"/>
        </w:rPr>
        <w:t>xác định</w:t>
      </w:r>
      <w:r w:rsidRPr="001E61BC">
        <w:rPr>
          <w:rFonts w:cs="Times New Roman"/>
          <w:szCs w:val="28"/>
          <w:lang w:val="nl-NL"/>
        </w:rPr>
        <w:t xml:space="preserve"> bằng 0 </w:t>
      </w:r>
      <w:r w:rsidR="00E055E9">
        <w:rPr>
          <w:szCs w:val="28"/>
        </w:rPr>
        <w:t xml:space="preserve">(không phải chịu thuế thu nhập doanh nghiệp bổ sung tối thiểu nội địa đạt chuẩn) </w:t>
      </w:r>
      <w:r w:rsidRPr="001E61BC">
        <w:rPr>
          <w:rFonts w:cs="Times New Roman"/>
          <w:szCs w:val="28"/>
          <w:lang w:val="nl-NL"/>
        </w:rPr>
        <w:t xml:space="preserve">trong một năm tính thuế nếu Công ty thành viên hoặc tập hợp các Công ty thành viên trong năm tính thuế liên quan đáp ứng đồng thời các điều kiện sau:  </w:t>
      </w:r>
    </w:p>
    <w:p w:rsidR="008213F2" w:rsidRPr="001E61BC" w:rsidRDefault="008213F2" w:rsidP="00E055E9">
      <w:pPr>
        <w:numPr>
          <w:ilvl w:val="255"/>
          <w:numId w:val="0"/>
        </w:numPr>
        <w:tabs>
          <w:tab w:val="left" w:pos="0"/>
        </w:tabs>
        <w:ind w:right="-30" w:firstLine="709"/>
        <w:jc w:val="both"/>
        <w:rPr>
          <w:rFonts w:cs="Times New Roman"/>
          <w:szCs w:val="28"/>
          <w:lang w:val="nl-NL"/>
        </w:rPr>
      </w:pPr>
      <w:r w:rsidRPr="001E61BC">
        <w:rPr>
          <w:rFonts w:cs="Times New Roman"/>
          <w:i/>
          <w:iCs/>
          <w:szCs w:val="28"/>
        </w:rPr>
        <w:t>(i)</w:t>
      </w:r>
      <w:r w:rsidRPr="001E61BC">
        <w:rPr>
          <w:rFonts w:cs="Times New Roman"/>
          <w:szCs w:val="28"/>
          <w:lang w:val="nl-NL"/>
        </w:rPr>
        <w:t xml:space="preserve"> Doanh thu bình quân theo quy định GloBE tại Việt Nam dưới 10 triệu EUR; </w:t>
      </w:r>
    </w:p>
    <w:p w:rsidR="008213F2" w:rsidRPr="001E61BC" w:rsidRDefault="008213F2" w:rsidP="001E61BC">
      <w:pPr>
        <w:widowControl w:val="0"/>
        <w:adjustRightInd w:val="0"/>
        <w:snapToGrid w:val="0"/>
        <w:ind w:firstLine="709"/>
        <w:jc w:val="both"/>
        <w:rPr>
          <w:rFonts w:cs="Times New Roman"/>
          <w:b/>
          <w:bCs/>
          <w:i/>
          <w:iCs/>
          <w:szCs w:val="28"/>
        </w:rPr>
      </w:pPr>
      <w:r w:rsidRPr="001E61BC">
        <w:rPr>
          <w:rFonts w:cs="Times New Roman"/>
          <w:i/>
          <w:iCs/>
          <w:szCs w:val="28"/>
        </w:rPr>
        <w:t>(ii)</w:t>
      </w:r>
      <w:r w:rsidRPr="001E61BC">
        <w:rPr>
          <w:rFonts w:cs="Times New Roman"/>
          <w:szCs w:val="28"/>
        </w:rPr>
        <w:t xml:space="preserve"> </w:t>
      </w:r>
      <w:r w:rsidRPr="001E61BC">
        <w:rPr>
          <w:rFonts w:cs="Times New Roman"/>
          <w:szCs w:val="28"/>
          <w:lang w:val="nl-NL"/>
        </w:rPr>
        <w:t>Thu nhập bình quân theo GloBE tại Việt Nam dưới 1 triệu EUR hoặc lỗ.</w:t>
      </w:r>
    </w:p>
    <w:p w:rsidR="000E53D0" w:rsidRPr="001E61BC" w:rsidRDefault="008213F2" w:rsidP="001E61BC">
      <w:pPr>
        <w:ind w:firstLine="720"/>
        <w:jc w:val="both"/>
        <w:rPr>
          <w:rFonts w:eastAsia="Times New Roman" w:cs="Times New Roman"/>
          <w:b/>
          <w:szCs w:val="28"/>
        </w:rPr>
      </w:pPr>
      <w:r w:rsidRPr="001E61BC">
        <w:rPr>
          <w:rFonts w:cs="Times New Roman"/>
          <w:b/>
          <w:bCs/>
          <w:i/>
          <w:iCs/>
          <w:szCs w:val="28"/>
        </w:rPr>
        <w:t xml:space="preserve">- Về khai thuế: </w:t>
      </w:r>
      <w:r w:rsidRPr="001E61BC">
        <w:rPr>
          <w:rFonts w:cs="Times New Roman"/>
          <w:szCs w:val="28"/>
        </w:rPr>
        <w:t>Thời hạn nộp tờ khai và nộp thuế thu nhập doanh nghiệp bổ sung tối thiểu nội địa đạt chuẩn chậm nhất là 12 tháng sau ngày kết thúc năm tính thuế.</w:t>
      </w:r>
    </w:p>
    <w:p w:rsidR="00B57316" w:rsidRPr="001E61BC" w:rsidRDefault="00123BC4" w:rsidP="001E61BC">
      <w:pPr>
        <w:ind w:firstLine="720"/>
        <w:jc w:val="both"/>
        <w:rPr>
          <w:rFonts w:eastAsia="Times New Roman" w:cs="Times New Roman"/>
          <w:b/>
          <w:szCs w:val="28"/>
        </w:rPr>
      </w:pPr>
      <w:r w:rsidRPr="001E61BC">
        <w:rPr>
          <w:rFonts w:eastAsia="Times New Roman" w:cs="Times New Roman"/>
          <w:b/>
          <w:szCs w:val="28"/>
          <w:lang w:val="en-US"/>
        </w:rPr>
        <w:t>3</w:t>
      </w:r>
      <w:r w:rsidR="00B57316" w:rsidRPr="001E61BC">
        <w:rPr>
          <w:rFonts w:eastAsia="Times New Roman" w:cs="Times New Roman"/>
          <w:b/>
          <w:szCs w:val="28"/>
        </w:rPr>
        <w:t>.1.3. Lý do lựa chọn giải pháp </w:t>
      </w:r>
    </w:p>
    <w:p w:rsidR="00727B2F" w:rsidRPr="001E61BC" w:rsidRDefault="00F3427A" w:rsidP="00F82FF2">
      <w:pPr>
        <w:ind w:firstLine="720"/>
        <w:jc w:val="both"/>
        <w:rPr>
          <w:rFonts w:cs="Times New Roman"/>
          <w:szCs w:val="28"/>
          <w:lang w:val="en-US"/>
        </w:rPr>
      </w:pPr>
      <w:r w:rsidRPr="001E61BC">
        <w:rPr>
          <w:rFonts w:cs="Times New Roman"/>
          <w:szCs w:val="28"/>
          <w:lang w:val="nl-NL"/>
        </w:rPr>
        <w:t xml:space="preserve">- </w:t>
      </w:r>
      <w:r w:rsidRPr="001E61BC">
        <w:rPr>
          <w:rFonts w:cs="Times New Roman"/>
          <w:szCs w:val="28"/>
          <w:lang w:val="en-US"/>
        </w:rPr>
        <w:t>G</w:t>
      </w:r>
      <w:r w:rsidRPr="001E61BC">
        <w:rPr>
          <w:rFonts w:cs="Times New Roman"/>
          <w:szCs w:val="28"/>
        </w:rPr>
        <w:t>iành quyền đánh thuế, hạn chế việc chuyển số thuế sang các quốc gia khác</w:t>
      </w:r>
      <w:r w:rsidR="00727B2F" w:rsidRPr="001E61BC">
        <w:rPr>
          <w:rFonts w:cs="Times New Roman"/>
          <w:szCs w:val="28"/>
          <w:lang w:val="en-US"/>
        </w:rPr>
        <w:t>;</w:t>
      </w:r>
    </w:p>
    <w:p w:rsidR="00727B2F" w:rsidRPr="001E61BC" w:rsidRDefault="00F3427A" w:rsidP="001E61BC">
      <w:pPr>
        <w:ind w:firstLine="720"/>
        <w:jc w:val="both"/>
        <w:rPr>
          <w:rFonts w:cs="Times New Roman"/>
          <w:szCs w:val="28"/>
          <w:lang w:val="nl-NL"/>
        </w:rPr>
      </w:pPr>
      <w:r w:rsidRPr="001E61BC">
        <w:rPr>
          <w:rFonts w:cs="Times New Roman"/>
          <w:szCs w:val="28"/>
          <w:lang w:val="nl-NL"/>
        </w:rPr>
        <w:t xml:space="preserve">- </w:t>
      </w:r>
      <w:r w:rsidR="00727B2F" w:rsidRPr="001E61BC">
        <w:rPr>
          <w:rFonts w:cs="Times New Roman"/>
          <w:szCs w:val="28"/>
          <w:lang w:val="nl-NL"/>
        </w:rPr>
        <w:t>Đảm bảo</w:t>
      </w:r>
      <w:r w:rsidRPr="001E61BC">
        <w:rPr>
          <w:rFonts w:cs="Times New Roman"/>
          <w:szCs w:val="28"/>
          <w:lang w:val="nl-NL"/>
        </w:rPr>
        <w:t xml:space="preserve"> sự tiến bộ và minh bạch trong hệ thống quản lý thuế và môi trường đầu tư kinh doanh tiệm cận với các chuẩn mực quốc tế</w:t>
      </w:r>
      <w:r w:rsidR="00727B2F" w:rsidRPr="001E61BC">
        <w:rPr>
          <w:rFonts w:cs="Times New Roman"/>
          <w:szCs w:val="28"/>
          <w:lang w:val="nl-NL"/>
        </w:rPr>
        <w:t>;</w:t>
      </w:r>
    </w:p>
    <w:p w:rsidR="00450AE8" w:rsidRPr="001E61BC" w:rsidRDefault="00727B2F" w:rsidP="001E61BC">
      <w:pPr>
        <w:ind w:firstLine="720"/>
        <w:jc w:val="both"/>
        <w:rPr>
          <w:rFonts w:eastAsia="Times New Roman" w:cs="Times New Roman"/>
          <w:b/>
          <w:szCs w:val="28"/>
        </w:rPr>
      </w:pPr>
      <w:r w:rsidRPr="001E61BC">
        <w:rPr>
          <w:rFonts w:cs="Times New Roman"/>
          <w:szCs w:val="28"/>
          <w:lang w:val="nl-NL"/>
        </w:rPr>
        <w:t>- Đ</w:t>
      </w:r>
      <w:r w:rsidR="00F3427A" w:rsidRPr="001E61BC">
        <w:rPr>
          <w:rFonts w:cs="Times New Roman"/>
          <w:szCs w:val="28"/>
          <w:lang w:val="nl-NL"/>
        </w:rPr>
        <w:t>ạt được mục đích giữ các chính sách ưu đãi hiện hành áp dụng cho các doanh nghiệp không thuộc đối tượng áp dụng của Thuế tối thiểu toàn cầu.</w:t>
      </w:r>
    </w:p>
    <w:p w:rsidR="000E53D0" w:rsidRPr="001E61BC" w:rsidRDefault="00123BC4" w:rsidP="001E61BC">
      <w:pPr>
        <w:ind w:firstLine="720"/>
        <w:jc w:val="both"/>
        <w:rPr>
          <w:rFonts w:cs="Times New Roman"/>
          <w:noProof/>
          <w:szCs w:val="28"/>
        </w:rPr>
      </w:pPr>
      <w:r w:rsidRPr="001E61BC">
        <w:rPr>
          <w:rFonts w:eastAsia="Times New Roman" w:cs="Times New Roman"/>
          <w:b/>
          <w:szCs w:val="28"/>
          <w:lang w:val="en-US"/>
        </w:rPr>
        <w:t>3</w:t>
      </w:r>
      <w:r w:rsidR="00B57316" w:rsidRPr="001E61BC">
        <w:rPr>
          <w:rFonts w:eastAsia="Times New Roman" w:cs="Times New Roman"/>
          <w:b/>
          <w:szCs w:val="28"/>
        </w:rPr>
        <w:t xml:space="preserve">.2. Chính sách 2: </w:t>
      </w:r>
      <w:r w:rsidR="002F4B41" w:rsidRPr="001E61BC">
        <w:rPr>
          <w:rFonts w:cs="Times New Roman"/>
          <w:noProof/>
          <w:szCs w:val="28"/>
          <w:lang w:val="en-US"/>
        </w:rPr>
        <w:t>Q</w:t>
      </w:r>
      <w:r w:rsidR="000E53D0" w:rsidRPr="001E61BC">
        <w:rPr>
          <w:rFonts w:cs="Times New Roman"/>
          <w:noProof/>
          <w:szCs w:val="28"/>
        </w:rPr>
        <w:t>uy định Tổng hợp thu nhập chịu thuế tối thiểu (IIR)</w:t>
      </w:r>
    </w:p>
    <w:p w:rsidR="000E53D0" w:rsidRPr="001E61BC" w:rsidRDefault="00123BC4" w:rsidP="001E61BC">
      <w:pPr>
        <w:ind w:firstLine="720"/>
        <w:jc w:val="both"/>
        <w:rPr>
          <w:rFonts w:eastAsia="Times New Roman" w:cs="Times New Roman"/>
          <w:b/>
          <w:szCs w:val="28"/>
        </w:rPr>
      </w:pPr>
      <w:r w:rsidRPr="001E61BC">
        <w:rPr>
          <w:rFonts w:eastAsia="Times New Roman" w:cs="Times New Roman"/>
          <w:b/>
          <w:szCs w:val="28"/>
          <w:lang w:val="en-US"/>
        </w:rPr>
        <w:t>3</w:t>
      </w:r>
      <w:r w:rsidR="000E53D0" w:rsidRPr="001E61BC">
        <w:rPr>
          <w:rFonts w:eastAsia="Times New Roman" w:cs="Times New Roman"/>
          <w:b/>
          <w:szCs w:val="28"/>
        </w:rPr>
        <w:t>.</w:t>
      </w:r>
      <w:r w:rsidR="000E53D0" w:rsidRPr="001E61BC">
        <w:rPr>
          <w:rFonts w:eastAsia="Times New Roman" w:cs="Times New Roman"/>
          <w:b/>
          <w:szCs w:val="28"/>
          <w:lang w:val="en-US"/>
        </w:rPr>
        <w:t>2</w:t>
      </w:r>
      <w:r w:rsidR="000E53D0" w:rsidRPr="001E61BC">
        <w:rPr>
          <w:rFonts w:eastAsia="Times New Roman" w:cs="Times New Roman"/>
          <w:b/>
          <w:szCs w:val="28"/>
        </w:rPr>
        <w:t>.1. Mục tiêu </w:t>
      </w:r>
    </w:p>
    <w:p w:rsidR="0074539A" w:rsidRPr="001E61BC" w:rsidRDefault="0074539A" w:rsidP="001E61BC">
      <w:pPr>
        <w:ind w:firstLine="720"/>
        <w:jc w:val="both"/>
        <w:rPr>
          <w:rFonts w:eastAsia="Times New Roman" w:cs="Times New Roman"/>
          <w:szCs w:val="28"/>
          <w:lang w:val="en-US"/>
        </w:rPr>
      </w:pPr>
      <w:r w:rsidRPr="001E61BC">
        <w:rPr>
          <w:rFonts w:eastAsia="Times New Roman" w:cs="Times New Roman"/>
          <w:szCs w:val="28"/>
          <w:lang w:val="en-US"/>
        </w:rPr>
        <w:t>- Tuân thủ theo hướng dẫn tại các văn bản, tài liệu quy định về Thuế tối thiểu toàn cầu của OECD;</w:t>
      </w:r>
    </w:p>
    <w:p w:rsidR="0074539A" w:rsidRPr="001E61BC" w:rsidRDefault="0074539A" w:rsidP="001E61BC">
      <w:pPr>
        <w:ind w:firstLine="720"/>
        <w:jc w:val="both"/>
        <w:rPr>
          <w:rFonts w:eastAsia="Times New Roman" w:cs="Times New Roman"/>
          <w:szCs w:val="28"/>
          <w:lang w:val="en-US"/>
        </w:rPr>
      </w:pPr>
      <w:r w:rsidRPr="001E61BC">
        <w:rPr>
          <w:rFonts w:eastAsia="Times New Roman" w:cs="Times New Roman"/>
          <w:szCs w:val="28"/>
          <w:lang w:val="en-US"/>
        </w:rPr>
        <w:t>- Bảo đảm chính sách minh bạch, rõ ràng, tạo thuận lợi trong thực hiện, qua đó nâng cao hiệu quả quản lý thuế;</w:t>
      </w:r>
    </w:p>
    <w:p w:rsidR="0074539A" w:rsidRPr="001E61BC" w:rsidRDefault="0074539A" w:rsidP="001E61BC">
      <w:pPr>
        <w:ind w:firstLine="720"/>
        <w:jc w:val="both"/>
        <w:rPr>
          <w:rFonts w:eastAsia="Times New Roman" w:cs="Times New Roman"/>
          <w:b/>
          <w:szCs w:val="28"/>
          <w:lang w:val="en-US"/>
        </w:rPr>
      </w:pPr>
      <w:r w:rsidRPr="001E61BC">
        <w:rPr>
          <w:rFonts w:eastAsia="Times New Roman" w:cs="Times New Roman"/>
          <w:szCs w:val="28"/>
          <w:lang w:val="en-US"/>
        </w:rPr>
        <w:t xml:space="preserve">- </w:t>
      </w:r>
      <w:r w:rsidRPr="001E61BC">
        <w:rPr>
          <w:rFonts w:eastAsia="Times New Roman" w:cs="Times New Roman"/>
          <w:szCs w:val="28"/>
        </w:rPr>
        <w:t>Mở rộng cơ sở thuế phù hợp bối cảnh kinh tế - xã hội của đất nước và thông lệ quốc tế</w:t>
      </w:r>
      <w:r w:rsidRPr="001E61BC">
        <w:rPr>
          <w:rFonts w:eastAsia="Times New Roman" w:cs="Times New Roman"/>
          <w:b/>
          <w:szCs w:val="28"/>
          <w:lang w:val="en-US"/>
        </w:rPr>
        <w:t>.</w:t>
      </w:r>
    </w:p>
    <w:p w:rsidR="00B57316" w:rsidRPr="001E61BC" w:rsidRDefault="00123BC4" w:rsidP="001E61BC">
      <w:pPr>
        <w:ind w:firstLine="720"/>
        <w:jc w:val="both"/>
        <w:rPr>
          <w:rFonts w:eastAsia="Times New Roman" w:cs="Times New Roman"/>
          <w:b/>
          <w:szCs w:val="28"/>
        </w:rPr>
      </w:pPr>
      <w:r w:rsidRPr="001E61BC">
        <w:rPr>
          <w:rFonts w:eastAsia="Times New Roman" w:cs="Times New Roman"/>
          <w:b/>
          <w:szCs w:val="28"/>
          <w:lang w:val="en-US"/>
        </w:rPr>
        <w:t>3</w:t>
      </w:r>
      <w:r w:rsidR="00B57316" w:rsidRPr="001E61BC">
        <w:rPr>
          <w:rFonts w:eastAsia="Times New Roman" w:cs="Times New Roman"/>
          <w:b/>
          <w:szCs w:val="28"/>
        </w:rPr>
        <w:t>.2.2. Giải pháp </w:t>
      </w:r>
    </w:p>
    <w:p w:rsidR="003C6A88" w:rsidRPr="001E61BC" w:rsidRDefault="003C6A88" w:rsidP="007522F2">
      <w:pPr>
        <w:widowControl w:val="0"/>
        <w:ind w:firstLine="720"/>
        <w:jc w:val="both"/>
        <w:rPr>
          <w:rFonts w:cs="Times New Roman"/>
          <w:szCs w:val="28"/>
        </w:rPr>
      </w:pPr>
      <w:r w:rsidRPr="001E61BC">
        <w:rPr>
          <w:rFonts w:cs="Times New Roman"/>
          <w:b/>
          <w:bCs/>
          <w:i/>
          <w:iCs/>
          <w:szCs w:val="28"/>
        </w:rPr>
        <w:t>- Về đối tượng điều chỉnh:</w:t>
      </w:r>
      <w:r w:rsidR="007522F2">
        <w:rPr>
          <w:rFonts w:cs="Times New Roman"/>
          <w:szCs w:val="28"/>
          <w:lang w:val="en-US"/>
        </w:rPr>
        <w:t xml:space="preserve"> </w:t>
      </w:r>
      <w:r w:rsidRPr="001E61BC">
        <w:rPr>
          <w:rFonts w:cs="Times New Roman"/>
          <w:szCs w:val="28"/>
        </w:rPr>
        <w:t xml:space="preserve">Công ty mẹ tối cao hoặc Công ty mẹ bị sở hữu một phần tại Việt Nam hoặc Công ty mẹ trung gian theo quy định của </w:t>
      </w:r>
      <w:r w:rsidRPr="001E61BC">
        <w:rPr>
          <w:rFonts w:cs="Times New Roman"/>
          <w:szCs w:val="28"/>
        </w:rPr>
        <w:lastRenderedPageBreak/>
        <w:t xml:space="preserve">Chính phủ của Tập đoàn đa quốc gia có doanh thu nêu trong báo cáo tài chính hợp nhất của Công ty mẹ tối cao có ít nhất 2 năm trong 4 năm liền kề trước năm tính thuế tương đương 750 triệu EUR trở lên, nắm giữ </w:t>
      </w:r>
      <w:r w:rsidRPr="001E61BC">
        <w:rPr>
          <w:rFonts w:cs="Times New Roman"/>
          <w:i/>
          <w:iCs/>
          <w:szCs w:val="28"/>
        </w:rPr>
        <w:t>(trực tiếp hoặc gián tiếp)</w:t>
      </w:r>
      <w:r w:rsidRPr="001E61BC">
        <w:rPr>
          <w:rFonts w:cs="Times New Roman"/>
          <w:szCs w:val="28"/>
        </w:rPr>
        <w:t xml:space="preserve"> quyền sở hữu Công ty thành viên chịu thuế suất thấp tại nước ngoài theo quy định GloBE tại bất kỳ thời điểm nào trong năm tính thuế.</w:t>
      </w:r>
    </w:p>
    <w:p w:rsidR="003C6A88" w:rsidRPr="001E61BC" w:rsidRDefault="003C6A88" w:rsidP="001E61BC">
      <w:pPr>
        <w:widowControl w:val="0"/>
        <w:ind w:firstLine="720"/>
        <w:jc w:val="both"/>
        <w:rPr>
          <w:rFonts w:cs="Times New Roman"/>
          <w:szCs w:val="28"/>
        </w:rPr>
      </w:pPr>
      <w:r w:rsidRPr="001E61BC">
        <w:rPr>
          <w:rFonts w:cs="Times New Roman"/>
          <w:b/>
          <w:bCs/>
          <w:i/>
          <w:iCs/>
          <w:szCs w:val="28"/>
        </w:rPr>
        <w:t xml:space="preserve">- Các </w:t>
      </w:r>
      <w:r w:rsidRPr="001E61BC">
        <w:rPr>
          <w:rFonts w:cs="Times New Roman"/>
          <w:b/>
          <w:bCs/>
          <w:i/>
          <w:iCs/>
          <w:szCs w:val="28"/>
          <w:lang w:val="nl-NL"/>
        </w:rPr>
        <w:t>trường hợp</w:t>
      </w:r>
      <w:r w:rsidRPr="001E61BC">
        <w:rPr>
          <w:rFonts w:cs="Times New Roman"/>
          <w:b/>
          <w:bCs/>
          <w:i/>
          <w:iCs/>
          <w:szCs w:val="28"/>
        </w:rPr>
        <w:t xml:space="preserve"> loại trừ, gồm:</w:t>
      </w:r>
      <w:r w:rsidRPr="001E61BC">
        <w:rPr>
          <w:rFonts w:cs="Times New Roman"/>
          <w:szCs w:val="28"/>
        </w:rPr>
        <w:t xml:space="preserve"> Các tổ chức của chính phủ, tổ chức quốc tế, tổ chức phi lợi nhuận, quỹ hưu trí, quỹ đầu tư là Công ty mẹ tối cao, tổ chức đầu tư bất động sản là Công ty mẹ tối cao, hoặc Tổ chức có ít nhất 85% giá trị tài sản thuộc sở hữu trực tiếp hoặc gián tiếp thông qua các các đối tượng vừa nêu theo quy định của Chính phủ.</w:t>
      </w:r>
    </w:p>
    <w:p w:rsidR="003C6A88" w:rsidRPr="001E61BC" w:rsidRDefault="003C6A88" w:rsidP="001E61BC">
      <w:pPr>
        <w:ind w:firstLine="720"/>
        <w:jc w:val="both"/>
        <w:rPr>
          <w:rFonts w:cs="Times New Roman"/>
          <w:b/>
          <w:bCs/>
          <w:i/>
          <w:iCs/>
          <w:szCs w:val="28"/>
        </w:rPr>
      </w:pPr>
      <w:r w:rsidRPr="001E61BC">
        <w:rPr>
          <w:rFonts w:cs="Times New Roman"/>
          <w:szCs w:val="28"/>
        </w:rPr>
        <w:t xml:space="preserve">- </w:t>
      </w:r>
      <w:r w:rsidRPr="001E61BC">
        <w:rPr>
          <w:rFonts w:cs="Times New Roman"/>
          <w:b/>
          <w:bCs/>
          <w:i/>
          <w:iCs/>
          <w:szCs w:val="28"/>
        </w:rPr>
        <w:t xml:space="preserve">Cách </w:t>
      </w:r>
      <w:r w:rsidRPr="001E61BC">
        <w:rPr>
          <w:rFonts w:cs="Times New Roman"/>
          <w:b/>
          <w:bCs/>
          <w:i/>
          <w:iCs/>
          <w:szCs w:val="28"/>
          <w:lang w:val="nl-NL"/>
        </w:rPr>
        <w:t>xác định</w:t>
      </w:r>
      <w:r w:rsidRPr="001E61BC">
        <w:rPr>
          <w:rFonts w:cs="Times New Roman"/>
          <w:b/>
          <w:bCs/>
          <w:i/>
          <w:iCs/>
          <w:szCs w:val="28"/>
        </w:rPr>
        <w:t xml:space="preserve"> số thuế </w:t>
      </w:r>
      <w:r w:rsidRPr="001E61BC">
        <w:rPr>
          <w:rFonts w:cs="Times New Roman"/>
          <w:b/>
          <w:bCs/>
          <w:i/>
          <w:iCs/>
          <w:szCs w:val="28"/>
          <w:lang w:val="nl-NL"/>
        </w:rPr>
        <w:t>bổ sung</w:t>
      </w:r>
      <w:r w:rsidRPr="001E61BC">
        <w:rPr>
          <w:rFonts w:cs="Times New Roman"/>
          <w:b/>
          <w:bCs/>
          <w:i/>
          <w:iCs/>
          <w:szCs w:val="28"/>
        </w:rPr>
        <w:t xml:space="preserve"> theo </w:t>
      </w:r>
      <w:r w:rsidRPr="001E61BC">
        <w:rPr>
          <w:rFonts w:cs="Times New Roman"/>
          <w:b/>
          <w:bCs/>
          <w:i/>
          <w:iCs/>
          <w:szCs w:val="28"/>
          <w:lang w:val="nl-NL"/>
        </w:rPr>
        <w:t>quy định</w:t>
      </w:r>
      <w:r w:rsidRPr="001E61BC">
        <w:rPr>
          <w:rFonts w:cs="Times New Roman"/>
          <w:b/>
          <w:bCs/>
          <w:i/>
          <w:iCs/>
          <w:szCs w:val="28"/>
        </w:rPr>
        <w:t xml:space="preserve"> IIR:</w:t>
      </w:r>
    </w:p>
    <w:p w:rsidR="003C6A88" w:rsidRPr="001E61BC" w:rsidRDefault="003C6A88" w:rsidP="001E61BC">
      <w:pPr>
        <w:ind w:firstLine="720"/>
        <w:jc w:val="both"/>
        <w:rPr>
          <w:rFonts w:eastAsia="Cambria Math" w:cs="Times New Roman"/>
          <w:iCs/>
          <w:szCs w:val="28"/>
        </w:rPr>
      </w:pPr>
      <w:r w:rsidRPr="001073FF">
        <w:rPr>
          <w:rFonts w:cs="Times New Roman"/>
          <w:bCs/>
          <w:i/>
          <w:iCs/>
          <w:szCs w:val="28"/>
        </w:rPr>
        <w:t>+</w:t>
      </w:r>
      <w:r w:rsidRPr="001E61BC">
        <w:rPr>
          <w:rFonts w:cs="Times New Roman"/>
          <w:b/>
          <w:bCs/>
          <w:i/>
          <w:iCs/>
          <w:szCs w:val="28"/>
        </w:rPr>
        <w:t xml:space="preserve"> </w:t>
      </w:r>
      <w:r w:rsidRPr="001E61BC">
        <w:rPr>
          <w:rFonts w:eastAsia="Cambria Math" w:cs="Times New Roman"/>
          <w:iCs/>
          <w:szCs w:val="28"/>
        </w:rPr>
        <w:t xml:space="preserve">Tổng thuế bổ sung tại một nước = (Tỷ lệ thuế bổ sung x Lợi nhuận vượt ngưỡng) + Thuế bổ sung được điều chỉnh cho năm hiện hành </w:t>
      </w:r>
      <w:r w:rsidRPr="001E61BC">
        <w:rPr>
          <w:rFonts w:eastAsia="Cambria Math" w:cs="Times New Roman"/>
          <w:i/>
          <w:szCs w:val="28"/>
        </w:rPr>
        <w:t>(nếu có)</w:t>
      </w:r>
      <w:r w:rsidRPr="001E61BC">
        <w:rPr>
          <w:rFonts w:eastAsia="Cambria Math" w:cs="Times New Roman"/>
          <w:iCs/>
          <w:szCs w:val="28"/>
        </w:rPr>
        <w:t xml:space="preserve"> – Thuế bổ sung nội địa đạt chuẩn </w:t>
      </w:r>
      <w:r w:rsidRPr="001E61BC">
        <w:rPr>
          <w:rFonts w:eastAsia="Cambria Math" w:cs="Times New Roman"/>
          <w:i/>
          <w:szCs w:val="28"/>
        </w:rPr>
        <w:t>(nếu có)</w:t>
      </w:r>
      <w:r w:rsidRPr="001E61BC">
        <w:rPr>
          <w:rFonts w:eastAsia="Cambria Math" w:cs="Times New Roman"/>
          <w:iCs/>
          <w:szCs w:val="28"/>
        </w:rPr>
        <w:t xml:space="preserve">. </w:t>
      </w:r>
    </w:p>
    <w:p w:rsidR="003C6A88" w:rsidRPr="001E61BC" w:rsidRDefault="003C6A88" w:rsidP="001E61BC">
      <w:pPr>
        <w:ind w:right="142" w:firstLine="709"/>
        <w:jc w:val="both"/>
        <w:rPr>
          <w:rFonts w:cs="Times New Roman"/>
          <w:szCs w:val="28"/>
        </w:rPr>
      </w:pPr>
      <w:r w:rsidRPr="001E61BC">
        <w:rPr>
          <w:rFonts w:cs="Times New Roman"/>
          <w:szCs w:val="28"/>
        </w:rPr>
        <w:t xml:space="preserve">+ Thuế bổ sung của Công ty thành viên sẽ được xác định cho mỗi Công ty thành viên của một nước có Thu nhập GloBE trong năm tính thuế được đưa vào khi tính Thu nhập ròng theo quy định GloBE tại nước đó theo công thức sau: </w:t>
      </w:r>
    </w:p>
    <w:p w:rsidR="001E61BC" w:rsidRPr="001E61BC" w:rsidRDefault="001E61BC" w:rsidP="001E61BC">
      <w:pPr>
        <w:ind w:right="142" w:firstLine="709"/>
        <w:jc w:val="both"/>
        <w:rPr>
          <w:rFonts w:cs="Times New Roman"/>
          <w:szCs w:val="28"/>
        </w:rPr>
      </w:pPr>
    </w:p>
    <w:p w:rsidR="003C6A88" w:rsidRPr="001E61BC" w:rsidRDefault="003C6A88" w:rsidP="001E61BC">
      <w:pPr>
        <w:ind w:leftChars="-295" w:left="-826" w:right="-1" w:firstLine="1"/>
        <w:jc w:val="both"/>
        <w:rPr>
          <w:rFonts w:eastAsia="Cambria Math" w:cs="Times New Roman"/>
          <w:iCs/>
          <w:sz w:val="20"/>
          <w:szCs w:val="20"/>
        </w:rPr>
      </w:pPr>
      <m:oMathPara>
        <m:oMath>
          <m:r>
            <m:rPr>
              <m:sty m:val="p"/>
            </m:rPr>
            <w:rPr>
              <w:rFonts w:ascii="Cambria Math" w:eastAsia="Cambria Math" w:hAnsi="Cambria Math" w:cs="Times New Roman"/>
              <w:sz w:val="20"/>
              <w:szCs w:val="20"/>
            </w:rPr>
            <m:t xml:space="preserve">Thuế bổ sung của Công ty thành viên= Tổng thuế bổ sung tại một nước x </m:t>
          </m:r>
          <m:f>
            <m:fPr>
              <m:ctrlPr>
                <w:rPr>
                  <w:rFonts w:ascii="Cambria Math" w:hAnsi="Cambria Math" w:cs="Times New Roman"/>
                  <w:iCs/>
                  <w:sz w:val="20"/>
                  <w:szCs w:val="20"/>
                </w:rPr>
              </m:ctrlPr>
            </m:fPr>
            <m:num>
              <m:r>
                <m:rPr>
                  <m:sty m:val="p"/>
                </m:rPr>
                <w:rPr>
                  <w:rFonts w:ascii="Cambria Math" w:eastAsia="Cambria Math" w:hAnsi="Cambria Math" w:cs="Times New Roman"/>
                  <w:sz w:val="20"/>
                  <w:szCs w:val="20"/>
                </w:rPr>
                <m:t>Thu nhập theo quy định GloBE của  Công ty thành viên đó</m:t>
              </m:r>
            </m:num>
            <m:den>
              <m:eqArr>
                <m:eqArrPr>
                  <m:ctrlPr>
                    <w:rPr>
                      <w:rFonts w:ascii="Cambria Math" w:eastAsia="Cambria Math" w:hAnsi="Cambria Math" w:cs="Times New Roman"/>
                      <w:sz w:val="20"/>
                      <w:szCs w:val="20"/>
                    </w:rPr>
                  </m:ctrlPr>
                </m:eqArrPr>
                <m:e>
                  <m:r>
                    <m:rPr>
                      <m:sty m:val="p"/>
                    </m:rPr>
                    <w:rPr>
                      <w:rFonts w:ascii="Cambria Math" w:eastAsia="Cambria Math" w:hAnsi="Cambria Math" w:cs="Times New Roman"/>
                      <w:sz w:val="20"/>
                      <w:szCs w:val="20"/>
                    </w:rPr>
                    <m:t xml:space="preserve">Tổng thu nhập theo quy định GloBE của tất cả các Công ty thành viên </m:t>
                  </m:r>
                </m:e>
                <m:e>
                  <m:r>
                    <m:rPr>
                      <m:sty m:val="p"/>
                    </m:rPr>
                    <w:rPr>
                      <w:rFonts w:ascii="Cambria Math" w:eastAsia="Cambria Math" w:hAnsi="Cambria Math" w:cs="Times New Roman"/>
                      <w:sz w:val="20"/>
                      <w:szCs w:val="20"/>
                    </w:rPr>
                    <m:t>có tại nước đó</m:t>
                  </m:r>
                </m:e>
              </m:eqArr>
            </m:den>
          </m:f>
        </m:oMath>
      </m:oMathPara>
    </w:p>
    <w:p w:rsidR="001E61BC" w:rsidRPr="001E61BC" w:rsidRDefault="001E61BC" w:rsidP="001E61BC">
      <w:pPr>
        <w:numPr>
          <w:ilvl w:val="255"/>
          <w:numId w:val="0"/>
        </w:numPr>
        <w:ind w:right="144" w:firstLine="720"/>
        <w:jc w:val="both"/>
        <w:rPr>
          <w:rFonts w:cs="Times New Roman"/>
          <w:szCs w:val="28"/>
        </w:rPr>
      </w:pPr>
    </w:p>
    <w:p w:rsidR="003C6A88" w:rsidRPr="001E61BC" w:rsidRDefault="003C6A88" w:rsidP="001E61BC">
      <w:pPr>
        <w:numPr>
          <w:ilvl w:val="255"/>
          <w:numId w:val="0"/>
        </w:numPr>
        <w:ind w:right="144" w:firstLine="720"/>
        <w:jc w:val="both"/>
        <w:rPr>
          <w:rFonts w:cs="Times New Roman"/>
          <w:szCs w:val="28"/>
        </w:rPr>
      </w:pPr>
      <w:r w:rsidRPr="001E61BC">
        <w:rPr>
          <w:rFonts w:cs="Times New Roman"/>
          <w:szCs w:val="28"/>
        </w:rPr>
        <w:t xml:space="preserve">+ Thuế phân bổ cho Công ty mẹ từ thuế bổ sung của Công ty thành viên chịu thuế suất thấp bằng số Thuế bổ sung của Công ty thành viên chịu thuế suất thấp theo quy định GloBE nhân với tỷ lệ sở hữu thu nhập của Công ty mẹ đối với Công ty thành viên chịu thuế suất thấp trong năm tính thuế.  </w:t>
      </w:r>
    </w:p>
    <w:p w:rsidR="003C6A88" w:rsidRPr="001E61BC" w:rsidRDefault="003C6A88" w:rsidP="001E61BC">
      <w:pPr>
        <w:ind w:left="10" w:right="156" w:firstLineChars="253" w:firstLine="708"/>
        <w:jc w:val="both"/>
        <w:rPr>
          <w:rFonts w:cs="Times New Roman"/>
          <w:szCs w:val="28"/>
        </w:rPr>
      </w:pPr>
      <w:r w:rsidRPr="001E61BC">
        <w:rPr>
          <w:rFonts w:cs="Times New Roman"/>
          <w:szCs w:val="28"/>
        </w:rPr>
        <w:t>+ Thuế bổ sung của Công ty thành viên tại một nướ</w:t>
      </w:r>
      <w:r w:rsidR="001073FF">
        <w:rPr>
          <w:rFonts w:cs="Times New Roman"/>
          <w:szCs w:val="28"/>
        </w:rPr>
        <w:t xml:space="preserve">c </w:t>
      </w:r>
      <w:r w:rsidRPr="001E61BC">
        <w:rPr>
          <w:rFonts w:cs="Times New Roman"/>
          <w:szCs w:val="28"/>
        </w:rPr>
        <w:t xml:space="preserve">được </w:t>
      </w:r>
      <w:r w:rsidR="001073FF">
        <w:rPr>
          <w:rFonts w:cs="Times New Roman"/>
          <w:szCs w:val="28"/>
          <w:lang w:val="en-US"/>
        </w:rPr>
        <w:t>xác định</w:t>
      </w:r>
      <w:r w:rsidRPr="001E61BC">
        <w:rPr>
          <w:rFonts w:cs="Times New Roman"/>
          <w:szCs w:val="28"/>
        </w:rPr>
        <w:t xml:space="preserve"> bằng 0 </w:t>
      </w:r>
      <w:r w:rsidR="000F1B12">
        <w:rPr>
          <w:rFonts w:cs="Times New Roman"/>
          <w:szCs w:val="28"/>
          <w:lang w:val="en-US"/>
        </w:rPr>
        <w:t xml:space="preserve">(không chịu thuế bổ sung) </w:t>
      </w:r>
      <w:r w:rsidRPr="001E61BC">
        <w:rPr>
          <w:rFonts w:cs="Times New Roman"/>
          <w:szCs w:val="28"/>
        </w:rPr>
        <w:t xml:space="preserve">trong một năm tính thuế nếu Công ty thành viên hoặc tập hợp các Công ty thành viên trong năm tính thuế liên quan đáp ứng đồng thời các điều kiện sau:  </w:t>
      </w:r>
    </w:p>
    <w:p w:rsidR="003C6A88" w:rsidRPr="001E61BC" w:rsidRDefault="003C6A88" w:rsidP="001E61BC">
      <w:pPr>
        <w:numPr>
          <w:ilvl w:val="255"/>
          <w:numId w:val="0"/>
        </w:numPr>
        <w:tabs>
          <w:tab w:val="left" w:pos="709"/>
          <w:tab w:val="left" w:pos="1843"/>
        </w:tabs>
        <w:ind w:right="142"/>
        <w:jc w:val="both"/>
        <w:rPr>
          <w:rFonts w:cs="Times New Roman"/>
          <w:szCs w:val="28"/>
        </w:rPr>
      </w:pPr>
      <w:r w:rsidRPr="001E61BC">
        <w:rPr>
          <w:rFonts w:cs="Times New Roman"/>
          <w:szCs w:val="28"/>
        </w:rPr>
        <w:tab/>
      </w:r>
      <w:r w:rsidRPr="001E61BC">
        <w:rPr>
          <w:rFonts w:cs="Times New Roman"/>
          <w:i/>
          <w:iCs/>
          <w:szCs w:val="28"/>
        </w:rPr>
        <w:t>(i)</w:t>
      </w:r>
      <w:r w:rsidRPr="001E61BC">
        <w:rPr>
          <w:rFonts w:cs="Times New Roman"/>
          <w:szCs w:val="28"/>
        </w:rPr>
        <w:t xml:space="preserve"> Doanh thu bình quân theo quy định GloBE tại Việt Nam dưới 10 triệu EUR; </w:t>
      </w:r>
    </w:p>
    <w:p w:rsidR="003C6A88" w:rsidRPr="001E61BC" w:rsidRDefault="003C6A88" w:rsidP="001E61BC">
      <w:pPr>
        <w:ind w:right="142" w:firstLine="709"/>
        <w:jc w:val="both"/>
        <w:rPr>
          <w:rFonts w:cs="Times New Roman"/>
          <w:szCs w:val="28"/>
        </w:rPr>
      </w:pPr>
      <w:r w:rsidRPr="001E61BC">
        <w:rPr>
          <w:rFonts w:cs="Times New Roman"/>
          <w:i/>
          <w:iCs/>
          <w:szCs w:val="28"/>
        </w:rPr>
        <w:t xml:space="preserve">(ii) </w:t>
      </w:r>
      <w:r w:rsidRPr="001E61BC">
        <w:rPr>
          <w:rFonts w:cs="Times New Roman"/>
          <w:szCs w:val="28"/>
        </w:rPr>
        <w:t>Thu nhập bình quân theo GloBE tại Việt Nam dưới 1 triệu EUR</w:t>
      </w:r>
      <w:r w:rsidRPr="001E61BC">
        <w:rPr>
          <w:rFonts w:cs="Times New Roman"/>
          <w:szCs w:val="28"/>
          <w:lang w:val="en-US"/>
        </w:rPr>
        <w:t xml:space="preserve"> hoặc lỗ</w:t>
      </w:r>
      <w:r w:rsidRPr="001E61BC">
        <w:rPr>
          <w:rFonts w:cs="Times New Roman"/>
          <w:szCs w:val="28"/>
        </w:rPr>
        <w:t>.</w:t>
      </w:r>
    </w:p>
    <w:p w:rsidR="003C6A88" w:rsidRPr="001E61BC" w:rsidRDefault="003C6A88" w:rsidP="001E61BC">
      <w:pPr>
        <w:widowControl w:val="0"/>
        <w:ind w:firstLine="720"/>
        <w:jc w:val="both"/>
        <w:rPr>
          <w:rFonts w:cs="Times New Roman"/>
          <w:szCs w:val="28"/>
        </w:rPr>
      </w:pPr>
      <w:r w:rsidRPr="001E61BC">
        <w:rPr>
          <w:rFonts w:cs="Times New Roman"/>
          <w:b/>
          <w:bCs/>
          <w:i/>
          <w:iCs/>
          <w:szCs w:val="28"/>
        </w:rPr>
        <w:t xml:space="preserve">- Về khai thuế: </w:t>
      </w:r>
      <w:r w:rsidRPr="001E61BC">
        <w:rPr>
          <w:rFonts w:cs="Times New Roman"/>
          <w:bCs/>
          <w:szCs w:val="28"/>
          <w:shd w:val="clear" w:color="auto" w:fill="FFFFFF"/>
        </w:rPr>
        <w:t>Thời hạn nộp tờ khai và nộp thuế thu nhập doanh nghiệp theo q</w:t>
      </w:r>
      <w:r w:rsidRPr="001E61BC">
        <w:rPr>
          <w:rFonts w:cs="Times New Roman"/>
          <w:bCs/>
          <w:szCs w:val="28"/>
        </w:rPr>
        <w:t xml:space="preserve">uy định về tổng hợp thu nhập chịu thuế tối thiểu </w:t>
      </w:r>
      <w:r w:rsidRPr="001E61BC">
        <w:rPr>
          <w:rFonts w:cs="Times New Roman"/>
          <w:szCs w:val="28"/>
        </w:rPr>
        <w:t>chậm nhất là 15 tháng sau ngày kết thúc năm tính thuế.</w:t>
      </w:r>
    </w:p>
    <w:p w:rsidR="00B57316" w:rsidRPr="001E61BC" w:rsidRDefault="00B57316" w:rsidP="001E61BC">
      <w:pPr>
        <w:ind w:firstLine="720"/>
        <w:jc w:val="both"/>
        <w:rPr>
          <w:rFonts w:eastAsia="Times New Roman" w:cs="Times New Roman"/>
          <w:b/>
          <w:szCs w:val="28"/>
        </w:rPr>
      </w:pPr>
      <w:r w:rsidRPr="001E61BC">
        <w:rPr>
          <w:rFonts w:eastAsia="Times New Roman" w:cs="Times New Roman"/>
          <w:b/>
          <w:szCs w:val="28"/>
        </w:rPr>
        <w:t>2.2.3. Lý do lựa chọn giải pháp </w:t>
      </w:r>
    </w:p>
    <w:p w:rsidR="00E478C1" w:rsidRPr="001E61BC" w:rsidRDefault="00E478C1" w:rsidP="001E61BC">
      <w:pPr>
        <w:ind w:firstLine="720"/>
        <w:jc w:val="both"/>
        <w:rPr>
          <w:rFonts w:cs="Times New Roman"/>
          <w:szCs w:val="28"/>
          <w:lang w:val="nl-NL"/>
        </w:rPr>
      </w:pPr>
      <w:r w:rsidRPr="001E61BC">
        <w:rPr>
          <w:rFonts w:cs="Times New Roman"/>
          <w:szCs w:val="28"/>
          <w:lang w:val="en-US"/>
        </w:rPr>
        <w:lastRenderedPageBreak/>
        <w:t>- T</w:t>
      </w:r>
      <w:r w:rsidRPr="001E61BC">
        <w:rPr>
          <w:rFonts w:cs="Times New Roman"/>
          <w:szCs w:val="28"/>
        </w:rPr>
        <w:t xml:space="preserve">ăng thu ngân sách nhà nước đối với phần thuế thu nhập doanh nghiệp thu bổ sung từ các Tập đoàn </w:t>
      </w:r>
      <w:r w:rsidR="00E753CA" w:rsidRPr="001E61BC">
        <w:rPr>
          <w:rFonts w:cs="Times New Roman"/>
          <w:szCs w:val="28"/>
          <w:lang w:val="en-US"/>
        </w:rPr>
        <w:t xml:space="preserve">kinh tế của </w:t>
      </w:r>
      <w:r w:rsidRPr="001E61BC">
        <w:rPr>
          <w:rFonts w:cs="Times New Roman"/>
          <w:szCs w:val="28"/>
        </w:rPr>
        <w:t xml:space="preserve">Việt Nam có </w:t>
      </w:r>
      <w:r w:rsidRPr="001E61BC">
        <w:rPr>
          <w:rFonts w:cs="Times New Roman"/>
          <w:szCs w:val="28"/>
          <w:lang w:val="nl-NL"/>
        </w:rPr>
        <w:t>đầu tư</w:t>
      </w:r>
      <w:r w:rsidRPr="001E61BC">
        <w:rPr>
          <w:rFonts w:cs="Times New Roman"/>
          <w:szCs w:val="28"/>
        </w:rPr>
        <w:t xml:space="preserve"> ra </w:t>
      </w:r>
      <w:r w:rsidRPr="001E61BC">
        <w:rPr>
          <w:rFonts w:cs="Times New Roman"/>
          <w:szCs w:val="28"/>
          <w:lang w:val="nl-NL"/>
        </w:rPr>
        <w:t>nước ngoài;</w:t>
      </w:r>
    </w:p>
    <w:p w:rsidR="00E478C1" w:rsidRDefault="00E478C1" w:rsidP="001E61BC">
      <w:pPr>
        <w:ind w:firstLine="720"/>
        <w:jc w:val="both"/>
        <w:rPr>
          <w:rFonts w:cs="Times New Roman"/>
          <w:szCs w:val="28"/>
        </w:rPr>
      </w:pPr>
      <w:r w:rsidRPr="001E61BC">
        <w:rPr>
          <w:rFonts w:cs="Times New Roman"/>
          <w:szCs w:val="28"/>
          <w:lang w:val="nl-NL"/>
        </w:rPr>
        <w:t>- Giành quyền đánh thuế với tư cách là quốc gia của công ty mẹ thực hiện đầu tư ra nước ngoài;</w:t>
      </w:r>
      <w:r w:rsidRPr="001E61BC">
        <w:rPr>
          <w:rFonts w:cs="Times New Roman"/>
          <w:szCs w:val="28"/>
        </w:rPr>
        <w:t xml:space="preserve"> </w:t>
      </w:r>
    </w:p>
    <w:p w:rsidR="00F82FF2" w:rsidRPr="001E61BC" w:rsidRDefault="00F82FF2" w:rsidP="001E61BC">
      <w:pPr>
        <w:ind w:firstLine="720"/>
        <w:jc w:val="both"/>
        <w:rPr>
          <w:rFonts w:cs="Times New Roman"/>
          <w:szCs w:val="28"/>
        </w:rPr>
      </w:pPr>
      <w:r w:rsidRPr="001E61BC">
        <w:rPr>
          <w:rFonts w:cs="Times New Roman"/>
          <w:szCs w:val="28"/>
          <w:lang w:val="en-US"/>
        </w:rPr>
        <w:t xml:space="preserve">- </w:t>
      </w:r>
      <w:r w:rsidRPr="001E61BC">
        <w:rPr>
          <w:rFonts w:cs="Times New Roman"/>
          <w:szCs w:val="28"/>
          <w:lang w:val="nl-NL"/>
        </w:rPr>
        <w:t>Đảm bảo bình đẳng giữa nhà đầu tư trong nước và nước ngoài, nhà đầu tư trực tiếp và nhà đầu tư gián tiếp;</w:t>
      </w:r>
    </w:p>
    <w:p w:rsidR="003051D8" w:rsidRPr="001E61BC" w:rsidRDefault="00E478C1" w:rsidP="001E61BC">
      <w:pPr>
        <w:ind w:firstLine="720"/>
        <w:jc w:val="both"/>
        <w:rPr>
          <w:rFonts w:eastAsia="Times New Roman" w:cs="Times New Roman"/>
          <w:b/>
          <w:szCs w:val="28"/>
          <w:lang w:val="en-US"/>
        </w:rPr>
      </w:pPr>
      <w:r w:rsidRPr="001E61BC">
        <w:rPr>
          <w:rFonts w:eastAsia="Times New Roman" w:cs="Times New Roman"/>
          <w:b/>
          <w:szCs w:val="28"/>
          <w:lang w:val="en-US"/>
        </w:rPr>
        <w:t xml:space="preserve">- </w:t>
      </w:r>
      <w:r w:rsidR="003B4DEB" w:rsidRPr="001E61BC">
        <w:rPr>
          <w:rFonts w:cs="Times New Roman"/>
          <w:szCs w:val="28"/>
          <w:lang w:val="en-US"/>
        </w:rPr>
        <w:t>Ngăn chặn</w:t>
      </w:r>
      <w:r w:rsidR="003B4DEB" w:rsidRPr="001E61BC">
        <w:rPr>
          <w:rFonts w:cs="Times New Roman"/>
          <w:szCs w:val="28"/>
        </w:rPr>
        <w:t xml:space="preserve"> các </w:t>
      </w:r>
      <w:r w:rsidR="003B4DEB" w:rsidRPr="001E61BC">
        <w:rPr>
          <w:rFonts w:cs="Times New Roman"/>
          <w:szCs w:val="28"/>
          <w:lang w:val="en-US"/>
        </w:rPr>
        <w:t xml:space="preserve">Tập đoàn đa quốc gia của Việt Nam thực hiện </w:t>
      </w:r>
      <w:r w:rsidR="003B4DEB" w:rsidRPr="001E61BC">
        <w:rPr>
          <w:rFonts w:cs="Times New Roman"/>
          <w:szCs w:val="28"/>
        </w:rPr>
        <w:t>chuyển lợi nhuận</w:t>
      </w:r>
      <w:r w:rsidR="003B4DEB" w:rsidRPr="001E61BC">
        <w:rPr>
          <w:rFonts w:cs="Times New Roman"/>
          <w:szCs w:val="28"/>
          <w:lang w:val="en-US"/>
        </w:rPr>
        <w:t>, chuyển giá</w:t>
      </w:r>
      <w:r w:rsidR="003B4DEB" w:rsidRPr="001E61BC">
        <w:rPr>
          <w:rFonts w:cs="Times New Roman"/>
          <w:szCs w:val="28"/>
        </w:rPr>
        <w:t xml:space="preserve"> sang quốc gia có thuế suất thấp để tránh thuế</w:t>
      </w:r>
      <w:r w:rsidR="003B4DEB" w:rsidRPr="001E61BC">
        <w:rPr>
          <w:rFonts w:cs="Times New Roman"/>
          <w:szCs w:val="28"/>
          <w:lang w:val="en-US"/>
        </w:rPr>
        <w:t>.</w:t>
      </w:r>
    </w:p>
    <w:p w:rsidR="00B96BF2" w:rsidRPr="001E61BC" w:rsidRDefault="0032526C" w:rsidP="00B96BF2">
      <w:pPr>
        <w:ind w:firstLine="720"/>
        <w:jc w:val="both"/>
        <w:rPr>
          <w:rFonts w:cs="Times New Roman"/>
          <w:b/>
          <w:szCs w:val="28"/>
          <w:lang w:val="nl-NL"/>
        </w:rPr>
      </w:pPr>
      <w:r w:rsidRPr="001E61BC">
        <w:rPr>
          <w:rFonts w:eastAsia="Times New Roman" w:cs="Times New Roman"/>
          <w:b/>
          <w:szCs w:val="28"/>
        </w:rPr>
        <w:t xml:space="preserve">IV. CÁC GIẢI PHÁP ĐỂ THỰC HIỆN DỰ ÁN </w:t>
      </w:r>
      <w:r w:rsidR="00641AD2">
        <w:rPr>
          <w:rFonts w:cs="Times New Roman"/>
          <w:b/>
          <w:szCs w:val="28"/>
          <w:lang w:val="nl-NL"/>
        </w:rPr>
        <w:t>NGHỊ QUYẾT</w:t>
      </w:r>
      <w:r w:rsidR="00B96BF2" w:rsidRPr="001E61BC">
        <w:rPr>
          <w:rFonts w:cs="Times New Roman"/>
          <w:b/>
          <w:szCs w:val="28"/>
          <w:lang w:val="nl-NL"/>
        </w:rPr>
        <w:t xml:space="preserve"> CỦA QUỐC HỘI VỀ VIỆC ÁP DỤNG THUẾ THU NHẬP DOANH NGHIỆP BỔ SUNG THEO QUY ĐỊNH CHỐNG XÓI MÒN CƠ SỞ THUẾ TOÀN CẦU</w:t>
      </w:r>
    </w:p>
    <w:p w:rsidR="0032526C" w:rsidRPr="001E61BC" w:rsidRDefault="0032526C" w:rsidP="00B96BF2">
      <w:pPr>
        <w:ind w:firstLine="720"/>
        <w:jc w:val="both"/>
        <w:rPr>
          <w:rFonts w:eastAsia="Times New Roman" w:cs="Times New Roman"/>
          <w:szCs w:val="28"/>
        </w:rPr>
      </w:pPr>
      <w:r w:rsidRPr="001E61BC">
        <w:rPr>
          <w:rFonts w:eastAsia="Times New Roman" w:cs="Times New Roman"/>
          <w:szCs w:val="28"/>
        </w:rPr>
        <w:t xml:space="preserve">Từ những nội dung của dự án </w:t>
      </w:r>
      <w:r w:rsidR="00641AD2">
        <w:rPr>
          <w:rFonts w:eastAsia="Times New Roman" w:cs="Times New Roman"/>
          <w:szCs w:val="28"/>
          <w:lang w:val="en-US"/>
        </w:rPr>
        <w:t>Nghị quyết</w:t>
      </w:r>
      <w:r w:rsidR="00B96BF2">
        <w:rPr>
          <w:rFonts w:eastAsia="Times New Roman" w:cs="Times New Roman"/>
          <w:szCs w:val="28"/>
          <w:lang w:val="en-US"/>
        </w:rPr>
        <w:t xml:space="preserve"> của Quốc hội</w:t>
      </w:r>
      <w:r w:rsidRPr="001E61BC">
        <w:rPr>
          <w:rFonts w:eastAsia="Times New Roman" w:cs="Times New Roman"/>
          <w:szCs w:val="28"/>
        </w:rPr>
        <w:t xml:space="preserve"> nêu trên, để triển khai tốt </w:t>
      </w:r>
      <w:r w:rsidR="00641AD2">
        <w:rPr>
          <w:rFonts w:eastAsia="Times New Roman" w:cs="Times New Roman"/>
          <w:szCs w:val="28"/>
          <w:lang w:val="en-US"/>
        </w:rPr>
        <w:t xml:space="preserve">Nghị quyết </w:t>
      </w:r>
      <w:r w:rsidR="00B96BF2">
        <w:rPr>
          <w:rFonts w:eastAsia="Times New Roman" w:cs="Times New Roman"/>
          <w:szCs w:val="28"/>
          <w:lang w:val="en-US"/>
        </w:rPr>
        <w:t>của Quốc hội</w:t>
      </w:r>
      <w:r w:rsidR="00B96BF2" w:rsidRPr="001E61BC">
        <w:rPr>
          <w:rFonts w:eastAsia="Times New Roman" w:cs="Times New Roman"/>
          <w:szCs w:val="28"/>
        </w:rPr>
        <w:t xml:space="preserve"> </w:t>
      </w:r>
      <w:r w:rsidRPr="001E61BC">
        <w:rPr>
          <w:rFonts w:eastAsia="Times New Roman" w:cs="Times New Roman"/>
          <w:szCs w:val="28"/>
        </w:rPr>
        <w:t>này cần phải: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b/>
          <w:szCs w:val="28"/>
        </w:rPr>
        <w:t>1.</w:t>
      </w:r>
      <w:r w:rsidRPr="001E61BC">
        <w:rPr>
          <w:rFonts w:eastAsia="Times New Roman" w:cs="Times New Roman"/>
          <w:szCs w:val="28"/>
        </w:rPr>
        <w:t xml:space="preserve"> Có sự chỉ đạo của các cấp ủy Đảng từ Trung ương xuống cơ sở, các  cấp chính quyền; sự phối kết hợp chặt chẽ của các cơ quan, đoàn thể.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b/>
          <w:szCs w:val="28"/>
        </w:rPr>
        <w:t>2.</w:t>
      </w:r>
      <w:r w:rsidRPr="001E61BC">
        <w:rPr>
          <w:rFonts w:eastAsia="Times New Roman" w:cs="Times New Roman"/>
          <w:szCs w:val="28"/>
        </w:rPr>
        <w:t xml:space="preserve"> Đẩy mạnh công tác tuyên truyền, phổ biến, hướng dẫn, giải thích quy  định của </w:t>
      </w:r>
      <w:r w:rsidR="00641AD2">
        <w:rPr>
          <w:rFonts w:eastAsia="Times New Roman" w:cs="Times New Roman"/>
          <w:szCs w:val="28"/>
          <w:lang w:val="en-US"/>
        </w:rPr>
        <w:t xml:space="preserve">Nghị quyết </w:t>
      </w:r>
      <w:r w:rsidR="00B96BF2">
        <w:rPr>
          <w:rFonts w:eastAsia="Times New Roman" w:cs="Times New Roman"/>
          <w:szCs w:val="28"/>
          <w:lang w:val="en-US"/>
        </w:rPr>
        <w:t>của Quốc hội</w:t>
      </w:r>
      <w:r w:rsidR="00B96BF2" w:rsidRPr="001E61BC">
        <w:rPr>
          <w:rFonts w:eastAsia="Times New Roman" w:cs="Times New Roman"/>
          <w:szCs w:val="28"/>
        </w:rPr>
        <w:t xml:space="preserve"> </w:t>
      </w:r>
      <w:r w:rsidRPr="001E61BC">
        <w:rPr>
          <w:rFonts w:eastAsia="Times New Roman" w:cs="Times New Roman"/>
          <w:szCs w:val="28"/>
        </w:rPr>
        <w:t>nhằm nâng cao ý thức của tổ chức, cá nhân; tăng sự đồng  thuận, ủng hộ của nhân dân.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b/>
          <w:szCs w:val="28"/>
        </w:rPr>
        <w:t>3.</w:t>
      </w:r>
      <w:r w:rsidRPr="001E61BC">
        <w:rPr>
          <w:rFonts w:eastAsia="Times New Roman" w:cs="Times New Roman"/>
          <w:szCs w:val="28"/>
        </w:rPr>
        <w:t xml:space="preserve"> Cần có sự phối hợp chặt chẽ với các Bộ, ngành có liên quan để hoàn  thiện các văn bản hướng dẫn, đảm bảo công bằng về nghĩa vụ thuế trong quá  trình thực hiện.</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b/>
          <w:szCs w:val="28"/>
        </w:rPr>
        <w:t>4.</w:t>
      </w:r>
      <w:r w:rsidRPr="001E61BC">
        <w:rPr>
          <w:rFonts w:eastAsia="Times New Roman" w:cs="Times New Roman"/>
          <w:szCs w:val="28"/>
        </w:rPr>
        <w:t xml:space="preserve"> Thực hiện đồng bộ các chính sách, biện pháp: Thuế, phí, lệ phí; hành  chính, tuyên truyền giáo dục,...  </w:t>
      </w:r>
    </w:p>
    <w:p w:rsidR="00B96BF2" w:rsidRPr="001E61BC" w:rsidRDefault="0032526C" w:rsidP="00B96BF2">
      <w:pPr>
        <w:ind w:firstLine="720"/>
        <w:jc w:val="both"/>
        <w:rPr>
          <w:rFonts w:cs="Times New Roman"/>
          <w:b/>
          <w:szCs w:val="28"/>
          <w:lang w:val="nl-NL"/>
        </w:rPr>
      </w:pPr>
      <w:r w:rsidRPr="001E61BC">
        <w:rPr>
          <w:rFonts w:eastAsia="Times New Roman" w:cs="Times New Roman"/>
          <w:b/>
          <w:szCs w:val="28"/>
        </w:rPr>
        <w:t xml:space="preserve">V. DỰ KIẾN NGUỒN LỰC, ĐIỀU KIỆN </w:t>
      </w:r>
      <w:r w:rsidR="00546092" w:rsidRPr="001E61BC">
        <w:rPr>
          <w:rFonts w:eastAsia="Times New Roman" w:cs="Times New Roman"/>
          <w:b/>
          <w:szCs w:val="28"/>
        </w:rPr>
        <w:t xml:space="preserve">BẢO ĐẢM CHO VIỆC  THI HÀNH </w:t>
      </w:r>
      <w:r w:rsidR="00641AD2">
        <w:rPr>
          <w:rFonts w:cs="Times New Roman"/>
          <w:b/>
          <w:szCs w:val="28"/>
          <w:lang w:val="nl-NL"/>
        </w:rPr>
        <w:t>NGHỊ QUYẾT</w:t>
      </w:r>
      <w:r w:rsidR="00B96BF2" w:rsidRPr="001E61BC">
        <w:rPr>
          <w:rFonts w:cs="Times New Roman"/>
          <w:b/>
          <w:szCs w:val="28"/>
          <w:lang w:val="nl-NL"/>
        </w:rPr>
        <w:t xml:space="preserve"> CỦA QUỐC HỘI VỀ VIỆC ÁP DỤNG THUẾ THU NHẬP DOANH NGHIỆP BỔ SUNG THEO QUY ĐỊNH CHỐNG XÓI MÒN CƠ SỞ THUẾ TOÀN CẦU</w:t>
      </w:r>
    </w:p>
    <w:p w:rsidR="0032526C" w:rsidRPr="001E61BC" w:rsidRDefault="0032526C" w:rsidP="001E61BC">
      <w:pPr>
        <w:ind w:left="709"/>
        <w:rPr>
          <w:rFonts w:eastAsia="Times New Roman" w:cs="Times New Roman"/>
          <w:szCs w:val="28"/>
        </w:rPr>
      </w:pPr>
      <w:r w:rsidRPr="001E61BC">
        <w:rPr>
          <w:rFonts w:eastAsia="Times New Roman" w:cs="Times New Roman"/>
          <w:b/>
          <w:szCs w:val="28"/>
        </w:rPr>
        <w:t xml:space="preserve">1. </w:t>
      </w:r>
      <w:r w:rsidRPr="001E61BC">
        <w:rPr>
          <w:rFonts w:eastAsia="Times New Roman" w:cs="Times New Roman"/>
          <w:szCs w:val="28"/>
        </w:rPr>
        <w:t xml:space="preserve">Dự kiến nguồn lực để thi hành </w:t>
      </w:r>
      <w:r w:rsidR="00641AD2">
        <w:rPr>
          <w:rFonts w:eastAsia="Times New Roman" w:cs="Times New Roman"/>
          <w:szCs w:val="28"/>
          <w:lang w:val="en-US"/>
        </w:rPr>
        <w:t>Nghị quyết</w:t>
      </w:r>
      <w:r w:rsidR="00B96BF2">
        <w:rPr>
          <w:rFonts w:eastAsia="Times New Roman" w:cs="Times New Roman"/>
          <w:szCs w:val="28"/>
          <w:lang w:val="en-US"/>
        </w:rPr>
        <w:t xml:space="preserve"> của Quốc hội</w:t>
      </w:r>
      <w:r w:rsidR="00B96BF2" w:rsidRPr="001E61BC">
        <w:rPr>
          <w:rFonts w:eastAsia="Times New Roman" w:cs="Times New Roman"/>
          <w:szCs w:val="28"/>
        </w:rPr>
        <w:t xml:space="preserve"> </w:t>
      </w:r>
      <w:r w:rsidRPr="001E61BC">
        <w:rPr>
          <w:rFonts w:eastAsia="Times New Roman" w:cs="Times New Roman"/>
          <w:szCs w:val="28"/>
        </w:rPr>
        <w:t>như sau: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t xml:space="preserve">- Từ nguồn ngân sách trung ương và ngân sách địa phương;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t>- Từ các nguồn kinh phí hợp pháp khác. </w:t>
      </w:r>
    </w:p>
    <w:p w:rsidR="0032526C" w:rsidRPr="001E61BC" w:rsidRDefault="0032526C" w:rsidP="001E61BC">
      <w:pPr>
        <w:ind w:left="709"/>
        <w:rPr>
          <w:rFonts w:eastAsia="Times New Roman" w:cs="Times New Roman"/>
          <w:szCs w:val="28"/>
        </w:rPr>
      </w:pPr>
      <w:r w:rsidRPr="001E61BC">
        <w:rPr>
          <w:rFonts w:eastAsia="Times New Roman" w:cs="Times New Roman"/>
          <w:b/>
          <w:szCs w:val="28"/>
        </w:rPr>
        <w:t>2.</w:t>
      </w:r>
      <w:r w:rsidRPr="001E61BC">
        <w:rPr>
          <w:rFonts w:eastAsia="Times New Roman" w:cs="Times New Roman"/>
          <w:szCs w:val="28"/>
        </w:rPr>
        <w:t xml:space="preserve"> Điều kiện bảo đảm cho việc thi hành </w:t>
      </w:r>
      <w:r w:rsidR="00EC0202">
        <w:rPr>
          <w:rFonts w:eastAsia="Times New Roman" w:cs="Times New Roman"/>
          <w:szCs w:val="28"/>
          <w:lang w:val="en-US"/>
        </w:rPr>
        <w:t xml:space="preserve">Nghị quyết </w:t>
      </w:r>
      <w:r w:rsidR="00B96BF2">
        <w:rPr>
          <w:rFonts w:eastAsia="Times New Roman" w:cs="Times New Roman"/>
          <w:szCs w:val="28"/>
          <w:lang w:val="en-US"/>
        </w:rPr>
        <w:t>của Quốc hội</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t xml:space="preserve">Điều kiện bảo đảm cho việc thi hành </w:t>
      </w:r>
      <w:r w:rsidR="00EC0202">
        <w:rPr>
          <w:rFonts w:eastAsia="Times New Roman" w:cs="Times New Roman"/>
          <w:szCs w:val="28"/>
          <w:lang w:val="en-US"/>
        </w:rPr>
        <w:t xml:space="preserve">Nghị quyết </w:t>
      </w:r>
      <w:r w:rsidR="00B96BF2">
        <w:rPr>
          <w:rFonts w:eastAsia="Times New Roman" w:cs="Times New Roman"/>
          <w:szCs w:val="28"/>
          <w:lang w:val="en-US"/>
        </w:rPr>
        <w:t>của Quốc hội</w:t>
      </w:r>
      <w:r w:rsidR="00B96BF2" w:rsidRPr="001E61BC">
        <w:rPr>
          <w:rFonts w:eastAsia="Times New Roman" w:cs="Times New Roman"/>
          <w:szCs w:val="28"/>
        </w:rPr>
        <w:t xml:space="preserve"> </w:t>
      </w:r>
      <w:r w:rsidRPr="001E61BC">
        <w:rPr>
          <w:rFonts w:eastAsia="Times New Roman" w:cs="Times New Roman"/>
          <w:szCs w:val="28"/>
        </w:rPr>
        <w:t>bao gồm các nội dung được  xác định như sau: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t xml:space="preserve">- Ban hành văn bản quy định chi tiết và chỉ đạo, đôn đốc thi hành: Các  cơ quan có thẩm quyền ban hành kịp thời các văn bản quy phạm pháp luật hướng dẫn thi hành </w:t>
      </w:r>
      <w:r w:rsidR="00EC0202">
        <w:rPr>
          <w:rFonts w:eastAsia="Times New Roman" w:cs="Times New Roman"/>
          <w:szCs w:val="28"/>
          <w:lang w:val="en-US"/>
        </w:rPr>
        <w:t xml:space="preserve">Nghị quyết </w:t>
      </w:r>
      <w:r w:rsidR="00B96BF2">
        <w:rPr>
          <w:rFonts w:eastAsia="Times New Roman" w:cs="Times New Roman"/>
          <w:szCs w:val="28"/>
          <w:lang w:val="en-US"/>
        </w:rPr>
        <w:t>của Quốc hội.</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lastRenderedPageBreak/>
        <w:t xml:space="preserve">- Tuyên truyền, phổ biến </w:t>
      </w:r>
      <w:r w:rsidR="00EC0202">
        <w:rPr>
          <w:rFonts w:eastAsia="Times New Roman" w:cs="Times New Roman"/>
          <w:szCs w:val="28"/>
          <w:lang w:val="en-US"/>
        </w:rPr>
        <w:t>Nghị quyết</w:t>
      </w:r>
      <w:r w:rsidRPr="001E61BC">
        <w:rPr>
          <w:rFonts w:eastAsia="Times New Roman" w:cs="Times New Roman"/>
          <w:szCs w:val="28"/>
        </w:rPr>
        <w:t xml:space="preserve">: Các Bộ, cơ quan ngang Bộ, cơ quan  thuộc Chính phủ trong phạm vi chức năng, nhiệm vụ thực hiện phổ biến, giáo dục </w:t>
      </w:r>
      <w:r w:rsidR="00E63729">
        <w:rPr>
          <w:rFonts w:eastAsia="Times New Roman" w:cs="Times New Roman"/>
          <w:szCs w:val="28"/>
          <w:lang w:val="en-US"/>
        </w:rPr>
        <w:t xml:space="preserve">Nghị quyết </w:t>
      </w:r>
      <w:r w:rsidR="00B96BF2">
        <w:rPr>
          <w:rFonts w:eastAsia="Times New Roman" w:cs="Times New Roman"/>
          <w:szCs w:val="28"/>
          <w:lang w:val="en-US"/>
        </w:rPr>
        <w:t>của Quốc hội</w:t>
      </w:r>
      <w:r w:rsidR="00B96BF2" w:rsidRPr="001E61BC">
        <w:rPr>
          <w:rFonts w:eastAsia="Times New Roman" w:cs="Times New Roman"/>
          <w:szCs w:val="28"/>
        </w:rPr>
        <w:t xml:space="preserve"> </w:t>
      </w:r>
      <w:r w:rsidRPr="001E61BC">
        <w:rPr>
          <w:rFonts w:eastAsia="Times New Roman" w:cs="Times New Roman"/>
          <w:szCs w:val="28"/>
        </w:rPr>
        <w:t xml:space="preserve">và các quy định liên quan; Bộ Tài chính xây dựng nội dung thông  tin, tuyên truyền phổ biến những yêu cầu, nội dung và các quy định </w:t>
      </w:r>
      <w:r w:rsidR="00E63729">
        <w:rPr>
          <w:rFonts w:eastAsia="Times New Roman" w:cs="Times New Roman"/>
          <w:szCs w:val="28"/>
          <w:lang w:val="en-US"/>
        </w:rPr>
        <w:t>tại</w:t>
      </w:r>
      <w:r w:rsidRPr="001E61BC">
        <w:rPr>
          <w:rFonts w:eastAsia="Times New Roman" w:cs="Times New Roman"/>
          <w:szCs w:val="28"/>
        </w:rPr>
        <w:t xml:space="preserve"> </w:t>
      </w:r>
      <w:r w:rsidR="00E63729">
        <w:rPr>
          <w:rFonts w:eastAsia="Times New Roman" w:cs="Times New Roman"/>
          <w:szCs w:val="28"/>
          <w:lang w:val="en-US"/>
        </w:rPr>
        <w:t xml:space="preserve">Nghị quyết </w:t>
      </w:r>
      <w:r w:rsidR="00B96BF2">
        <w:rPr>
          <w:rFonts w:eastAsia="Times New Roman" w:cs="Times New Roman"/>
          <w:szCs w:val="28"/>
          <w:lang w:val="en-US"/>
        </w:rPr>
        <w:t>của Quốc hội</w:t>
      </w:r>
      <w:r w:rsidR="00B96BF2" w:rsidRPr="001E61BC">
        <w:rPr>
          <w:rFonts w:eastAsia="Times New Roman" w:cs="Times New Roman"/>
          <w:szCs w:val="28"/>
        </w:rPr>
        <w:t xml:space="preserve"> </w:t>
      </w:r>
      <w:r w:rsidRPr="001E61BC">
        <w:rPr>
          <w:rFonts w:eastAsia="Times New Roman" w:cs="Times New Roman"/>
          <w:szCs w:val="28"/>
        </w:rPr>
        <w:t>kịp thời đến các cơ quan, tổ chức và người dân, giúp hiểu biết, nắm bắt pháp luật kịp thời để thực hiện.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t>- Bảo đảm nguồn lực thực hiện: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t xml:space="preserve">+ Bộ Tài chính có chỉ đạo, hướng dẫn cụ thể để Cục Thuế các tỉnh, thành phố trực thuộc trung ương tổ chức triển khai thực hiện  </w:t>
      </w:r>
      <w:r w:rsidR="00E63729">
        <w:rPr>
          <w:rFonts w:eastAsia="Times New Roman" w:cs="Times New Roman"/>
          <w:szCs w:val="28"/>
          <w:lang w:val="en-US"/>
        </w:rPr>
        <w:t xml:space="preserve">Nghị quyết </w:t>
      </w:r>
      <w:r w:rsidR="00B96BF2">
        <w:rPr>
          <w:rFonts w:eastAsia="Times New Roman" w:cs="Times New Roman"/>
          <w:szCs w:val="28"/>
          <w:lang w:val="en-US"/>
        </w:rPr>
        <w:t>của Quốc hội</w:t>
      </w:r>
      <w:r w:rsidRPr="001E61BC">
        <w:rPr>
          <w:rFonts w:eastAsia="Times New Roman" w:cs="Times New Roman"/>
          <w:szCs w:val="28"/>
        </w:rPr>
        <w:t>.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t xml:space="preserve">+ Được bố trí nguồn kinh phí để thực hiện các quy định trong </w:t>
      </w:r>
      <w:r w:rsidR="00E63729">
        <w:rPr>
          <w:rFonts w:eastAsia="Times New Roman" w:cs="Times New Roman"/>
          <w:szCs w:val="28"/>
          <w:lang w:val="en-US"/>
        </w:rPr>
        <w:t xml:space="preserve">Nghị quyết </w:t>
      </w:r>
      <w:r w:rsidR="00B96BF2">
        <w:rPr>
          <w:rFonts w:eastAsia="Times New Roman" w:cs="Times New Roman"/>
          <w:szCs w:val="28"/>
          <w:lang w:val="en-US"/>
        </w:rPr>
        <w:t>của Quốc hội</w:t>
      </w:r>
      <w:r w:rsidRPr="001E61BC">
        <w:rPr>
          <w:rFonts w:eastAsia="Times New Roman" w:cs="Times New Roman"/>
          <w:szCs w:val="28"/>
        </w:rPr>
        <w:t xml:space="preserve">, ngoài  nguồn kinh phí do ngân sách nhà nước cấp, huy động nguồn lực từ cơ quan, đơn  vị và địa phương, hỗ trợ của các tổ chức xã hội, tổ chức quốc tế hoặc lồng ghép  vào các chương trình, dự án khác để có nguồn </w:t>
      </w:r>
      <w:r w:rsidR="00B96BF2">
        <w:rPr>
          <w:rFonts w:eastAsia="Times New Roman" w:cs="Times New Roman"/>
          <w:szCs w:val="28"/>
        </w:rPr>
        <w:t>kinh phí bảo đảm cho việc thực </w:t>
      </w:r>
      <w:r w:rsidRPr="001E61BC">
        <w:rPr>
          <w:rFonts w:eastAsia="Times New Roman" w:cs="Times New Roman"/>
          <w:szCs w:val="28"/>
        </w:rPr>
        <w:t xml:space="preserve">hiện </w:t>
      </w:r>
      <w:r w:rsidR="00E63729">
        <w:rPr>
          <w:rFonts w:eastAsia="Times New Roman" w:cs="Times New Roman"/>
          <w:szCs w:val="28"/>
          <w:lang w:val="en-US"/>
        </w:rPr>
        <w:t xml:space="preserve">Nghị quyết </w:t>
      </w:r>
      <w:r w:rsidR="00B96BF2">
        <w:rPr>
          <w:rFonts w:eastAsia="Times New Roman" w:cs="Times New Roman"/>
          <w:szCs w:val="28"/>
          <w:lang w:val="en-US"/>
        </w:rPr>
        <w:t>của Quốc hội</w:t>
      </w:r>
      <w:r w:rsidRPr="001E61BC">
        <w:rPr>
          <w:rFonts w:eastAsia="Times New Roman" w:cs="Times New Roman"/>
          <w:szCs w:val="28"/>
        </w:rPr>
        <w:t>.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t>- Kiểm tra, thanh tra, giám sát tình hình thực hiện: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t xml:space="preserve">Thực hiện công tác kiểm tra, thanh tra, giám sát tình hình thi hành </w:t>
      </w:r>
      <w:r w:rsidR="00E63729">
        <w:rPr>
          <w:rFonts w:eastAsia="Times New Roman" w:cs="Times New Roman"/>
          <w:szCs w:val="28"/>
          <w:lang w:val="en-US"/>
        </w:rPr>
        <w:t>Nghị quyết</w:t>
      </w:r>
      <w:r w:rsidR="00B96BF2">
        <w:rPr>
          <w:rFonts w:eastAsia="Times New Roman" w:cs="Times New Roman"/>
          <w:szCs w:val="28"/>
          <w:lang w:val="en-US"/>
        </w:rPr>
        <w:t xml:space="preserve"> của Quốc hội</w:t>
      </w:r>
      <w:r w:rsidRPr="001E61BC">
        <w:rPr>
          <w:rFonts w:eastAsia="Times New Roman" w:cs="Times New Roman"/>
          <w:szCs w:val="28"/>
        </w:rPr>
        <w:t xml:space="preserve"> và các văn bản pháp quy phạm pháp luật quy định chi tiết và hướng dẫn thi  hành</w:t>
      </w:r>
      <w:r w:rsidR="002B0CB6" w:rsidRPr="001E61BC">
        <w:rPr>
          <w:rFonts w:eastAsia="Times New Roman" w:cs="Times New Roman"/>
          <w:szCs w:val="28"/>
          <w:lang w:val="en-US"/>
        </w:rPr>
        <w:t>.</w:t>
      </w:r>
    </w:p>
    <w:p w:rsidR="0032526C" w:rsidRDefault="0032526C" w:rsidP="001E61BC">
      <w:pPr>
        <w:ind w:firstLine="709"/>
        <w:jc w:val="both"/>
        <w:rPr>
          <w:rFonts w:eastAsia="Times New Roman" w:cs="Times New Roman"/>
          <w:b/>
          <w:szCs w:val="28"/>
        </w:rPr>
      </w:pPr>
      <w:r w:rsidRPr="001E61BC">
        <w:rPr>
          <w:rFonts w:eastAsia="Times New Roman" w:cs="Times New Roman"/>
          <w:b/>
          <w:szCs w:val="28"/>
        </w:rPr>
        <w:t>VI. THỜI GIAN DỰ KIẾN TRÌNH ỦY BAN THƯỜNG VỤ QUỐC HỘI, QUỐC HỘI </w:t>
      </w:r>
    </w:p>
    <w:p w:rsidR="00771DE2" w:rsidRPr="005A408A" w:rsidRDefault="00771DE2" w:rsidP="00771DE2">
      <w:pPr>
        <w:tabs>
          <w:tab w:val="left" w:pos="374"/>
        </w:tabs>
        <w:ind w:firstLineChars="253" w:firstLine="708"/>
        <w:jc w:val="both"/>
        <w:rPr>
          <w:szCs w:val="28"/>
          <w:lang w:val="nl-NL"/>
        </w:rPr>
      </w:pPr>
      <w:r>
        <w:rPr>
          <w:szCs w:val="28"/>
          <w:lang w:val="it-IT"/>
        </w:rPr>
        <w:tab/>
      </w:r>
      <w:r w:rsidRPr="005A408A">
        <w:rPr>
          <w:szCs w:val="28"/>
          <w:lang w:val="nl-NL"/>
        </w:rPr>
        <w:t xml:space="preserve">Khoản 2 Điều 15 </w:t>
      </w:r>
      <w:r>
        <w:rPr>
          <w:color w:val="000000"/>
          <w:szCs w:val="28"/>
          <w:lang w:val="sv-SE"/>
        </w:rPr>
        <w:t>Lu</w:t>
      </w:r>
      <w:r w:rsidRPr="007170C3">
        <w:rPr>
          <w:color w:val="000000"/>
          <w:szCs w:val="28"/>
          <w:lang w:val="sv-SE"/>
        </w:rPr>
        <w:t>ậ</w:t>
      </w:r>
      <w:r>
        <w:rPr>
          <w:color w:val="000000"/>
          <w:szCs w:val="28"/>
          <w:lang w:val="sv-SE"/>
        </w:rPr>
        <w:t>t Ban hành văn bản quy phạm pháp luật</w:t>
      </w:r>
      <w:r>
        <w:rPr>
          <w:szCs w:val="28"/>
          <w:lang w:val="nl-NL"/>
        </w:rPr>
        <w:t xml:space="preserve"> </w:t>
      </w:r>
      <w:r w:rsidRPr="005A408A">
        <w:rPr>
          <w:szCs w:val="28"/>
          <w:lang w:val="nl-NL"/>
        </w:rPr>
        <w:t>quy định:</w:t>
      </w:r>
    </w:p>
    <w:p w:rsidR="00771DE2" w:rsidRPr="005A408A" w:rsidRDefault="00771DE2" w:rsidP="00771DE2">
      <w:pPr>
        <w:shd w:val="clear" w:color="auto" w:fill="FFFFFF"/>
        <w:ind w:firstLineChars="253" w:firstLine="708"/>
        <w:jc w:val="both"/>
        <w:rPr>
          <w:i/>
          <w:color w:val="000000"/>
          <w:szCs w:val="28"/>
          <w:lang w:val="nl-NL"/>
        </w:rPr>
      </w:pPr>
      <w:r w:rsidRPr="005A408A">
        <w:rPr>
          <w:i/>
          <w:color w:val="000000"/>
          <w:szCs w:val="28"/>
          <w:lang w:val="nl-NL"/>
        </w:rPr>
        <w:t>“2. Quốc hội ban hành nghị quyết để quy định:</w:t>
      </w:r>
    </w:p>
    <w:p w:rsidR="00771DE2" w:rsidRPr="00DB5E1E" w:rsidRDefault="00771DE2" w:rsidP="00771DE2">
      <w:pPr>
        <w:shd w:val="clear" w:color="auto" w:fill="FFFFFF"/>
        <w:ind w:firstLineChars="253" w:firstLine="708"/>
        <w:jc w:val="both"/>
        <w:rPr>
          <w:i/>
          <w:color w:val="000000"/>
          <w:szCs w:val="28"/>
          <w:lang w:val="nl-NL"/>
        </w:rPr>
      </w:pPr>
      <w:r w:rsidRPr="00DB5E1E">
        <w:rPr>
          <w:i/>
          <w:color w:val="000000"/>
          <w:szCs w:val="28"/>
          <w:lang w:val="nl-NL"/>
        </w:rPr>
        <w:t>a) Tỷ lệ phân chia các khoản thu và nhiệm vụ chi giữa ngân sách trung ương và ngân sách địa phương;</w:t>
      </w:r>
    </w:p>
    <w:p w:rsidR="00771DE2" w:rsidRPr="00DB5E1E" w:rsidRDefault="00771DE2" w:rsidP="00771DE2">
      <w:pPr>
        <w:shd w:val="clear" w:color="auto" w:fill="FFFFFF"/>
        <w:ind w:firstLineChars="253" w:firstLine="708"/>
        <w:jc w:val="both"/>
        <w:rPr>
          <w:i/>
          <w:color w:val="000000"/>
          <w:szCs w:val="28"/>
          <w:lang w:val="nl-NL"/>
        </w:rPr>
      </w:pPr>
      <w:r w:rsidRPr="00DB5E1E">
        <w:rPr>
          <w:i/>
          <w:color w:val="000000"/>
          <w:szCs w:val="28"/>
          <w:lang w:val="nl-NL"/>
        </w:rPr>
        <w:t>b) Thực hiện thí điểm một số chính sách mới thuộc thẩm quyền quyết định của Quốc hội nhưng chưa có luật điều chỉnh hoặc khác với quy định của luật hiện hành;</w:t>
      </w:r>
    </w:p>
    <w:p w:rsidR="00771DE2" w:rsidRPr="00DB5E1E" w:rsidRDefault="00771DE2" w:rsidP="00771DE2">
      <w:pPr>
        <w:shd w:val="clear" w:color="auto" w:fill="FFFFFF"/>
        <w:ind w:firstLineChars="253" w:firstLine="708"/>
        <w:jc w:val="both"/>
        <w:rPr>
          <w:i/>
          <w:color w:val="000000"/>
          <w:szCs w:val="28"/>
          <w:lang w:val="nl-NL"/>
        </w:rPr>
      </w:pPr>
      <w:r w:rsidRPr="00DB5E1E">
        <w:rPr>
          <w:i/>
          <w:color w:val="000000"/>
          <w:szCs w:val="28"/>
          <w:lang w:val="nl-NL"/>
        </w:rPr>
        <w:t>c) Tạm ngưng hoặc kéo dài thời hạn áp dụng toàn bộ hoặc một phần luật, nghị quyết của Quốc hội đáp ứng các yêu cầu cấp bách về phát triển kinh tế - xã hội, bảo đảm quyền con người, quyền công dân;</w:t>
      </w:r>
    </w:p>
    <w:p w:rsidR="00771DE2" w:rsidRPr="00DB5E1E" w:rsidRDefault="00771DE2" w:rsidP="00771DE2">
      <w:pPr>
        <w:shd w:val="clear" w:color="auto" w:fill="FFFFFF"/>
        <w:ind w:firstLineChars="253" w:firstLine="708"/>
        <w:jc w:val="both"/>
        <w:rPr>
          <w:i/>
          <w:color w:val="000000"/>
          <w:szCs w:val="28"/>
          <w:lang w:val="nl-NL"/>
        </w:rPr>
      </w:pPr>
      <w:r w:rsidRPr="00DB5E1E">
        <w:rPr>
          <w:i/>
          <w:color w:val="000000"/>
          <w:szCs w:val="28"/>
          <w:lang w:val="nl-NL"/>
        </w:rPr>
        <w:t>d) Quy định về tình trạng khẩn cấp, các biện pháp đặc biệt khác bảo đảm quốc phòng, an ninh quốc gia;</w:t>
      </w:r>
    </w:p>
    <w:p w:rsidR="00771DE2" w:rsidRPr="00DB5E1E" w:rsidRDefault="00771DE2" w:rsidP="00771DE2">
      <w:pPr>
        <w:shd w:val="clear" w:color="auto" w:fill="FFFFFF"/>
        <w:ind w:firstLineChars="253" w:firstLine="708"/>
        <w:jc w:val="both"/>
        <w:rPr>
          <w:i/>
          <w:color w:val="000000"/>
          <w:szCs w:val="28"/>
          <w:lang w:val="nl-NL"/>
        </w:rPr>
      </w:pPr>
      <w:r w:rsidRPr="00DB5E1E">
        <w:rPr>
          <w:i/>
          <w:color w:val="000000"/>
          <w:szCs w:val="28"/>
          <w:lang w:val="nl-NL"/>
        </w:rPr>
        <w:t>đ) Đại xá;</w:t>
      </w:r>
    </w:p>
    <w:p w:rsidR="00771DE2" w:rsidRDefault="00771DE2" w:rsidP="00771DE2">
      <w:pPr>
        <w:jc w:val="both"/>
        <w:rPr>
          <w:szCs w:val="28"/>
          <w:lang w:val="it-IT"/>
        </w:rPr>
      </w:pPr>
      <w:r>
        <w:rPr>
          <w:i/>
          <w:color w:val="000000"/>
          <w:szCs w:val="28"/>
          <w:lang w:val="nl-NL"/>
        </w:rPr>
        <w:tab/>
      </w:r>
      <w:r w:rsidRPr="00DB5E1E">
        <w:rPr>
          <w:i/>
          <w:color w:val="000000"/>
          <w:szCs w:val="28"/>
          <w:lang w:val="nl-NL"/>
        </w:rPr>
        <w:t>e) Vấn đề khác thuộc thẩm quyền của Quốc hội.”</w:t>
      </w:r>
    </w:p>
    <w:p w:rsidR="00771DE2" w:rsidRDefault="00771DE2" w:rsidP="00771DE2">
      <w:pPr>
        <w:jc w:val="both"/>
        <w:rPr>
          <w:szCs w:val="28"/>
          <w:lang w:val="it-IT"/>
        </w:rPr>
      </w:pPr>
      <w:r>
        <w:rPr>
          <w:szCs w:val="28"/>
          <w:lang w:val="it-IT"/>
        </w:rPr>
        <w:tab/>
        <w:t xml:space="preserve">Tại </w:t>
      </w:r>
      <w:r w:rsidRPr="001473BD">
        <w:rPr>
          <w:szCs w:val="28"/>
          <w:lang w:val="it-IT"/>
        </w:rPr>
        <w:t xml:space="preserve">Điều 146 Luật Ban hành văn bản quy phạm pháp luật quy định về các trường hợp xây dựng, ban hành văn bản quy phạm pháp luật theo trình tự, thủ tục rút gọn, trong đó có trường hợp khẩn cấp theo quy định của pháp luật về tình trạng khẩn cấp; trường hợp đột xuất, khẩn cấp trong phòng, chống thiên </w:t>
      </w:r>
      <w:r w:rsidRPr="001473BD">
        <w:rPr>
          <w:szCs w:val="28"/>
          <w:lang w:val="it-IT"/>
        </w:rPr>
        <w:lastRenderedPageBreak/>
        <w:t>tai, dịch bệnh, cháy, nổ; trường hợp cấp bách để giải quyết những vấn đề phát sinh trong thực tiễ</w:t>
      </w:r>
      <w:r>
        <w:rPr>
          <w:szCs w:val="28"/>
          <w:lang w:val="it-IT"/>
        </w:rPr>
        <w:t>n</w:t>
      </w:r>
      <w:r w:rsidRPr="001473BD">
        <w:rPr>
          <w:szCs w:val="28"/>
          <w:lang w:val="it-IT"/>
        </w:rPr>
        <w:t>.</w:t>
      </w:r>
    </w:p>
    <w:p w:rsidR="00771DE2" w:rsidRDefault="00771DE2" w:rsidP="00771DE2">
      <w:pPr>
        <w:jc w:val="both"/>
        <w:rPr>
          <w:szCs w:val="28"/>
          <w:lang w:val="it-IT"/>
        </w:rPr>
      </w:pPr>
      <w:r>
        <w:rPr>
          <w:szCs w:val="28"/>
          <w:lang w:val="it-IT"/>
        </w:rPr>
        <w:tab/>
        <w:t xml:space="preserve">Tại Điều 147 </w:t>
      </w:r>
      <w:r w:rsidRPr="001473BD">
        <w:rPr>
          <w:szCs w:val="28"/>
          <w:lang w:val="it-IT"/>
        </w:rPr>
        <w:t>Luật Ban hành văn bản quy phạm pháp luật quy định</w:t>
      </w:r>
      <w:r>
        <w:rPr>
          <w:szCs w:val="28"/>
          <w:lang w:val="it-IT"/>
        </w:rPr>
        <w:t xml:space="preserve"> UBTVQH</w:t>
      </w:r>
      <w:r w:rsidRPr="00656E96">
        <w:rPr>
          <w:szCs w:val="28"/>
          <w:lang w:val="it-IT"/>
        </w:rPr>
        <w:t xml:space="preserve"> quyết định việc áp dụng trình tự, thủ tục rút gọn trong xây dựng, ban hành pháp lệnh, nghị quyết của </w:t>
      </w:r>
      <w:r>
        <w:rPr>
          <w:szCs w:val="28"/>
          <w:lang w:val="it-IT"/>
        </w:rPr>
        <w:t>UBTVQH</w:t>
      </w:r>
      <w:r w:rsidRPr="00656E96">
        <w:rPr>
          <w:szCs w:val="28"/>
          <w:lang w:val="it-IT"/>
        </w:rPr>
        <w:t>; trình Quốc hội quyết định việc áp dụng trình tự, thủ tục rút gọn trong xây dựng, ban hành luật, nghị quyết của Quốc hội.</w:t>
      </w:r>
    </w:p>
    <w:p w:rsidR="00771DE2" w:rsidRPr="00771DE2" w:rsidRDefault="00771DE2" w:rsidP="00771DE2">
      <w:pPr>
        <w:ind w:firstLine="709"/>
        <w:jc w:val="both"/>
        <w:rPr>
          <w:bCs/>
          <w:szCs w:val="28"/>
          <w:lang w:val="nb-NO"/>
        </w:rPr>
      </w:pPr>
      <w:r>
        <w:rPr>
          <w:bCs/>
          <w:szCs w:val="28"/>
          <w:lang w:val="nb-NO"/>
        </w:rPr>
        <w:t>K</w:t>
      </w:r>
      <w:r w:rsidRPr="006F7E87">
        <w:rPr>
          <w:bCs/>
          <w:szCs w:val="28"/>
          <w:lang w:val="nb-NO"/>
        </w:rPr>
        <w:t xml:space="preserve">hoản 2 Điều 4 Nghị định số 34/2016/NĐ-CP ngày 14/5/2016 của Chính phủ quy định chi tiết một số điều và biện pháp thi hành Luật Ban hành văn bản quy phạm pháp luật </w:t>
      </w:r>
      <w:r>
        <w:rPr>
          <w:bCs/>
          <w:szCs w:val="28"/>
          <w:lang w:val="nb-NO"/>
        </w:rPr>
        <w:t xml:space="preserve">quy định </w:t>
      </w:r>
      <w:r w:rsidRPr="00771DE2">
        <w:rPr>
          <w:bCs/>
          <w:szCs w:val="28"/>
          <w:lang w:val="nb-NO"/>
        </w:rPr>
        <w:t>các trường hợp lập đề nghị xây dựng văn bản quy phạm pháp luật gồm:</w:t>
      </w:r>
    </w:p>
    <w:p w:rsidR="00771DE2" w:rsidRDefault="00771DE2" w:rsidP="00771DE2">
      <w:pPr>
        <w:ind w:firstLine="709"/>
        <w:jc w:val="both"/>
        <w:rPr>
          <w:i/>
          <w:color w:val="000000"/>
          <w:szCs w:val="28"/>
          <w:lang w:val="nl-NL"/>
        </w:rPr>
      </w:pPr>
      <w:r>
        <w:rPr>
          <w:i/>
          <w:color w:val="000000"/>
          <w:szCs w:val="28"/>
          <w:lang w:val="nl-NL"/>
        </w:rPr>
        <w:t>“</w:t>
      </w:r>
      <w:r w:rsidRPr="00F647F4">
        <w:rPr>
          <w:i/>
          <w:color w:val="000000"/>
          <w:szCs w:val="28"/>
          <w:lang w:val="nl-NL"/>
        </w:rPr>
        <w:t>2. Nghị quyết của Quốc hội quy định tại </w:t>
      </w:r>
      <w:bookmarkStart w:id="1" w:name="dc_55"/>
      <w:r w:rsidRPr="00F647F4">
        <w:rPr>
          <w:i/>
          <w:color w:val="000000"/>
          <w:szCs w:val="28"/>
          <w:lang w:val="nl-NL"/>
        </w:rPr>
        <w:t>điểm b và c Khoản 2 Điều 15</w:t>
      </w:r>
      <w:bookmarkEnd w:id="1"/>
      <w:r w:rsidRPr="00F647F4">
        <w:rPr>
          <w:i/>
          <w:color w:val="000000"/>
          <w:szCs w:val="28"/>
          <w:lang w:val="nl-NL"/>
        </w:rPr>
        <w:t> của Luật; nghị quyết của Ủy ban thường vụ Quốc hội quy định tại </w:t>
      </w:r>
      <w:bookmarkStart w:id="2" w:name="dc_56"/>
      <w:r w:rsidRPr="00F647F4">
        <w:rPr>
          <w:i/>
          <w:color w:val="000000"/>
          <w:szCs w:val="28"/>
          <w:lang w:val="nl-NL"/>
        </w:rPr>
        <w:t>điểm b Khoản 2 Điều 16</w:t>
      </w:r>
      <w:bookmarkEnd w:id="2"/>
      <w:r w:rsidRPr="00F647F4">
        <w:rPr>
          <w:i/>
          <w:color w:val="000000"/>
          <w:szCs w:val="28"/>
          <w:lang w:val="nl-NL"/>
        </w:rPr>
        <w:t> của Luật.</w:t>
      </w:r>
      <w:r>
        <w:rPr>
          <w:i/>
          <w:color w:val="000000"/>
          <w:szCs w:val="28"/>
          <w:lang w:val="nl-NL"/>
        </w:rPr>
        <w:t>”.</w:t>
      </w:r>
    </w:p>
    <w:p w:rsidR="00771DE2" w:rsidRDefault="00771DE2" w:rsidP="00771DE2">
      <w:pPr>
        <w:jc w:val="both"/>
        <w:rPr>
          <w:rFonts w:eastAsia="Arial"/>
          <w:bCs/>
          <w:szCs w:val="28"/>
          <w:lang w:val="nl-NL"/>
        </w:rPr>
      </w:pPr>
      <w:r>
        <w:rPr>
          <w:szCs w:val="28"/>
          <w:lang w:val="nl-NL"/>
        </w:rPr>
        <w:tab/>
      </w:r>
      <w:r w:rsidRPr="00B82FA3">
        <w:rPr>
          <w:szCs w:val="28"/>
          <w:lang w:val="nl-NL"/>
        </w:rPr>
        <w:t xml:space="preserve">Căn cứ quy định tại Điều 146 Luật </w:t>
      </w:r>
      <w:r>
        <w:rPr>
          <w:szCs w:val="28"/>
          <w:lang w:val="nl-NL"/>
        </w:rPr>
        <w:t>Ban hành văn bản quy phạm pháp luật</w:t>
      </w:r>
      <w:r w:rsidRPr="00B82FA3">
        <w:rPr>
          <w:szCs w:val="28"/>
          <w:lang w:val="nl-NL"/>
        </w:rPr>
        <w:t xml:space="preserve"> về các trường hợp xây dựng, ban hành văn bản quy phạm pháp luật theo trình tự, thủ tục rút gọn, </w:t>
      </w:r>
      <w:r>
        <w:rPr>
          <w:szCs w:val="28"/>
          <w:lang w:val="nl-NL"/>
        </w:rPr>
        <w:t xml:space="preserve">Bộ Tài chính trình Chính phủ báo cáo Ủy ban Thường vụ Quốc hội </w:t>
      </w:r>
      <w:r w:rsidRPr="00F13637">
        <w:rPr>
          <w:bCs/>
        </w:rPr>
        <w:t xml:space="preserve">bổ sung Nghị quyết về việc áp dụng thuế thu nhập doanh nghiệp bổ sung theo quy định chống xói mòn cơ sở thuế toàn cầu vào Chương trình xây dựng Luật, pháp lệnh năm 2023 và </w:t>
      </w:r>
      <w:r>
        <w:rPr>
          <w:bCs/>
          <w:lang w:val="en-US"/>
        </w:rPr>
        <w:t xml:space="preserve">cho phép </w:t>
      </w:r>
      <w:r w:rsidRPr="00F13637">
        <w:rPr>
          <w:bCs/>
        </w:rPr>
        <w:t>xây dựng dự thảo Nghị quyết theo trình tự, thủ tục rút gọn</w:t>
      </w:r>
      <w:r>
        <w:rPr>
          <w:bCs/>
          <w:lang w:val="en-US"/>
        </w:rPr>
        <w:t>,</w:t>
      </w:r>
      <w:r w:rsidRPr="00F13637">
        <w:rPr>
          <w:bCs/>
        </w:rPr>
        <w:t xml:space="preserve"> trình Quốc hộ</w:t>
      </w:r>
      <w:r>
        <w:rPr>
          <w:bCs/>
        </w:rPr>
        <w:t xml:space="preserve">i thông qua theo quy trình </w:t>
      </w:r>
      <w:r>
        <w:rPr>
          <w:bCs/>
          <w:lang w:val="en-US"/>
        </w:rPr>
        <w:t xml:space="preserve">một </w:t>
      </w:r>
      <w:r w:rsidRPr="00F13637">
        <w:rPr>
          <w:bCs/>
        </w:rPr>
        <w:t>kỳ họp</w:t>
      </w:r>
      <w:r>
        <w:rPr>
          <w:bCs/>
          <w:lang w:val="en-US"/>
        </w:rPr>
        <w:t xml:space="preserve"> Quốc hội</w:t>
      </w:r>
      <w:r w:rsidRPr="00F13637">
        <w:rPr>
          <w:bCs/>
        </w:rPr>
        <w:t xml:space="preserve"> </w:t>
      </w:r>
      <w:r>
        <w:rPr>
          <w:bCs/>
          <w:lang w:val="en-US"/>
        </w:rPr>
        <w:t xml:space="preserve">(Kỳ họp </w:t>
      </w:r>
      <w:r w:rsidRPr="00F13637">
        <w:rPr>
          <w:bCs/>
        </w:rPr>
        <w:t>thứ 6 Quốc hội khóa XV</w:t>
      </w:r>
      <w:r>
        <w:rPr>
          <w:bCs/>
          <w:lang w:val="en-US"/>
        </w:rPr>
        <w:t>)</w:t>
      </w:r>
      <w:r w:rsidRPr="00F13637">
        <w:rPr>
          <w:rFonts w:eastAsia="Arial"/>
          <w:bCs/>
          <w:szCs w:val="28"/>
          <w:lang w:val="nl-NL"/>
        </w:rPr>
        <w:t>.</w:t>
      </w:r>
    </w:p>
    <w:p w:rsidR="00771DE2" w:rsidRDefault="00771DE2" w:rsidP="00771DE2">
      <w:pPr>
        <w:jc w:val="both"/>
        <w:rPr>
          <w:rFonts w:eastAsia="Arial"/>
          <w:bCs/>
          <w:szCs w:val="28"/>
          <w:lang w:val="nl-NL"/>
        </w:rPr>
      </w:pPr>
      <w:r>
        <w:rPr>
          <w:rFonts w:eastAsia="Arial"/>
          <w:bCs/>
          <w:szCs w:val="28"/>
          <w:lang w:val="nl-NL"/>
        </w:rPr>
        <w:tab/>
        <w:t>Dự án Nghị quyết được gửi lấy ý kiến Bộ, ngành, địa phương, cộng đồng doanh nghiệp; đồng thời lấy ý kiến rộng rãi của các tổ chức, cá nhân thông qua Cổng thông tin điện tử Chính phủ và Cổng thông tin điện tử Bộ Tài chính. Bộ Tài chính đã tổng hợp, tiếp thu, giải trình ý kiến tham gia và hoàn thiện dự án Nghị quyết (báo cáo tổng hợp tiếp thu, giải trình ý kiến góp ý về dự án Nghị quyết trình kèm).</w:t>
      </w:r>
    </w:p>
    <w:p w:rsidR="00771DE2" w:rsidRDefault="00771DE2" w:rsidP="00771DE2">
      <w:pPr>
        <w:jc w:val="both"/>
        <w:rPr>
          <w:szCs w:val="28"/>
          <w:lang w:val="nl-NL"/>
        </w:rPr>
      </w:pPr>
      <w:r>
        <w:rPr>
          <w:rFonts w:eastAsia="Arial"/>
          <w:bCs/>
          <w:szCs w:val="28"/>
          <w:lang w:val="nl-NL"/>
        </w:rPr>
        <w:tab/>
        <w:t>Bộ Tư pháp đã có báo cáo thẩm định về dự án Nghị quyết. Bộ Tài chính đã nghiên cứu, giải trình, tiếp thu ý kiến thẩm định của Bộ Tư pháp (báo cáo tiếp thu, giải trình ý kiến thẩm định của Bộ Tư pháp trình kèm).</w:t>
      </w:r>
    </w:p>
    <w:p w:rsidR="0032526C" w:rsidRPr="001E61BC" w:rsidRDefault="004B41B9" w:rsidP="001E61BC">
      <w:pPr>
        <w:jc w:val="both"/>
        <w:rPr>
          <w:rFonts w:eastAsia="Times New Roman" w:cs="Times New Roman"/>
          <w:szCs w:val="28"/>
        </w:rPr>
      </w:pPr>
      <w:r w:rsidRPr="001E61BC">
        <w:rPr>
          <w:rFonts w:eastAsia="Arial" w:cs="Times New Roman"/>
          <w:szCs w:val="28"/>
          <w:lang w:val="nl-NL"/>
        </w:rPr>
        <w:tab/>
      </w:r>
      <w:r w:rsidR="0032526C" w:rsidRPr="001E61BC">
        <w:rPr>
          <w:rFonts w:eastAsia="Times New Roman" w:cs="Times New Roman"/>
          <w:szCs w:val="28"/>
        </w:rPr>
        <w:t xml:space="preserve">Bộ Tài chính trình Chính phủ dự kiến tiến độ của dự án </w:t>
      </w:r>
      <w:r w:rsidR="003444F5">
        <w:rPr>
          <w:rFonts w:eastAsia="Times New Roman" w:cs="Times New Roman"/>
          <w:szCs w:val="28"/>
          <w:lang w:val="en-US"/>
        </w:rPr>
        <w:t xml:space="preserve">xây dựng </w:t>
      </w:r>
      <w:r w:rsidR="003B71B1">
        <w:rPr>
          <w:rFonts w:eastAsia="Times New Roman" w:cs="Times New Roman"/>
          <w:szCs w:val="28"/>
          <w:lang w:val="en-US"/>
        </w:rPr>
        <w:t>Nghị quyết</w:t>
      </w:r>
      <w:r w:rsidR="003B71B1" w:rsidRPr="001E61BC">
        <w:rPr>
          <w:rFonts w:cs="Times New Roman"/>
          <w:szCs w:val="28"/>
          <w:lang w:val="af-ZA"/>
        </w:rPr>
        <w:t xml:space="preserve"> </w:t>
      </w:r>
      <w:r w:rsidR="003444F5" w:rsidRPr="001E61BC">
        <w:rPr>
          <w:rFonts w:cs="Times New Roman"/>
          <w:szCs w:val="28"/>
          <w:lang w:val="af-ZA"/>
        </w:rPr>
        <w:t xml:space="preserve">của Quốc hội </w:t>
      </w:r>
      <w:r w:rsidR="00546092" w:rsidRPr="001E61BC">
        <w:rPr>
          <w:rFonts w:cs="Times New Roman"/>
          <w:szCs w:val="28"/>
          <w:lang w:val="nl-NL"/>
        </w:rPr>
        <w:t xml:space="preserve">về việc áp dụng thuế thu nhập doanh nghiệp bổ sung theo quy định chống xói mòn cơ sở thuế toàn cầu </w:t>
      </w:r>
      <w:r w:rsidR="0032526C" w:rsidRPr="001E61BC">
        <w:rPr>
          <w:rFonts w:eastAsia="Times New Roman" w:cs="Times New Roman"/>
          <w:szCs w:val="28"/>
        </w:rPr>
        <w:t>như sau: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t xml:space="preserve">- Chính phủ lập đề nghị </w:t>
      </w:r>
      <w:r w:rsidR="000B145F" w:rsidRPr="001E61BC">
        <w:rPr>
          <w:rFonts w:cs="Times New Roman"/>
          <w:szCs w:val="28"/>
        </w:rPr>
        <w:t xml:space="preserve">xây dựng </w:t>
      </w:r>
      <w:r w:rsidR="00A40178">
        <w:rPr>
          <w:rFonts w:eastAsia="Times New Roman" w:cs="Times New Roman"/>
          <w:szCs w:val="28"/>
          <w:lang w:val="en-US"/>
        </w:rPr>
        <w:t>Nghị quyết</w:t>
      </w:r>
      <w:r w:rsidR="00A40178" w:rsidRPr="001E61BC">
        <w:rPr>
          <w:rFonts w:cs="Times New Roman"/>
          <w:szCs w:val="28"/>
        </w:rPr>
        <w:t xml:space="preserve"> </w:t>
      </w:r>
      <w:r w:rsidR="000B145F" w:rsidRPr="001E61BC">
        <w:rPr>
          <w:rFonts w:cs="Times New Roman"/>
          <w:szCs w:val="28"/>
        </w:rPr>
        <w:t>của Quốc hội về việc áp dụng thuế thu nhập doanh nghiệp bổ sung theo quy định chống xói mòn cơ sở thuế toàn cầu</w:t>
      </w:r>
      <w:r w:rsidRPr="001E61BC">
        <w:rPr>
          <w:rFonts w:eastAsia="Times New Roman" w:cs="Times New Roman"/>
          <w:szCs w:val="28"/>
        </w:rPr>
        <w:t xml:space="preserve">, </w:t>
      </w:r>
      <w:r w:rsidR="00973022" w:rsidRPr="001E61BC">
        <w:rPr>
          <w:rFonts w:eastAsia="Times New Roman" w:cs="Times New Roman"/>
          <w:szCs w:val="28"/>
        </w:rPr>
        <w:t>trình</w:t>
      </w:r>
      <w:r w:rsidRPr="001E61BC">
        <w:rPr>
          <w:rFonts w:eastAsia="Times New Roman" w:cs="Times New Roman"/>
          <w:szCs w:val="28"/>
        </w:rPr>
        <w:t xml:space="preserve"> UBTVQH để bổ sung vào Chương trìn</w:t>
      </w:r>
      <w:r w:rsidR="00973022" w:rsidRPr="001E61BC">
        <w:rPr>
          <w:rFonts w:eastAsia="Times New Roman" w:cs="Times New Roman"/>
          <w:szCs w:val="28"/>
        </w:rPr>
        <w:t>h xây dựng Luật, pháp lệnh năm </w:t>
      </w:r>
      <w:r w:rsidRPr="001E61BC">
        <w:rPr>
          <w:rFonts w:eastAsia="Times New Roman" w:cs="Times New Roman"/>
          <w:szCs w:val="28"/>
        </w:rPr>
        <w:t>2023</w:t>
      </w:r>
      <w:r w:rsidR="004B41B9" w:rsidRPr="001E61BC">
        <w:rPr>
          <w:rFonts w:eastAsia="Times New Roman" w:cs="Times New Roman"/>
          <w:szCs w:val="28"/>
        </w:rPr>
        <w:t xml:space="preserve"> </w:t>
      </w:r>
      <w:r w:rsidR="00017FDD">
        <w:rPr>
          <w:rFonts w:eastAsia="Times New Roman" w:cs="Times New Roman"/>
          <w:szCs w:val="28"/>
          <w:lang w:val="en-US"/>
        </w:rPr>
        <w:t>vào kỳ họp tháng tới</w:t>
      </w:r>
      <w:r w:rsidR="004B41B9" w:rsidRPr="001E61BC">
        <w:rPr>
          <w:rFonts w:eastAsia="Times New Roman" w:cs="Times New Roman"/>
          <w:szCs w:val="28"/>
        </w:rPr>
        <w:t>.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t xml:space="preserve">- Chính phủ trình Quốc hội thông qua </w:t>
      </w:r>
      <w:r w:rsidR="00A40178">
        <w:rPr>
          <w:rFonts w:eastAsia="Times New Roman" w:cs="Times New Roman"/>
          <w:szCs w:val="28"/>
          <w:lang w:val="en-US"/>
        </w:rPr>
        <w:t>Nghị quyết</w:t>
      </w:r>
      <w:r w:rsidR="00A40178" w:rsidRPr="001E61BC">
        <w:rPr>
          <w:rFonts w:cs="Times New Roman"/>
          <w:szCs w:val="28"/>
        </w:rPr>
        <w:t xml:space="preserve"> </w:t>
      </w:r>
      <w:r w:rsidR="005D029B" w:rsidRPr="001E61BC">
        <w:rPr>
          <w:rFonts w:cs="Times New Roman"/>
          <w:szCs w:val="28"/>
        </w:rPr>
        <w:t>của Quốc hội về việc áp dụng thuế thu nhập doanh nghiệp bổ sung theo quy định chống xói mòn cơ sở thuế toàn cầu</w:t>
      </w:r>
      <w:r w:rsidR="005D029B" w:rsidRPr="001E61BC">
        <w:rPr>
          <w:rFonts w:eastAsia="Times New Roman" w:cs="Times New Roman"/>
          <w:szCs w:val="28"/>
        </w:rPr>
        <w:t xml:space="preserve"> </w:t>
      </w:r>
      <w:r w:rsidR="008143AB">
        <w:rPr>
          <w:rFonts w:eastAsia="Times New Roman" w:cs="Times New Roman"/>
          <w:szCs w:val="28"/>
        </w:rPr>
        <w:t>tại </w:t>
      </w:r>
      <w:r w:rsidRPr="001E61BC">
        <w:rPr>
          <w:rFonts w:eastAsia="Times New Roman" w:cs="Times New Roman"/>
          <w:szCs w:val="28"/>
        </w:rPr>
        <w:t xml:space="preserve">kỳ họp thứ </w:t>
      </w:r>
      <w:r w:rsidR="000B145F" w:rsidRPr="001E61BC">
        <w:rPr>
          <w:rFonts w:eastAsia="Times New Roman" w:cs="Times New Roman"/>
          <w:szCs w:val="28"/>
          <w:lang w:val="en-US"/>
        </w:rPr>
        <w:t>6</w:t>
      </w:r>
      <w:r w:rsidRPr="001E61BC">
        <w:rPr>
          <w:rFonts w:eastAsia="Times New Roman" w:cs="Times New Roman"/>
          <w:szCs w:val="28"/>
        </w:rPr>
        <w:t xml:space="preserve"> Quốc hội khóa XV (tháng 10/202</w:t>
      </w:r>
      <w:r w:rsidR="000B145F" w:rsidRPr="001E61BC">
        <w:rPr>
          <w:rFonts w:eastAsia="Times New Roman" w:cs="Times New Roman"/>
          <w:szCs w:val="28"/>
          <w:lang w:val="en-US"/>
        </w:rPr>
        <w:t>3</w:t>
      </w:r>
      <w:r w:rsidRPr="001E61BC">
        <w:rPr>
          <w:rFonts w:eastAsia="Times New Roman" w:cs="Times New Roman"/>
          <w:szCs w:val="28"/>
        </w:rPr>
        <w:t>). </w:t>
      </w:r>
    </w:p>
    <w:p w:rsidR="0032526C" w:rsidRPr="001E61BC" w:rsidRDefault="0032526C" w:rsidP="001E61BC">
      <w:pPr>
        <w:ind w:right="-1" w:firstLine="720"/>
        <w:jc w:val="both"/>
        <w:rPr>
          <w:rFonts w:eastAsia="Times New Roman" w:cs="Times New Roman"/>
          <w:szCs w:val="28"/>
        </w:rPr>
      </w:pPr>
      <w:r w:rsidRPr="001E61BC">
        <w:rPr>
          <w:rFonts w:eastAsia="Times New Roman" w:cs="Times New Roman"/>
          <w:szCs w:val="28"/>
        </w:rPr>
        <w:lastRenderedPageBreak/>
        <w:t xml:space="preserve">Trên đây là nội dung đề nghị xây dựng dự án </w:t>
      </w:r>
      <w:r w:rsidR="00A459B8">
        <w:rPr>
          <w:rFonts w:eastAsia="Times New Roman" w:cs="Times New Roman"/>
          <w:szCs w:val="28"/>
          <w:lang w:val="en-US"/>
        </w:rPr>
        <w:t>Nghị quyết</w:t>
      </w:r>
      <w:r w:rsidR="00A459B8" w:rsidRPr="001E61BC">
        <w:rPr>
          <w:rFonts w:cs="Times New Roman"/>
          <w:szCs w:val="28"/>
          <w:lang w:val="af-ZA"/>
        </w:rPr>
        <w:t xml:space="preserve"> </w:t>
      </w:r>
      <w:r w:rsidR="003444F5" w:rsidRPr="001E61BC">
        <w:rPr>
          <w:rFonts w:cs="Times New Roman"/>
          <w:szCs w:val="28"/>
          <w:lang w:val="af-ZA"/>
        </w:rPr>
        <w:t xml:space="preserve">của Quốc hội </w:t>
      </w:r>
      <w:r w:rsidR="000E4945" w:rsidRPr="001E61BC">
        <w:rPr>
          <w:rFonts w:cs="Times New Roman"/>
          <w:szCs w:val="28"/>
        </w:rPr>
        <w:t>về việc áp dụng thuế thu nhập doanh nghiệp bổ sung theo quy định chống xói mòn cơ sở thuế toàn cầu</w:t>
      </w:r>
      <w:r w:rsidR="00807027">
        <w:rPr>
          <w:rFonts w:eastAsia="Times New Roman" w:cs="Times New Roman"/>
          <w:szCs w:val="28"/>
        </w:rPr>
        <w:t>. </w:t>
      </w:r>
      <w:r w:rsidRPr="001E61BC">
        <w:rPr>
          <w:rFonts w:eastAsia="Times New Roman" w:cs="Times New Roman"/>
          <w:szCs w:val="28"/>
        </w:rPr>
        <w:t>Bộ Tài chính kính trình Chính phủ xem xét, quyết định./. </w:t>
      </w:r>
    </w:p>
    <w:p w:rsidR="00232766" w:rsidRDefault="0032526C" w:rsidP="004B41B9">
      <w:pPr>
        <w:ind w:firstLine="720"/>
        <w:jc w:val="both"/>
        <w:rPr>
          <w:rFonts w:eastAsia="Times New Roman" w:cs="Times New Roman"/>
          <w:i/>
          <w:szCs w:val="28"/>
        </w:rPr>
      </w:pPr>
      <w:r w:rsidRPr="001E61BC">
        <w:rPr>
          <w:rFonts w:eastAsia="Times New Roman" w:cs="Times New Roman"/>
          <w:i/>
          <w:szCs w:val="28"/>
        </w:rPr>
        <w:t xml:space="preserve">(Trình kèm: Đề cương dự </w:t>
      </w:r>
      <w:r w:rsidRPr="00A459B8">
        <w:rPr>
          <w:rFonts w:eastAsia="Times New Roman" w:cs="Times New Roman"/>
          <w:i/>
          <w:szCs w:val="28"/>
        </w:rPr>
        <w:t xml:space="preserve">thảo </w:t>
      </w:r>
      <w:r w:rsidR="00A459B8" w:rsidRPr="00A459B8">
        <w:rPr>
          <w:rFonts w:eastAsia="Times New Roman" w:cs="Times New Roman"/>
          <w:i/>
          <w:szCs w:val="28"/>
          <w:lang w:val="en-US"/>
        </w:rPr>
        <w:t xml:space="preserve">Nghị quyết </w:t>
      </w:r>
      <w:r w:rsidR="00546092" w:rsidRPr="00A459B8">
        <w:rPr>
          <w:rFonts w:eastAsia="Times New Roman" w:cs="Times New Roman"/>
          <w:i/>
          <w:szCs w:val="28"/>
          <w:lang w:val="en-US"/>
        </w:rPr>
        <w:t>của</w:t>
      </w:r>
      <w:r w:rsidR="00546092" w:rsidRPr="001E61BC">
        <w:rPr>
          <w:rFonts w:eastAsia="Times New Roman" w:cs="Times New Roman"/>
          <w:i/>
          <w:szCs w:val="28"/>
          <w:lang w:val="en-US"/>
        </w:rPr>
        <w:t xml:space="preserve"> Quốc hội</w:t>
      </w:r>
      <w:r w:rsidR="00546092" w:rsidRPr="001E61BC">
        <w:rPr>
          <w:rFonts w:eastAsia="Times New Roman" w:cs="Times New Roman"/>
          <w:i/>
          <w:szCs w:val="28"/>
        </w:rPr>
        <w:t xml:space="preserve">; </w:t>
      </w:r>
      <w:r w:rsidR="00546092" w:rsidRPr="001E61BC">
        <w:rPr>
          <w:rFonts w:eastAsia="Times New Roman" w:cs="Times New Roman"/>
          <w:i/>
          <w:szCs w:val="28"/>
          <w:lang w:val="en-US"/>
        </w:rPr>
        <w:t>Đề án áp dụng Thuế tối thiểu toàn cầu tại Việt Nam</w:t>
      </w:r>
      <w:r w:rsidRPr="001E61BC">
        <w:rPr>
          <w:rFonts w:eastAsia="Times New Roman" w:cs="Times New Roman"/>
          <w:i/>
          <w:szCs w:val="28"/>
        </w:rPr>
        <w:t>; Báo cáo đánh giá tác động).</w:t>
      </w:r>
    </w:p>
    <w:p w:rsidR="00FF0924" w:rsidRPr="001E61BC" w:rsidRDefault="00FF0924" w:rsidP="004B41B9">
      <w:pPr>
        <w:ind w:firstLine="720"/>
        <w:jc w:val="both"/>
        <w:rPr>
          <w:rFonts w:eastAsia="Times New Roman" w:cs="Times New Roman"/>
          <w:i/>
          <w:szCs w:val="28"/>
        </w:rPr>
      </w:pPr>
    </w:p>
    <w:tbl>
      <w:tblPr>
        <w:tblW w:w="9840" w:type="dxa"/>
        <w:tblInd w:w="108" w:type="dxa"/>
        <w:tblLook w:val="0000" w:firstRow="0" w:lastRow="0" w:firstColumn="0" w:lastColumn="0" w:noHBand="0" w:noVBand="0"/>
      </w:tblPr>
      <w:tblGrid>
        <w:gridCol w:w="4605"/>
        <w:gridCol w:w="5235"/>
      </w:tblGrid>
      <w:tr w:rsidR="00232766" w:rsidRPr="004F1E92" w:rsidTr="00547DCA">
        <w:trPr>
          <w:trHeight w:val="1259"/>
        </w:trPr>
        <w:tc>
          <w:tcPr>
            <w:tcW w:w="4605" w:type="dxa"/>
          </w:tcPr>
          <w:p w:rsidR="00232766" w:rsidRPr="001E61BC" w:rsidRDefault="00232766" w:rsidP="00547DCA">
            <w:pPr>
              <w:spacing w:before="0" w:after="0"/>
              <w:jc w:val="both"/>
              <w:rPr>
                <w:rFonts w:eastAsia="Times New Roman" w:cs="Times New Roman"/>
                <w:b/>
                <w:i/>
                <w:sz w:val="24"/>
                <w:szCs w:val="24"/>
                <w:lang w:val="it-IT"/>
              </w:rPr>
            </w:pPr>
            <w:r w:rsidRPr="001E61BC">
              <w:rPr>
                <w:rFonts w:eastAsia="Times New Roman" w:cs="Times New Roman"/>
                <w:b/>
                <w:i/>
                <w:sz w:val="24"/>
                <w:szCs w:val="24"/>
                <w:lang w:val="it-IT"/>
              </w:rPr>
              <w:t>Nơi nhận:</w:t>
            </w:r>
          </w:p>
          <w:p w:rsidR="00232766" w:rsidRPr="001E61BC" w:rsidRDefault="00232766" w:rsidP="00547DCA">
            <w:pPr>
              <w:spacing w:before="0" w:after="0"/>
              <w:jc w:val="both"/>
              <w:rPr>
                <w:rFonts w:eastAsia="Times New Roman" w:cs="Times New Roman"/>
                <w:bCs/>
                <w:sz w:val="22"/>
                <w:szCs w:val="28"/>
                <w:lang w:val="it-IT"/>
              </w:rPr>
            </w:pPr>
            <w:r w:rsidRPr="001E61BC">
              <w:rPr>
                <w:rFonts w:eastAsia="Times New Roman" w:cs="Times New Roman"/>
                <w:bCs/>
                <w:sz w:val="22"/>
                <w:szCs w:val="28"/>
                <w:lang w:val="it-IT"/>
              </w:rPr>
              <w:t>- Như trên;</w:t>
            </w:r>
          </w:p>
          <w:p w:rsidR="00232766" w:rsidRPr="001E61BC" w:rsidRDefault="00232766" w:rsidP="00547DCA">
            <w:pPr>
              <w:spacing w:before="0" w:after="0"/>
              <w:jc w:val="both"/>
              <w:rPr>
                <w:rFonts w:eastAsia="Times New Roman" w:cs="Times New Roman"/>
                <w:bCs/>
                <w:sz w:val="22"/>
                <w:szCs w:val="28"/>
                <w:lang w:val="it-IT"/>
              </w:rPr>
            </w:pPr>
            <w:r w:rsidRPr="001E61BC">
              <w:rPr>
                <w:rFonts w:eastAsia="Times New Roman" w:cs="Times New Roman"/>
                <w:bCs/>
                <w:sz w:val="22"/>
                <w:szCs w:val="28"/>
                <w:lang w:val="it-IT"/>
              </w:rPr>
              <w:t>- Thủ tướng Chính phủ, Phó Thủ tướng Lê Minh Khái (để báo cáo);</w:t>
            </w:r>
          </w:p>
          <w:p w:rsidR="00232766" w:rsidRPr="001E61BC" w:rsidRDefault="00232766" w:rsidP="00547DCA">
            <w:pPr>
              <w:spacing w:before="0" w:after="0"/>
              <w:jc w:val="both"/>
              <w:rPr>
                <w:rFonts w:eastAsia="Times New Roman" w:cs="Times New Roman"/>
                <w:bCs/>
                <w:sz w:val="22"/>
                <w:szCs w:val="28"/>
                <w:lang w:val="it-IT"/>
              </w:rPr>
            </w:pPr>
            <w:r w:rsidRPr="001E61BC">
              <w:rPr>
                <w:rFonts w:eastAsia="Times New Roman" w:cs="Times New Roman"/>
                <w:bCs/>
                <w:sz w:val="22"/>
                <w:szCs w:val="28"/>
                <w:lang w:val="it-IT"/>
              </w:rPr>
              <w:t>- Văn phòng Chính phủ (để phối hợp);</w:t>
            </w:r>
          </w:p>
          <w:p w:rsidR="0032526C" w:rsidRPr="001E61BC" w:rsidRDefault="0032526C" w:rsidP="00547DCA">
            <w:pPr>
              <w:spacing w:before="0" w:after="0"/>
              <w:jc w:val="both"/>
              <w:rPr>
                <w:rFonts w:eastAsia="Times New Roman" w:cs="Times New Roman"/>
                <w:bCs/>
                <w:sz w:val="22"/>
                <w:szCs w:val="28"/>
                <w:lang w:val="it-IT"/>
              </w:rPr>
            </w:pPr>
            <w:r w:rsidRPr="001E61BC">
              <w:rPr>
                <w:rFonts w:eastAsia="Times New Roman" w:cs="Times New Roman"/>
                <w:bCs/>
                <w:sz w:val="22"/>
                <w:szCs w:val="28"/>
                <w:lang w:val="it-IT"/>
              </w:rPr>
              <w:t>- Bộ Tư pháp;</w:t>
            </w:r>
          </w:p>
          <w:p w:rsidR="00232766" w:rsidRPr="001E61BC" w:rsidRDefault="00232766" w:rsidP="00547DCA">
            <w:pPr>
              <w:spacing w:before="0" w:after="0"/>
              <w:jc w:val="both"/>
              <w:rPr>
                <w:rFonts w:eastAsia="Times New Roman" w:cs="Times New Roman"/>
                <w:bCs/>
                <w:sz w:val="22"/>
                <w:szCs w:val="28"/>
                <w:lang w:val="it-IT"/>
              </w:rPr>
            </w:pPr>
            <w:r w:rsidRPr="001E61BC">
              <w:rPr>
                <w:rFonts w:eastAsia="Times New Roman" w:cs="Times New Roman"/>
                <w:bCs/>
                <w:sz w:val="22"/>
                <w:szCs w:val="28"/>
                <w:lang w:val="it-IT"/>
              </w:rPr>
              <w:t xml:space="preserve">- Các đơn vị: </w:t>
            </w:r>
            <w:r w:rsidR="00D965EE" w:rsidRPr="001E61BC">
              <w:rPr>
                <w:rFonts w:eastAsia="Times New Roman" w:cs="Times New Roman"/>
                <w:bCs/>
                <w:sz w:val="22"/>
                <w:szCs w:val="28"/>
                <w:lang w:val="it-IT"/>
              </w:rPr>
              <w:t>CST</w:t>
            </w:r>
            <w:r w:rsidRPr="001E61BC">
              <w:rPr>
                <w:rFonts w:eastAsia="Times New Roman" w:cs="Times New Roman"/>
                <w:bCs/>
                <w:sz w:val="22"/>
                <w:szCs w:val="28"/>
                <w:lang w:val="it-IT"/>
              </w:rPr>
              <w:t>, PC;</w:t>
            </w:r>
          </w:p>
          <w:p w:rsidR="00232766" w:rsidRPr="001E61BC" w:rsidRDefault="00232766" w:rsidP="00D965EE">
            <w:pPr>
              <w:spacing w:before="0" w:after="0"/>
              <w:jc w:val="both"/>
              <w:rPr>
                <w:rFonts w:eastAsia="Times New Roman" w:cs="Times New Roman"/>
                <w:b/>
                <w:i/>
                <w:sz w:val="23"/>
                <w:szCs w:val="23"/>
                <w:lang w:val="it-IT"/>
              </w:rPr>
            </w:pPr>
            <w:r w:rsidRPr="001E61BC">
              <w:rPr>
                <w:rFonts w:eastAsia="Times New Roman" w:cs="Times New Roman"/>
                <w:bCs/>
                <w:sz w:val="22"/>
                <w:szCs w:val="28"/>
                <w:lang w:val="it-IT"/>
              </w:rPr>
              <w:t xml:space="preserve">- Lưu: VT, </w:t>
            </w:r>
            <w:r w:rsidR="00D965EE" w:rsidRPr="001E61BC">
              <w:rPr>
                <w:rFonts w:eastAsia="Times New Roman" w:cs="Times New Roman"/>
                <w:bCs/>
                <w:sz w:val="22"/>
                <w:szCs w:val="28"/>
                <w:lang w:val="it-IT"/>
              </w:rPr>
              <w:t xml:space="preserve">TCT </w:t>
            </w:r>
            <w:r w:rsidRPr="001E61BC">
              <w:rPr>
                <w:rFonts w:eastAsia="Times New Roman" w:cs="Times New Roman"/>
                <w:bCs/>
                <w:sz w:val="22"/>
                <w:szCs w:val="28"/>
                <w:lang w:val="it-IT"/>
              </w:rPr>
              <w:t>(</w:t>
            </w:r>
            <w:r w:rsidR="00D965EE" w:rsidRPr="001E61BC">
              <w:rPr>
                <w:rFonts w:eastAsia="Times New Roman" w:cs="Times New Roman"/>
                <w:bCs/>
                <w:sz w:val="22"/>
                <w:szCs w:val="28"/>
                <w:lang w:val="it-IT"/>
              </w:rPr>
              <w:t>VT, CS</w:t>
            </w:r>
            <w:r w:rsidRPr="001E61BC">
              <w:rPr>
                <w:rFonts w:eastAsia="Times New Roman" w:cs="Times New Roman"/>
                <w:bCs/>
                <w:sz w:val="22"/>
                <w:szCs w:val="28"/>
                <w:lang w:val="it-IT"/>
              </w:rPr>
              <w:t>).</w:t>
            </w:r>
          </w:p>
        </w:tc>
        <w:tc>
          <w:tcPr>
            <w:tcW w:w="5235" w:type="dxa"/>
          </w:tcPr>
          <w:p w:rsidR="00232766" w:rsidRPr="001E61BC" w:rsidRDefault="00232766" w:rsidP="00547DCA">
            <w:pPr>
              <w:spacing w:before="0" w:after="0"/>
              <w:jc w:val="center"/>
              <w:rPr>
                <w:rFonts w:eastAsia="Times New Roman" w:cs="Times New Roman"/>
                <w:b/>
                <w:bCs/>
                <w:sz w:val="26"/>
                <w:szCs w:val="26"/>
                <w:lang w:val="it-IT"/>
              </w:rPr>
            </w:pPr>
            <w:r w:rsidRPr="001E61BC">
              <w:rPr>
                <w:rFonts w:eastAsia="Times New Roman" w:cs="Times New Roman"/>
                <w:b/>
                <w:bCs/>
                <w:sz w:val="26"/>
                <w:szCs w:val="26"/>
                <w:lang w:val="it-IT"/>
              </w:rPr>
              <w:t>BỘ TRƯỞNG</w:t>
            </w:r>
          </w:p>
          <w:p w:rsidR="00232766" w:rsidRPr="001E61BC" w:rsidRDefault="00232766" w:rsidP="00547DCA">
            <w:pPr>
              <w:spacing w:before="0" w:after="0"/>
              <w:jc w:val="center"/>
              <w:rPr>
                <w:rFonts w:eastAsia="Times New Roman" w:cs="Times New Roman"/>
                <w:b/>
                <w:bCs/>
                <w:sz w:val="26"/>
                <w:szCs w:val="26"/>
                <w:lang w:val="it-IT"/>
              </w:rPr>
            </w:pPr>
          </w:p>
          <w:p w:rsidR="00232766" w:rsidRPr="001E61BC" w:rsidRDefault="00232766" w:rsidP="00547DCA">
            <w:pPr>
              <w:spacing w:before="0" w:after="0"/>
              <w:jc w:val="center"/>
              <w:rPr>
                <w:rFonts w:eastAsia="Times New Roman" w:cs="Times New Roman"/>
                <w:b/>
                <w:sz w:val="26"/>
                <w:szCs w:val="26"/>
                <w:lang w:val="it-IT"/>
              </w:rPr>
            </w:pPr>
          </w:p>
          <w:p w:rsidR="00232766" w:rsidRPr="001E61BC" w:rsidRDefault="00232766" w:rsidP="00547DCA">
            <w:pPr>
              <w:spacing w:before="0" w:after="0"/>
              <w:rPr>
                <w:rFonts w:eastAsia="Times New Roman" w:cs="Times New Roman"/>
                <w:sz w:val="26"/>
                <w:szCs w:val="26"/>
                <w:lang w:val="it-IT"/>
              </w:rPr>
            </w:pPr>
          </w:p>
          <w:p w:rsidR="00232766" w:rsidRPr="001E61BC" w:rsidRDefault="00232766" w:rsidP="00547DCA">
            <w:pPr>
              <w:spacing w:before="0" w:after="0"/>
              <w:rPr>
                <w:rFonts w:eastAsia="Times New Roman" w:cs="Times New Roman"/>
                <w:sz w:val="26"/>
                <w:szCs w:val="26"/>
                <w:lang w:val="it-IT"/>
              </w:rPr>
            </w:pPr>
          </w:p>
          <w:p w:rsidR="00232766" w:rsidRPr="001E61BC" w:rsidRDefault="00232766" w:rsidP="00547DCA">
            <w:pPr>
              <w:spacing w:before="0" w:after="0"/>
              <w:jc w:val="center"/>
              <w:rPr>
                <w:rFonts w:eastAsia="Times New Roman" w:cs="Times New Roman"/>
                <w:b/>
                <w:sz w:val="26"/>
                <w:szCs w:val="26"/>
                <w:lang w:val="it-IT"/>
              </w:rPr>
            </w:pPr>
          </w:p>
          <w:p w:rsidR="00232766" w:rsidRPr="004F1E92" w:rsidRDefault="00232766" w:rsidP="00547DCA">
            <w:pPr>
              <w:spacing w:before="0" w:after="0"/>
              <w:jc w:val="center"/>
              <w:rPr>
                <w:rFonts w:eastAsia="Times New Roman" w:cs="Times New Roman"/>
                <w:b/>
                <w:szCs w:val="28"/>
                <w:lang w:val="it-IT"/>
              </w:rPr>
            </w:pPr>
            <w:r w:rsidRPr="001E61BC">
              <w:rPr>
                <w:rFonts w:eastAsia="Times New Roman" w:cs="Times New Roman"/>
                <w:b/>
                <w:szCs w:val="28"/>
                <w:lang w:val="it-IT"/>
              </w:rPr>
              <w:t>Hồ Đức Phớc</w:t>
            </w:r>
          </w:p>
        </w:tc>
      </w:tr>
    </w:tbl>
    <w:p w:rsidR="00892FB5" w:rsidRPr="004F1E92" w:rsidRDefault="00892FB5" w:rsidP="00232766">
      <w:pPr>
        <w:ind w:left="720"/>
        <w:jc w:val="both"/>
        <w:rPr>
          <w:lang w:val="nl-NL"/>
        </w:rPr>
      </w:pPr>
    </w:p>
    <w:sectPr w:rsidR="00892FB5" w:rsidRPr="004F1E92" w:rsidSect="00695F91">
      <w:headerReference w:type="default" r:id="rId8"/>
      <w:pgSz w:w="11906" w:h="16838" w:code="9"/>
      <w:pgMar w:top="1134" w:right="1304" w:bottom="1134" w:left="1701"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E7" w:rsidRDefault="00755AE7" w:rsidP="00304222">
      <w:pPr>
        <w:spacing w:before="0" w:after="0"/>
      </w:pPr>
      <w:r>
        <w:separator/>
      </w:r>
    </w:p>
  </w:endnote>
  <w:endnote w:type="continuationSeparator" w:id="0">
    <w:p w:rsidR="00755AE7" w:rsidRDefault="00755AE7" w:rsidP="003042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nFree">
    <w:altName w:val="MV Bol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E7" w:rsidRDefault="00755AE7" w:rsidP="00304222">
      <w:pPr>
        <w:spacing w:before="0" w:after="0"/>
      </w:pPr>
      <w:r>
        <w:separator/>
      </w:r>
    </w:p>
  </w:footnote>
  <w:footnote w:type="continuationSeparator" w:id="0">
    <w:p w:rsidR="00755AE7" w:rsidRDefault="00755AE7" w:rsidP="003042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43581"/>
      <w:docPartObj>
        <w:docPartGallery w:val="Page Numbers (Top of Page)"/>
        <w:docPartUnique/>
      </w:docPartObj>
    </w:sdtPr>
    <w:sdtEndPr/>
    <w:sdtContent>
      <w:p w:rsidR="00B86856" w:rsidRDefault="007625AC">
        <w:pPr>
          <w:pStyle w:val="Header"/>
          <w:jc w:val="center"/>
        </w:pPr>
        <w:r>
          <w:fldChar w:fldCharType="begin"/>
        </w:r>
        <w:r>
          <w:instrText xml:space="preserve"> PAGE   \* MERGEFORMAT </w:instrText>
        </w:r>
        <w:r>
          <w:fldChar w:fldCharType="separate"/>
        </w:r>
        <w:r w:rsidR="000A0826">
          <w:rPr>
            <w:noProof/>
          </w:rPr>
          <w:t>3</w:t>
        </w:r>
        <w:r>
          <w:rPr>
            <w:noProof/>
          </w:rPr>
          <w:fldChar w:fldCharType="end"/>
        </w:r>
      </w:p>
    </w:sdtContent>
  </w:sdt>
  <w:p w:rsidR="00B86856" w:rsidRDefault="00B8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41000"/>
    <w:multiLevelType w:val="hybridMultilevel"/>
    <w:tmpl w:val="2618B878"/>
    <w:lvl w:ilvl="0" w:tplc="8B023F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68FC54C1"/>
    <w:multiLevelType w:val="hybridMultilevel"/>
    <w:tmpl w:val="35D0F0A4"/>
    <w:lvl w:ilvl="0" w:tplc="04F4518E">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70A8"/>
    <w:rsid w:val="00001138"/>
    <w:rsid w:val="000049F8"/>
    <w:rsid w:val="000105E5"/>
    <w:rsid w:val="000127BF"/>
    <w:rsid w:val="00017FDD"/>
    <w:rsid w:val="00022F21"/>
    <w:rsid w:val="00034456"/>
    <w:rsid w:val="00036EAE"/>
    <w:rsid w:val="000373D5"/>
    <w:rsid w:val="0006200C"/>
    <w:rsid w:val="00062279"/>
    <w:rsid w:val="00064893"/>
    <w:rsid w:val="00065206"/>
    <w:rsid w:val="000964C4"/>
    <w:rsid w:val="000972EE"/>
    <w:rsid w:val="000A0826"/>
    <w:rsid w:val="000A3363"/>
    <w:rsid w:val="000A35F8"/>
    <w:rsid w:val="000A7523"/>
    <w:rsid w:val="000B145F"/>
    <w:rsid w:val="000C0D47"/>
    <w:rsid w:val="000C7DF8"/>
    <w:rsid w:val="000D49BA"/>
    <w:rsid w:val="000D7D65"/>
    <w:rsid w:val="000E15F6"/>
    <w:rsid w:val="000E1FFC"/>
    <w:rsid w:val="000E4945"/>
    <w:rsid w:val="000E53D0"/>
    <w:rsid w:val="000F1B12"/>
    <w:rsid w:val="000F47B7"/>
    <w:rsid w:val="00102354"/>
    <w:rsid w:val="001032A2"/>
    <w:rsid w:val="0010737B"/>
    <w:rsid w:val="001073FF"/>
    <w:rsid w:val="00112C6C"/>
    <w:rsid w:val="00123BC4"/>
    <w:rsid w:val="0012430A"/>
    <w:rsid w:val="00127C88"/>
    <w:rsid w:val="00133760"/>
    <w:rsid w:val="0014238C"/>
    <w:rsid w:val="00144EAC"/>
    <w:rsid w:val="00152654"/>
    <w:rsid w:val="00166B36"/>
    <w:rsid w:val="00171CBF"/>
    <w:rsid w:val="001736B5"/>
    <w:rsid w:val="00183239"/>
    <w:rsid w:val="001914DE"/>
    <w:rsid w:val="00194F48"/>
    <w:rsid w:val="001A00D9"/>
    <w:rsid w:val="001A3B2E"/>
    <w:rsid w:val="001A797C"/>
    <w:rsid w:val="001B0099"/>
    <w:rsid w:val="001B3AE8"/>
    <w:rsid w:val="001D4EC0"/>
    <w:rsid w:val="001D6D09"/>
    <w:rsid w:val="001E2A6D"/>
    <w:rsid w:val="001E61BC"/>
    <w:rsid w:val="001F6001"/>
    <w:rsid w:val="001F77E6"/>
    <w:rsid w:val="001F7DAA"/>
    <w:rsid w:val="001F7EB8"/>
    <w:rsid w:val="00201AD7"/>
    <w:rsid w:val="002029AB"/>
    <w:rsid w:val="00213480"/>
    <w:rsid w:val="002137DE"/>
    <w:rsid w:val="00217B82"/>
    <w:rsid w:val="00220D01"/>
    <w:rsid w:val="00221DCE"/>
    <w:rsid w:val="00222A1F"/>
    <w:rsid w:val="002253A1"/>
    <w:rsid w:val="0023181C"/>
    <w:rsid w:val="002323C3"/>
    <w:rsid w:val="002326A4"/>
    <w:rsid w:val="00232766"/>
    <w:rsid w:val="0023481E"/>
    <w:rsid w:val="00240814"/>
    <w:rsid w:val="00242E2C"/>
    <w:rsid w:val="00243755"/>
    <w:rsid w:val="00260966"/>
    <w:rsid w:val="00260A9A"/>
    <w:rsid w:val="0027022F"/>
    <w:rsid w:val="0027048D"/>
    <w:rsid w:val="00272430"/>
    <w:rsid w:val="002735DD"/>
    <w:rsid w:val="0027693A"/>
    <w:rsid w:val="0029125B"/>
    <w:rsid w:val="00297BFE"/>
    <w:rsid w:val="002A3D36"/>
    <w:rsid w:val="002B0CB6"/>
    <w:rsid w:val="002C6A16"/>
    <w:rsid w:val="002D3162"/>
    <w:rsid w:val="002D764F"/>
    <w:rsid w:val="002E20EE"/>
    <w:rsid w:val="002F16F8"/>
    <w:rsid w:val="002F1C75"/>
    <w:rsid w:val="002F22BF"/>
    <w:rsid w:val="002F398A"/>
    <w:rsid w:val="002F4B41"/>
    <w:rsid w:val="00300366"/>
    <w:rsid w:val="00304222"/>
    <w:rsid w:val="003051D8"/>
    <w:rsid w:val="00317318"/>
    <w:rsid w:val="003239AA"/>
    <w:rsid w:val="0032526C"/>
    <w:rsid w:val="003265B5"/>
    <w:rsid w:val="003348DF"/>
    <w:rsid w:val="00343D5A"/>
    <w:rsid w:val="003444F5"/>
    <w:rsid w:val="00345E4D"/>
    <w:rsid w:val="0035363F"/>
    <w:rsid w:val="003540BE"/>
    <w:rsid w:val="00363658"/>
    <w:rsid w:val="00367D51"/>
    <w:rsid w:val="003878D9"/>
    <w:rsid w:val="003A1F28"/>
    <w:rsid w:val="003A372A"/>
    <w:rsid w:val="003A676D"/>
    <w:rsid w:val="003A7C95"/>
    <w:rsid w:val="003B3D8E"/>
    <w:rsid w:val="003B4DEB"/>
    <w:rsid w:val="003B4F28"/>
    <w:rsid w:val="003B71B1"/>
    <w:rsid w:val="003C0CC0"/>
    <w:rsid w:val="003C4DFE"/>
    <w:rsid w:val="003C6A88"/>
    <w:rsid w:val="003D1CE6"/>
    <w:rsid w:val="003E19BA"/>
    <w:rsid w:val="003E19CF"/>
    <w:rsid w:val="003E246B"/>
    <w:rsid w:val="003E5D61"/>
    <w:rsid w:val="003F0564"/>
    <w:rsid w:val="003F3E72"/>
    <w:rsid w:val="00401B9D"/>
    <w:rsid w:val="004061D5"/>
    <w:rsid w:val="00422EAD"/>
    <w:rsid w:val="00425A06"/>
    <w:rsid w:val="0043194E"/>
    <w:rsid w:val="00434F05"/>
    <w:rsid w:val="00450AE8"/>
    <w:rsid w:val="00456972"/>
    <w:rsid w:val="004627D6"/>
    <w:rsid w:val="00471384"/>
    <w:rsid w:val="004744B1"/>
    <w:rsid w:val="004A20CB"/>
    <w:rsid w:val="004A58FF"/>
    <w:rsid w:val="004B41B9"/>
    <w:rsid w:val="004B66F5"/>
    <w:rsid w:val="004B6A8F"/>
    <w:rsid w:val="004B7C8B"/>
    <w:rsid w:val="004B7FF7"/>
    <w:rsid w:val="004C07B4"/>
    <w:rsid w:val="004C17E6"/>
    <w:rsid w:val="004E07A2"/>
    <w:rsid w:val="004E215A"/>
    <w:rsid w:val="004E4CE0"/>
    <w:rsid w:val="004F1E92"/>
    <w:rsid w:val="004F4DD0"/>
    <w:rsid w:val="005056E7"/>
    <w:rsid w:val="00507290"/>
    <w:rsid w:val="005121D8"/>
    <w:rsid w:val="00525DF5"/>
    <w:rsid w:val="005270A8"/>
    <w:rsid w:val="00532B97"/>
    <w:rsid w:val="00533AD0"/>
    <w:rsid w:val="0053448C"/>
    <w:rsid w:val="00543262"/>
    <w:rsid w:val="00546092"/>
    <w:rsid w:val="00547DCA"/>
    <w:rsid w:val="005521EB"/>
    <w:rsid w:val="005565D4"/>
    <w:rsid w:val="00567BEC"/>
    <w:rsid w:val="00571108"/>
    <w:rsid w:val="00583AA4"/>
    <w:rsid w:val="00592D8E"/>
    <w:rsid w:val="00593909"/>
    <w:rsid w:val="0059768E"/>
    <w:rsid w:val="005A1C14"/>
    <w:rsid w:val="005A2FB1"/>
    <w:rsid w:val="005A5891"/>
    <w:rsid w:val="005C5383"/>
    <w:rsid w:val="005C793A"/>
    <w:rsid w:val="005D029B"/>
    <w:rsid w:val="005D67BA"/>
    <w:rsid w:val="005E34E3"/>
    <w:rsid w:val="005E4BE2"/>
    <w:rsid w:val="005E4FDE"/>
    <w:rsid w:val="005E70F4"/>
    <w:rsid w:val="005F170D"/>
    <w:rsid w:val="00602CDA"/>
    <w:rsid w:val="00605983"/>
    <w:rsid w:val="00616AD2"/>
    <w:rsid w:val="006204CB"/>
    <w:rsid w:val="00621E25"/>
    <w:rsid w:val="00626453"/>
    <w:rsid w:val="00626CBC"/>
    <w:rsid w:val="00641AD2"/>
    <w:rsid w:val="0064459C"/>
    <w:rsid w:val="006626C7"/>
    <w:rsid w:val="00665214"/>
    <w:rsid w:val="00671A6B"/>
    <w:rsid w:val="00681ED6"/>
    <w:rsid w:val="0068753E"/>
    <w:rsid w:val="006939CA"/>
    <w:rsid w:val="00695F91"/>
    <w:rsid w:val="00697B75"/>
    <w:rsid w:val="006A6292"/>
    <w:rsid w:val="006A7FCC"/>
    <w:rsid w:val="006C315B"/>
    <w:rsid w:val="006D1539"/>
    <w:rsid w:val="006E3751"/>
    <w:rsid w:val="006E4D87"/>
    <w:rsid w:val="006E7BDA"/>
    <w:rsid w:val="006F0823"/>
    <w:rsid w:val="006F6805"/>
    <w:rsid w:val="007079B9"/>
    <w:rsid w:val="00710C4B"/>
    <w:rsid w:val="00710D5F"/>
    <w:rsid w:val="00711E82"/>
    <w:rsid w:val="00714BA8"/>
    <w:rsid w:val="00721A0B"/>
    <w:rsid w:val="007232C1"/>
    <w:rsid w:val="00726AD7"/>
    <w:rsid w:val="007277F9"/>
    <w:rsid w:val="00727B2F"/>
    <w:rsid w:val="0073514B"/>
    <w:rsid w:val="00742B23"/>
    <w:rsid w:val="0074539A"/>
    <w:rsid w:val="007522F2"/>
    <w:rsid w:val="00755AE7"/>
    <w:rsid w:val="00762503"/>
    <w:rsid w:val="007625AC"/>
    <w:rsid w:val="007636FD"/>
    <w:rsid w:val="00771DE2"/>
    <w:rsid w:val="00780405"/>
    <w:rsid w:val="007920C6"/>
    <w:rsid w:val="00797798"/>
    <w:rsid w:val="007A0A44"/>
    <w:rsid w:val="007A0C3C"/>
    <w:rsid w:val="007A3A10"/>
    <w:rsid w:val="007A7A71"/>
    <w:rsid w:val="007B2A6A"/>
    <w:rsid w:val="007B418B"/>
    <w:rsid w:val="007B4BF1"/>
    <w:rsid w:val="007B5C9C"/>
    <w:rsid w:val="007B7CB5"/>
    <w:rsid w:val="007D43E5"/>
    <w:rsid w:val="007E5F28"/>
    <w:rsid w:val="007F5BF7"/>
    <w:rsid w:val="00807027"/>
    <w:rsid w:val="00811A41"/>
    <w:rsid w:val="008143AB"/>
    <w:rsid w:val="00817C2E"/>
    <w:rsid w:val="0082036B"/>
    <w:rsid w:val="008213F2"/>
    <w:rsid w:val="00821A5E"/>
    <w:rsid w:val="00832887"/>
    <w:rsid w:val="00835503"/>
    <w:rsid w:val="008411AC"/>
    <w:rsid w:val="00847783"/>
    <w:rsid w:val="008479EA"/>
    <w:rsid w:val="008511D1"/>
    <w:rsid w:val="00852E74"/>
    <w:rsid w:val="008534BB"/>
    <w:rsid w:val="00864958"/>
    <w:rsid w:val="00866F93"/>
    <w:rsid w:val="008704B5"/>
    <w:rsid w:val="00872743"/>
    <w:rsid w:val="00873705"/>
    <w:rsid w:val="00873C7E"/>
    <w:rsid w:val="00874A4E"/>
    <w:rsid w:val="0087671D"/>
    <w:rsid w:val="00880808"/>
    <w:rsid w:val="00883D70"/>
    <w:rsid w:val="0088525B"/>
    <w:rsid w:val="00892FB5"/>
    <w:rsid w:val="0089301A"/>
    <w:rsid w:val="008973D5"/>
    <w:rsid w:val="008A46B9"/>
    <w:rsid w:val="008B0AFF"/>
    <w:rsid w:val="008C67B0"/>
    <w:rsid w:val="008D2591"/>
    <w:rsid w:val="008D29E8"/>
    <w:rsid w:val="008E1CCD"/>
    <w:rsid w:val="008E49AC"/>
    <w:rsid w:val="008E62DC"/>
    <w:rsid w:val="008F4478"/>
    <w:rsid w:val="00902389"/>
    <w:rsid w:val="00917C3F"/>
    <w:rsid w:val="00922218"/>
    <w:rsid w:val="0094418E"/>
    <w:rsid w:val="00973022"/>
    <w:rsid w:val="00974C46"/>
    <w:rsid w:val="00982905"/>
    <w:rsid w:val="00985730"/>
    <w:rsid w:val="009A536A"/>
    <w:rsid w:val="009A608B"/>
    <w:rsid w:val="009B539C"/>
    <w:rsid w:val="009C0176"/>
    <w:rsid w:val="009C4D3D"/>
    <w:rsid w:val="009D28D4"/>
    <w:rsid w:val="009E2EA7"/>
    <w:rsid w:val="009E39B2"/>
    <w:rsid w:val="00A009AE"/>
    <w:rsid w:val="00A01879"/>
    <w:rsid w:val="00A07B09"/>
    <w:rsid w:val="00A12431"/>
    <w:rsid w:val="00A21434"/>
    <w:rsid w:val="00A217A3"/>
    <w:rsid w:val="00A21CBA"/>
    <w:rsid w:val="00A2472B"/>
    <w:rsid w:val="00A248E4"/>
    <w:rsid w:val="00A25497"/>
    <w:rsid w:val="00A25533"/>
    <w:rsid w:val="00A370AA"/>
    <w:rsid w:val="00A40178"/>
    <w:rsid w:val="00A44E5F"/>
    <w:rsid w:val="00A459B8"/>
    <w:rsid w:val="00A4756F"/>
    <w:rsid w:val="00A56873"/>
    <w:rsid w:val="00A56BC2"/>
    <w:rsid w:val="00A6080B"/>
    <w:rsid w:val="00A61BA1"/>
    <w:rsid w:val="00A62539"/>
    <w:rsid w:val="00A65965"/>
    <w:rsid w:val="00A6754E"/>
    <w:rsid w:val="00A83984"/>
    <w:rsid w:val="00A85F9C"/>
    <w:rsid w:val="00A86B28"/>
    <w:rsid w:val="00AA0E3D"/>
    <w:rsid w:val="00AA1344"/>
    <w:rsid w:val="00AB2243"/>
    <w:rsid w:val="00AD0B84"/>
    <w:rsid w:val="00AD5106"/>
    <w:rsid w:val="00AD7AC4"/>
    <w:rsid w:val="00AE4987"/>
    <w:rsid w:val="00AF1459"/>
    <w:rsid w:val="00AF551A"/>
    <w:rsid w:val="00AF5E96"/>
    <w:rsid w:val="00B0291B"/>
    <w:rsid w:val="00B041D7"/>
    <w:rsid w:val="00B04EFA"/>
    <w:rsid w:val="00B05129"/>
    <w:rsid w:val="00B0522D"/>
    <w:rsid w:val="00B07E8E"/>
    <w:rsid w:val="00B101D8"/>
    <w:rsid w:val="00B1220F"/>
    <w:rsid w:val="00B1293B"/>
    <w:rsid w:val="00B140BC"/>
    <w:rsid w:val="00B3675A"/>
    <w:rsid w:val="00B517ED"/>
    <w:rsid w:val="00B57316"/>
    <w:rsid w:val="00B633FE"/>
    <w:rsid w:val="00B64802"/>
    <w:rsid w:val="00B6688C"/>
    <w:rsid w:val="00B674D8"/>
    <w:rsid w:val="00B8491A"/>
    <w:rsid w:val="00B86856"/>
    <w:rsid w:val="00B87F8A"/>
    <w:rsid w:val="00B969DB"/>
    <w:rsid w:val="00B96BF2"/>
    <w:rsid w:val="00B971FB"/>
    <w:rsid w:val="00BB112C"/>
    <w:rsid w:val="00BC0160"/>
    <w:rsid w:val="00BC0EC3"/>
    <w:rsid w:val="00BC34F2"/>
    <w:rsid w:val="00BD0976"/>
    <w:rsid w:val="00BD49E9"/>
    <w:rsid w:val="00BE39BB"/>
    <w:rsid w:val="00BF3B5A"/>
    <w:rsid w:val="00BF5D57"/>
    <w:rsid w:val="00C060D3"/>
    <w:rsid w:val="00C2792B"/>
    <w:rsid w:val="00C32E94"/>
    <w:rsid w:val="00C404C3"/>
    <w:rsid w:val="00C41628"/>
    <w:rsid w:val="00C42442"/>
    <w:rsid w:val="00C4417D"/>
    <w:rsid w:val="00C466AF"/>
    <w:rsid w:val="00C46C77"/>
    <w:rsid w:val="00C57038"/>
    <w:rsid w:val="00C62FED"/>
    <w:rsid w:val="00C71B16"/>
    <w:rsid w:val="00C84B02"/>
    <w:rsid w:val="00C86795"/>
    <w:rsid w:val="00C93605"/>
    <w:rsid w:val="00C94EC9"/>
    <w:rsid w:val="00CA147C"/>
    <w:rsid w:val="00CA38D3"/>
    <w:rsid w:val="00CA4373"/>
    <w:rsid w:val="00CA5B42"/>
    <w:rsid w:val="00CB473D"/>
    <w:rsid w:val="00CC4EED"/>
    <w:rsid w:val="00CC742D"/>
    <w:rsid w:val="00CD09DC"/>
    <w:rsid w:val="00CD5DC8"/>
    <w:rsid w:val="00CE2C30"/>
    <w:rsid w:val="00CE5EF0"/>
    <w:rsid w:val="00CE743C"/>
    <w:rsid w:val="00CF1A78"/>
    <w:rsid w:val="00CF4BF5"/>
    <w:rsid w:val="00D03597"/>
    <w:rsid w:val="00D0648C"/>
    <w:rsid w:val="00D07188"/>
    <w:rsid w:val="00D1044C"/>
    <w:rsid w:val="00D113E9"/>
    <w:rsid w:val="00D31CB7"/>
    <w:rsid w:val="00D32E5A"/>
    <w:rsid w:val="00D44AF7"/>
    <w:rsid w:val="00D50254"/>
    <w:rsid w:val="00D601D5"/>
    <w:rsid w:val="00D609BB"/>
    <w:rsid w:val="00D634C5"/>
    <w:rsid w:val="00D63814"/>
    <w:rsid w:val="00D8507F"/>
    <w:rsid w:val="00D965EE"/>
    <w:rsid w:val="00DA612E"/>
    <w:rsid w:val="00DB5DFB"/>
    <w:rsid w:val="00DC04F4"/>
    <w:rsid w:val="00DC15BA"/>
    <w:rsid w:val="00DC2937"/>
    <w:rsid w:val="00DC3DE2"/>
    <w:rsid w:val="00DC6B80"/>
    <w:rsid w:val="00DE1714"/>
    <w:rsid w:val="00DE22FB"/>
    <w:rsid w:val="00DE2616"/>
    <w:rsid w:val="00DE2B50"/>
    <w:rsid w:val="00DE3807"/>
    <w:rsid w:val="00DF7AEB"/>
    <w:rsid w:val="00E055E9"/>
    <w:rsid w:val="00E11C89"/>
    <w:rsid w:val="00E12749"/>
    <w:rsid w:val="00E2495A"/>
    <w:rsid w:val="00E25576"/>
    <w:rsid w:val="00E36933"/>
    <w:rsid w:val="00E42393"/>
    <w:rsid w:val="00E461B9"/>
    <w:rsid w:val="00E464C0"/>
    <w:rsid w:val="00E47201"/>
    <w:rsid w:val="00E478C1"/>
    <w:rsid w:val="00E51A7B"/>
    <w:rsid w:val="00E546B5"/>
    <w:rsid w:val="00E63729"/>
    <w:rsid w:val="00E71741"/>
    <w:rsid w:val="00E753CA"/>
    <w:rsid w:val="00E8288D"/>
    <w:rsid w:val="00E8299B"/>
    <w:rsid w:val="00E83044"/>
    <w:rsid w:val="00E85F3E"/>
    <w:rsid w:val="00E8630E"/>
    <w:rsid w:val="00E90404"/>
    <w:rsid w:val="00E92995"/>
    <w:rsid w:val="00E9353A"/>
    <w:rsid w:val="00E9583F"/>
    <w:rsid w:val="00EA3431"/>
    <w:rsid w:val="00EC0202"/>
    <w:rsid w:val="00EE42DA"/>
    <w:rsid w:val="00EE5FB8"/>
    <w:rsid w:val="00EF0E3A"/>
    <w:rsid w:val="00EF3789"/>
    <w:rsid w:val="00EF5826"/>
    <w:rsid w:val="00EF5DCB"/>
    <w:rsid w:val="00F04831"/>
    <w:rsid w:val="00F058FC"/>
    <w:rsid w:val="00F11814"/>
    <w:rsid w:val="00F13637"/>
    <w:rsid w:val="00F21031"/>
    <w:rsid w:val="00F278A7"/>
    <w:rsid w:val="00F3427A"/>
    <w:rsid w:val="00F367D3"/>
    <w:rsid w:val="00F40089"/>
    <w:rsid w:val="00F409D8"/>
    <w:rsid w:val="00F425E2"/>
    <w:rsid w:val="00F56C67"/>
    <w:rsid w:val="00F56D41"/>
    <w:rsid w:val="00F62C9A"/>
    <w:rsid w:val="00F7397D"/>
    <w:rsid w:val="00F76FB5"/>
    <w:rsid w:val="00F8225C"/>
    <w:rsid w:val="00F82FF2"/>
    <w:rsid w:val="00F853F1"/>
    <w:rsid w:val="00F86DC4"/>
    <w:rsid w:val="00F875E6"/>
    <w:rsid w:val="00F91481"/>
    <w:rsid w:val="00F9289A"/>
    <w:rsid w:val="00F935C4"/>
    <w:rsid w:val="00F94042"/>
    <w:rsid w:val="00FA5355"/>
    <w:rsid w:val="00FB2AB7"/>
    <w:rsid w:val="00FB2ED5"/>
    <w:rsid w:val="00FB421D"/>
    <w:rsid w:val="00FD5A5A"/>
    <w:rsid w:val="00FD6606"/>
    <w:rsid w:val="00FE0663"/>
    <w:rsid w:val="00FE11B1"/>
    <w:rsid w:val="00FE1F7F"/>
    <w:rsid w:val="00FE39C3"/>
    <w:rsid w:val="00FF0924"/>
    <w:rsid w:val="00FF4956"/>
    <w:rsid w:val="00FF6B84"/>
    <w:rsid w:val="00FF6F01"/>
    <w:rsid w:val="00FF76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40402FA2"/>
  <w15:docId w15:val="{5D6D9299-31D9-4F1C-A032-2ADE1416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30"/>
  </w:style>
  <w:style w:type="paragraph" w:styleId="Heading4">
    <w:name w:val="heading 4"/>
    <w:basedOn w:val="Normal"/>
    <w:next w:val="Normal"/>
    <w:link w:val="Heading4Char"/>
    <w:uiPriority w:val="9"/>
    <w:semiHidden/>
    <w:unhideWhenUsed/>
    <w:qFormat/>
    <w:rsid w:val="008411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22"/>
    <w:pPr>
      <w:tabs>
        <w:tab w:val="center" w:pos="4513"/>
        <w:tab w:val="right" w:pos="9026"/>
      </w:tabs>
      <w:spacing w:before="0" w:after="0"/>
    </w:pPr>
  </w:style>
  <w:style w:type="character" w:customStyle="1" w:styleId="HeaderChar">
    <w:name w:val="Header Char"/>
    <w:basedOn w:val="DefaultParagraphFont"/>
    <w:link w:val="Header"/>
    <w:uiPriority w:val="99"/>
    <w:rsid w:val="00304222"/>
  </w:style>
  <w:style w:type="paragraph" w:styleId="Footer">
    <w:name w:val="footer"/>
    <w:basedOn w:val="Normal"/>
    <w:link w:val="FooterChar"/>
    <w:uiPriority w:val="99"/>
    <w:semiHidden/>
    <w:unhideWhenUsed/>
    <w:rsid w:val="00304222"/>
    <w:pPr>
      <w:tabs>
        <w:tab w:val="center" w:pos="4513"/>
        <w:tab w:val="right" w:pos="9026"/>
      </w:tabs>
      <w:spacing w:before="0" w:after="0"/>
    </w:pPr>
  </w:style>
  <w:style w:type="character" w:customStyle="1" w:styleId="FooterChar">
    <w:name w:val="Footer Char"/>
    <w:basedOn w:val="DefaultParagraphFont"/>
    <w:link w:val="Footer"/>
    <w:uiPriority w:val="99"/>
    <w:semiHidden/>
    <w:rsid w:val="00304222"/>
  </w:style>
  <w:style w:type="table" w:styleId="TableGrid">
    <w:name w:val="Table Grid"/>
    <w:basedOn w:val="TableNormal"/>
    <w:uiPriority w:val="59"/>
    <w:unhideWhenUsed/>
    <w:rsid w:val="002C6A16"/>
    <w:pPr>
      <w:spacing w:before="0" w:after="0"/>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
    <w:name w:val="Char Char Char Char Char Char Char Char Char1 Char Char Char Char"/>
    <w:basedOn w:val="Normal"/>
    <w:rsid w:val="00FD5A5A"/>
    <w:pPr>
      <w:spacing w:before="0" w:after="160" w:line="240" w:lineRule="exact"/>
    </w:pPr>
    <w:rPr>
      <w:rFonts w:ascii="Verdana" w:eastAsia="Times New Roman" w:hAnsi="Verdana" w:cs="Times New Roman"/>
      <w:sz w:val="20"/>
      <w:szCs w:val="20"/>
      <w:lang w:val="en-US"/>
    </w:rPr>
  </w:style>
  <w:style w:type="paragraph" w:styleId="FootnoteText">
    <w:name w:val="footnote text"/>
    <w:basedOn w:val="Normal"/>
    <w:link w:val="FootnoteTextChar"/>
    <w:uiPriority w:val="99"/>
    <w:semiHidden/>
    <w:unhideWhenUsed/>
    <w:rsid w:val="003F3E72"/>
    <w:pPr>
      <w:spacing w:before="0" w:after="0"/>
    </w:pPr>
    <w:rPr>
      <w:sz w:val="20"/>
      <w:szCs w:val="20"/>
    </w:rPr>
  </w:style>
  <w:style w:type="character" w:customStyle="1" w:styleId="FootnoteTextChar">
    <w:name w:val="Footnote Text Char"/>
    <w:basedOn w:val="DefaultParagraphFont"/>
    <w:link w:val="FootnoteText"/>
    <w:uiPriority w:val="99"/>
    <w:semiHidden/>
    <w:rsid w:val="003F3E72"/>
    <w:rPr>
      <w:sz w:val="20"/>
      <w:szCs w:val="20"/>
    </w:rPr>
  </w:style>
  <w:style w:type="character" w:styleId="FootnoteReference">
    <w:name w:val="footnote reference"/>
    <w:basedOn w:val="DefaultParagraphFont"/>
    <w:uiPriority w:val="99"/>
    <w:semiHidden/>
    <w:unhideWhenUsed/>
    <w:rsid w:val="003F3E72"/>
    <w:rPr>
      <w:vertAlign w:val="superscript"/>
    </w:rPr>
  </w:style>
  <w:style w:type="paragraph" w:styleId="NormalWeb">
    <w:name w:val="Normal (Web)"/>
    <w:basedOn w:val="Normal"/>
    <w:uiPriority w:val="99"/>
    <w:unhideWhenUsed/>
    <w:rsid w:val="00CF4BF5"/>
    <w:rPr>
      <w:rFonts w:cs="Times New Roman"/>
      <w:sz w:val="24"/>
      <w:szCs w:val="24"/>
    </w:rPr>
  </w:style>
  <w:style w:type="paragraph" w:styleId="ListParagraph">
    <w:name w:val="List Paragraph"/>
    <w:basedOn w:val="Normal"/>
    <w:uiPriority w:val="34"/>
    <w:qFormat/>
    <w:rsid w:val="00E12749"/>
    <w:pPr>
      <w:spacing w:before="0" w:after="0"/>
      <w:ind w:left="720"/>
      <w:contextualSpacing/>
    </w:pPr>
    <w:rPr>
      <w:rFonts w:eastAsia="Times New Roman" w:cs="Times New Roman"/>
      <w:noProof/>
      <w:sz w:val="24"/>
      <w:szCs w:val="24"/>
      <w:lang w:val="en-US"/>
    </w:rPr>
  </w:style>
  <w:style w:type="character" w:customStyle="1" w:styleId="Heading4Char">
    <w:name w:val="Heading 4 Char"/>
    <w:basedOn w:val="DefaultParagraphFont"/>
    <w:link w:val="Heading4"/>
    <w:uiPriority w:val="9"/>
    <w:semiHidden/>
    <w:rsid w:val="008411A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04EFA"/>
    <w:rPr>
      <w:color w:val="0000FF" w:themeColor="hyperlink"/>
      <w:u w:val="single"/>
    </w:rPr>
  </w:style>
  <w:style w:type="paragraph" w:customStyle="1" w:styleId="phead">
    <w:name w:val="phead"/>
    <w:basedOn w:val="Normal"/>
    <w:rsid w:val="00064893"/>
    <w:pPr>
      <w:spacing w:before="100" w:beforeAutospacing="1" w:after="100" w:afterAutospacing="1"/>
    </w:pPr>
    <w:rPr>
      <w:rFonts w:eastAsia="Times New Roman" w:cs="Times New Roman"/>
      <w:sz w:val="24"/>
      <w:szCs w:val="24"/>
      <w:lang w:val="en-US"/>
    </w:rPr>
  </w:style>
  <w:style w:type="character" w:customStyle="1" w:styleId="BodyTextChar1">
    <w:name w:val="Body Text Char1"/>
    <w:uiPriority w:val="99"/>
    <w:rsid w:val="00FB2AB7"/>
    <w:rPr>
      <w:rFonts w:ascii="Times New Roman" w:hAnsi="Times New Roman" w:cs="Times New Roman"/>
      <w:sz w:val="26"/>
      <w:szCs w:val="26"/>
      <w:u w:val="none"/>
    </w:rPr>
  </w:style>
  <w:style w:type="paragraph" w:styleId="BalloonText">
    <w:name w:val="Balloon Text"/>
    <w:basedOn w:val="Normal"/>
    <w:link w:val="BalloonTextChar"/>
    <w:uiPriority w:val="99"/>
    <w:semiHidden/>
    <w:unhideWhenUsed/>
    <w:rsid w:val="000373D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421">
      <w:bodyDiv w:val="1"/>
      <w:marLeft w:val="0"/>
      <w:marRight w:val="0"/>
      <w:marTop w:val="0"/>
      <w:marBottom w:val="0"/>
      <w:divBdr>
        <w:top w:val="none" w:sz="0" w:space="0" w:color="auto"/>
        <w:left w:val="none" w:sz="0" w:space="0" w:color="auto"/>
        <w:bottom w:val="none" w:sz="0" w:space="0" w:color="auto"/>
        <w:right w:val="none" w:sz="0" w:space="0" w:color="auto"/>
      </w:divBdr>
    </w:div>
    <w:div w:id="186992084">
      <w:bodyDiv w:val="1"/>
      <w:marLeft w:val="0"/>
      <w:marRight w:val="0"/>
      <w:marTop w:val="0"/>
      <w:marBottom w:val="0"/>
      <w:divBdr>
        <w:top w:val="none" w:sz="0" w:space="0" w:color="auto"/>
        <w:left w:val="none" w:sz="0" w:space="0" w:color="auto"/>
        <w:bottom w:val="none" w:sz="0" w:space="0" w:color="auto"/>
        <w:right w:val="none" w:sz="0" w:space="0" w:color="auto"/>
      </w:divBdr>
    </w:div>
    <w:div w:id="323706391">
      <w:bodyDiv w:val="1"/>
      <w:marLeft w:val="0"/>
      <w:marRight w:val="0"/>
      <w:marTop w:val="0"/>
      <w:marBottom w:val="0"/>
      <w:divBdr>
        <w:top w:val="none" w:sz="0" w:space="0" w:color="auto"/>
        <w:left w:val="none" w:sz="0" w:space="0" w:color="auto"/>
        <w:bottom w:val="none" w:sz="0" w:space="0" w:color="auto"/>
        <w:right w:val="none" w:sz="0" w:space="0" w:color="auto"/>
      </w:divBdr>
    </w:div>
    <w:div w:id="944506431">
      <w:bodyDiv w:val="1"/>
      <w:marLeft w:val="0"/>
      <w:marRight w:val="0"/>
      <w:marTop w:val="0"/>
      <w:marBottom w:val="0"/>
      <w:divBdr>
        <w:top w:val="none" w:sz="0" w:space="0" w:color="auto"/>
        <w:left w:val="none" w:sz="0" w:space="0" w:color="auto"/>
        <w:bottom w:val="none" w:sz="0" w:space="0" w:color="auto"/>
        <w:right w:val="none" w:sz="0" w:space="0" w:color="auto"/>
      </w:divBdr>
    </w:div>
    <w:div w:id="1512837404">
      <w:bodyDiv w:val="1"/>
      <w:marLeft w:val="0"/>
      <w:marRight w:val="0"/>
      <w:marTop w:val="0"/>
      <w:marBottom w:val="0"/>
      <w:divBdr>
        <w:top w:val="none" w:sz="0" w:space="0" w:color="auto"/>
        <w:left w:val="none" w:sz="0" w:space="0" w:color="auto"/>
        <w:bottom w:val="none" w:sz="0" w:space="0" w:color="auto"/>
        <w:right w:val="none" w:sz="0" w:space="0" w:color="auto"/>
      </w:divBdr>
    </w:div>
    <w:div w:id="1655990163">
      <w:bodyDiv w:val="1"/>
      <w:marLeft w:val="0"/>
      <w:marRight w:val="0"/>
      <w:marTop w:val="0"/>
      <w:marBottom w:val="0"/>
      <w:divBdr>
        <w:top w:val="none" w:sz="0" w:space="0" w:color="auto"/>
        <w:left w:val="none" w:sz="0" w:space="0" w:color="auto"/>
        <w:bottom w:val="none" w:sz="0" w:space="0" w:color="auto"/>
        <w:right w:val="none" w:sz="0" w:space="0" w:color="auto"/>
      </w:divBdr>
    </w:div>
    <w:div w:id="1868105380">
      <w:bodyDiv w:val="1"/>
      <w:marLeft w:val="0"/>
      <w:marRight w:val="0"/>
      <w:marTop w:val="0"/>
      <w:marBottom w:val="0"/>
      <w:divBdr>
        <w:top w:val="none" w:sz="0" w:space="0" w:color="auto"/>
        <w:left w:val="none" w:sz="0" w:space="0" w:color="auto"/>
        <w:bottom w:val="none" w:sz="0" w:space="0" w:color="auto"/>
        <w:right w:val="none" w:sz="0" w:space="0" w:color="auto"/>
      </w:divBdr>
    </w:div>
    <w:div w:id="18795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63739-8B29-4343-BD2B-298DFCF8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12</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leminhkhiem</dc:creator>
  <cp:lastModifiedBy>Hanh, Mai Nguyen Hanh (CS-TCT)</cp:lastModifiedBy>
  <cp:revision>116</cp:revision>
  <cp:lastPrinted>2023-07-20T05:36:00Z</cp:lastPrinted>
  <dcterms:created xsi:type="dcterms:W3CDTF">2023-04-10T06:28:00Z</dcterms:created>
  <dcterms:modified xsi:type="dcterms:W3CDTF">2023-07-20T07:09:00Z</dcterms:modified>
</cp:coreProperties>
</file>