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9B44A" w14:textId="77777777" w:rsidR="009904D4" w:rsidRDefault="009904D4" w:rsidP="009904D4">
      <w:pPr>
        <w:pStyle w:val="p1"/>
        <w:spacing w:before="0" w:beforeAutospacing="0" w:after="120" w:afterAutospacing="0"/>
        <w:jc w:val="both"/>
        <w:rPr>
          <w:rStyle w:val="s2"/>
          <w:b/>
          <w:color w:val="000000" w:themeColor="text1"/>
          <w:sz w:val="26"/>
          <w:szCs w:val="26"/>
        </w:rPr>
      </w:pPr>
    </w:p>
    <w:p w14:paraId="0F062D3D" w14:textId="77777777" w:rsidR="009904D4" w:rsidRDefault="009904D4" w:rsidP="009904D4">
      <w:pPr>
        <w:pStyle w:val="p1"/>
        <w:spacing w:before="0" w:beforeAutospacing="0" w:after="120" w:afterAutospacing="0"/>
        <w:jc w:val="center"/>
        <w:rPr>
          <w:rStyle w:val="s2"/>
          <w:b/>
          <w:color w:val="000000" w:themeColor="text1"/>
          <w:sz w:val="26"/>
          <w:szCs w:val="26"/>
        </w:rPr>
      </w:pPr>
      <w:r w:rsidRPr="002D45CC">
        <w:rPr>
          <w:rStyle w:val="s2"/>
          <w:b/>
          <w:color w:val="000000" w:themeColor="text1"/>
          <w:sz w:val="26"/>
          <w:szCs w:val="26"/>
        </w:rPr>
        <w:t xml:space="preserve">KINH NGHIỆM QUỐC TẾ VỀ CHÍNH SÁCH THUẾ </w:t>
      </w:r>
    </w:p>
    <w:p w14:paraId="7B023308" w14:textId="77777777" w:rsidR="009904D4" w:rsidRPr="002D45CC" w:rsidRDefault="009904D4" w:rsidP="009904D4">
      <w:pPr>
        <w:pStyle w:val="p1"/>
        <w:spacing w:before="0" w:beforeAutospacing="0" w:after="120" w:afterAutospacing="0"/>
        <w:jc w:val="center"/>
        <w:rPr>
          <w:rStyle w:val="s1"/>
          <w:color w:val="000000" w:themeColor="text1"/>
          <w:sz w:val="26"/>
          <w:szCs w:val="26"/>
          <w:lang w:val="vi-VN"/>
        </w:rPr>
      </w:pPr>
      <w:r w:rsidRPr="002D45CC">
        <w:rPr>
          <w:rStyle w:val="s2"/>
          <w:b/>
          <w:color w:val="000000" w:themeColor="text1"/>
          <w:sz w:val="26"/>
          <w:szCs w:val="26"/>
        </w:rPr>
        <w:t>ĐỐI VỚI NƯỚC GIẢI KHÁT CÓ ĐƯỜNG</w:t>
      </w:r>
    </w:p>
    <w:p w14:paraId="78238F1F" w14:textId="488E0F6F" w:rsidR="000447A9" w:rsidRPr="002D45CC" w:rsidRDefault="007E5123" w:rsidP="004B524F">
      <w:pPr>
        <w:pStyle w:val="p1"/>
        <w:spacing w:before="0" w:beforeAutospacing="0" w:after="120" w:afterAutospacing="0"/>
        <w:jc w:val="both"/>
        <w:rPr>
          <w:b/>
          <w:bCs/>
          <w:color w:val="000000" w:themeColor="text1"/>
          <w:sz w:val="26"/>
          <w:szCs w:val="26"/>
          <w:lang w:val="vi-VN"/>
        </w:rPr>
      </w:pPr>
      <w:r w:rsidRPr="002D45CC">
        <w:rPr>
          <w:b/>
          <w:bCs/>
          <w:color w:val="000000" w:themeColor="text1"/>
          <w:sz w:val="26"/>
          <w:szCs w:val="26"/>
          <w:lang w:val="vi-VN"/>
        </w:rPr>
        <w:t>1.</w:t>
      </w:r>
      <w:r w:rsidR="001A7909" w:rsidRPr="002D45CC">
        <w:rPr>
          <w:b/>
          <w:bCs/>
          <w:color w:val="000000" w:themeColor="text1"/>
          <w:sz w:val="26"/>
          <w:szCs w:val="26"/>
          <w:lang w:val="vi-VN"/>
        </w:rPr>
        <w:t xml:space="preserve"> </w:t>
      </w:r>
      <w:r w:rsidR="00CD0DA1" w:rsidRPr="002D45CC">
        <w:rPr>
          <w:b/>
          <w:bCs/>
          <w:color w:val="000000" w:themeColor="text1"/>
          <w:sz w:val="26"/>
          <w:szCs w:val="26"/>
          <w:lang w:val="vi-VN"/>
        </w:rPr>
        <w:t xml:space="preserve">Tổng quan về </w:t>
      </w:r>
      <w:r w:rsidR="005C26E4" w:rsidRPr="002D45CC">
        <w:rPr>
          <w:b/>
          <w:bCs/>
          <w:color w:val="000000" w:themeColor="text1"/>
          <w:sz w:val="26"/>
          <w:szCs w:val="26"/>
          <w:lang w:val="vi-VN"/>
        </w:rPr>
        <w:t>các nước đã và đang áp dụng chính sách thuế đối với</w:t>
      </w:r>
      <w:r w:rsidR="00B2037F" w:rsidRPr="002D45CC">
        <w:rPr>
          <w:b/>
          <w:bCs/>
          <w:color w:val="000000" w:themeColor="text1"/>
          <w:sz w:val="26"/>
          <w:szCs w:val="26"/>
          <w:lang w:val="vi-VN"/>
        </w:rPr>
        <w:t xml:space="preserve"> </w:t>
      </w:r>
      <w:r w:rsidR="005C26E4" w:rsidRPr="002D45CC">
        <w:rPr>
          <w:b/>
          <w:bCs/>
          <w:color w:val="000000" w:themeColor="text1"/>
          <w:sz w:val="26"/>
          <w:szCs w:val="26"/>
          <w:lang w:val="vi-VN"/>
        </w:rPr>
        <w:t>nước giải khát có đường</w:t>
      </w:r>
    </w:p>
    <w:p w14:paraId="40F29245" w14:textId="29E8D7E0" w:rsidR="005266E8" w:rsidRPr="002D45CC" w:rsidRDefault="004B524F" w:rsidP="005266E8">
      <w:pPr>
        <w:spacing w:before="120" w:after="120"/>
        <w:contextualSpacing/>
        <w:jc w:val="both"/>
        <w:rPr>
          <w:rFonts w:ascii="Times New Roman" w:hAnsi="Times New Roman" w:cs="Times New Roman"/>
          <w:color w:val="000000" w:themeColor="text1"/>
          <w:sz w:val="26"/>
          <w:szCs w:val="26"/>
          <w:lang w:val="vi-VN"/>
        </w:rPr>
      </w:pPr>
      <w:r w:rsidRPr="002D45CC">
        <w:rPr>
          <w:rFonts w:ascii="Times New Roman" w:hAnsi="Times New Roman" w:cs="Times New Roman"/>
          <w:color w:val="000000" w:themeColor="text1"/>
          <w:sz w:val="26"/>
          <w:szCs w:val="26"/>
          <w:lang w:val="vi-VN"/>
        </w:rPr>
        <w:t xml:space="preserve">Hiện nay chỉ có khoảng </w:t>
      </w:r>
      <w:r w:rsidRPr="002D45CC">
        <w:rPr>
          <w:rFonts w:ascii="Times New Roman" w:hAnsi="Times New Roman" w:cs="Times New Roman"/>
          <w:b/>
          <w:bCs/>
          <w:color w:val="000000" w:themeColor="text1"/>
          <w:sz w:val="26"/>
          <w:szCs w:val="26"/>
          <w:lang w:val="vi-VN"/>
        </w:rPr>
        <w:t>45 quốc gia</w:t>
      </w:r>
      <w:r w:rsidRPr="002D45CC">
        <w:rPr>
          <w:rFonts w:ascii="Times New Roman" w:hAnsi="Times New Roman" w:cs="Times New Roman"/>
          <w:color w:val="000000" w:themeColor="text1"/>
          <w:sz w:val="26"/>
          <w:szCs w:val="26"/>
          <w:lang w:val="vi-VN"/>
        </w:rPr>
        <w:t xml:space="preserve"> (</w:t>
      </w:r>
      <w:r w:rsidRPr="002D45CC">
        <w:rPr>
          <w:rFonts w:ascii="Times New Roman" w:hAnsi="Times New Roman" w:cs="Times New Roman"/>
          <w:b/>
          <w:bCs/>
          <w:color w:val="000000" w:themeColor="text1"/>
          <w:sz w:val="26"/>
          <w:szCs w:val="26"/>
          <w:lang w:val="vi-VN"/>
        </w:rPr>
        <w:t>chưa đến ¼</w:t>
      </w:r>
      <w:r w:rsidRPr="002D45CC">
        <w:rPr>
          <w:rFonts w:ascii="Times New Roman" w:hAnsi="Times New Roman" w:cs="Times New Roman"/>
          <w:color w:val="000000" w:themeColor="text1"/>
          <w:sz w:val="26"/>
          <w:szCs w:val="26"/>
          <w:lang w:val="vi-VN"/>
        </w:rPr>
        <w:t xml:space="preserve"> các nước trên </w:t>
      </w:r>
      <w:r w:rsidRPr="002D45CC">
        <w:rPr>
          <w:rFonts w:ascii="Times New Roman" w:hAnsi="Times New Roman" w:cs="Times New Roman"/>
          <w:b/>
          <w:bCs/>
          <w:color w:val="000000" w:themeColor="text1"/>
          <w:sz w:val="26"/>
          <w:szCs w:val="26"/>
          <w:lang w:val="vi-VN"/>
        </w:rPr>
        <w:t>thế giới</w:t>
      </w:r>
      <w:r w:rsidRPr="002D45CC">
        <w:rPr>
          <w:rFonts w:ascii="Times New Roman" w:hAnsi="Times New Roman" w:cs="Times New Roman"/>
          <w:color w:val="000000" w:themeColor="text1"/>
          <w:sz w:val="26"/>
          <w:szCs w:val="26"/>
          <w:lang w:val="vi-VN"/>
        </w:rPr>
        <w:t xml:space="preserve">) áp dụng thuế tiêu thụ đặc biệt đối với nước giải khát có đường nhưng kinh nghiệm ở một số quốc gia đã áp dụng cũng cho thấy rằng việc áp dụng thuế TTĐB đối với nước giải khát có đường đã không đạt hiệu quả trong việc làm giảm tỷ lệ thừa cân, béo phì. </w:t>
      </w:r>
      <w:r w:rsidR="002D45CC">
        <w:rPr>
          <w:rFonts w:ascii="Times New Roman" w:hAnsi="Times New Roman" w:cs="Times New Roman"/>
          <w:color w:val="000000" w:themeColor="text1"/>
          <w:sz w:val="26"/>
          <w:szCs w:val="26"/>
          <w:lang w:val="vi-VN"/>
        </w:rPr>
        <w:t>Cụ thể:</w:t>
      </w:r>
    </w:p>
    <w:p w14:paraId="0616A282" w14:textId="4010E81D" w:rsidR="005266E8" w:rsidRPr="002D45CC" w:rsidRDefault="002D45CC" w:rsidP="009904D4">
      <w:pPr>
        <w:pStyle w:val="p1"/>
        <w:numPr>
          <w:ilvl w:val="0"/>
          <w:numId w:val="12"/>
        </w:numPr>
        <w:spacing w:before="0" w:beforeAutospacing="0" w:after="120" w:afterAutospacing="0"/>
        <w:ind w:left="0" w:firstLine="0"/>
        <w:jc w:val="both"/>
        <w:rPr>
          <w:rStyle w:val="ui-provider"/>
          <w:color w:val="000000" w:themeColor="text1"/>
          <w:sz w:val="26"/>
          <w:szCs w:val="26"/>
        </w:rPr>
      </w:pPr>
      <w:r w:rsidRPr="002D45CC">
        <w:rPr>
          <w:b/>
          <w:bCs/>
          <w:color w:val="000000" w:themeColor="text1"/>
          <w:sz w:val="26"/>
          <w:szCs w:val="26"/>
          <w:lang w:val="vi-VN"/>
        </w:rPr>
        <w:t>Nhiều nước đã áp dụng nhưng tỷ lệ thừa cân béo phì vẫn tiếp tục gia tăng</w:t>
      </w:r>
      <w:r>
        <w:rPr>
          <w:color w:val="000000" w:themeColor="text1"/>
          <w:sz w:val="26"/>
          <w:szCs w:val="26"/>
          <w:lang w:val="vi-VN"/>
        </w:rPr>
        <w:t xml:space="preserve"> đều qua các năm như </w:t>
      </w:r>
      <w:r w:rsidR="004B524F" w:rsidRPr="002D45CC">
        <w:rPr>
          <w:color w:val="000000" w:themeColor="text1"/>
          <w:sz w:val="26"/>
          <w:szCs w:val="26"/>
        </w:rPr>
        <w:t>Chi-lê, Mexico, Ấn Độ, Bỉ, Phần Lan, Latvia</w:t>
      </w:r>
      <w:r w:rsidR="004B524F" w:rsidRPr="002D45CC">
        <w:rPr>
          <w:color w:val="000000" w:themeColor="text1"/>
          <w:sz w:val="26"/>
          <w:szCs w:val="26"/>
          <w:lang w:val="vi-VN"/>
        </w:rPr>
        <w:t xml:space="preserve"> và Brunei. </w:t>
      </w:r>
      <w:r w:rsidR="004B524F" w:rsidRPr="006C7C2F">
        <w:rPr>
          <w:rStyle w:val="ui-provider"/>
          <w:b/>
          <w:bCs/>
          <w:color w:val="000000" w:themeColor="text1"/>
          <w:sz w:val="26"/>
          <w:szCs w:val="26"/>
        </w:rPr>
        <w:t>Chi-lê</w:t>
      </w:r>
      <w:r w:rsidR="004B524F" w:rsidRPr="002D45CC">
        <w:rPr>
          <w:rStyle w:val="ui-provider"/>
          <w:color w:val="000000" w:themeColor="text1"/>
          <w:sz w:val="26"/>
          <w:szCs w:val="26"/>
        </w:rPr>
        <w:t xml:space="preserve"> </w:t>
      </w:r>
      <w:r w:rsidR="004B524F" w:rsidRPr="002D45CC">
        <w:rPr>
          <w:rStyle w:val="ui-provider"/>
          <w:color w:val="000000" w:themeColor="text1"/>
          <w:sz w:val="26"/>
          <w:szCs w:val="26"/>
          <w:lang w:val="vi-VN"/>
        </w:rPr>
        <w:t>áp</w:t>
      </w:r>
      <w:r w:rsidR="004B524F" w:rsidRPr="002D45CC">
        <w:rPr>
          <w:rStyle w:val="ui-provider"/>
          <w:color w:val="000000" w:themeColor="text1"/>
          <w:sz w:val="26"/>
          <w:szCs w:val="26"/>
        </w:rPr>
        <w:t xml:space="preserve"> thuế TTĐB đối với nước giải khát có đường từ năm 2014 nhưng</w:t>
      </w:r>
      <w:r w:rsidR="004B524F" w:rsidRPr="002D45CC">
        <w:rPr>
          <w:rStyle w:val="ui-provider"/>
          <w:color w:val="000000" w:themeColor="text1"/>
          <w:sz w:val="26"/>
          <w:szCs w:val="26"/>
          <w:lang w:val="vi-VN"/>
        </w:rPr>
        <w:t xml:space="preserve"> đến năm 2016-2017 </w:t>
      </w:r>
      <w:r w:rsidR="004B524F" w:rsidRPr="002D45CC">
        <w:rPr>
          <w:rStyle w:val="ui-provider"/>
          <w:color w:val="000000" w:themeColor="text1"/>
          <w:sz w:val="26"/>
          <w:szCs w:val="26"/>
        </w:rPr>
        <w:t>tỷ</w:t>
      </w:r>
      <w:r w:rsidR="004B524F" w:rsidRPr="002D45CC">
        <w:rPr>
          <w:rStyle w:val="ui-provider"/>
          <w:color w:val="000000" w:themeColor="text1"/>
          <w:sz w:val="26"/>
          <w:szCs w:val="26"/>
          <w:lang w:val="vi-VN"/>
        </w:rPr>
        <w:t xml:space="preserve"> lệ TCBP tại nước này vẫn gia tăng liên tục từ 19,2% lên 30,3% đối với nam giới và từ 30,7% lên</w:t>
      </w:r>
      <w:r w:rsidR="004B524F" w:rsidRPr="002D45CC">
        <w:rPr>
          <w:rStyle w:val="ui-provider"/>
          <w:color w:val="000000" w:themeColor="text1"/>
          <w:sz w:val="26"/>
          <w:szCs w:val="26"/>
        </w:rPr>
        <w:t xml:space="preserve"> </w:t>
      </w:r>
      <w:r w:rsidR="004B524F" w:rsidRPr="002D45CC">
        <w:rPr>
          <w:color w:val="000000" w:themeColor="text1"/>
          <w:sz w:val="26"/>
          <w:szCs w:val="26"/>
          <w:lang w:val="vi-VN"/>
        </w:rPr>
        <w:t xml:space="preserve">38,4% đối với nữ giới. </w:t>
      </w:r>
      <w:r w:rsidR="004B524F" w:rsidRPr="009904D4">
        <w:rPr>
          <w:rStyle w:val="s2"/>
          <w:b/>
        </w:rPr>
        <w:t>Tương</w:t>
      </w:r>
      <w:r w:rsidR="004B524F" w:rsidRPr="002D45CC">
        <w:rPr>
          <w:color w:val="000000" w:themeColor="text1"/>
          <w:sz w:val="26"/>
          <w:szCs w:val="26"/>
          <w:lang w:val="vi-VN"/>
        </w:rPr>
        <w:t xml:space="preserve"> tự, tại </w:t>
      </w:r>
      <w:r w:rsidR="004B524F" w:rsidRPr="006C7C2F">
        <w:rPr>
          <w:rStyle w:val="ui-provider"/>
          <w:b/>
          <w:bCs/>
          <w:color w:val="000000" w:themeColor="text1"/>
          <w:sz w:val="26"/>
          <w:szCs w:val="26"/>
        </w:rPr>
        <w:t>Mexico</w:t>
      </w:r>
      <w:r w:rsidR="004B524F" w:rsidRPr="002D45CC">
        <w:rPr>
          <w:rStyle w:val="ui-provider"/>
          <w:color w:val="000000" w:themeColor="text1"/>
          <w:sz w:val="26"/>
          <w:szCs w:val="26"/>
        </w:rPr>
        <w:t xml:space="preserve"> sau 2 năm áp thuế, lượng tiêu thụ </w:t>
      </w:r>
      <w:r w:rsidR="004B524F" w:rsidRPr="002D45CC">
        <w:rPr>
          <w:rStyle w:val="ui-provider"/>
          <w:color w:val="000000" w:themeColor="text1"/>
          <w:sz w:val="26"/>
          <w:szCs w:val="26"/>
          <w:lang w:val="vi-VN"/>
        </w:rPr>
        <w:t>đồ uống có đường</w:t>
      </w:r>
      <w:r w:rsidR="004B524F" w:rsidRPr="002D45CC">
        <w:rPr>
          <w:rStyle w:val="ui-provider"/>
          <w:color w:val="000000" w:themeColor="text1"/>
          <w:sz w:val="26"/>
          <w:szCs w:val="26"/>
        </w:rPr>
        <w:t xml:space="preserve"> </w:t>
      </w:r>
      <w:r w:rsidR="004B524F" w:rsidRPr="002D45CC">
        <w:rPr>
          <w:rStyle w:val="ui-provider"/>
          <w:color w:val="000000" w:themeColor="text1"/>
          <w:sz w:val="26"/>
          <w:szCs w:val="26"/>
          <w:lang w:val="vi-VN"/>
        </w:rPr>
        <w:t>ở</w:t>
      </w:r>
      <w:r w:rsidR="004B524F" w:rsidRPr="002D45CC">
        <w:rPr>
          <w:rStyle w:val="ui-provider"/>
          <w:color w:val="000000" w:themeColor="text1"/>
          <w:sz w:val="26"/>
          <w:szCs w:val="26"/>
        </w:rPr>
        <w:t xml:space="preserve"> Mexico có xu hướng tăng trở lại ở mức 1,6% so</w:t>
      </w:r>
      <w:r w:rsidR="004B524F" w:rsidRPr="002D45CC">
        <w:rPr>
          <w:rStyle w:val="ui-provider"/>
          <w:color w:val="000000" w:themeColor="text1"/>
          <w:sz w:val="26"/>
          <w:szCs w:val="26"/>
          <w:lang w:val="vi-VN"/>
        </w:rPr>
        <w:t xml:space="preserve"> với </w:t>
      </w:r>
      <w:r w:rsidR="004B524F" w:rsidRPr="002D45CC">
        <w:rPr>
          <w:rStyle w:val="ui-provider"/>
          <w:color w:val="000000" w:themeColor="text1"/>
          <w:sz w:val="26"/>
          <w:szCs w:val="26"/>
        </w:rPr>
        <w:t>trước thời điểm áp thuế, cho thấy đây là sản phẩm có độ co giãn của cầu thấp, dẫn tới lượng tiêu thụ ít bị tác động bởi yếu tố tăng giá</w:t>
      </w:r>
      <w:r w:rsidR="004B524F" w:rsidRPr="002D45CC">
        <w:rPr>
          <w:rStyle w:val="ui-provider"/>
          <w:color w:val="000000" w:themeColor="text1"/>
          <w:sz w:val="26"/>
          <w:szCs w:val="26"/>
          <w:lang w:val="vi-VN"/>
        </w:rPr>
        <w:t xml:space="preserve">, đồng thời tỷ lệ TCBP ở cả người lớn và trẻ em </w:t>
      </w:r>
      <w:bookmarkStart w:id="0" w:name="_GoBack"/>
      <w:bookmarkEnd w:id="0"/>
      <w:r w:rsidR="004B524F" w:rsidRPr="002D45CC">
        <w:rPr>
          <w:rStyle w:val="ui-provider"/>
          <w:color w:val="000000" w:themeColor="text1"/>
          <w:sz w:val="26"/>
          <w:szCs w:val="26"/>
          <w:lang w:val="vi-VN"/>
        </w:rPr>
        <w:t>nước này vẫn gia tăng liên tục trong giai đoạn 2012 - 2021, nam giới: 69% đã tăng lên 70%; nữ tăng từ 73% lên 75%; trẻ em tăng nhanh nhất từ 35% lên 43%</w:t>
      </w:r>
      <w:r w:rsidR="004B524F" w:rsidRPr="002D45CC">
        <w:rPr>
          <w:rStyle w:val="ui-provider"/>
          <w:color w:val="000000" w:themeColor="text1"/>
          <w:sz w:val="26"/>
          <w:szCs w:val="26"/>
        </w:rPr>
        <w:t xml:space="preserve">.  </w:t>
      </w:r>
    </w:p>
    <w:tbl>
      <w:tblPr>
        <w:tblStyle w:val="TableGrid"/>
        <w:tblW w:w="9497" w:type="dxa"/>
        <w:tblInd w:w="-5" w:type="dxa"/>
        <w:tblLook w:val="04A0" w:firstRow="1" w:lastRow="0" w:firstColumn="1" w:lastColumn="0" w:noHBand="0" w:noVBand="1"/>
      </w:tblPr>
      <w:tblGrid>
        <w:gridCol w:w="950"/>
        <w:gridCol w:w="2167"/>
        <w:gridCol w:w="6380"/>
      </w:tblGrid>
      <w:tr w:rsidR="002D45CC" w:rsidRPr="002D45CC" w14:paraId="546FDA18" w14:textId="77777777" w:rsidTr="009904D4">
        <w:tc>
          <w:tcPr>
            <w:tcW w:w="950" w:type="dxa"/>
          </w:tcPr>
          <w:p w14:paraId="23711D57" w14:textId="77777777" w:rsidR="000303C9" w:rsidRPr="002D45CC" w:rsidRDefault="000303C9" w:rsidP="00720426">
            <w:pPr>
              <w:spacing w:after="120"/>
              <w:jc w:val="both"/>
              <w:rPr>
                <w:rFonts w:ascii="Times New Roman" w:hAnsi="Times New Roman" w:cs="Times New Roman"/>
                <w:b/>
                <w:color w:val="000000" w:themeColor="text1"/>
              </w:rPr>
            </w:pPr>
            <w:r w:rsidRPr="002D45CC">
              <w:rPr>
                <w:rFonts w:ascii="Times New Roman" w:hAnsi="Times New Roman" w:cs="Times New Roman"/>
                <w:b/>
                <w:color w:val="000000" w:themeColor="text1"/>
              </w:rPr>
              <w:t>Nước</w:t>
            </w:r>
          </w:p>
        </w:tc>
        <w:tc>
          <w:tcPr>
            <w:tcW w:w="2167" w:type="dxa"/>
          </w:tcPr>
          <w:p w14:paraId="457F604E" w14:textId="77777777" w:rsidR="000303C9" w:rsidRPr="002D45CC" w:rsidRDefault="000303C9" w:rsidP="00720426">
            <w:pPr>
              <w:spacing w:after="120"/>
              <w:jc w:val="both"/>
              <w:rPr>
                <w:rFonts w:ascii="Times New Roman" w:hAnsi="Times New Roman" w:cs="Times New Roman"/>
                <w:b/>
                <w:color w:val="000000" w:themeColor="text1"/>
              </w:rPr>
            </w:pPr>
            <w:r w:rsidRPr="002D45CC">
              <w:rPr>
                <w:rFonts w:ascii="Times New Roman" w:hAnsi="Times New Roman" w:cs="Times New Roman"/>
                <w:b/>
                <w:color w:val="000000" w:themeColor="text1"/>
              </w:rPr>
              <w:t>Thời điểm áp dụng</w:t>
            </w:r>
          </w:p>
        </w:tc>
        <w:tc>
          <w:tcPr>
            <w:tcW w:w="6380" w:type="dxa"/>
          </w:tcPr>
          <w:p w14:paraId="429E7809" w14:textId="77777777" w:rsidR="000303C9" w:rsidRPr="002D45CC" w:rsidRDefault="000303C9" w:rsidP="00720426">
            <w:pPr>
              <w:spacing w:after="120"/>
              <w:jc w:val="both"/>
              <w:rPr>
                <w:rFonts w:ascii="Times New Roman" w:hAnsi="Times New Roman" w:cs="Times New Roman"/>
                <w:b/>
                <w:color w:val="000000" w:themeColor="text1"/>
              </w:rPr>
            </w:pPr>
            <w:r w:rsidRPr="002D45CC">
              <w:rPr>
                <w:rFonts w:ascii="Times New Roman" w:hAnsi="Times New Roman" w:cs="Times New Roman"/>
                <w:b/>
                <w:color w:val="000000" w:themeColor="text1"/>
              </w:rPr>
              <w:t>Tỷ</w:t>
            </w:r>
            <w:r w:rsidRPr="002D45CC">
              <w:rPr>
                <w:rFonts w:ascii="Times New Roman" w:hAnsi="Times New Roman" w:cs="Times New Roman"/>
                <w:b/>
                <w:color w:val="000000" w:themeColor="text1"/>
                <w:lang w:val="vi-VN"/>
              </w:rPr>
              <w:t xml:space="preserve"> lệ thừa cân béo phì trước và sau</w:t>
            </w:r>
            <w:r w:rsidRPr="002D45CC">
              <w:rPr>
                <w:rFonts w:ascii="Times New Roman" w:hAnsi="Times New Roman" w:cs="Times New Roman"/>
                <w:b/>
                <w:color w:val="000000" w:themeColor="text1"/>
              </w:rPr>
              <w:t xml:space="preserve"> khi áp dụng</w:t>
            </w:r>
          </w:p>
        </w:tc>
      </w:tr>
      <w:tr w:rsidR="002D45CC" w:rsidRPr="002D45CC" w14:paraId="4979A65B" w14:textId="77777777" w:rsidTr="009904D4">
        <w:tc>
          <w:tcPr>
            <w:tcW w:w="950" w:type="dxa"/>
          </w:tcPr>
          <w:p w14:paraId="620EA8FA"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Chi-lê</w:t>
            </w:r>
          </w:p>
        </w:tc>
        <w:tc>
          <w:tcPr>
            <w:tcW w:w="2167" w:type="dxa"/>
          </w:tcPr>
          <w:p w14:paraId="67756BFD"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Năm 2014</w:t>
            </w:r>
          </w:p>
        </w:tc>
        <w:tc>
          <w:tcPr>
            <w:tcW w:w="6380" w:type="dxa"/>
          </w:tcPr>
          <w:p w14:paraId="1EBCBBB4"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Giai đoạn 2009-2010, tỉ lệ béo phì ở nam và nữ giới lần lượt là 19,2% và 30,7%. Sau khi áp dụng thuế TTĐB đối với nước ngọt, đến giai đoạn 2016-2017, tỉ lệ béo phì ở cả nam và nữ giới Chile đều tăng, lần lượt là 30,3% và 38,4%.</w:t>
            </w:r>
            <w:r w:rsidRPr="002D45CC">
              <w:rPr>
                <w:rStyle w:val="FootnoteReference"/>
                <w:rFonts w:ascii="Times New Roman" w:hAnsi="Times New Roman" w:cs="Times New Roman"/>
                <w:color w:val="000000" w:themeColor="text1"/>
              </w:rPr>
              <w:footnoteReference w:id="2"/>
            </w:r>
          </w:p>
        </w:tc>
      </w:tr>
      <w:tr w:rsidR="002D45CC" w:rsidRPr="002D45CC" w14:paraId="6508A899" w14:textId="77777777" w:rsidTr="009904D4">
        <w:tc>
          <w:tcPr>
            <w:tcW w:w="950" w:type="dxa"/>
          </w:tcPr>
          <w:p w14:paraId="5AEFD337"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Mexico</w:t>
            </w:r>
          </w:p>
        </w:tc>
        <w:tc>
          <w:tcPr>
            <w:tcW w:w="2167" w:type="dxa"/>
          </w:tcPr>
          <w:p w14:paraId="3D86BCDF"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Năm 2014</w:t>
            </w:r>
          </w:p>
        </w:tc>
        <w:tc>
          <w:tcPr>
            <w:tcW w:w="6380" w:type="dxa"/>
          </w:tcPr>
          <w:p w14:paraId="75089352"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 xml:space="preserve">Năm 2012, tỉ lệ béo phì ở nam giới là 26,8% còn nữ giới là 37,5%, </w:t>
            </w:r>
            <w:r w:rsidRPr="002D45CC">
              <w:rPr>
                <w:rFonts w:ascii="Times New Roman" w:hAnsi="Times New Roman" w:cs="Times New Roman"/>
                <w:color w:val="000000" w:themeColor="text1"/>
                <w:lang w:val="vi-VN"/>
              </w:rPr>
              <w:t xml:space="preserve">nhưng </w:t>
            </w:r>
            <w:r w:rsidRPr="002D45CC">
              <w:rPr>
                <w:rFonts w:ascii="Times New Roman" w:hAnsi="Times New Roman" w:cs="Times New Roman"/>
                <w:color w:val="000000" w:themeColor="text1"/>
              </w:rPr>
              <w:t>đến năm 2018-2019 thì tỉ lệ này đã tăng lên 30.5% ở nam giới và 40.2% ở nữ giới.</w:t>
            </w:r>
            <w:r w:rsidRPr="002D45CC">
              <w:rPr>
                <w:rStyle w:val="FootnoteReference"/>
                <w:rFonts w:ascii="Times New Roman" w:hAnsi="Times New Roman" w:cs="Times New Roman"/>
                <w:color w:val="000000" w:themeColor="text1"/>
              </w:rPr>
              <w:footnoteReference w:id="3"/>
            </w:r>
            <w:r w:rsidRPr="002D45CC">
              <w:rPr>
                <w:rFonts w:ascii="Times New Roman" w:hAnsi="Times New Roman" w:cs="Times New Roman"/>
                <w:color w:val="000000" w:themeColor="text1"/>
              </w:rPr>
              <w:t xml:space="preserve"> </w:t>
            </w:r>
          </w:p>
        </w:tc>
      </w:tr>
      <w:tr w:rsidR="002D45CC" w:rsidRPr="002D45CC" w14:paraId="275116F1" w14:textId="77777777" w:rsidTr="009904D4">
        <w:tc>
          <w:tcPr>
            <w:tcW w:w="950" w:type="dxa"/>
          </w:tcPr>
          <w:p w14:paraId="1838E082"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Bỉ</w:t>
            </w:r>
          </w:p>
        </w:tc>
        <w:tc>
          <w:tcPr>
            <w:tcW w:w="2167" w:type="dxa"/>
          </w:tcPr>
          <w:p w14:paraId="5909966B"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Năm 2016</w:t>
            </w:r>
          </w:p>
        </w:tc>
        <w:tc>
          <w:tcPr>
            <w:tcW w:w="6380" w:type="dxa"/>
          </w:tcPr>
          <w:p w14:paraId="5FDC73BE"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Năm 2014, tỉ lệ béo phì ở nam giới nước này là 13,9% còn ở nữ giới là 14,2%,</w:t>
            </w:r>
            <w:r w:rsidRPr="002D45CC">
              <w:rPr>
                <w:rFonts w:ascii="Times New Roman" w:hAnsi="Times New Roman" w:cs="Times New Roman"/>
                <w:color w:val="000000" w:themeColor="text1"/>
                <w:lang w:val="vi-VN"/>
              </w:rPr>
              <w:t xml:space="preserve"> nhưng</w:t>
            </w:r>
            <w:r w:rsidRPr="002D45CC">
              <w:rPr>
                <w:rFonts w:ascii="Times New Roman" w:hAnsi="Times New Roman" w:cs="Times New Roman"/>
                <w:color w:val="000000" w:themeColor="text1"/>
              </w:rPr>
              <w:t xml:space="preserve"> đến năm 2019, tỉ lệ này ở nam giới là 17,2% và nữ giới là 15,6%.</w:t>
            </w:r>
            <w:r w:rsidRPr="002D45CC">
              <w:rPr>
                <w:rStyle w:val="FootnoteReference"/>
                <w:rFonts w:ascii="Times New Roman" w:hAnsi="Times New Roman" w:cs="Times New Roman"/>
                <w:color w:val="000000" w:themeColor="text1"/>
              </w:rPr>
              <w:footnoteReference w:id="4"/>
            </w:r>
            <w:r w:rsidRPr="002D45CC">
              <w:rPr>
                <w:rFonts w:ascii="Times New Roman" w:hAnsi="Times New Roman" w:cs="Times New Roman"/>
                <w:color w:val="000000" w:themeColor="text1"/>
              </w:rPr>
              <w:t xml:space="preserve"> </w:t>
            </w:r>
          </w:p>
        </w:tc>
      </w:tr>
      <w:tr w:rsidR="002D45CC" w:rsidRPr="002D45CC" w14:paraId="3A9187BC" w14:textId="77777777" w:rsidTr="009904D4">
        <w:tc>
          <w:tcPr>
            <w:tcW w:w="950" w:type="dxa"/>
          </w:tcPr>
          <w:p w14:paraId="6CE9EA00"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Phần Lan</w:t>
            </w:r>
          </w:p>
        </w:tc>
        <w:tc>
          <w:tcPr>
            <w:tcW w:w="2167" w:type="dxa"/>
          </w:tcPr>
          <w:p w14:paraId="64C2E2A8"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Năm 1940</w:t>
            </w:r>
          </w:p>
        </w:tc>
        <w:tc>
          <w:tcPr>
            <w:tcW w:w="6380" w:type="dxa"/>
          </w:tcPr>
          <w:p w14:paraId="237E2D03"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Năm 2014, 18,9% nam giới và 17,7% nữ giới quốc gia này béo phì, còn năm 2017, tỉ lệ này lần lượt là 21.8% và 19.3%.</w:t>
            </w:r>
            <w:r w:rsidRPr="002D45CC">
              <w:rPr>
                <w:rStyle w:val="FootnoteReference"/>
                <w:rFonts w:ascii="Times New Roman" w:hAnsi="Times New Roman" w:cs="Times New Roman"/>
                <w:color w:val="000000" w:themeColor="text1"/>
              </w:rPr>
              <w:footnoteReference w:id="5"/>
            </w:r>
          </w:p>
        </w:tc>
      </w:tr>
      <w:tr w:rsidR="002D45CC" w:rsidRPr="002D45CC" w14:paraId="208C7E4D" w14:textId="77777777" w:rsidTr="009904D4">
        <w:tc>
          <w:tcPr>
            <w:tcW w:w="950" w:type="dxa"/>
          </w:tcPr>
          <w:p w14:paraId="7C11013F"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Latvia</w:t>
            </w:r>
          </w:p>
        </w:tc>
        <w:tc>
          <w:tcPr>
            <w:tcW w:w="2167" w:type="dxa"/>
          </w:tcPr>
          <w:p w14:paraId="3369D8CE"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Năm 2004</w:t>
            </w:r>
          </w:p>
        </w:tc>
        <w:tc>
          <w:tcPr>
            <w:tcW w:w="6380" w:type="dxa"/>
          </w:tcPr>
          <w:p w14:paraId="7EAF2788" w14:textId="77777777" w:rsidR="000303C9" w:rsidRPr="002D45CC" w:rsidRDefault="000303C9" w:rsidP="00720426">
            <w:pPr>
              <w:spacing w:after="120"/>
              <w:jc w:val="both"/>
              <w:rPr>
                <w:rFonts w:ascii="Times New Roman" w:hAnsi="Times New Roman" w:cs="Times New Roman"/>
                <w:color w:val="000000" w:themeColor="text1"/>
              </w:rPr>
            </w:pPr>
            <w:r w:rsidRPr="002D45CC">
              <w:rPr>
                <w:rFonts w:ascii="Times New Roman" w:hAnsi="Times New Roman" w:cs="Times New Roman"/>
                <w:color w:val="000000" w:themeColor="text1"/>
              </w:rPr>
              <w:t>Trước khi đánh thuế, tỉ lệ béo phì ở nam giới ở độ tuổi trưởng thành là 11.5% còn nữ giới là 19%. Tuy nhiên, đến năm 2019, sau 15 năm đánh thuế, tỉ lệ béo phì ở nam giới đã tăng lên thành 19.6% và nữ giới là 25.7%.</w:t>
            </w:r>
            <w:r w:rsidRPr="002D45CC">
              <w:rPr>
                <w:rStyle w:val="FootnoteReference"/>
                <w:rFonts w:ascii="Times New Roman" w:hAnsi="Times New Roman" w:cs="Times New Roman"/>
                <w:color w:val="000000" w:themeColor="text1"/>
              </w:rPr>
              <w:footnoteReference w:id="6"/>
            </w:r>
          </w:p>
        </w:tc>
      </w:tr>
    </w:tbl>
    <w:p w14:paraId="45EA106D" w14:textId="77777777" w:rsidR="000303C9" w:rsidRPr="002D45CC" w:rsidRDefault="000303C9" w:rsidP="000303C9">
      <w:pPr>
        <w:spacing w:before="120" w:after="120"/>
        <w:contextualSpacing/>
        <w:jc w:val="both"/>
        <w:rPr>
          <w:rStyle w:val="ui-provider"/>
          <w:rFonts w:ascii="Times New Roman" w:hAnsi="Times New Roman" w:cs="Times New Roman"/>
          <w:color w:val="000000" w:themeColor="text1"/>
          <w:sz w:val="26"/>
          <w:szCs w:val="26"/>
        </w:rPr>
      </w:pPr>
    </w:p>
    <w:p w14:paraId="39CF4310" w14:textId="77777777" w:rsidR="00864D78" w:rsidRDefault="004B524F" w:rsidP="00864D78">
      <w:pPr>
        <w:pStyle w:val="ListParagraph"/>
        <w:numPr>
          <w:ilvl w:val="0"/>
          <w:numId w:val="12"/>
        </w:numPr>
        <w:spacing w:before="120" w:after="120"/>
        <w:contextualSpacing/>
        <w:jc w:val="both"/>
        <w:rPr>
          <w:color w:val="000000" w:themeColor="text1"/>
          <w:sz w:val="26"/>
          <w:szCs w:val="26"/>
        </w:rPr>
      </w:pPr>
      <w:r w:rsidRPr="006C7C2F">
        <w:rPr>
          <w:b/>
          <w:bCs/>
          <w:color w:val="000000" w:themeColor="text1"/>
          <w:sz w:val="26"/>
          <w:szCs w:val="26"/>
          <w:lang w:val="vi-VN"/>
        </w:rPr>
        <w:t xml:space="preserve">Một số nước </w:t>
      </w:r>
      <w:r w:rsidR="006C7C2F" w:rsidRPr="006C7C2F">
        <w:rPr>
          <w:b/>
          <w:bCs/>
          <w:color w:val="000000" w:themeColor="text1"/>
          <w:sz w:val="26"/>
          <w:szCs w:val="26"/>
          <w:lang w:val="vi-VN"/>
        </w:rPr>
        <w:t>đã bãi bỏ chính sách thuế này</w:t>
      </w:r>
      <w:r w:rsidR="006C7C2F">
        <w:rPr>
          <w:color w:val="000000" w:themeColor="text1"/>
          <w:sz w:val="26"/>
          <w:szCs w:val="26"/>
          <w:lang w:val="vi-VN"/>
        </w:rPr>
        <w:t xml:space="preserve"> </w:t>
      </w:r>
      <w:r w:rsidRPr="002D45CC">
        <w:rPr>
          <w:color w:val="000000" w:themeColor="text1"/>
          <w:sz w:val="26"/>
          <w:szCs w:val="26"/>
          <w:lang w:val="vi-VN"/>
        </w:rPr>
        <w:t xml:space="preserve">như </w:t>
      </w:r>
      <w:r w:rsidRPr="00016F88">
        <w:rPr>
          <w:b/>
          <w:bCs/>
          <w:color w:val="000000" w:themeColor="text1"/>
          <w:sz w:val="26"/>
          <w:szCs w:val="26"/>
        </w:rPr>
        <w:t>Đan Mạch</w:t>
      </w:r>
      <w:r w:rsidRPr="00016F88">
        <w:rPr>
          <w:b/>
          <w:bCs/>
          <w:color w:val="000000" w:themeColor="text1"/>
          <w:sz w:val="26"/>
          <w:szCs w:val="26"/>
          <w:lang w:val="vi-VN"/>
        </w:rPr>
        <w:t>, Nauy</w:t>
      </w:r>
      <w:r w:rsidRPr="002D45CC">
        <w:rPr>
          <w:color w:val="000000" w:themeColor="text1"/>
          <w:sz w:val="26"/>
          <w:szCs w:val="26"/>
          <w:lang w:val="vi-VN"/>
        </w:rPr>
        <w:t xml:space="preserve"> </w:t>
      </w:r>
      <w:r w:rsidRPr="002D45CC">
        <w:rPr>
          <w:color w:val="000000" w:themeColor="text1"/>
          <w:sz w:val="26"/>
          <w:szCs w:val="26"/>
        </w:rPr>
        <w:t xml:space="preserve">vì không có tác động đáng kể đến sức khỏe của người dùng trong khi gây ra các tác động tiêu cực đến kinh tế và xã hội. </w:t>
      </w:r>
      <w:r w:rsidR="009C4BC3" w:rsidRPr="002D45CC">
        <w:rPr>
          <w:color w:val="000000" w:themeColor="text1"/>
          <w:sz w:val="26"/>
          <w:szCs w:val="26"/>
          <w:lang w:val="vi-VN"/>
        </w:rPr>
        <w:t>C</w:t>
      </w:r>
      <w:r w:rsidR="009C4BC3">
        <w:rPr>
          <w:color w:val="000000" w:themeColor="text1"/>
          <w:sz w:val="26"/>
          <w:szCs w:val="26"/>
          <w:lang w:val="vi-VN"/>
        </w:rPr>
        <w:t>ác c</w:t>
      </w:r>
      <w:r w:rsidR="009C4BC3" w:rsidRPr="002D45CC">
        <w:rPr>
          <w:color w:val="000000" w:themeColor="text1"/>
          <w:sz w:val="26"/>
          <w:szCs w:val="26"/>
          <w:lang w:val="vi-VN"/>
        </w:rPr>
        <w:t>hính phủ tuyên bố bãi bỏ thuế này nhằm tạo việc làm và giúp đỡ nền kinh tế địa phương</w:t>
      </w:r>
      <w:r w:rsidR="009C4BC3" w:rsidRPr="002D45CC">
        <w:rPr>
          <w:rStyle w:val="FootnoteReference"/>
          <w:color w:val="000000" w:themeColor="text1"/>
          <w:sz w:val="26"/>
          <w:szCs w:val="26"/>
        </w:rPr>
        <w:footnoteReference w:id="7"/>
      </w:r>
      <w:r w:rsidR="009C4BC3" w:rsidRPr="002D45CC">
        <w:rPr>
          <w:color w:val="000000" w:themeColor="text1"/>
          <w:sz w:val="26"/>
          <w:szCs w:val="26"/>
          <w:lang w:val="vi-VN"/>
        </w:rPr>
        <w:t xml:space="preserve"> </w:t>
      </w:r>
      <w:r w:rsidR="001C372D">
        <w:rPr>
          <w:color w:val="000000" w:themeColor="text1"/>
          <w:sz w:val="26"/>
          <w:szCs w:val="26"/>
          <w:lang w:val="vi-VN"/>
        </w:rPr>
        <w:t xml:space="preserve">Trong khi </w:t>
      </w:r>
      <w:r w:rsidR="009C4BC3" w:rsidRPr="002D45CC">
        <w:rPr>
          <w:color w:val="000000" w:themeColor="text1"/>
          <w:sz w:val="26"/>
          <w:szCs w:val="26"/>
          <w:lang w:val="vi-VN"/>
        </w:rPr>
        <w:t xml:space="preserve">người Đan Mạch </w:t>
      </w:r>
      <w:r w:rsidR="001C372D">
        <w:rPr>
          <w:color w:val="000000" w:themeColor="text1"/>
          <w:sz w:val="26"/>
          <w:szCs w:val="26"/>
          <w:lang w:val="vi-VN"/>
        </w:rPr>
        <w:t>có thể mua các sản phẩm thay thế từ các quốc gia lân cận với giá thành rẻ hơn</w:t>
      </w:r>
      <w:r w:rsidR="009C4BC3" w:rsidRPr="002D45CC">
        <w:rPr>
          <w:color w:val="000000" w:themeColor="text1"/>
          <w:sz w:val="26"/>
          <w:szCs w:val="26"/>
          <w:lang w:val="vi-VN"/>
        </w:rPr>
        <w:t>.</w:t>
      </w:r>
      <w:r w:rsidR="009C4BC3" w:rsidRPr="002D45CC">
        <w:rPr>
          <w:rStyle w:val="FootnoteReference"/>
          <w:color w:val="000000" w:themeColor="text1"/>
          <w:sz w:val="26"/>
          <w:szCs w:val="26"/>
        </w:rPr>
        <w:footnoteReference w:id="8"/>
      </w:r>
      <w:r w:rsidR="009C4BC3" w:rsidRPr="002D45CC">
        <w:rPr>
          <w:b/>
          <w:bCs/>
          <w:color w:val="000000" w:themeColor="text1"/>
          <w:sz w:val="26"/>
          <w:szCs w:val="26"/>
        </w:rPr>
        <w:t xml:space="preserve">    </w:t>
      </w:r>
    </w:p>
    <w:p w14:paraId="1561F135" w14:textId="7BE5CBFA" w:rsidR="00B605A7" w:rsidRPr="00864D78" w:rsidRDefault="00474520" w:rsidP="00864D78">
      <w:pPr>
        <w:pStyle w:val="ListParagraph"/>
        <w:numPr>
          <w:ilvl w:val="0"/>
          <w:numId w:val="12"/>
        </w:numPr>
        <w:spacing w:before="120" w:after="120"/>
        <w:contextualSpacing/>
        <w:jc w:val="both"/>
        <w:rPr>
          <w:color w:val="000000" w:themeColor="text1"/>
          <w:sz w:val="26"/>
          <w:szCs w:val="26"/>
        </w:rPr>
      </w:pPr>
      <w:r w:rsidRPr="00864D78">
        <w:rPr>
          <w:b/>
          <w:bCs/>
          <w:color w:val="000000" w:themeColor="text1"/>
          <w:sz w:val="26"/>
          <w:szCs w:val="26"/>
          <w:lang w:val="vi-VN"/>
        </w:rPr>
        <w:t>Nhiều quốc gia</w:t>
      </w:r>
      <w:r w:rsidR="00125874" w:rsidRPr="00864D78">
        <w:rPr>
          <w:b/>
          <w:bCs/>
          <w:color w:val="000000" w:themeColor="text1"/>
          <w:sz w:val="26"/>
          <w:szCs w:val="26"/>
          <w:lang w:val="vi-VN"/>
        </w:rPr>
        <w:t xml:space="preserve"> không sử dụng công cụ thuế trong việc</w:t>
      </w:r>
      <w:r w:rsidR="00125874" w:rsidRPr="00864D78">
        <w:rPr>
          <w:color w:val="000000" w:themeColor="text1"/>
          <w:sz w:val="26"/>
          <w:szCs w:val="26"/>
          <w:lang w:val="vi-VN"/>
        </w:rPr>
        <w:t xml:space="preserve"> </w:t>
      </w:r>
      <w:r w:rsidR="00125874" w:rsidRPr="00864D78">
        <w:rPr>
          <w:b/>
          <w:bCs/>
          <w:color w:val="000000" w:themeColor="text1"/>
          <w:sz w:val="26"/>
          <w:szCs w:val="26"/>
          <w:lang w:val="vi-VN"/>
        </w:rPr>
        <w:t>kiểm soát thừa cân, béo phì</w:t>
      </w:r>
      <w:r w:rsidR="00125874" w:rsidRPr="00864D78">
        <w:rPr>
          <w:color w:val="000000" w:themeColor="text1"/>
          <w:sz w:val="26"/>
          <w:szCs w:val="26"/>
          <w:lang w:val="vi-VN"/>
        </w:rPr>
        <w:t xml:space="preserve"> </w:t>
      </w:r>
      <w:r w:rsidRPr="00864D78">
        <w:rPr>
          <w:color w:val="000000" w:themeColor="text1"/>
          <w:sz w:val="26"/>
          <w:szCs w:val="26"/>
          <w:lang w:val="vi-VN"/>
        </w:rPr>
        <w:t xml:space="preserve">như </w:t>
      </w:r>
      <w:r w:rsidR="00125874" w:rsidRPr="00864D78">
        <w:rPr>
          <w:color w:val="000000" w:themeColor="text1"/>
          <w:sz w:val="26"/>
          <w:szCs w:val="26"/>
          <w:lang w:val="vi-VN"/>
        </w:rPr>
        <w:t>Nhật Bản, Singapore hay Đức</w:t>
      </w:r>
      <w:r w:rsidRPr="00864D78">
        <w:rPr>
          <w:color w:val="000000" w:themeColor="text1"/>
          <w:sz w:val="26"/>
          <w:szCs w:val="26"/>
          <w:lang w:val="vi-VN"/>
        </w:rPr>
        <w:t xml:space="preserve">, New Zealand. Ví dụ, tại </w:t>
      </w:r>
      <w:r w:rsidRPr="00864D78">
        <w:rPr>
          <w:b/>
          <w:bCs/>
          <w:color w:val="000000" w:themeColor="text1"/>
          <w:sz w:val="26"/>
          <w:szCs w:val="26"/>
        </w:rPr>
        <w:t xml:space="preserve">Nhật </w:t>
      </w:r>
      <w:r w:rsidR="00147988" w:rsidRPr="00864D78">
        <w:rPr>
          <w:b/>
          <w:bCs/>
          <w:color w:val="000000" w:themeColor="text1"/>
          <w:sz w:val="26"/>
          <w:szCs w:val="26"/>
        </w:rPr>
        <w:t>Bản</w:t>
      </w:r>
      <w:r w:rsidR="00147988" w:rsidRPr="00864D78">
        <w:rPr>
          <w:color w:val="000000" w:themeColor="text1"/>
          <w:sz w:val="26"/>
          <w:szCs w:val="26"/>
          <w:lang w:val="vi-VN"/>
        </w:rPr>
        <w:t xml:space="preserve"> </w:t>
      </w:r>
      <w:r w:rsidRPr="00864D78">
        <w:rPr>
          <w:color w:val="000000" w:themeColor="text1"/>
          <w:sz w:val="26"/>
          <w:szCs w:val="26"/>
          <w:lang w:val="vi-VN"/>
        </w:rPr>
        <w:t>m</w:t>
      </w:r>
      <w:r w:rsidRPr="00864D78">
        <w:rPr>
          <w:color w:val="000000" w:themeColor="text1"/>
          <w:sz w:val="26"/>
          <w:szCs w:val="26"/>
        </w:rPr>
        <w:t>ặc dù có tỷ lệ tiêu thụ nước giải khát cao hơn nhiều so với Việt Nam (116kg/người/ năm) nhưng tỷ lệ béo phì ở quốc gia này chỉ 3,5%. Nhật Bản đã xây dựng hai bộ luật Shuku Iku và Metabo, trong đó quy định quá trình xây dựng thực đơn lành mạnh trong các trường học và thực hiện các bài giảng về dinh dưỡng cho học sinh. Bộ luật này cũng yêu cầu các công ty phải có thời gian nghỉ giữa giờ để nhân viên tập thể dục, đồng thời khuyến khích nhân viên tham gia hoạt động thể chất sau giờ làm việc.</w:t>
      </w:r>
      <w:r w:rsidRPr="00864D78">
        <w:rPr>
          <w:color w:val="000000" w:themeColor="text1"/>
          <w:sz w:val="26"/>
          <w:szCs w:val="26"/>
          <w:lang w:val="vi-VN"/>
        </w:rPr>
        <w:t xml:space="preserve"> </w:t>
      </w:r>
      <w:r w:rsidRPr="00864D78">
        <w:rPr>
          <w:color w:val="000000" w:themeColor="text1"/>
          <w:sz w:val="26"/>
          <w:szCs w:val="26"/>
        </w:rPr>
        <w:t xml:space="preserve">Chính phủ </w:t>
      </w:r>
      <w:r w:rsidRPr="00864D78">
        <w:rPr>
          <w:b/>
          <w:bCs/>
          <w:color w:val="000000" w:themeColor="text1"/>
          <w:sz w:val="26"/>
          <w:szCs w:val="26"/>
        </w:rPr>
        <w:t xml:space="preserve">Singapore </w:t>
      </w:r>
      <w:r w:rsidRPr="00864D78">
        <w:rPr>
          <w:color w:val="000000" w:themeColor="text1"/>
          <w:sz w:val="26"/>
          <w:szCs w:val="26"/>
        </w:rPr>
        <w:t xml:space="preserve">tập trung vào các chính sách tăng cường hoạt động thể chất và dinh dưỡng như Chương trình Bữa ăn lành mạnh tại trường học và Thử thách Bước chân Quốc gia. </w:t>
      </w:r>
      <w:r w:rsidRPr="00864D78">
        <w:rPr>
          <w:b/>
          <w:bCs/>
          <w:color w:val="000000" w:themeColor="text1"/>
          <w:sz w:val="26"/>
          <w:szCs w:val="26"/>
        </w:rPr>
        <w:t>Đức</w:t>
      </w:r>
      <w:r w:rsidRPr="00864D78">
        <w:rPr>
          <w:color w:val="000000" w:themeColor="text1"/>
          <w:sz w:val="26"/>
          <w:szCs w:val="26"/>
        </w:rPr>
        <w:t xml:space="preserve"> đang áp dụng các chính sách hướng dẫn về chế độ ăn uống và hoạt động thể chất, áp đặt các hạn chế trong quảng cáo và nhãn dinh dưỡng; trong đó các biện pháp về truyền thông và khuyến khích cải cách được ước tính là giúp phòng chống 218 nghìn bệnh không lây nhiễm đến năm 2050.</w:t>
      </w:r>
      <w:r w:rsidR="00147988" w:rsidRPr="00864D78">
        <w:rPr>
          <w:color w:val="000000" w:themeColor="text1"/>
          <w:sz w:val="26"/>
          <w:szCs w:val="26"/>
          <w:lang w:val="vi-VN"/>
        </w:rPr>
        <w:t xml:space="preserve"> </w:t>
      </w:r>
      <w:r w:rsidR="004B524F" w:rsidRPr="00864D78">
        <w:rPr>
          <w:b/>
          <w:bCs/>
          <w:color w:val="000000" w:themeColor="text1"/>
          <w:sz w:val="26"/>
          <w:szCs w:val="26"/>
          <w:lang w:val="vi-VN"/>
        </w:rPr>
        <w:t>New Zealand</w:t>
      </w:r>
      <w:r w:rsidR="004B524F" w:rsidRPr="00864D78">
        <w:rPr>
          <w:color w:val="000000" w:themeColor="text1"/>
          <w:sz w:val="26"/>
          <w:szCs w:val="26"/>
          <w:lang w:val="vi-VN"/>
        </w:rPr>
        <w:t xml:space="preserve"> cũng không áp dụng chính sách thuế này. Viện Nghiên cứu kinh tế </w:t>
      </w:r>
      <w:r w:rsidR="004B524F" w:rsidRPr="00864D78">
        <w:rPr>
          <w:color w:val="000000" w:themeColor="text1"/>
          <w:sz w:val="26"/>
          <w:szCs w:val="26"/>
        </w:rPr>
        <w:t>New Zealand</w:t>
      </w:r>
      <w:r w:rsidR="004B524F" w:rsidRPr="00864D78">
        <w:rPr>
          <w:color w:val="000000" w:themeColor="text1"/>
          <w:sz w:val="26"/>
          <w:szCs w:val="26"/>
          <w:lang w:val="vi-VN"/>
        </w:rPr>
        <w:t xml:space="preserve"> đã thực hiện một báo cáo toàn diện về tác động của thuế đường, trong đó kết luận rằng chính sách thuế đường có tác động yếu trong việc cải thiện sức khỏe. Cụ thể, báo cáo này chỉ ra rằng tác động thuế đường đối với </w:t>
      </w:r>
      <w:r w:rsidR="004B524F" w:rsidRPr="00864D78">
        <w:rPr>
          <w:color w:val="000000" w:themeColor="text1"/>
          <w:sz w:val="26"/>
          <w:szCs w:val="26"/>
        </w:rPr>
        <w:t xml:space="preserve">mức giảm lượng tiêu thụ </w:t>
      </w:r>
      <w:r w:rsidR="004B524F" w:rsidRPr="00864D78">
        <w:rPr>
          <w:color w:val="000000" w:themeColor="text1"/>
          <w:sz w:val="26"/>
          <w:szCs w:val="26"/>
          <w:lang w:val="vi-VN"/>
        </w:rPr>
        <w:t xml:space="preserve">là </w:t>
      </w:r>
      <w:r w:rsidR="004B524F" w:rsidRPr="00864D78">
        <w:rPr>
          <w:color w:val="000000" w:themeColor="text1"/>
          <w:sz w:val="26"/>
          <w:szCs w:val="26"/>
        </w:rPr>
        <w:t xml:space="preserve">quá nhỏ để tạo ra lợi ích về sức khỏe, </w:t>
      </w:r>
      <w:r w:rsidR="004B524F" w:rsidRPr="00864D78">
        <w:rPr>
          <w:color w:val="000000" w:themeColor="text1"/>
          <w:sz w:val="26"/>
          <w:szCs w:val="26"/>
          <w:lang w:val="vi-VN"/>
        </w:rPr>
        <w:t>người tiêu dùng có thể tìm kiếm</w:t>
      </w:r>
      <w:r w:rsidR="004B524F" w:rsidRPr="00864D78">
        <w:rPr>
          <w:color w:val="000000" w:themeColor="text1"/>
          <w:sz w:val="26"/>
          <w:szCs w:val="26"/>
        </w:rPr>
        <w:t xml:space="preserve"> những nguồn tiêu thụ đường hay calorie khác</w:t>
      </w:r>
      <w:r w:rsidR="004B524F" w:rsidRPr="002D45CC">
        <w:rPr>
          <w:rStyle w:val="FootnoteReference"/>
          <w:color w:val="000000" w:themeColor="text1"/>
          <w:sz w:val="26"/>
          <w:szCs w:val="26"/>
        </w:rPr>
        <w:footnoteReference w:id="9"/>
      </w:r>
      <w:r w:rsidR="004B524F" w:rsidRPr="00864D78">
        <w:rPr>
          <w:color w:val="000000" w:themeColor="text1"/>
          <w:sz w:val="26"/>
          <w:szCs w:val="26"/>
        </w:rPr>
        <w:t xml:space="preserve">. </w:t>
      </w:r>
      <w:r w:rsidR="00FB4950" w:rsidRPr="00864D78">
        <w:rPr>
          <w:color w:val="000000" w:themeColor="text1"/>
          <w:sz w:val="26"/>
          <w:szCs w:val="26"/>
        </w:rPr>
        <w:t xml:space="preserve">Một số </w:t>
      </w:r>
      <w:r w:rsidR="00FB4950" w:rsidRPr="00864D78">
        <w:rPr>
          <w:b/>
          <w:bCs/>
          <w:color w:val="000000" w:themeColor="text1"/>
          <w:sz w:val="26"/>
          <w:szCs w:val="26"/>
        </w:rPr>
        <w:t>hạt, tiểu bang tại Mỹ</w:t>
      </w:r>
      <w:r w:rsidR="00FB4950" w:rsidRPr="00864D78">
        <w:rPr>
          <w:color w:val="000000" w:themeColor="text1"/>
          <w:sz w:val="26"/>
          <w:szCs w:val="26"/>
        </w:rPr>
        <w:t xml:space="preserve"> cũng đã bãi bỏ thuế TTĐB với nước ngọt ban hành trước đó. Chưa đầy một năm kể từ khi thông qua sắc lệnh áp thuế TTĐB với đồ uống có đường, Quận Cook, </w:t>
      </w:r>
      <w:r w:rsidR="00864D78" w:rsidRPr="00864D78">
        <w:rPr>
          <w:b/>
          <w:bCs/>
          <w:color w:val="000000" w:themeColor="text1"/>
          <w:sz w:val="26"/>
          <w:szCs w:val="26"/>
        </w:rPr>
        <w:t>bang</w:t>
      </w:r>
      <w:r w:rsidR="00864D78" w:rsidRPr="00864D78">
        <w:rPr>
          <w:b/>
          <w:bCs/>
          <w:color w:val="000000" w:themeColor="text1"/>
          <w:sz w:val="26"/>
          <w:szCs w:val="26"/>
          <w:lang w:val="vi-VN"/>
        </w:rPr>
        <w:t xml:space="preserve"> </w:t>
      </w:r>
      <w:r w:rsidR="00FB4950" w:rsidRPr="00864D78">
        <w:rPr>
          <w:b/>
          <w:bCs/>
          <w:color w:val="000000" w:themeColor="text1"/>
          <w:sz w:val="26"/>
          <w:szCs w:val="26"/>
        </w:rPr>
        <w:t>Illinois</w:t>
      </w:r>
      <w:r w:rsidR="00FB4950" w:rsidRPr="00864D78">
        <w:rPr>
          <w:color w:val="000000" w:themeColor="text1"/>
          <w:sz w:val="26"/>
          <w:szCs w:val="26"/>
        </w:rPr>
        <w:t xml:space="preserve"> đã bãi bỏ sắc thuế này. Tháng 6 năm 2018, </w:t>
      </w:r>
      <w:r w:rsidR="00FB4950" w:rsidRPr="00864D78">
        <w:rPr>
          <w:b/>
          <w:bCs/>
          <w:color w:val="000000" w:themeColor="text1"/>
          <w:sz w:val="26"/>
          <w:szCs w:val="26"/>
        </w:rPr>
        <w:t>bang California</w:t>
      </w:r>
      <w:r w:rsidR="00FB4950" w:rsidRPr="00864D78">
        <w:rPr>
          <w:color w:val="000000" w:themeColor="text1"/>
          <w:sz w:val="26"/>
          <w:szCs w:val="26"/>
        </w:rPr>
        <w:t xml:space="preserve"> thậm chí đã thông qua dự luật ngăn chặn bất cứ thành phố trực thuộc nào thông qua việc áp thuế đối với đồ uống hay thực phẩm trong vòng 12 năm tới.</w:t>
      </w:r>
      <w:r w:rsidR="00FB4950" w:rsidRPr="002D45CC">
        <w:rPr>
          <w:rStyle w:val="FootnoteReference"/>
          <w:color w:val="000000" w:themeColor="text1"/>
          <w:sz w:val="26"/>
          <w:szCs w:val="26"/>
        </w:rPr>
        <w:footnoteReference w:id="10"/>
      </w:r>
    </w:p>
    <w:p w14:paraId="6B866EDE" w14:textId="5F5E63A4" w:rsidR="004B524F" w:rsidRPr="00147988" w:rsidRDefault="0080648A" w:rsidP="00B605A7">
      <w:pPr>
        <w:pStyle w:val="ListParagraph"/>
        <w:numPr>
          <w:ilvl w:val="0"/>
          <w:numId w:val="12"/>
        </w:numPr>
        <w:spacing w:before="240" w:beforeAutospacing="0" w:after="240" w:afterAutospacing="0"/>
        <w:ind w:left="357" w:hanging="357"/>
        <w:jc w:val="both"/>
        <w:rPr>
          <w:color w:val="000000" w:themeColor="text1"/>
          <w:sz w:val="26"/>
          <w:szCs w:val="26"/>
        </w:rPr>
      </w:pPr>
      <w:r w:rsidRPr="002D45CC">
        <w:rPr>
          <w:b/>
          <w:color w:val="000000" w:themeColor="text1"/>
          <w:sz w:val="26"/>
          <w:szCs w:val="26"/>
          <w:lang w:val="vi-VN"/>
        </w:rPr>
        <w:t>Khuyến nghị của WHO về các biện pháp hiệu quả nhất về mặt chi phí để thực hiện mục tiêu dinh dưỡng lành mạnh cho người dân</w:t>
      </w:r>
      <w:r w:rsidRPr="002D45CC">
        <w:rPr>
          <w:rStyle w:val="FootnoteReference"/>
          <w:b/>
          <w:color w:val="000000" w:themeColor="text1"/>
          <w:sz w:val="26"/>
          <w:szCs w:val="26"/>
          <w:lang w:val="vi-VN"/>
        </w:rPr>
        <w:footnoteReference w:id="11"/>
      </w:r>
      <w:r w:rsidRPr="002D45CC">
        <w:rPr>
          <w:b/>
          <w:color w:val="000000" w:themeColor="text1"/>
          <w:sz w:val="26"/>
          <w:szCs w:val="26"/>
        </w:rPr>
        <w:t xml:space="preserve"> </w:t>
      </w:r>
      <w:r w:rsidR="004B524F" w:rsidRPr="00147988">
        <w:rPr>
          <w:color w:val="000000" w:themeColor="text1"/>
          <w:sz w:val="26"/>
          <w:szCs w:val="26"/>
        </w:rPr>
        <w:t xml:space="preserve">Năm 2023, </w:t>
      </w:r>
      <w:r w:rsidR="004B524F" w:rsidRPr="005273C1">
        <w:rPr>
          <w:b/>
          <w:bCs/>
          <w:color w:val="000000" w:themeColor="text1"/>
          <w:sz w:val="26"/>
          <w:szCs w:val="26"/>
        </w:rPr>
        <w:t xml:space="preserve">WHO </w:t>
      </w:r>
      <w:r w:rsidR="004B524F" w:rsidRPr="00147988">
        <w:rPr>
          <w:color w:val="000000" w:themeColor="text1"/>
          <w:sz w:val="26"/>
          <w:szCs w:val="26"/>
        </w:rPr>
        <w:t xml:space="preserve">đã cập nhật danh sách các can thiệp hiệu quả nhất về mặt chi phí để giải quyết các bệnh không lây nhiễm (Best Buys). Mặc dù cập nhật mới nhất này của WHO đã nâng số lượng các biện pháp can thiệp hiệu quả hiệu quả nhất từ 16 nhóm biện pháp (năm 2017 và năm 2022) lên 28 </w:t>
      </w:r>
      <w:r w:rsidR="004B524F" w:rsidRPr="00147988">
        <w:rPr>
          <w:color w:val="000000" w:themeColor="text1"/>
          <w:sz w:val="26"/>
          <w:szCs w:val="26"/>
        </w:rPr>
        <w:lastRenderedPageBreak/>
        <w:t>nhóm can thiệp vào năm 2023, tuy nhiên biện pháp áp thuế lên đồ uống có đường vẫn không được nằm trong danh sách các biện pháp can thiệp hiệu quả nhất này</w:t>
      </w:r>
      <w:r w:rsidR="004B524F" w:rsidRPr="002D45CC">
        <w:rPr>
          <w:rStyle w:val="FootnoteReference"/>
          <w:color w:val="000000" w:themeColor="text1"/>
          <w:sz w:val="26"/>
          <w:szCs w:val="26"/>
        </w:rPr>
        <w:footnoteReference w:id="12"/>
      </w:r>
      <w:r w:rsidR="004B524F" w:rsidRPr="00147988">
        <w:rPr>
          <w:color w:val="000000" w:themeColor="text1"/>
          <w:sz w:val="26"/>
          <w:szCs w:val="26"/>
        </w:rPr>
        <w:t xml:space="preserve">. </w:t>
      </w:r>
    </w:p>
    <w:p w14:paraId="4EA17E49" w14:textId="3EC33378" w:rsidR="00F03687" w:rsidRPr="005273C1" w:rsidRDefault="005273C1" w:rsidP="00FF6628">
      <w:pPr>
        <w:pStyle w:val="ListParagraph"/>
        <w:spacing w:before="0" w:beforeAutospacing="0" w:after="120" w:afterAutospacing="0"/>
        <w:jc w:val="both"/>
        <w:rPr>
          <w:b/>
          <w:bCs/>
          <w:color w:val="000000" w:themeColor="text1"/>
          <w:sz w:val="26"/>
          <w:szCs w:val="26"/>
          <w:lang w:val="vi-VN"/>
        </w:rPr>
      </w:pPr>
      <w:r w:rsidRPr="005273C1">
        <w:rPr>
          <w:b/>
          <w:bCs/>
          <w:color w:val="000000" w:themeColor="text1"/>
          <w:sz w:val="26"/>
          <w:szCs w:val="26"/>
          <w:lang w:val="vi-VN"/>
        </w:rPr>
        <w:t xml:space="preserve">2. Các </w:t>
      </w:r>
      <w:r w:rsidR="00B350CE">
        <w:rPr>
          <w:b/>
          <w:bCs/>
          <w:color w:val="000000" w:themeColor="text1"/>
          <w:sz w:val="26"/>
          <w:szCs w:val="26"/>
          <w:lang w:val="vi-VN"/>
        </w:rPr>
        <w:t xml:space="preserve">tác động thực tế khác của chính sách thuế TTĐB tại các nước đã áp dụng </w:t>
      </w:r>
    </w:p>
    <w:p w14:paraId="74047DE6" w14:textId="6FD6BFA7" w:rsidR="00E06DAD" w:rsidRPr="002D45CC" w:rsidRDefault="00B350CE" w:rsidP="00B350CE">
      <w:pPr>
        <w:pStyle w:val="ListParagraph"/>
        <w:spacing w:before="0" w:beforeAutospacing="0" w:after="120" w:afterAutospacing="0"/>
        <w:jc w:val="both"/>
        <w:rPr>
          <w:color w:val="000000" w:themeColor="text1"/>
          <w:sz w:val="26"/>
          <w:szCs w:val="26"/>
          <w:lang w:val="vi-VN"/>
        </w:rPr>
      </w:pPr>
      <w:r>
        <w:rPr>
          <w:b/>
          <w:bCs/>
          <w:i/>
          <w:iCs/>
          <w:color w:val="000000" w:themeColor="text1"/>
          <w:sz w:val="26"/>
          <w:szCs w:val="26"/>
          <w:lang w:val="vi-VN"/>
        </w:rPr>
        <w:t xml:space="preserve">2.1 </w:t>
      </w:r>
      <w:r w:rsidR="00AE1EA1" w:rsidRPr="002D45CC">
        <w:rPr>
          <w:b/>
          <w:bCs/>
          <w:i/>
          <w:iCs/>
          <w:color w:val="000000" w:themeColor="text1"/>
          <w:sz w:val="26"/>
          <w:szCs w:val="26"/>
          <w:lang w:val="vi-VN"/>
        </w:rPr>
        <w:t xml:space="preserve">Về tác động </w:t>
      </w:r>
      <w:r w:rsidR="004A0593" w:rsidRPr="002D45CC">
        <w:rPr>
          <w:b/>
          <w:bCs/>
          <w:i/>
          <w:iCs/>
          <w:color w:val="000000" w:themeColor="text1"/>
          <w:sz w:val="26"/>
          <w:szCs w:val="26"/>
          <w:lang w:val="vi-VN"/>
        </w:rPr>
        <w:t xml:space="preserve">của chính sách thuế đối với </w:t>
      </w:r>
      <w:r w:rsidR="00AE1EA1" w:rsidRPr="002D45CC">
        <w:rPr>
          <w:b/>
          <w:bCs/>
          <w:i/>
          <w:iCs/>
          <w:color w:val="000000" w:themeColor="text1"/>
          <w:sz w:val="26"/>
          <w:szCs w:val="26"/>
          <w:lang w:val="vi-VN"/>
        </w:rPr>
        <w:t xml:space="preserve">đối với </w:t>
      </w:r>
      <w:r w:rsidR="00C04A93" w:rsidRPr="002D45CC">
        <w:rPr>
          <w:b/>
          <w:bCs/>
          <w:i/>
          <w:iCs/>
          <w:color w:val="000000" w:themeColor="text1"/>
          <w:sz w:val="26"/>
          <w:szCs w:val="26"/>
          <w:lang w:val="vi-VN"/>
        </w:rPr>
        <w:t>nhu cầu</w:t>
      </w:r>
      <w:r w:rsidR="00AE1EA1" w:rsidRPr="002D45CC">
        <w:rPr>
          <w:b/>
          <w:bCs/>
          <w:i/>
          <w:iCs/>
          <w:color w:val="000000" w:themeColor="text1"/>
          <w:sz w:val="26"/>
          <w:szCs w:val="26"/>
          <w:lang w:val="vi-VN"/>
        </w:rPr>
        <w:t xml:space="preserve"> </w:t>
      </w:r>
      <w:r w:rsidR="00C04A93" w:rsidRPr="002D45CC">
        <w:rPr>
          <w:b/>
          <w:bCs/>
          <w:i/>
          <w:iCs/>
          <w:color w:val="000000" w:themeColor="text1"/>
          <w:sz w:val="26"/>
          <w:szCs w:val="26"/>
          <w:lang w:val="vi-VN"/>
        </w:rPr>
        <w:t>tiêu thụ</w:t>
      </w:r>
      <w:r w:rsidR="00AE1EA1" w:rsidRPr="002D45CC">
        <w:rPr>
          <w:b/>
          <w:bCs/>
          <w:i/>
          <w:iCs/>
          <w:color w:val="000000" w:themeColor="text1"/>
          <w:sz w:val="26"/>
          <w:szCs w:val="26"/>
          <w:lang w:val="vi-VN"/>
        </w:rPr>
        <w:t xml:space="preserve"> nước giải khát có đường</w:t>
      </w:r>
      <w:r w:rsidR="00AE1EA1" w:rsidRPr="002D45CC">
        <w:rPr>
          <w:color w:val="000000" w:themeColor="text1"/>
          <w:sz w:val="26"/>
          <w:szCs w:val="26"/>
          <w:lang w:val="vi-VN"/>
        </w:rPr>
        <w:t xml:space="preserve">: </w:t>
      </w:r>
    </w:p>
    <w:p w14:paraId="2E9CC9C9" w14:textId="26AD8EF1" w:rsidR="00E06DAD" w:rsidRPr="002D45CC" w:rsidRDefault="00E06DAD" w:rsidP="00F34FB1">
      <w:pPr>
        <w:pStyle w:val="ListParagraph"/>
        <w:spacing w:before="0" w:beforeAutospacing="0" w:after="120" w:afterAutospacing="0"/>
        <w:jc w:val="both"/>
        <w:rPr>
          <w:color w:val="000000" w:themeColor="text1"/>
          <w:sz w:val="26"/>
          <w:szCs w:val="26"/>
          <w:lang w:val="vi-VN"/>
        </w:rPr>
      </w:pPr>
      <w:r w:rsidRPr="002D45CC">
        <w:rPr>
          <w:color w:val="000000" w:themeColor="text1"/>
          <w:sz w:val="26"/>
          <w:szCs w:val="26"/>
          <w:lang w:val="vi-VN"/>
        </w:rPr>
        <w:t xml:space="preserve">Các nghiên cứu thực nghiệm cho thấy rất khó xác định việc giảm tiêu thụ </w:t>
      </w:r>
      <w:r w:rsidR="000146F2" w:rsidRPr="002D45CC">
        <w:rPr>
          <w:color w:val="000000" w:themeColor="text1"/>
          <w:sz w:val="26"/>
          <w:szCs w:val="26"/>
          <w:lang w:val="vi-VN"/>
        </w:rPr>
        <w:t xml:space="preserve">hàng hoá </w:t>
      </w:r>
      <w:r w:rsidRPr="002D45CC">
        <w:rPr>
          <w:color w:val="000000" w:themeColor="text1"/>
          <w:sz w:val="26"/>
          <w:szCs w:val="26"/>
          <w:lang w:val="vi-VN"/>
        </w:rPr>
        <w:t>là do áp dụng chính sách thuế do khó thiết lập mối liên hệ nhân quả giữa thay đổi thuế, thay đổi giá và nhu cầu, cũng như sự hiện diện của các yếu tố bên ngoài như chi phí nguyên vật liệu cũng có thể ảnh hưởng đến giá cả và nhu cầu.</w:t>
      </w:r>
    </w:p>
    <w:p w14:paraId="57E70BA1" w14:textId="6B5ECAF3" w:rsidR="00F34FB1" w:rsidRPr="002D45CC" w:rsidRDefault="00AE1EA1" w:rsidP="00F34FB1">
      <w:pPr>
        <w:pStyle w:val="ListParagraph"/>
        <w:spacing w:before="0" w:beforeAutospacing="0" w:after="120" w:afterAutospacing="0"/>
        <w:jc w:val="both"/>
        <w:rPr>
          <w:rStyle w:val="ui-provider"/>
          <w:color w:val="000000" w:themeColor="text1"/>
          <w:sz w:val="26"/>
          <w:szCs w:val="26"/>
          <w:lang w:val="vi-VN"/>
        </w:rPr>
      </w:pPr>
      <w:r w:rsidRPr="002D45CC">
        <w:rPr>
          <w:color w:val="000000" w:themeColor="text1"/>
          <w:sz w:val="26"/>
          <w:szCs w:val="26"/>
          <w:lang w:val="vi-VN"/>
        </w:rPr>
        <w:t>M</w:t>
      </w:r>
      <w:r w:rsidR="00F40F9C" w:rsidRPr="002D45CC">
        <w:rPr>
          <w:color w:val="000000" w:themeColor="text1"/>
          <w:sz w:val="26"/>
          <w:szCs w:val="26"/>
        </w:rPr>
        <w:t xml:space="preserve">ột số nước như </w:t>
      </w:r>
      <w:r w:rsidR="004E527C" w:rsidRPr="002D45CC">
        <w:rPr>
          <w:color w:val="000000" w:themeColor="text1"/>
          <w:sz w:val="26"/>
          <w:szCs w:val="26"/>
        </w:rPr>
        <w:t>Nam Phi</w:t>
      </w:r>
      <w:r w:rsidR="00F40F9C" w:rsidRPr="002D45CC">
        <w:rPr>
          <w:color w:val="000000" w:themeColor="text1"/>
          <w:sz w:val="26"/>
          <w:szCs w:val="26"/>
        </w:rPr>
        <w:t>, Thái Lan</w:t>
      </w:r>
      <w:r w:rsidR="00E61478" w:rsidRPr="002D45CC">
        <w:rPr>
          <w:color w:val="000000" w:themeColor="text1"/>
          <w:sz w:val="26"/>
          <w:szCs w:val="26"/>
          <w:lang w:val="vi-VN"/>
        </w:rPr>
        <w:t xml:space="preserve">, Anh </w:t>
      </w:r>
      <w:r w:rsidR="00F40F9C" w:rsidRPr="002D45CC">
        <w:rPr>
          <w:color w:val="000000" w:themeColor="text1"/>
          <w:sz w:val="26"/>
          <w:szCs w:val="26"/>
        </w:rPr>
        <w:t>đã chỉ ra rằng khi</w:t>
      </w:r>
      <w:r w:rsidR="004E527C" w:rsidRPr="002D45CC">
        <w:rPr>
          <w:color w:val="000000" w:themeColor="text1"/>
          <w:sz w:val="26"/>
          <w:szCs w:val="26"/>
        </w:rPr>
        <w:t xml:space="preserve"> áp </w:t>
      </w:r>
      <w:r w:rsidR="00F40F9C" w:rsidRPr="002D45CC">
        <w:rPr>
          <w:color w:val="000000" w:themeColor="text1"/>
          <w:sz w:val="26"/>
          <w:szCs w:val="26"/>
        </w:rPr>
        <w:t xml:space="preserve">dụng thuế thì </w:t>
      </w:r>
      <w:r w:rsidR="00606452" w:rsidRPr="002D45CC">
        <w:rPr>
          <w:color w:val="000000" w:themeColor="text1"/>
          <w:sz w:val="26"/>
          <w:szCs w:val="26"/>
        </w:rPr>
        <w:t>có</w:t>
      </w:r>
      <w:r w:rsidR="00F40F9C" w:rsidRPr="002D45CC">
        <w:rPr>
          <w:color w:val="000000" w:themeColor="text1"/>
          <w:sz w:val="26"/>
          <w:szCs w:val="26"/>
        </w:rPr>
        <w:t xml:space="preserve"> giảm tỉ lệ sử dụng </w:t>
      </w:r>
      <w:r w:rsidR="00424348" w:rsidRPr="002D45CC">
        <w:rPr>
          <w:color w:val="000000" w:themeColor="text1"/>
          <w:sz w:val="26"/>
          <w:szCs w:val="26"/>
          <w:lang w:val="vi-VN"/>
        </w:rPr>
        <w:t>nước giải khát có đường</w:t>
      </w:r>
      <w:r w:rsidR="00225489" w:rsidRPr="002D45CC">
        <w:rPr>
          <w:color w:val="000000" w:themeColor="text1"/>
          <w:sz w:val="26"/>
          <w:szCs w:val="26"/>
          <w:lang w:val="vi-VN"/>
        </w:rPr>
        <w:t xml:space="preserve"> </w:t>
      </w:r>
      <w:r w:rsidR="00EF69AC" w:rsidRPr="002D45CC">
        <w:rPr>
          <w:color w:val="000000" w:themeColor="text1"/>
          <w:sz w:val="26"/>
          <w:szCs w:val="26"/>
        </w:rPr>
        <w:t>nhưng</w:t>
      </w:r>
      <w:r w:rsidR="00EF69AC" w:rsidRPr="002D45CC">
        <w:rPr>
          <w:color w:val="000000" w:themeColor="text1"/>
          <w:sz w:val="26"/>
          <w:szCs w:val="26"/>
          <w:lang w:val="vi-VN"/>
        </w:rPr>
        <w:t xml:space="preserve"> </w:t>
      </w:r>
      <w:r w:rsidR="00F34FB1" w:rsidRPr="002D45CC">
        <w:rPr>
          <w:color w:val="000000" w:themeColor="text1"/>
          <w:sz w:val="26"/>
          <w:szCs w:val="26"/>
          <w:lang w:val="vi-VN"/>
        </w:rPr>
        <w:t>cũng có nước như Mexico</w:t>
      </w:r>
      <w:r w:rsidR="00CC2C8A" w:rsidRPr="002D45CC">
        <w:rPr>
          <w:color w:val="000000" w:themeColor="text1"/>
          <w:sz w:val="26"/>
          <w:szCs w:val="26"/>
          <w:lang w:val="vi-VN"/>
        </w:rPr>
        <w:t xml:space="preserve"> </w:t>
      </w:r>
      <w:r w:rsidR="00F34FB1" w:rsidRPr="002D45CC">
        <w:rPr>
          <w:rStyle w:val="ui-provider"/>
          <w:color w:val="000000" w:themeColor="text1"/>
          <w:sz w:val="26"/>
          <w:szCs w:val="26"/>
        </w:rPr>
        <w:t>sau 2 năm áp thuế, lượng tiêu thụ nước</w:t>
      </w:r>
      <w:r w:rsidR="00F34FB1" w:rsidRPr="002D45CC">
        <w:rPr>
          <w:rStyle w:val="ui-provider"/>
          <w:color w:val="000000" w:themeColor="text1"/>
          <w:sz w:val="26"/>
          <w:szCs w:val="26"/>
          <w:lang w:val="vi-VN"/>
        </w:rPr>
        <w:t xml:space="preserve"> giải pháp </w:t>
      </w:r>
      <w:r w:rsidR="00F34FB1" w:rsidRPr="002D45CC">
        <w:rPr>
          <w:rStyle w:val="ui-provider"/>
          <w:color w:val="000000" w:themeColor="text1"/>
          <w:sz w:val="26"/>
          <w:szCs w:val="26"/>
        </w:rPr>
        <w:t>có xu hướng tăng trở lại ở mức 1,6% so</w:t>
      </w:r>
      <w:r w:rsidR="00F34FB1" w:rsidRPr="002D45CC">
        <w:rPr>
          <w:rStyle w:val="ui-provider"/>
          <w:color w:val="000000" w:themeColor="text1"/>
          <w:sz w:val="26"/>
          <w:szCs w:val="26"/>
          <w:lang w:val="vi-VN"/>
        </w:rPr>
        <w:t xml:space="preserve"> với </w:t>
      </w:r>
      <w:r w:rsidR="00F34FB1" w:rsidRPr="002D45CC">
        <w:rPr>
          <w:rStyle w:val="ui-provider"/>
          <w:color w:val="000000" w:themeColor="text1"/>
          <w:sz w:val="26"/>
          <w:szCs w:val="26"/>
        </w:rPr>
        <w:t>trước thời điểm áp thuế, cho thấy đây là sản phẩm có độ co giãn của cầu thấp, dẫn tới lượng tiêu thụ ít bị tác động bởi yếu tố tăng giá</w:t>
      </w:r>
      <w:r w:rsidR="00E61478" w:rsidRPr="002D45CC">
        <w:rPr>
          <w:rStyle w:val="ui-provider"/>
          <w:color w:val="000000" w:themeColor="text1"/>
          <w:sz w:val="26"/>
          <w:szCs w:val="26"/>
          <w:lang w:val="vi-VN"/>
        </w:rPr>
        <w:t xml:space="preserve">. Một số bang của Mỹ sau khi áp dụng cũng không giúp giảm tỷ lệ sử dụng nước giải khát có đường vì người dân vẫn có thể mua sản phẩm từ các bang khác hoặc </w:t>
      </w:r>
      <w:r w:rsidR="00D654AE" w:rsidRPr="002D45CC">
        <w:rPr>
          <w:rStyle w:val="ui-provider"/>
          <w:color w:val="000000" w:themeColor="text1"/>
          <w:sz w:val="26"/>
          <w:szCs w:val="26"/>
          <w:lang w:val="vi-VN"/>
        </w:rPr>
        <w:t xml:space="preserve">Đan Mạch người dân sẽ mua sản phẩm từ </w:t>
      </w:r>
      <w:r w:rsidR="00E61478" w:rsidRPr="002D45CC">
        <w:rPr>
          <w:rStyle w:val="ui-provider"/>
          <w:color w:val="000000" w:themeColor="text1"/>
          <w:sz w:val="26"/>
          <w:szCs w:val="26"/>
          <w:lang w:val="vi-VN"/>
        </w:rPr>
        <w:t xml:space="preserve">các </w:t>
      </w:r>
      <w:r w:rsidR="00D654AE" w:rsidRPr="002D45CC">
        <w:rPr>
          <w:rStyle w:val="ui-provider"/>
          <w:color w:val="000000" w:themeColor="text1"/>
          <w:sz w:val="26"/>
          <w:szCs w:val="26"/>
          <w:lang w:val="vi-VN"/>
        </w:rPr>
        <w:t>quốc gia lân cận</w:t>
      </w:r>
      <w:r w:rsidR="00C04A93" w:rsidRPr="002D45CC">
        <w:rPr>
          <w:rStyle w:val="ui-provider"/>
          <w:color w:val="000000" w:themeColor="text1"/>
          <w:sz w:val="26"/>
          <w:szCs w:val="26"/>
          <w:lang w:val="vi-VN"/>
        </w:rPr>
        <w:t>.</w:t>
      </w:r>
    </w:p>
    <w:p w14:paraId="7162D639" w14:textId="3E79B31C" w:rsidR="006B642D" w:rsidRPr="002D45CC" w:rsidRDefault="00C04A93" w:rsidP="00F34FB1">
      <w:pPr>
        <w:pStyle w:val="ListParagraph"/>
        <w:spacing w:before="0" w:beforeAutospacing="0" w:after="120" w:afterAutospacing="0"/>
        <w:jc w:val="both"/>
        <w:rPr>
          <w:color w:val="000000" w:themeColor="text1"/>
          <w:sz w:val="26"/>
          <w:szCs w:val="26"/>
          <w:lang w:val="vi-VN"/>
        </w:rPr>
      </w:pPr>
      <w:r w:rsidRPr="002D45CC">
        <w:rPr>
          <w:color w:val="000000" w:themeColor="text1"/>
          <w:sz w:val="26"/>
          <w:szCs w:val="26"/>
          <w:lang w:val="vi-VN"/>
        </w:rPr>
        <w:t xml:space="preserve">Nghiên cứu tại một số nước châu Âu áp dụng chính sách này đã kết luận </w:t>
      </w:r>
      <w:r w:rsidR="00E279D6" w:rsidRPr="002D45CC">
        <w:rPr>
          <w:color w:val="000000" w:themeColor="text1"/>
          <w:sz w:val="26"/>
          <w:szCs w:val="26"/>
          <w:lang w:val="vi-VN"/>
        </w:rPr>
        <w:t xml:space="preserve">sự sụt giảm nhu cầu nói chung nhỏ hơn một cách tương đối so với </w:t>
      </w:r>
      <w:r w:rsidR="009D36F6" w:rsidRPr="002D45CC">
        <w:rPr>
          <w:color w:val="000000" w:themeColor="text1"/>
          <w:sz w:val="26"/>
          <w:szCs w:val="26"/>
          <w:lang w:val="vi-VN"/>
        </w:rPr>
        <w:t>mức tăng giá</w:t>
      </w:r>
      <w:r w:rsidR="00BC0CF1" w:rsidRPr="002D45CC">
        <w:rPr>
          <w:color w:val="000000" w:themeColor="text1"/>
          <w:sz w:val="26"/>
          <w:szCs w:val="26"/>
          <w:lang w:val="vi-VN"/>
        </w:rPr>
        <w:t xml:space="preserve">, </w:t>
      </w:r>
      <w:r w:rsidR="0048050F" w:rsidRPr="002D45CC">
        <w:rPr>
          <w:color w:val="000000" w:themeColor="text1"/>
          <w:sz w:val="26"/>
          <w:szCs w:val="26"/>
          <w:lang w:val="vi-VN"/>
        </w:rPr>
        <w:t xml:space="preserve">thậm chí như Pháp việc tăng hay sụt giảm thậm chí đã xảy ra trước khi áp dụng chính sách thuế cho nên </w:t>
      </w:r>
      <w:r w:rsidR="003F189A" w:rsidRPr="002D45CC">
        <w:rPr>
          <w:color w:val="000000" w:themeColor="text1"/>
          <w:sz w:val="26"/>
          <w:szCs w:val="26"/>
          <w:lang w:val="vi-VN"/>
        </w:rPr>
        <w:t xml:space="preserve">thuế phản ánh không rõ ràng tác động lên sự thay đổi nhu cầu, </w:t>
      </w:r>
      <w:r w:rsidR="00BC0CF1" w:rsidRPr="002D45CC">
        <w:rPr>
          <w:color w:val="000000" w:themeColor="text1"/>
          <w:sz w:val="26"/>
          <w:szCs w:val="26"/>
          <w:lang w:val="vi-VN"/>
        </w:rPr>
        <w:t xml:space="preserve">đặc biệt là đối với những thực phẩm thực sự có nhu cầu thì </w:t>
      </w:r>
      <w:r w:rsidR="001B1606" w:rsidRPr="002D45CC">
        <w:rPr>
          <w:color w:val="000000" w:themeColor="text1"/>
          <w:sz w:val="26"/>
          <w:szCs w:val="26"/>
          <w:lang w:val="vi-VN"/>
        </w:rPr>
        <w:t>không có độ co giãn cung cầu</w:t>
      </w:r>
      <w:r w:rsidR="009D36F6" w:rsidRPr="002D45CC">
        <w:rPr>
          <w:color w:val="000000" w:themeColor="text1"/>
          <w:sz w:val="26"/>
          <w:szCs w:val="26"/>
          <w:lang w:val="vi-VN"/>
        </w:rPr>
        <w:t>.</w:t>
      </w:r>
      <w:r w:rsidR="006A415A" w:rsidRPr="002D45CC">
        <w:rPr>
          <w:color w:val="000000" w:themeColor="text1"/>
          <w:sz w:val="26"/>
          <w:szCs w:val="26"/>
          <w:lang w:val="vi-VN"/>
        </w:rPr>
        <w:t xml:space="preserve"> Ví dụ như Đan Mạch trong thời gian áp dụng năm năm 2005 và 2006, không có thay đổi nào về chế độ thuế, nhưng đã có sự gia tăng đáng kể về nhu cầu đối với </w:t>
      </w:r>
      <w:r w:rsidR="00673632" w:rsidRPr="002D45CC">
        <w:rPr>
          <w:color w:val="000000" w:themeColor="text1"/>
          <w:sz w:val="26"/>
          <w:szCs w:val="26"/>
          <w:lang w:val="vi-VN"/>
        </w:rPr>
        <w:t>nước giải khát trong khi nhu cầu đ</w:t>
      </w:r>
      <w:r w:rsidR="006A415A" w:rsidRPr="002D45CC">
        <w:rPr>
          <w:color w:val="000000" w:themeColor="text1"/>
          <w:sz w:val="26"/>
          <w:szCs w:val="26"/>
          <w:lang w:val="vi-VN"/>
        </w:rPr>
        <w:t>ối với nước trái cây</w:t>
      </w:r>
      <w:r w:rsidR="00673632" w:rsidRPr="002D45CC">
        <w:rPr>
          <w:color w:val="000000" w:themeColor="text1"/>
          <w:sz w:val="26"/>
          <w:szCs w:val="26"/>
          <w:lang w:val="vi-VN"/>
        </w:rPr>
        <w:t xml:space="preserve"> </w:t>
      </w:r>
      <w:r w:rsidR="006A415A" w:rsidRPr="002D45CC">
        <w:rPr>
          <w:color w:val="000000" w:themeColor="text1"/>
          <w:sz w:val="26"/>
          <w:szCs w:val="26"/>
          <w:lang w:val="vi-VN"/>
        </w:rPr>
        <w:t>dường như không thay đổi trong những năm thuế thay đổi.</w:t>
      </w:r>
      <w:r w:rsidR="00BD54B5" w:rsidRPr="002D45CC">
        <w:rPr>
          <w:color w:val="000000" w:themeColor="text1"/>
          <w:sz w:val="26"/>
          <w:szCs w:val="26"/>
          <w:lang w:val="vi-VN"/>
        </w:rPr>
        <w:t xml:space="preserve"> Hay như</w:t>
      </w:r>
      <w:r w:rsidR="009D36F6" w:rsidRPr="002D45CC">
        <w:rPr>
          <w:color w:val="000000" w:themeColor="text1"/>
          <w:sz w:val="26"/>
          <w:szCs w:val="26"/>
          <w:lang w:val="vi-VN"/>
        </w:rPr>
        <w:t xml:space="preserve"> </w:t>
      </w:r>
      <w:r w:rsidR="00BD54B5" w:rsidRPr="002D45CC">
        <w:rPr>
          <w:color w:val="000000" w:themeColor="text1"/>
          <w:sz w:val="26"/>
          <w:szCs w:val="26"/>
          <w:lang w:val="vi-VN"/>
        </w:rPr>
        <w:t xml:space="preserve">Hungary không có thay đổi đáng kể nào về tổng lượng nước tăng lực và đồ uống thể thao bán ra do thuế. Dữ liệu được cung cấp thông qua các cuộc phỏng vấn trong ngành cho thấy mức tiêu thụ nước tăng lực đã giảm 31,4% </w:t>
      </w:r>
      <w:r w:rsidR="00F00C7B" w:rsidRPr="002D45CC">
        <w:rPr>
          <w:color w:val="000000" w:themeColor="text1"/>
          <w:sz w:val="26"/>
          <w:szCs w:val="26"/>
          <w:lang w:val="vi-VN"/>
        </w:rPr>
        <w:t xml:space="preserve">sau khi áp thuế </w:t>
      </w:r>
      <w:r w:rsidR="00BD54B5" w:rsidRPr="002D45CC">
        <w:rPr>
          <w:color w:val="000000" w:themeColor="text1"/>
          <w:sz w:val="26"/>
          <w:szCs w:val="26"/>
          <w:lang w:val="vi-VN"/>
        </w:rPr>
        <w:t xml:space="preserve">từ năm 2011 đến năm 2013, nhưng mức tiêu thụ nước tăng lực </w:t>
      </w:r>
      <w:r w:rsidR="00F00C7B" w:rsidRPr="002D45CC">
        <w:rPr>
          <w:color w:val="000000" w:themeColor="text1"/>
          <w:sz w:val="26"/>
          <w:szCs w:val="26"/>
          <w:lang w:val="vi-VN"/>
        </w:rPr>
        <w:t xml:space="preserve">trước </w:t>
      </w:r>
      <w:r w:rsidR="00BD54B5" w:rsidRPr="002D45CC">
        <w:rPr>
          <w:color w:val="000000" w:themeColor="text1"/>
          <w:sz w:val="26"/>
          <w:szCs w:val="26"/>
          <w:lang w:val="vi-VN"/>
        </w:rPr>
        <w:t xml:space="preserve">đó </w:t>
      </w:r>
      <w:r w:rsidR="00F00C7B" w:rsidRPr="002D45CC">
        <w:rPr>
          <w:color w:val="000000" w:themeColor="text1"/>
          <w:sz w:val="26"/>
          <w:szCs w:val="26"/>
          <w:lang w:val="vi-VN"/>
        </w:rPr>
        <w:t xml:space="preserve">cũng </w:t>
      </w:r>
      <w:r w:rsidR="00BD54B5" w:rsidRPr="002D45CC">
        <w:rPr>
          <w:color w:val="000000" w:themeColor="text1"/>
          <w:sz w:val="26"/>
          <w:szCs w:val="26"/>
          <w:lang w:val="vi-VN"/>
        </w:rPr>
        <w:t>đã giảm 38,6% từ năm 2007 đến năm 2011. Do đó, không có thay đổi đáng kể nào</w:t>
      </w:r>
      <w:r w:rsidR="00F03687">
        <w:rPr>
          <w:color w:val="000000" w:themeColor="text1"/>
          <w:sz w:val="26"/>
          <w:szCs w:val="26"/>
          <w:lang w:val="vi-VN"/>
        </w:rPr>
        <w:t xml:space="preserve"> lên cầu</w:t>
      </w:r>
      <w:r w:rsidR="00BD54B5" w:rsidRPr="002D45CC">
        <w:rPr>
          <w:color w:val="000000" w:themeColor="text1"/>
          <w:sz w:val="26"/>
          <w:szCs w:val="26"/>
          <w:lang w:val="vi-VN"/>
        </w:rPr>
        <w:t xml:space="preserve"> </w:t>
      </w:r>
      <w:r w:rsidR="00F03687">
        <w:rPr>
          <w:color w:val="000000" w:themeColor="text1"/>
          <w:sz w:val="26"/>
          <w:szCs w:val="26"/>
          <w:lang w:val="vi-VN"/>
        </w:rPr>
        <w:t>bởi việc</w:t>
      </w:r>
      <w:r w:rsidR="00F00C7B" w:rsidRPr="002D45CC">
        <w:rPr>
          <w:color w:val="000000" w:themeColor="text1"/>
          <w:sz w:val="26"/>
          <w:szCs w:val="26"/>
          <w:lang w:val="vi-VN"/>
        </w:rPr>
        <w:t xml:space="preserve"> áp dụng chính sách thuế</w:t>
      </w:r>
      <w:r w:rsidR="00BD54B5" w:rsidRPr="002D45CC">
        <w:rPr>
          <w:color w:val="000000" w:themeColor="text1"/>
          <w:sz w:val="26"/>
          <w:szCs w:val="26"/>
          <w:lang w:val="vi-VN"/>
        </w:rPr>
        <w:t>.</w:t>
      </w:r>
    </w:p>
    <w:p w14:paraId="15296DEE" w14:textId="4BDB2691" w:rsidR="006B642D" w:rsidRPr="002D45CC" w:rsidRDefault="00F03687" w:rsidP="00F34FB1">
      <w:pPr>
        <w:pStyle w:val="ListParagraph"/>
        <w:spacing w:before="0" w:beforeAutospacing="0" w:after="120" w:afterAutospacing="0"/>
        <w:jc w:val="both"/>
        <w:rPr>
          <w:b/>
          <w:bCs/>
          <w:i/>
          <w:iCs/>
          <w:color w:val="000000" w:themeColor="text1"/>
          <w:sz w:val="26"/>
          <w:szCs w:val="26"/>
          <w:lang w:val="vi-VN"/>
        </w:rPr>
      </w:pPr>
      <w:r>
        <w:rPr>
          <w:b/>
          <w:bCs/>
          <w:i/>
          <w:iCs/>
          <w:color w:val="000000" w:themeColor="text1"/>
          <w:sz w:val="26"/>
          <w:szCs w:val="26"/>
          <w:lang w:val="vi-VN"/>
        </w:rPr>
        <w:t xml:space="preserve">2.2 </w:t>
      </w:r>
      <w:r w:rsidR="00E7148E" w:rsidRPr="002D45CC">
        <w:rPr>
          <w:b/>
          <w:bCs/>
          <w:i/>
          <w:iCs/>
          <w:color w:val="000000" w:themeColor="text1"/>
          <w:sz w:val="26"/>
          <w:szCs w:val="26"/>
          <w:lang w:val="vi-VN"/>
        </w:rPr>
        <w:t>Ảnh hưởng bởi mức độ của hàng hoá thay thế</w:t>
      </w:r>
    </w:p>
    <w:p w14:paraId="7D800AAC" w14:textId="0DF9E3EC" w:rsidR="007E5123" w:rsidRPr="00FB4950" w:rsidRDefault="003022D8" w:rsidP="00FB4950">
      <w:pPr>
        <w:pStyle w:val="ListParagraph"/>
        <w:spacing w:before="0" w:beforeAutospacing="0" w:after="120" w:afterAutospacing="0"/>
        <w:jc w:val="both"/>
        <w:rPr>
          <w:color w:val="000000" w:themeColor="text1"/>
          <w:sz w:val="26"/>
          <w:szCs w:val="26"/>
          <w:lang w:val="vi-VN"/>
        </w:rPr>
      </w:pPr>
      <w:r w:rsidRPr="002D45CC">
        <w:rPr>
          <w:color w:val="000000" w:themeColor="text1"/>
          <w:sz w:val="26"/>
          <w:szCs w:val="26"/>
          <w:lang w:val="vi-VN"/>
        </w:rPr>
        <w:t xml:space="preserve">Các nghiên cứu thực nghiệm và mô hình </w:t>
      </w:r>
      <w:r w:rsidR="000130A8" w:rsidRPr="002D45CC">
        <w:rPr>
          <w:color w:val="000000" w:themeColor="text1"/>
          <w:sz w:val="26"/>
          <w:szCs w:val="26"/>
          <w:lang w:val="vi-VN"/>
        </w:rPr>
        <w:t xml:space="preserve">từ một số quốc gia châu Âu </w:t>
      </w:r>
      <w:r w:rsidRPr="002D45CC">
        <w:rPr>
          <w:color w:val="000000" w:themeColor="text1"/>
          <w:sz w:val="26"/>
          <w:szCs w:val="26"/>
          <w:lang w:val="vi-VN"/>
        </w:rPr>
        <w:t>cho thấy rằng việc giảm tiêu thụ hàng hóa bị đánh thuế thường đi đôi với việc tăng tiêu thụ hàng hóa thay thế</w:t>
      </w:r>
      <w:r w:rsidR="008A263F" w:rsidRPr="002D45CC">
        <w:rPr>
          <w:color w:val="000000" w:themeColor="text1"/>
          <w:sz w:val="26"/>
          <w:szCs w:val="26"/>
          <w:lang w:val="vi-VN"/>
        </w:rPr>
        <w:t>.</w:t>
      </w:r>
      <w:r w:rsidR="000841A9" w:rsidRPr="002D45CC">
        <w:rPr>
          <w:color w:val="000000" w:themeColor="text1"/>
          <w:sz w:val="26"/>
          <w:szCs w:val="26"/>
        </w:rPr>
        <w:t xml:space="preserve"> </w:t>
      </w:r>
      <w:r w:rsidR="005220CF" w:rsidRPr="002D45CC">
        <w:rPr>
          <w:color w:val="000000" w:themeColor="text1"/>
          <w:sz w:val="26"/>
          <w:szCs w:val="26"/>
        </w:rPr>
        <w:t>Do</w:t>
      </w:r>
      <w:r w:rsidR="005220CF" w:rsidRPr="002D45CC">
        <w:rPr>
          <w:color w:val="000000" w:themeColor="text1"/>
          <w:sz w:val="26"/>
          <w:szCs w:val="26"/>
          <w:lang w:val="vi-VN"/>
        </w:rPr>
        <w:t xml:space="preserve"> </w:t>
      </w:r>
      <w:r w:rsidR="000841A9" w:rsidRPr="002D45CC">
        <w:rPr>
          <w:color w:val="000000" w:themeColor="text1"/>
          <w:sz w:val="26"/>
          <w:szCs w:val="26"/>
          <w:lang w:val="vi-VN"/>
        </w:rPr>
        <w:t xml:space="preserve">thực phẩm không phải là một sản phẩm đơn lẻ mà là một </w:t>
      </w:r>
      <w:r w:rsidR="00FA54C8" w:rsidRPr="002D45CC">
        <w:rPr>
          <w:color w:val="000000" w:themeColor="text1"/>
          <w:sz w:val="26"/>
          <w:szCs w:val="26"/>
          <w:lang w:val="vi-VN"/>
        </w:rPr>
        <w:t>nhóm</w:t>
      </w:r>
      <w:r w:rsidR="000841A9" w:rsidRPr="002D45CC">
        <w:rPr>
          <w:color w:val="000000" w:themeColor="text1"/>
          <w:sz w:val="26"/>
          <w:szCs w:val="26"/>
          <w:lang w:val="vi-VN"/>
        </w:rPr>
        <w:t xml:space="preserve"> hàng hóa phức hợp với nhiều sản phẩm thay thế, khiến cho việc dự đoán người tiêu dùng sẽ thay đổi hành vi tiêu dùng của họ như thế nào để đáp ứng không chỉ với hàng hóa bị đánh thuế, mà đối với </w:t>
      </w:r>
      <w:r w:rsidR="005220CF" w:rsidRPr="002D45CC">
        <w:rPr>
          <w:color w:val="000000" w:themeColor="text1"/>
          <w:sz w:val="26"/>
          <w:szCs w:val="26"/>
          <w:lang w:val="vi-VN"/>
        </w:rPr>
        <w:t xml:space="preserve">cả </w:t>
      </w:r>
      <w:r w:rsidR="000841A9" w:rsidRPr="002D45CC">
        <w:rPr>
          <w:color w:val="000000" w:themeColor="text1"/>
          <w:sz w:val="26"/>
          <w:szCs w:val="26"/>
          <w:lang w:val="vi-VN"/>
        </w:rPr>
        <w:t>các hàng hóa khác có liên quan.</w:t>
      </w:r>
      <w:r w:rsidR="00A14BF3" w:rsidRPr="002D45CC">
        <w:rPr>
          <w:color w:val="000000" w:themeColor="text1"/>
          <w:sz w:val="26"/>
          <w:szCs w:val="26"/>
          <w:lang w:val="vi-VN"/>
        </w:rPr>
        <w:t xml:space="preserve"> Ví dụ như Hungary, </w:t>
      </w:r>
      <w:r w:rsidR="00FB4950">
        <w:rPr>
          <w:color w:val="000000" w:themeColor="text1"/>
          <w:sz w:val="26"/>
          <w:szCs w:val="26"/>
          <w:lang w:val="vi-VN"/>
        </w:rPr>
        <w:t xml:space="preserve">việc tiêu thụ </w:t>
      </w:r>
      <w:r w:rsidR="00E761AE" w:rsidRPr="002D45CC">
        <w:rPr>
          <w:color w:val="000000" w:themeColor="text1"/>
          <w:sz w:val="26"/>
          <w:szCs w:val="26"/>
          <w:lang w:val="vi-VN"/>
        </w:rPr>
        <w:t xml:space="preserve">nước tăng lực không quan sát thấy sự </w:t>
      </w:r>
      <w:r w:rsidR="003047C8" w:rsidRPr="002D45CC">
        <w:rPr>
          <w:color w:val="000000" w:themeColor="text1"/>
          <w:sz w:val="26"/>
          <w:szCs w:val="26"/>
          <w:lang w:val="vi-VN"/>
        </w:rPr>
        <w:t>bất kỳ sự thay đổi nào về nhu cầu khi áp dụng thuế lên đồ uống</w:t>
      </w:r>
      <w:r w:rsidR="00E761AE" w:rsidRPr="002D45CC">
        <w:rPr>
          <w:color w:val="000000" w:themeColor="text1"/>
          <w:sz w:val="26"/>
          <w:szCs w:val="26"/>
          <w:lang w:val="vi-VN"/>
        </w:rPr>
        <w:t>.</w:t>
      </w:r>
      <w:r w:rsidR="00FB4950">
        <w:rPr>
          <w:color w:val="000000" w:themeColor="text1"/>
          <w:sz w:val="26"/>
          <w:szCs w:val="26"/>
          <w:lang w:val="vi-VN"/>
        </w:rPr>
        <w:t xml:space="preserve"> </w:t>
      </w:r>
    </w:p>
    <w:p w14:paraId="7070DB94" w14:textId="64A26AB0" w:rsidR="00F4033B" w:rsidRPr="002D45CC" w:rsidRDefault="0080648A" w:rsidP="00FF6628">
      <w:pPr>
        <w:spacing w:after="120"/>
        <w:jc w:val="both"/>
        <w:rPr>
          <w:rFonts w:ascii="Times New Roman" w:hAnsi="Times New Roman" w:cs="Times New Roman"/>
          <w:b/>
          <w:bCs/>
          <w:color w:val="000000" w:themeColor="text1"/>
          <w:sz w:val="26"/>
          <w:szCs w:val="26"/>
          <w:lang w:val="vi-VN"/>
        </w:rPr>
      </w:pPr>
      <w:r>
        <w:rPr>
          <w:rFonts w:ascii="Times New Roman" w:hAnsi="Times New Roman" w:cs="Times New Roman"/>
          <w:b/>
          <w:bCs/>
          <w:color w:val="000000" w:themeColor="text1"/>
          <w:sz w:val="26"/>
          <w:szCs w:val="26"/>
          <w:lang w:val="vi-VN"/>
        </w:rPr>
        <w:lastRenderedPageBreak/>
        <w:t>3</w:t>
      </w:r>
      <w:r w:rsidR="003E2496" w:rsidRPr="002D45CC">
        <w:rPr>
          <w:rFonts w:ascii="Times New Roman" w:hAnsi="Times New Roman" w:cs="Times New Roman"/>
          <w:b/>
          <w:bCs/>
          <w:color w:val="000000" w:themeColor="text1"/>
          <w:sz w:val="26"/>
          <w:szCs w:val="26"/>
          <w:lang w:val="vi-VN"/>
        </w:rPr>
        <w:t xml:space="preserve">. Một số bài học </w:t>
      </w:r>
      <w:r w:rsidR="008B5A36" w:rsidRPr="002D45CC">
        <w:rPr>
          <w:rFonts w:ascii="Times New Roman" w:hAnsi="Times New Roman" w:cs="Times New Roman"/>
          <w:b/>
          <w:bCs/>
          <w:color w:val="000000" w:themeColor="text1"/>
          <w:sz w:val="26"/>
          <w:szCs w:val="26"/>
          <w:lang w:val="vi-VN"/>
        </w:rPr>
        <w:t>cho Việt Nam</w:t>
      </w:r>
    </w:p>
    <w:p w14:paraId="32E4C74A" w14:textId="6304AD8F" w:rsidR="00672BAA" w:rsidRPr="002D45CC" w:rsidRDefault="005C6F91" w:rsidP="00FF6628">
      <w:pPr>
        <w:spacing w:after="120"/>
        <w:jc w:val="both"/>
        <w:rPr>
          <w:rFonts w:ascii="Times New Roman" w:hAnsi="Times New Roman" w:cs="Times New Roman"/>
          <w:color w:val="000000" w:themeColor="text1"/>
          <w:sz w:val="26"/>
          <w:szCs w:val="26"/>
          <w:lang w:val="vi-VN"/>
        </w:rPr>
      </w:pPr>
      <w:r w:rsidRPr="002D45CC">
        <w:rPr>
          <w:rFonts w:ascii="Times New Roman" w:hAnsi="Times New Roman" w:cs="Times New Roman"/>
          <w:color w:val="000000" w:themeColor="text1"/>
          <w:sz w:val="26"/>
          <w:szCs w:val="26"/>
          <w:lang w:val="vi-VN"/>
        </w:rPr>
        <w:t>Cần c</w:t>
      </w:r>
      <w:r w:rsidR="00AA50AB" w:rsidRPr="002D45CC">
        <w:rPr>
          <w:rFonts w:ascii="Times New Roman" w:hAnsi="Times New Roman" w:cs="Times New Roman"/>
          <w:color w:val="000000" w:themeColor="text1"/>
          <w:sz w:val="26"/>
          <w:szCs w:val="26"/>
          <w:lang w:val="vi-VN"/>
        </w:rPr>
        <w:t xml:space="preserve">ân nhắc việc áp dụng thuế tiêu thụ đặc biệt lên nước giải khát có đường </w:t>
      </w:r>
      <w:r w:rsidRPr="002D45CC">
        <w:rPr>
          <w:rFonts w:ascii="Times New Roman" w:hAnsi="Times New Roman" w:cs="Times New Roman"/>
          <w:color w:val="000000" w:themeColor="text1"/>
          <w:sz w:val="26"/>
          <w:szCs w:val="26"/>
          <w:lang w:val="vi-VN"/>
        </w:rPr>
        <w:t>vì t</w:t>
      </w:r>
      <w:r w:rsidR="00672BAA" w:rsidRPr="002D45CC">
        <w:rPr>
          <w:rFonts w:ascii="Times New Roman" w:hAnsi="Times New Roman" w:cs="Times New Roman"/>
          <w:color w:val="000000" w:themeColor="text1"/>
          <w:sz w:val="26"/>
          <w:szCs w:val="26"/>
          <w:lang w:val="vi-VN"/>
        </w:rPr>
        <w:t>ính hiệu quả của chính sách thuế này</w:t>
      </w:r>
      <w:r w:rsidR="00A12DC4" w:rsidRPr="002D45CC">
        <w:rPr>
          <w:rFonts w:ascii="Times New Roman" w:hAnsi="Times New Roman" w:cs="Times New Roman"/>
          <w:color w:val="000000" w:themeColor="text1"/>
          <w:sz w:val="26"/>
          <w:szCs w:val="26"/>
          <w:lang w:val="vi-VN"/>
        </w:rPr>
        <w:t xml:space="preserve"> sẽ bị </w:t>
      </w:r>
      <w:r w:rsidR="00430038" w:rsidRPr="002D45CC">
        <w:rPr>
          <w:rFonts w:ascii="Times New Roman" w:hAnsi="Times New Roman" w:cs="Times New Roman"/>
          <w:color w:val="000000" w:themeColor="text1"/>
          <w:sz w:val="26"/>
          <w:szCs w:val="26"/>
          <w:lang w:val="vi-VN"/>
        </w:rPr>
        <w:t>ảnh hưởng bởi</w:t>
      </w:r>
      <w:r w:rsidR="00672BAA" w:rsidRPr="002D45CC">
        <w:rPr>
          <w:rFonts w:ascii="Times New Roman" w:hAnsi="Times New Roman" w:cs="Times New Roman"/>
          <w:color w:val="000000" w:themeColor="text1"/>
          <w:sz w:val="26"/>
          <w:szCs w:val="26"/>
          <w:lang w:val="vi-VN"/>
        </w:rPr>
        <w:t xml:space="preserve"> các yếu tố đặc thù của Việt Nam gồm:</w:t>
      </w:r>
    </w:p>
    <w:p w14:paraId="156D80D5" w14:textId="4DFDA393" w:rsidR="001778C3" w:rsidRPr="00910562" w:rsidRDefault="0080648A" w:rsidP="001778C3">
      <w:pPr>
        <w:spacing w:after="120"/>
        <w:jc w:val="both"/>
        <w:rPr>
          <w:rFonts w:ascii="Times New Roman" w:hAnsi="Times New Roman" w:cs="Times New Roman"/>
          <w:b/>
          <w:bCs/>
          <w:i/>
          <w:iCs/>
          <w:color w:val="000000" w:themeColor="text1"/>
          <w:sz w:val="26"/>
          <w:szCs w:val="26"/>
          <w:lang w:val="vi-VN"/>
        </w:rPr>
      </w:pPr>
      <w:r w:rsidRPr="00910562">
        <w:rPr>
          <w:rFonts w:ascii="Times New Roman" w:hAnsi="Times New Roman" w:cs="Times New Roman"/>
          <w:b/>
          <w:bCs/>
          <w:i/>
          <w:iCs/>
          <w:color w:val="000000" w:themeColor="text1"/>
          <w:sz w:val="26"/>
          <w:szCs w:val="26"/>
          <w:lang w:val="vi-VN"/>
        </w:rPr>
        <w:t>3</w:t>
      </w:r>
      <w:r w:rsidR="001778C3" w:rsidRPr="00910562">
        <w:rPr>
          <w:rFonts w:ascii="Times New Roman" w:hAnsi="Times New Roman" w:cs="Times New Roman"/>
          <w:b/>
          <w:bCs/>
          <w:i/>
          <w:iCs/>
          <w:color w:val="000000" w:themeColor="text1"/>
          <w:sz w:val="26"/>
          <w:szCs w:val="26"/>
          <w:lang w:val="vi-VN"/>
        </w:rPr>
        <w:t>.1 Về sự phân khúc của thị trường đồ uống</w:t>
      </w:r>
      <w:r w:rsidR="0099016E" w:rsidRPr="00910562">
        <w:rPr>
          <w:rFonts w:ascii="Times New Roman" w:hAnsi="Times New Roman" w:cs="Times New Roman"/>
          <w:b/>
          <w:bCs/>
          <w:i/>
          <w:iCs/>
          <w:color w:val="000000" w:themeColor="text1"/>
          <w:sz w:val="26"/>
          <w:szCs w:val="26"/>
          <w:lang w:val="vi-VN"/>
        </w:rPr>
        <w:t xml:space="preserve"> Việt Nam</w:t>
      </w:r>
    </w:p>
    <w:p w14:paraId="046C8A14" w14:textId="692738DC" w:rsidR="001778C3" w:rsidRPr="002D45CC" w:rsidRDefault="0099016E" w:rsidP="001778C3">
      <w:pPr>
        <w:spacing w:after="120"/>
        <w:jc w:val="both"/>
        <w:rPr>
          <w:rFonts w:ascii="Times New Roman" w:hAnsi="Times New Roman" w:cs="Times New Roman"/>
          <w:color w:val="000000" w:themeColor="text1"/>
          <w:sz w:val="26"/>
          <w:szCs w:val="26"/>
        </w:rPr>
      </w:pPr>
      <w:r w:rsidRPr="002D45CC">
        <w:rPr>
          <w:rFonts w:ascii="Times New Roman" w:hAnsi="Times New Roman" w:cs="Times New Roman"/>
          <w:color w:val="000000" w:themeColor="text1"/>
          <w:sz w:val="26"/>
          <w:szCs w:val="26"/>
          <w:lang w:val="vi-VN"/>
        </w:rPr>
        <w:t xml:space="preserve">Ở Việt Nam, ngoài nhóm đồ uống công nghiệp còn có sự tồn tại phổ biến của nhóm đồ uống đường phố. Đồ uống </w:t>
      </w:r>
      <w:r w:rsidR="00B76EFF" w:rsidRPr="002D45CC">
        <w:rPr>
          <w:rFonts w:ascii="Times New Roman" w:hAnsi="Times New Roman" w:cs="Times New Roman"/>
          <w:color w:val="000000" w:themeColor="text1"/>
          <w:sz w:val="26"/>
          <w:szCs w:val="26"/>
          <w:lang w:val="vi-VN"/>
        </w:rPr>
        <w:t xml:space="preserve">đường phố là phân khúc khó khả thi để thu thuế và quản lý về chất lượng hàng hoá, đặc biệt là về </w:t>
      </w:r>
      <w:r w:rsidR="00EE001D" w:rsidRPr="002D45CC">
        <w:rPr>
          <w:rFonts w:ascii="Times New Roman" w:hAnsi="Times New Roman" w:cs="Times New Roman"/>
          <w:color w:val="000000" w:themeColor="text1"/>
          <w:sz w:val="26"/>
          <w:szCs w:val="26"/>
          <w:lang w:val="vi-VN"/>
        </w:rPr>
        <w:t>hàm lượng đường trong sản phẩm. Đặc biệt ở Việt Nam,</w:t>
      </w:r>
      <w:r w:rsidR="001778C3" w:rsidRPr="002D45CC">
        <w:rPr>
          <w:rFonts w:ascii="Times New Roman" w:hAnsi="Times New Roman" w:cs="Times New Roman"/>
          <w:color w:val="000000" w:themeColor="text1"/>
          <w:sz w:val="26"/>
          <w:szCs w:val="26"/>
        </w:rPr>
        <w:t xml:space="preserve"> nhu cầu giải khát của người lao động phổ thông, người có thu nhập thấp là rất lớn, vì vậy nếu như không tiêu thụ các loại đồ uống được sản xuất và lưu thông hợp pháp có hóa đơn thuế thì người tiêu dùng có thể sẽ tìm cách tiêu thụ đồ uống được sản xuất thủ công hoặc nhập lậu vốn rất phổ biến trên thị trường và có thể có giá thành rẻ hơn do không phải chịu thuế TTĐB. Vì vậy, việc bổ sung mặt hàng nước giải khát có đường vào đối tượng chiu TTĐB sẽ có tác động tiêu cực đến sự phát triển của ngành công nghiệp đồ uống và tạo điều kiện cho các mặt hàng đồ uống không chính thức, sản xuất thủ công hoặc nhập lậu phát triển, nhất là trong tình hình thu nhập giảm, lạm phát tăng cao như hiện nay.</w:t>
      </w:r>
    </w:p>
    <w:p w14:paraId="263CCB19" w14:textId="3FD1A69E" w:rsidR="00672BAA" w:rsidRPr="00910562" w:rsidRDefault="00672BAA" w:rsidP="00FF6628">
      <w:pPr>
        <w:spacing w:after="120"/>
        <w:jc w:val="both"/>
        <w:rPr>
          <w:rFonts w:ascii="Times New Roman" w:hAnsi="Times New Roman" w:cs="Times New Roman"/>
          <w:b/>
          <w:bCs/>
          <w:i/>
          <w:iCs/>
          <w:color w:val="000000" w:themeColor="text1"/>
          <w:sz w:val="26"/>
          <w:szCs w:val="26"/>
          <w:lang w:val="vi-VN"/>
        </w:rPr>
      </w:pPr>
      <w:r w:rsidRPr="00910562">
        <w:rPr>
          <w:rFonts w:ascii="Times New Roman" w:hAnsi="Times New Roman" w:cs="Times New Roman"/>
          <w:b/>
          <w:bCs/>
          <w:i/>
          <w:iCs/>
          <w:color w:val="000000" w:themeColor="text1"/>
          <w:sz w:val="26"/>
          <w:szCs w:val="26"/>
          <w:lang w:val="vi-VN"/>
        </w:rPr>
        <w:t xml:space="preserve"> </w:t>
      </w:r>
      <w:r w:rsidR="0080648A" w:rsidRPr="00910562">
        <w:rPr>
          <w:rFonts w:ascii="Times New Roman" w:hAnsi="Times New Roman" w:cs="Times New Roman"/>
          <w:b/>
          <w:bCs/>
          <w:i/>
          <w:iCs/>
          <w:color w:val="000000" w:themeColor="text1"/>
          <w:sz w:val="26"/>
          <w:szCs w:val="26"/>
          <w:lang w:val="vi-VN"/>
        </w:rPr>
        <w:t>3</w:t>
      </w:r>
      <w:r w:rsidR="0060570A" w:rsidRPr="00910562">
        <w:rPr>
          <w:rFonts w:ascii="Times New Roman" w:hAnsi="Times New Roman" w:cs="Times New Roman"/>
          <w:b/>
          <w:bCs/>
          <w:i/>
          <w:iCs/>
          <w:color w:val="000000" w:themeColor="text1"/>
          <w:sz w:val="26"/>
          <w:szCs w:val="26"/>
          <w:lang w:val="vi-VN"/>
        </w:rPr>
        <w:t>.2 Về tác động lên hành vi của người tiêu dùng</w:t>
      </w:r>
    </w:p>
    <w:p w14:paraId="01C8FA97" w14:textId="23632023" w:rsidR="0060570A" w:rsidRPr="002D45CC" w:rsidRDefault="005F5404" w:rsidP="00FF6628">
      <w:pPr>
        <w:spacing w:after="120"/>
        <w:jc w:val="both"/>
        <w:rPr>
          <w:rFonts w:ascii="Times New Roman" w:hAnsi="Times New Roman" w:cs="Times New Roman"/>
          <w:color w:val="000000" w:themeColor="text1"/>
          <w:sz w:val="26"/>
          <w:szCs w:val="26"/>
          <w:lang w:val="vi-VN"/>
        </w:rPr>
      </w:pPr>
      <w:r w:rsidRPr="002D45CC">
        <w:rPr>
          <w:rFonts w:ascii="Times New Roman" w:hAnsi="Times New Roman" w:cs="Times New Roman"/>
          <w:color w:val="000000" w:themeColor="text1"/>
          <w:sz w:val="26"/>
          <w:szCs w:val="26"/>
          <w:lang w:val="vi-VN"/>
        </w:rPr>
        <w:t>Theo khảo sát về thói quen chọn lựa nước uống của người tiêu dùng thực hiện năm 2018 của Decision Lab thì nếu đánh thuế thì sẽ có</w:t>
      </w:r>
      <w:r w:rsidRPr="002D45CC">
        <w:rPr>
          <w:rFonts w:ascii="Times New Roman" w:hAnsi="Times New Roman" w:cs="Times New Roman"/>
          <w:b/>
          <w:bCs/>
          <w:color w:val="000000" w:themeColor="text1"/>
          <w:sz w:val="26"/>
          <w:szCs w:val="26"/>
          <w:lang w:val="vi-VN"/>
        </w:rPr>
        <w:t xml:space="preserve"> 49% </w:t>
      </w:r>
      <w:r w:rsidRPr="002D45CC">
        <w:rPr>
          <w:rFonts w:ascii="Times New Roman" w:hAnsi="Times New Roman" w:cs="Times New Roman"/>
          <w:color w:val="000000" w:themeColor="text1"/>
          <w:sz w:val="26"/>
          <w:szCs w:val="26"/>
          <w:lang w:val="vi-VN"/>
        </w:rPr>
        <w:t xml:space="preserve">người tiêu dùng sẽ chuyển sang dùng các sản phẩm thay thế là nước uống chế biến tại chỗ có đường, đây là nguồn đồ uống khó kiểm soát về chất lượng và hàm lượng đường và khả năng thu thuế của cơ quan nhà nước từ các nguồn này là không khả thi. Kết quả khảo sát cũng cho thấy chỉ </w:t>
      </w:r>
      <w:r w:rsidRPr="002D45CC">
        <w:rPr>
          <w:rFonts w:ascii="Times New Roman" w:hAnsi="Times New Roman" w:cs="Times New Roman"/>
          <w:b/>
          <w:bCs/>
          <w:color w:val="000000" w:themeColor="text1"/>
          <w:sz w:val="26"/>
          <w:szCs w:val="26"/>
          <w:lang w:val="vi-VN"/>
        </w:rPr>
        <w:t>25%</w:t>
      </w:r>
      <w:r w:rsidRPr="002D45CC">
        <w:rPr>
          <w:rFonts w:ascii="Times New Roman" w:hAnsi="Times New Roman" w:cs="Times New Roman"/>
          <w:color w:val="000000" w:themeColor="text1"/>
          <w:sz w:val="26"/>
          <w:szCs w:val="26"/>
          <w:lang w:val="vi-VN"/>
        </w:rPr>
        <w:t xml:space="preserve"> người tiêu dùng đồng ý rằng việc tăng thuế đối với nước đóng chai/lon/hộp có đường sẽ khiến họ giảm tiêu thụ đường để cải thiện sức khỏe.</w:t>
      </w:r>
      <w:r w:rsidR="00F05C2E" w:rsidRPr="002D45CC">
        <w:rPr>
          <w:rFonts w:ascii="Times New Roman" w:hAnsi="Times New Roman" w:cs="Times New Roman"/>
          <w:color w:val="000000" w:themeColor="text1"/>
          <w:sz w:val="26"/>
          <w:szCs w:val="26"/>
          <w:lang w:val="vi-VN"/>
        </w:rPr>
        <w:t xml:space="preserve"> Đặc biệt ở Việt Nam</w:t>
      </w:r>
      <w:r w:rsidRPr="002D45CC">
        <w:rPr>
          <w:rFonts w:ascii="Times New Roman" w:hAnsi="Times New Roman" w:cs="Times New Roman"/>
          <w:color w:val="000000" w:themeColor="text1"/>
          <w:sz w:val="26"/>
          <w:szCs w:val="26"/>
          <w:lang w:val="vi-VN"/>
        </w:rPr>
        <w:t xml:space="preserve">  </w:t>
      </w:r>
      <w:r w:rsidR="00F05C2E" w:rsidRPr="002D45CC">
        <w:rPr>
          <w:rFonts w:ascii="Times New Roman" w:hAnsi="Times New Roman" w:cs="Times New Roman"/>
          <w:color w:val="000000" w:themeColor="text1"/>
          <w:sz w:val="26"/>
          <w:szCs w:val="26"/>
          <w:lang w:val="vi-VN"/>
        </w:rPr>
        <w:t>55% người tiêu dùng có thu nhập thấp sử dụng nước uống đóng chai/lon/hộp để bổ sung năng lượng cho các hoạt động thể chất và thể thao.Việc tăng giá sẽ ảnh hưởng tiêu cựu đến năng suất nói riêng và cuộc sống nói chung của người tiêu dùng có thu nhập thấp</w:t>
      </w:r>
    </w:p>
    <w:p w14:paraId="7CEBE65E" w14:textId="1EE20A1B" w:rsidR="000A0EFD" w:rsidRPr="00910562" w:rsidRDefault="0080648A" w:rsidP="00FF6628">
      <w:pPr>
        <w:spacing w:after="120"/>
        <w:jc w:val="both"/>
        <w:rPr>
          <w:rFonts w:ascii="Times New Roman" w:hAnsi="Times New Roman" w:cs="Times New Roman"/>
          <w:b/>
          <w:bCs/>
          <w:i/>
          <w:iCs/>
          <w:color w:val="000000" w:themeColor="text1"/>
          <w:sz w:val="26"/>
          <w:szCs w:val="26"/>
          <w:lang w:val="vi-VN"/>
        </w:rPr>
      </w:pPr>
      <w:r w:rsidRPr="00910562">
        <w:rPr>
          <w:rFonts w:ascii="Times New Roman" w:hAnsi="Times New Roman" w:cs="Times New Roman"/>
          <w:b/>
          <w:bCs/>
          <w:i/>
          <w:iCs/>
          <w:color w:val="000000" w:themeColor="text1"/>
          <w:sz w:val="26"/>
          <w:szCs w:val="26"/>
          <w:lang w:val="vi-VN"/>
        </w:rPr>
        <w:t>3</w:t>
      </w:r>
      <w:r w:rsidR="000A0EFD" w:rsidRPr="00910562">
        <w:rPr>
          <w:rFonts w:ascii="Times New Roman" w:hAnsi="Times New Roman" w:cs="Times New Roman"/>
          <w:b/>
          <w:bCs/>
          <w:i/>
          <w:iCs/>
          <w:color w:val="000000" w:themeColor="text1"/>
          <w:sz w:val="26"/>
          <w:szCs w:val="26"/>
          <w:lang w:val="vi-VN"/>
        </w:rPr>
        <w:t>.3 Về nhóm hàng hoá thay thế</w:t>
      </w:r>
    </w:p>
    <w:p w14:paraId="534CCD34" w14:textId="38120BBB" w:rsidR="000A0EFD" w:rsidRPr="002D45CC" w:rsidRDefault="000A0EFD" w:rsidP="00FF6628">
      <w:pPr>
        <w:spacing w:after="120"/>
        <w:jc w:val="both"/>
        <w:rPr>
          <w:rFonts w:ascii="Times New Roman" w:hAnsi="Times New Roman" w:cs="Times New Roman"/>
          <w:color w:val="000000" w:themeColor="text1"/>
          <w:sz w:val="26"/>
          <w:szCs w:val="26"/>
          <w:lang w:val="vi-VN"/>
        </w:rPr>
      </w:pPr>
      <w:r w:rsidRPr="002D45CC">
        <w:rPr>
          <w:rFonts w:ascii="Times New Roman" w:hAnsi="Times New Roman" w:cs="Times New Roman"/>
          <w:color w:val="000000" w:themeColor="text1"/>
          <w:sz w:val="26"/>
          <w:szCs w:val="26"/>
          <w:lang w:val="vi-VN"/>
        </w:rPr>
        <w:t xml:space="preserve">Như PGS. TS Nguyễn Thị Lâm đã trình bày </w:t>
      </w:r>
      <w:r w:rsidR="00A2032A" w:rsidRPr="002D45CC">
        <w:rPr>
          <w:rFonts w:ascii="Times New Roman" w:hAnsi="Times New Roman" w:cs="Times New Roman"/>
          <w:b/>
          <w:bCs/>
          <w:color w:val="000000" w:themeColor="text1"/>
          <w:sz w:val="26"/>
          <w:szCs w:val="26"/>
          <w:lang w:val="vi-VN"/>
        </w:rPr>
        <w:t>có rất nhiều loại thực phẩm có chứa đường và hàm lượng calo cao tồn tại trên thị trường (</w:t>
      </w:r>
      <w:r w:rsidR="00A2032A" w:rsidRPr="002D45CC">
        <w:rPr>
          <w:rFonts w:ascii="Times New Roman" w:hAnsi="Times New Roman" w:cs="Times New Roman"/>
          <w:color w:val="000000" w:themeColor="text1"/>
          <w:sz w:val="26"/>
          <w:szCs w:val="26"/>
          <w:lang w:val="vi-VN"/>
        </w:rPr>
        <w:t xml:space="preserve">bánh kẹo đều trên 300-400kcal/100g và kem trung bình lần lượt là trên 200 kcal trong khi nước giải khát có đường là 44kcal/100g). </w:t>
      </w:r>
      <w:r w:rsidR="00A2032A" w:rsidRPr="002D45CC">
        <w:rPr>
          <w:rFonts w:ascii="Times New Roman" w:hAnsi="Times New Roman" w:cs="Times New Roman"/>
          <w:b/>
          <w:bCs/>
          <w:color w:val="000000" w:themeColor="text1"/>
          <w:sz w:val="26"/>
          <w:szCs w:val="26"/>
          <w:lang w:val="vi-VN"/>
        </w:rPr>
        <w:t>Nước giải khát có đường không phải là nguồn cung cấp đường và calories duy nhất và cao nhất</w:t>
      </w:r>
      <w:r w:rsidR="00A2032A" w:rsidRPr="002D45CC">
        <w:rPr>
          <w:rFonts w:ascii="Times New Roman" w:hAnsi="Times New Roman" w:cs="Times New Roman"/>
          <w:color w:val="000000" w:themeColor="text1"/>
          <w:sz w:val="26"/>
          <w:szCs w:val="26"/>
          <w:lang w:val="vi-VN"/>
        </w:rPr>
        <w:t xml:space="preserve"> nên nếu đánh thuế là các sản phẩm này thì người tiêu dùng vẫn có thể tiêu thụ đường và calo với hàm lượng cao hơn từ các sản phẩm khác.</w:t>
      </w:r>
      <w:r w:rsidR="00085EB6" w:rsidRPr="002D45CC">
        <w:rPr>
          <w:rFonts w:ascii="Times New Roman" w:hAnsi="Times New Roman" w:cs="Times New Roman"/>
          <w:color w:val="000000" w:themeColor="text1"/>
          <w:sz w:val="26"/>
          <w:szCs w:val="26"/>
          <w:lang w:val="vi-VN"/>
        </w:rPr>
        <w:t xml:space="preserve"> </w:t>
      </w:r>
      <w:r w:rsidR="00D03293" w:rsidRPr="002D45CC">
        <w:rPr>
          <w:rFonts w:ascii="Times New Roman" w:hAnsi="Times New Roman" w:cs="Times New Roman"/>
          <w:color w:val="000000" w:themeColor="text1"/>
          <w:sz w:val="26"/>
          <w:szCs w:val="26"/>
          <w:lang w:val="vi-VN"/>
        </w:rPr>
        <w:t xml:space="preserve">Và </w:t>
      </w:r>
      <w:r w:rsidR="000531B5" w:rsidRPr="002D45CC">
        <w:rPr>
          <w:rFonts w:ascii="Times New Roman" w:hAnsi="Times New Roman" w:cs="Times New Roman"/>
          <w:color w:val="000000" w:themeColor="text1"/>
          <w:sz w:val="26"/>
          <w:szCs w:val="26"/>
          <w:lang w:val="vi-VN"/>
        </w:rPr>
        <w:t xml:space="preserve">Kết quả khảo sát của Viện Dinh dưỡng </w:t>
      </w:r>
      <w:r w:rsidR="00D03293" w:rsidRPr="002D45CC">
        <w:rPr>
          <w:rFonts w:ascii="Times New Roman" w:hAnsi="Times New Roman" w:cs="Times New Roman"/>
          <w:color w:val="000000" w:themeColor="text1"/>
          <w:sz w:val="26"/>
          <w:szCs w:val="26"/>
          <w:lang w:val="vi-VN"/>
        </w:rPr>
        <w:t>năm 2018 cũng chỉ ra rằng s</w:t>
      </w:r>
      <w:r w:rsidR="007C1345" w:rsidRPr="002D45CC">
        <w:rPr>
          <w:rFonts w:ascii="Times New Roman" w:hAnsi="Times New Roman" w:cs="Times New Roman"/>
          <w:color w:val="000000" w:themeColor="text1"/>
          <w:sz w:val="26"/>
          <w:szCs w:val="26"/>
          <w:lang w:val="vi-VN"/>
        </w:rPr>
        <w:t>o với nước ngọt (21,6% ở khu vực nông thôn và 16,1% ở khu vực thành thị), tỷ lệ trẻ em tiêu thụ các sản phẩm có đường khác (bánh kẹo, kem chè …) còn cao hơn rất nhiều chiếm 51,1% ở khu vực thành thị và 56,4% ở khu vực nông thôn.</w:t>
      </w:r>
    </w:p>
    <w:p w14:paraId="433670BB" w14:textId="66C8396A" w:rsidR="00B2037F" w:rsidRPr="00910562" w:rsidRDefault="0080648A" w:rsidP="00FF6628">
      <w:pPr>
        <w:spacing w:after="120"/>
        <w:jc w:val="both"/>
        <w:rPr>
          <w:rFonts w:ascii="Times New Roman" w:hAnsi="Times New Roman" w:cs="Times New Roman"/>
          <w:b/>
          <w:i/>
          <w:iCs/>
          <w:color w:val="000000" w:themeColor="text1"/>
          <w:sz w:val="26"/>
          <w:szCs w:val="26"/>
        </w:rPr>
      </w:pPr>
      <w:r w:rsidRPr="00910562">
        <w:rPr>
          <w:rFonts w:ascii="Times New Roman" w:hAnsi="Times New Roman" w:cs="Times New Roman"/>
          <w:b/>
          <w:i/>
          <w:iCs/>
          <w:color w:val="000000" w:themeColor="text1"/>
          <w:sz w:val="26"/>
          <w:szCs w:val="26"/>
          <w:lang w:val="vi-VN"/>
        </w:rPr>
        <w:t>3</w:t>
      </w:r>
      <w:r w:rsidR="002A6717" w:rsidRPr="00910562">
        <w:rPr>
          <w:rFonts w:ascii="Times New Roman" w:hAnsi="Times New Roman" w:cs="Times New Roman"/>
          <w:b/>
          <w:i/>
          <w:iCs/>
          <w:color w:val="000000" w:themeColor="text1"/>
          <w:sz w:val="26"/>
          <w:szCs w:val="26"/>
          <w:lang w:val="vi-VN"/>
        </w:rPr>
        <w:t>.</w:t>
      </w:r>
      <w:r w:rsidRPr="00910562">
        <w:rPr>
          <w:rFonts w:ascii="Times New Roman" w:hAnsi="Times New Roman" w:cs="Times New Roman"/>
          <w:b/>
          <w:i/>
          <w:iCs/>
          <w:color w:val="000000" w:themeColor="text1"/>
          <w:sz w:val="26"/>
          <w:szCs w:val="26"/>
          <w:lang w:val="vi-VN"/>
        </w:rPr>
        <w:t>4</w:t>
      </w:r>
      <w:r w:rsidR="002A6717" w:rsidRPr="00910562">
        <w:rPr>
          <w:rFonts w:ascii="Times New Roman" w:hAnsi="Times New Roman" w:cs="Times New Roman"/>
          <w:b/>
          <w:i/>
          <w:iCs/>
          <w:color w:val="000000" w:themeColor="text1"/>
          <w:sz w:val="26"/>
          <w:szCs w:val="26"/>
          <w:lang w:val="vi-VN"/>
        </w:rPr>
        <w:t xml:space="preserve"> Tác động tổng thể lên sự phục hồi và phát triển kinh tế </w:t>
      </w:r>
    </w:p>
    <w:p w14:paraId="70F929C0" w14:textId="2E5B9A4A" w:rsidR="00CB53EB" w:rsidRPr="002D45CC" w:rsidRDefault="002A6717" w:rsidP="00FF6628">
      <w:pPr>
        <w:spacing w:after="120"/>
        <w:jc w:val="both"/>
        <w:rPr>
          <w:rFonts w:ascii="Times New Roman" w:hAnsi="Times New Roman" w:cs="Times New Roman"/>
          <w:color w:val="000000" w:themeColor="text1"/>
          <w:sz w:val="26"/>
          <w:szCs w:val="26"/>
        </w:rPr>
      </w:pPr>
      <w:r w:rsidRPr="002D45CC">
        <w:rPr>
          <w:rFonts w:ascii="Times New Roman" w:hAnsi="Times New Roman" w:cs="Times New Roman"/>
          <w:color w:val="000000" w:themeColor="text1"/>
          <w:sz w:val="26"/>
          <w:szCs w:val="26"/>
          <w:lang w:val="vi-VN"/>
        </w:rPr>
        <w:t>Cần xem xét các tác động của chính sách thuế này đối với không chỉ</w:t>
      </w:r>
      <w:r w:rsidRPr="002D45CC">
        <w:rPr>
          <w:rFonts w:ascii="Times New Roman" w:hAnsi="Times New Roman" w:cs="Times New Roman"/>
          <w:color w:val="000000" w:themeColor="text1"/>
          <w:sz w:val="26"/>
          <w:szCs w:val="26"/>
        </w:rPr>
        <w:t xml:space="preserve"> ngành nước giải khát mà còn ảnh hưởng đến các ngành công nghiệp phụ trợ có liên quan như ngành mía đường, bán lẻ, bao bì, và hậu cần</w:t>
      </w:r>
      <w:r w:rsidRPr="002D45CC">
        <w:rPr>
          <w:rFonts w:ascii="Times New Roman" w:hAnsi="Times New Roman" w:cs="Times New Roman"/>
          <w:color w:val="000000" w:themeColor="text1"/>
          <w:sz w:val="26"/>
          <w:szCs w:val="26"/>
          <w:lang w:val="vi-VN"/>
        </w:rPr>
        <w:t xml:space="preserve">. </w:t>
      </w:r>
      <w:r w:rsidRPr="002D45CC">
        <w:rPr>
          <w:rFonts w:ascii="Times New Roman" w:hAnsi="Times New Roman" w:cs="Times New Roman"/>
          <w:color w:val="000000" w:themeColor="text1"/>
          <w:sz w:val="26"/>
          <w:szCs w:val="26"/>
        </w:rPr>
        <w:t>Như</w:t>
      </w:r>
      <w:r w:rsidRPr="002D45CC">
        <w:rPr>
          <w:rFonts w:ascii="Times New Roman" w:hAnsi="Times New Roman" w:cs="Times New Roman"/>
          <w:color w:val="000000" w:themeColor="text1"/>
          <w:sz w:val="26"/>
          <w:szCs w:val="26"/>
          <w:lang w:val="vi-VN"/>
        </w:rPr>
        <w:t xml:space="preserve"> đại diện CIEM đã chia sẻ, </w:t>
      </w:r>
      <w:r w:rsidR="00CB53EB" w:rsidRPr="002D45CC">
        <w:rPr>
          <w:rFonts w:ascii="Times New Roman" w:hAnsi="Times New Roman" w:cs="Times New Roman"/>
          <w:color w:val="000000" w:themeColor="text1"/>
          <w:sz w:val="26"/>
          <w:szCs w:val="26"/>
        </w:rPr>
        <w:t xml:space="preserve">việc áp thuế TTĐB với nước giải </w:t>
      </w:r>
      <w:r w:rsidR="00CB53EB" w:rsidRPr="002D45CC">
        <w:rPr>
          <w:rFonts w:ascii="Times New Roman" w:hAnsi="Times New Roman" w:cs="Times New Roman"/>
          <w:color w:val="000000" w:themeColor="text1"/>
          <w:sz w:val="26"/>
          <w:szCs w:val="26"/>
        </w:rPr>
        <w:lastRenderedPageBreak/>
        <w:t xml:space="preserve">khát có đường ở mức thuế suất 10% sẽ giúp tăng ngân sách nhà nước khoảng </w:t>
      </w:r>
      <w:r w:rsidR="00CA20A5">
        <w:rPr>
          <w:rFonts w:ascii="Times New Roman" w:hAnsi="Times New Roman" w:cs="Times New Roman"/>
          <w:color w:val="000000" w:themeColor="text1"/>
          <w:sz w:val="26"/>
          <w:szCs w:val="26"/>
        </w:rPr>
        <w:t>2</w:t>
      </w:r>
      <w:r w:rsidR="0033318C">
        <w:rPr>
          <w:rFonts w:ascii="Times New Roman" w:hAnsi="Times New Roman" w:cs="Times New Roman"/>
          <w:color w:val="000000" w:themeColor="text1"/>
          <w:sz w:val="26"/>
          <w:szCs w:val="26"/>
        </w:rPr>
        <w:t>.279,1</w:t>
      </w:r>
      <w:r w:rsidR="00CB53EB" w:rsidRPr="002D45CC">
        <w:rPr>
          <w:rFonts w:ascii="Times New Roman" w:hAnsi="Times New Roman" w:cs="Times New Roman"/>
          <w:color w:val="000000" w:themeColor="text1"/>
          <w:sz w:val="26"/>
          <w:szCs w:val="26"/>
        </w:rPr>
        <w:t xml:space="preserve"> tỷ đồng, song, ngược lại sẽ làm giảm doanh thu và sản lượng của riêng ngành nước giải khát và ngành mía đường khoảng 3.</w:t>
      </w:r>
      <w:r w:rsidR="0033318C">
        <w:rPr>
          <w:rFonts w:ascii="Times New Roman" w:hAnsi="Times New Roman" w:cs="Times New Roman"/>
          <w:color w:val="000000" w:themeColor="text1"/>
          <w:sz w:val="26"/>
          <w:szCs w:val="26"/>
        </w:rPr>
        <w:t>159,5</w:t>
      </w:r>
      <w:r w:rsidR="00CB53EB" w:rsidRPr="002D45CC">
        <w:rPr>
          <w:rFonts w:ascii="Times New Roman" w:hAnsi="Times New Roman" w:cs="Times New Roman"/>
          <w:color w:val="000000" w:themeColor="text1"/>
          <w:sz w:val="26"/>
          <w:szCs w:val="26"/>
        </w:rPr>
        <w:t xml:space="preserve"> tỷ đồng</w:t>
      </w:r>
      <w:r w:rsidR="00FD48F4">
        <w:rPr>
          <w:rFonts w:ascii="Times New Roman" w:hAnsi="Times New Roman" w:cs="Times New Roman"/>
          <w:color w:val="000000" w:themeColor="text1"/>
          <w:sz w:val="26"/>
          <w:szCs w:val="26"/>
        </w:rPr>
        <w:t>,</w:t>
      </w:r>
      <w:r w:rsidR="00FD48F4" w:rsidRPr="00FD48F4">
        <w:t xml:space="preserve"> </w:t>
      </w:r>
      <w:r w:rsidR="00FD48F4" w:rsidRPr="00FD48F4">
        <w:rPr>
          <w:rFonts w:ascii="Times New Roman" w:hAnsi="Times New Roman" w:cs="Times New Roman"/>
          <w:color w:val="000000" w:themeColor="text1"/>
          <w:sz w:val="26"/>
          <w:szCs w:val="26"/>
        </w:rPr>
        <w:t>dẫn tới tổng ảnh hưởng là -880,4 tỷ đồng</w:t>
      </w:r>
      <w:r w:rsidR="00CB53EB" w:rsidRPr="002D45CC">
        <w:rPr>
          <w:rFonts w:ascii="Times New Roman" w:hAnsi="Times New Roman" w:cs="Times New Roman"/>
          <w:color w:val="000000" w:themeColor="text1"/>
          <w:sz w:val="26"/>
          <w:szCs w:val="26"/>
        </w:rPr>
        <w:t>. Cụ thể, theo ước tính của nhóm nghiên cứu, nếu áp dụng thuế TTĐB 10% đối với nước ngọt và giữ nguyên mức thuế VAT, GDP sẽ giảm khoảng 0,115%, thu nhập từ sản xuất của cả nền kinh tế giảm 0,14%, thặng dư sản xuất giảm 0,077% và lao động giảm 0,0</w:t>
      </w:r>
      <w:r w:rsidR="0033318C">
        <w:rPr>
          <w:rFonts w:ascii="Times New Roman" w:hAnsi="Times New Roman" w:cs="Times New Roman"/>
          <w:color w:val="000000" w:themeColor="text1"/>
          <w:sz w:val="26"/>
          <w:szCs w:val="26"/>
        </w:rPr>
        <w:t>92</w:t>
      </w:r>
      <w:r w:rsidR="00CB53EB" w:rsidRPr="002D45CC">
        <w:rPr>
          <w:rFonts w:ascii="Times New Roman" w:hAnsi="Times New Roman" w:cs="Times New Roman"/>
          <w:color w:val="000000" w:themeColor="text1"/>
          <w:sz w:val="26"/>
          <w:szCs w:val="26"/>
        </w:rPr>
        <w:t>%; gây tác động đến hàng chục ngàn lao động trong chuỗi giá trị của doanh nghiệp, ảnh hưởng đến 9.000 doanh nghiệp vừa và nhỏ và 1 triệu hộ kinh doanh sản phẩm. Đó là chưa kể, việc đánh thuế nước giải khát có đường dự kiến sẽ tác động tiêu cực tới sinh kế của 337.000 hộ gia đình trồng mía.</w:t>
      </w:r>
    </w:p>
    <w:p w14:paraId="7595E3C7" w14:textId="35070464" w:rsidR="003B7914" w:rsidRPr="002D45CC" w:rsidRDefault="003B7914" w:rsidP="00FF6628">
      <w:pPr>
        <w:pStyle w:val="ListParagraph"/>
        <w:jc w:val="both"/>
        <w:rPr>
          <w:color w:val="000000" w:themeColor="text1"/>
          <w:sz w:val="26"/>
          <w:szCs w:val="26"/>
        </w:rPr>
      </w:pPr>
      <w:r w:rsidRPr="002D45CC">
        <w:rPr>
          <w:color w:val="000000" w:themeColor="text1"/>
          <w:sz w:val="26"/>
          <w:szCs w:val="26"/>
          <w:lang w:val="vi-VN"/>
        </w:rPr>
        <w:t xml:space="preserve">Theo số liệu của Tổng cục thống kê mới công bố </w:t>
      </w:r>
      <w:r w:rsidRPr="002D45CC">
        <w:rPr>
          <w:color w:val="000000" w:themeColor="text1"/>
          <w:sz w:val="26"/>
          <w:szCs w:val="26"/>
        </w:rPr>
        <w:t>về tình hình kinh tế nửa đầu năm</w:t>
      </w:r>
      <w:r w:rsidRPr="002D45CC">
        <w:rPr>
          <w:color w:val="000000" w:themeColor="text1"/>
          <w:sz w:val="26"/>
          <w:szCs w:val="26"/>
          <w:lang w:val="vi-VN"/>
        </w:rPr>
        <w:t>. GDP quý II ước tăng 4,14% so với cùng kỳ năm trước nhưng kết quả này chỉ cao hơn tốc độ tăng 0,34% của quý II/2020, giai đoạn dịch Covid-19 diễn biến phức tạp. Trong đó ngành công nghiệp đối mặt nhiều khó khăn nhất khi có mức tăng trưởng thấp nhất với giá trị tăng thêm của toàn ngành này 6 tháng qua tăng 0,44% so với cùng kỳ năm trước - mức tăng thấp nhất của cùng kỳ nếu xét cả giai đoạn 2011-2023. Chỉ số giá tiêu dùng (CPI) tháng 6 tăng 0,27% so với tháng trước, tăng 2% so với cùng kỳ năm trước do giá thực phẩm, chi phí dùng điện sinh hoạt tăng vì nắng nóng kéo dài và điều chỉnh giá bán lẻ điện bình quân. Bình quân 6 tháng đầu năm, CPI tăng 3,29% so với cùng kỳ năm trước. Còn lạm phát cơ bản tăng 4,74%, cao hơn mức CPI bình quân chung. Nếu cải cách các loại thuế nếu không phù hợp sẽ ảnh hưởng lớn đến sự phục hồi của doanh nghiệp và mục tiêu tăng trưởng của Chính phủ</w:t>
      </w:r>
      <w:r w:rsidR="005F45D7" w:rsidRPr="002D45CC">
        <w:rPr>
          <w:color w:val="000000" w:themeColor="text1"/>
          <w:sz w:val="26"/>
          <w:szCs w:val="26"/>
        </w:rPr>
        <w:t>.</w:t>
      </w:r>
      <w:r w:rsidR="005F45D7" w:rsidRPr="002D45CC">
        <w:rPr>
          <w:rStyle w:val="FootnoteReference"/>
          <w:color w:val="000000" w:themeColor="text1"/>
          <w:sz w:val="26"/>
          <w:szCs w:val="26"/>
        </w:rPr>
        <w:footnoteReference w:id="13"/>
      </w:r>
    </w:p>
    <w:p w14:paraId="786C80CB" w14:textId="77777777" w:rsidR="003B7914" w:rsidRPr="002D45CC" w:rsidRDefault="003B7914" w:rsidP="00FF6628">
      <w:pPr>
        <w:spacing w:after="120"/>
        <w:jc w:val="both"/>
        <w:rPr>
          <w:rFonts w:ascii="Times New Roman" w:hAnsi="Times New Roman" w:cs="Times New Roman"/>
          <w:color w:val="000000" w:themeColor="text1"/>
          <w:sz w:val="26"/>
          <w:szCs w:val="26"/>
        </w:rPr>
      </w:pPr>
    </w:p>
    <w:p w14:paraId="252B810E" w14:textId="667F65CC" w:rsidR="00C976E4" w:rsidRPr="002D45CC" w:rsidRDefault="00C976E4" w:rsidP="00FF6628">
      <w:pPr>
        <w:spacing w:after="120"/>
        <w:jc w:val="both"/>
        <w:rPr>
          <w:rFonts w:ascii="Times New Roman" w:hAnsi="Times New Roman" w:cs="Times New Roman"/>
          <w:color w:val="000000" w:themeColor="text1"/>
          <w:sz w:val="26"/>
          <w:szCs w:val="26"/>
        </w:rPr>
      </w:pPr>
    </w:p>
    <w:sectPr w:rsidR="00C976E4" w:rsidRPr="002D45CC" w:rsidSect="009904D4">
      <w:headerReference w:type="default" r:id="rId10"/>
      <w:pgSz w:w="12240" w:h="15840"/>
      <w:pgMar w:top="851" w:right="1077" w:bottom="56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2F881" w14:textId="77777777" w:rsidR="00E961A2" w:rsidRDefault="00E961A2" w:rsidP="00E16132">
      <w:r>
        <w:separator/>
      </w:r>
    </w:p>
  </w:endnote>
  <w:endnote w:type="continuationSeparator" w:id="0">
    <w:p w14:paraId="16B8FEE7" w14:textId="77777777" w:rsidR="00E961A2" w:rsidRDefault="00E961A2" w:rsidP="00E16132">
      <w:r>
        <w:continuationSeparator/>
      </w:r>
    </w:p>
  </w:endnote>
  <w:endnote w:type="continuationNotice" w:id="1">
    <w:p w14:paraId="6E120F9F" w14:textId="77777777" w:rsidR="00E961A2" w:rsidRDefault="00E96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3F0E7" w14:textId="77777777" w:rsidR="00E961A2" w:rsidRDefault="00E961A2" w:rsidP="00E16132">
      <w:r>
        <w:separator/>
      </w:r>
    </w:p>
  </w:footnote>
  <w:footnote w:type="continuationSeparator" w:id="0">
    <w:p w14:paraId="21321E35" w14:textId="77777777" w:rsidR="00E961A2" w:rsidRDefault="00E961A2" w:rsidP="00E16132">
      <w:r>
        <w:continuationSeparator/>
      </w:r>
    </w:p>
  </w:footnote>
  <w:footnote w:type="continuationNotice" w:id="1">
    <w:p w14:paraId="79C41CF3" w14:textId="77777777" w:rsidR="00E961A2" w:rsidRDefault="00E961A2"/>
  </w:footnote>
  <w:footnote w:id="2">
    <w:p w14:paraId="48D6070B" w14:textId="77777777" w:rsidR="000303C9" w:rsidRDefault="000303C9" w:rsidP="000303C9">
      <w:pPr>
        <w:pStyle w:val="FootnoteText"/>
      </w:pPr>
      <w:r>
        <w:rPr>
          <w:rStyle w:val="FootnoteReference"/>
        </w:rPr>
        <w:footnoteRef/>
      </w:r>
      <w:r>
        <w:t xml:space="preserve"> </w:t>
      </w:r>
      <w:hyperlink r:id="rId1" w:anchor="data_prevalence" w:history="1">
        <w:r w:rsidRPr="0082598B">
          <w:rPr>
            <w:rStyle w:val="Hyperlink"/>
            <w:rFonts w:ascii="Times New Roman" w:hAnsi="Times New Roman" w:cs="Times New Roman"/>
            <w:sz w:val="18"/>
            <w:szCs w:val="18"/>
          </w:rPr>
          <w:t>https://data.worldobesity.org/country/chile-41/#data_prevalence</w:t>
        </w:r>
      </w:hyperlink>
    </w:p>
  </w:footnote>
  <w:footnote w:id="3">
    <w:p w14:paraId="55D91E3E" w14:textId="77777777" w:rsidR="000303C9" w:rsidRPr="0082598B" w:rsidRDefault="000303C9" w:rsidP="000303C9">
      <w:pPr>
        <w:pStyle w:val="FootnoteText"/>
        <w:rPr>
          <w:sz w:val="18"/>
          <w:szCs w:val="18"/>
        </w:rPr>
      </w:pPr>
      <w:r w:rsidRPr="0082598B">
        <w:rPr>
          <w:rStyle w:val="FootnoteReference"/>
          <w:rFonts w:ascii="Times New Roman" w:hAnsi="Times New Roman" w:cs="Times New Roman"/>
          <w:sz w:val="18"/>
          <w:szCs w:val="18"/>
        </w:rPr>
        <w:footnoteRef/>
      </w:r>
      <w:r w:rsidRPr="0082598B">
        <w:rPr>
          <w:rFonts w:ascii="Times New Roman" w:hAnsi="Times New Roman" w:cs="Times New Roman"/>
          <w:sz w:val="18"/>
          <w:szCs w:val="18"/>
        </w:rPr>
        <w:t xml:space="preserve"> </w:t>
      </w:r>
      <w:hyperlink r:id="rId2" w:anchor="data_prevalence" w:history="1">
        <w:r w:rsidRPr="0082598B">
          <w:rPr>
            <w:rStyle w:val="Hyperlink"/>
            <w:rFonts w:ascii="Times New Roman" w:hAnsi="Times New Roman" w:cs="Times New Roman"/>
            <w:sz w:val="18"/>
            <w:szCs w:val="18"/>
          </w:rPr>
          <w:t>https://data.worldobesity.org/country/mexico-139/#data_prevalence</w:t>
        </w:r>
      </w:hyperlink>
      <w:r w:rsidRPr="0082598B">
        <w:rPr>
          <w:sz w:val="18"/>
          <w:szCs w:val="18"/>
        </w:rPr>
        <w:t xml:space="preserve"> </w:t>
      </w:r>
    </w:p>
  </w:footnote>
  <w:footnote w:id="4">
    <w:p w14:paraId="056A03EC" w14:textId="77777777" w:rsidR="000303C9" w:rsidRPr="0082598B" w:rsidRDefault="000303C9" w:rsidP="000303C9">
      <w:pPr>
        <w:pStyle w:val="FootnoteText"/>
        <w:rPr>
          <w:rFonts w:ascii="Times New Roman" w:hAnsi="Times New Roman" w:cs="Times New Roman"/>
          <w:sz w:val="18"/>
          <w:szCs w:val="18"/>
        </w:rPr>
      </w:pPr>
      <w:r w:rsidRPr="0082598B">
        <w:rPr>
          <w:rStyle w:val="FootnoteReference"/>
          <w:rFonts w:ascii="Times New Roman" w:hAnsi="Times New Roman" w:cs="Times New Roman"/>
          <w:sz w:val="18"/>
          <w:szCs w:val="18"/>
        </w:rPr>
        <w:footnoteRef/>
      </w:r>
      <w:r w:rsidRPr="0082598B">
        <w:rPr>
          <w:rFonts w:ascii="Times New Roman" w:hAnsi="Times New Roman" w:cs="Times New Roman"/>
          <w:sz w:val="18"/>
          <w:szCs w:val="18"/>
        </w:rPr>
        <w:t xml:space="preserve"> </w:t>
      </w:r>
      <w:hyperlink r:id="rId3" w:anchor="data_prevalence" w:history="1">
        <w:r w:rsidRPr="0082598B">
          <w:rPr>
            <w:rStyle w:val="Hyperlink"/>
            <w:rFonts w:ascii="Times New Roman" w:hAnsi="Times New Roman" w:cs="Times New Roman"/>
            <w:sz w:val="18"/>
            <w:szCs w:val="18"/>
          </w:rPr>
          <w:t>https://data.worldobesity.org/country/belgium-19/#data_prevalence</w:t>
        </w:r>
      </w:hyperlink>
      <w:r w:rsidRPr="0082598B">
        <w:rPr>
          <w:rFonts w:ascii="Times New Roman" w:hAnsi="Times New Roman" w:cs="Times New Roman"/>
          <w:sz w:val="18"/>
          <w:szCs w:val="18"/>
        </w:rPr>
        <w:t xml:space="preserve"> </w:t>
      </w:r>
    </w:p>
  </w:footnote>
  <w:footnote w:id="5">
    <w:p w14:paraId="4F252E94" w14:textId="77777777" w:rsidR="000303C9" w:rsidRPr="0082598B" w:rsidRDefault="000303C9" w:rsidP="000303C9">
      <w:pPr>
        <w:pStyle w:val="FootnoteText"/>
        <w:rPr>
          <w:rFonts w:ascii="Times New Roman" w:hAnsi="Times New Roman" w:cs="Times New Roman"/>
          <w:sz w:val="18"/>
          <w:szCs w:val="18"/>
        </w:rPr>
      </w:pPr>
      <w:r w:rsidRPr="0082598B">
        <w:rPr>
          <w:rStyle w:val="FootnoteReference"/>
          <w:rFonts w:ascii="Times New Roman" w:hAnsi="Times New Roman" w:cs="Times New Roman"/>
          <w:sz w:val="18"/>
          <w:szCs w:val="18"/>
        </w:rPr>
        <w:footnoteRef/>
      </w:r>
      <w:r w:rsidRPr="0082598B">
        <w:rPr>
          <w:rFonts w:ascii="Times New Roman" w:hAnsi="Times New Roman" w:cs="Times New Roman"/>
          <w:sz w:val="18"/>
          <w:szCs w:val="18"/>
        </w:rPr>
        <w:t xml:space="preserve"> </w:t>
      </w:r>
      <w:hyperlink r:id="rId4" w:anchor="data_prevalence" w:history="1">
        <w:r w:rsidRPr="0082598B">
          <w:rPr>
            <w:rStyle w:val="Hyperlink"/>
            <w:rFonts w:ascii="Times New Roman" w:hAnsi="Times New Roman" w:cs="Times New Roman"/>
            <w:sz w:val="18"/>
            <w:szCs w:val="18"/>
          </w:rPr>
          <w:t>https://data.worldobesity.org/country/finland-70/#data_prevalence</w:t>
        </w:r>
      </w:hyperlink>
      <w:r w:rsidRPr="0082598B">
        <w:rPr>
          <w:rFonts w:ascii="Times New Roman" w:hAnsi="Times New Roman" w:cs="Times New Roman"/>
          <w:sz w:val="18"/>
          <w:szCs w:val="18"/>
        </w:rPr>
        <w:t xml:space="preserve"> </w:t>
      </w:r>
    </w:p>
  </w:footnote>
  <w:footnote w:id="6">
    <w:p w14:paraId="6078C64B" w14:textId="77777777" w:rsidR="000303C9" w:rsidRPr="0082598B" w:rsidRDefault="000303C9" w:rsidP="000303C9">
      <w:pPr>
        <w:pStyle w:val="FootnoteText"/>
        <w:rPr>
          <w:rFonts w:ascii="Times New Roman" w:hAnsi="Times New Roman" w:cs="Times New Roman"/>
          <w:sz w:val="18"/>
          <w:szCs w:val="18"/>
        </w:rPr>
      </w:pPr>
      <w:r w:rsidRPr="0082598B">
        <w:rPr>
          <w:rStyle w:val="FootnoteReference"/>
          <w:rFonts w:ascii="Times New Roman" w:hAnsi="Times New Roman" w:cs="Times New Roman"/>
          <w:sz w:val="18"/>
          <w:szCs w:val="18"/>
        </w:rPr>
        <w:footnoteRef/>
      </w:r>
      <w:r w:rsidRPr="0082598B">
        <w:rPr>
          <w:rFonts w:ascii="Times New Roman" w:hAnsi="Times New Roman" w:cs="Times New Roman"/>
          <w:sz w:val="18"/>
          <w:szCs w:val="18"/>
        </w:rPr>
        <w:t xml:space="preserve"> </w:t>
      </w:r>
      <w:hyperlink r:id="rId5" w:anchor="data_prevalence" w:history="1">
        <w:r w:rsidRPr="0082598B">
          <w:rPr>
            <w:rStyle w:val="Hyperlink"/>
            <w:rFonts w:ascii="Times New Roman" w:hAnsi="Times New Roman" w:cs="Times New Roman"/>
            <w:sz w:val="18"/>
            <w:szCs w:val="18"/>
          </w:rPr>
          <w:t>https://data.worldobesity.org/country/latvia-118/#data_prevalence</w:t>
        </w:r>
      </w:hyperlink>
      <w:r w:rsidRPr="0082598B">
        <w:rPr>
          <w:rFonts w:ascii="Times New Roman" w:hAnsi="Times New Roman" w:cs="Times New Roman"/>
          <w:sz w:val="18"/>
          <w:szCs w:val="18"/>
        </w:rPr>
        <w:t xml:space="preserve"> </w:t>
      </w:r>
    </w:p>
  </w:footnote>
  <w:footnote w:id="7">
    <w:p w14:paraId="5A8A4EC1" w14:textId="77777777" w:rsidR="009C4BC3" w:rsidRPr="00A23C0D" w:rsidRDefault="009C4BC3" w:rsidP="009C4BC3">
      <w:pPr>
        <w:pStyle w:val="FootnoteText"/>
        <w:rPr>
          <w:rStyle w:val="Hyperlink"/>
          <w:rFonts w:ascii="Times New Roman" w:hAnsi="Times New Roman" w:cs="Times New Roman"/>
          <w:sz w:val="18"/>
          <w:szCs w:val="18"/>
        </w:rPr>
      </w:pPr>
      <w:r w:rsidRPr="00A23C0D">
        <w:rPr>
          <w:rStyle w:val="FootnoteReference"/>
          <w:rFonts w:ascii="Times New Roman" w:hAnsi="Times New Roman" w:cs="Times New Roman"/>
          <w:sz w:val="18"/>
          <w:szCs w:val="18"/>
        </w:rPr>
        <w:footnoteRef/>
      </w:r>
      <w:r w:rsidRPr="00A23C0D">
        <w:rPr>
          <w:rFonts w:ascii="Times New Roman" w:hAnsi="Times New Roman" w:cs="Times New Roman"/>
          <w:sz w:val="18"/>
          <w:szCs w:val="18"/>
        </w:rPr>
        <w:t xml:space="preserve"> </w:t>
      </w:r>
      <w:hyperlink r:id="rId6" w:history="1">
        <w:r w:rsidRPr="00A23C0D">
          <w:rPr>
            <w:rStyle w:val="Hyperlink"/>
            <w:rFonts w:ascii="Times New Roman" w:hAnsi="Times New Roman" w:cs="Times New Roman"/>
            <w:sz w:val="18"/>
            <w:szCs w:val="18"/>
          </w:rPr>
          <w:t>http://www.foodnavigator.com/Policy/Denmark-to-scrap-decades-old-soft-drink-tax</w:t>
        </w:r>
      </w:hyperlink>
    </w:p>
  </w:footnote>
  <w:footnote w:id="8">
    <w:p w14:paraId="06FC32E2" w14:textId="77777777" w:rsidR="009C4BC3" w:rsidRPr="00A23C0D" w:rsidRDefault="009C4BC3" w:rsidP="009C4BC3">
      <w:pPr>
        <w:pStyle w:val="FootnoteText"/>
        <w:rPr>
          <w:rFonts w:ascii="Times New Roman" w:hAnsi="Times New Roman" w:cs="Times New Roman"/>
          <w:color w:val="0563C1" w:themeColor="hyperlink"/>
          <w:sz w:val="18"/>
          <w:szCs w:val="18"/>
          <w:u w:val="single"/>
        </w:rPr>
      </w:pPr>
      <w:r w:rsidRPr="00A23C0D">
        <w:rPr>
          <w:rStyle w:val="FootnoteReference"/>
          <w:rFonts w:ascii="Times New Roman" w:hAnsi="Times New Roman" w:cs="Times New Roman"/>
          <w:sz w:val="18"/>
          <w:szCs w:val="18"/>
        </w:rPr>
        <w:footnoteRef/>
      </w:r>
      <w:r w:rsidRPr="00A23C0D">
        <w:rPr>
          <w:rStyle w:val="FootnoteReference"/>
          <w:rFonts w:ascii="Times New Roman" w:hAnsi="Times New Roman" w:cs="Times New Roman"/>
          <w:sz w:val="18"/>
          <w:szCs w:val="18"/>
        </w:rPr>
        <w:t xml:space="preserve"> </w:t>
      </w:r>
      <w:hyperlink r:id="rId7" w:history="1">
        <w:r w:rsidRPr="00A23C0D">
          <w:rPr>
            <w:rStyle w:val="Hyperlink"/>
            <w:rFonts w:ascii="Times New Roman" w:hAnsi="Times New Roman" w:cs="Times New Roman"/>
            <w:sz w:val="18"/>
            <w:szCs w:val="18"/>
          </w:rPr>
          <w:t>https://www.economist.com/news/finance-and-economics/21679259-taxes-fizzy-drinks-seem-work-intended-stopping-slurping</w:t>
        </w:r>
      </w:hyperlink>
    </w:p>
  </w:footnote>
  <w:footnote w:id="9">
    <w:p w14:paraId="1F582739" w14:textId="77777777" w:rsidR="004B524F" w:rsidRPr="00071828" w:rsidRDefault="004B524F" w:rsidP="004B524F">
      <w:pPr>
        <w:pStyle w:val="FootnoteText"/>
        <w:rPr>
          <w:rFonts w:ascii="Times New Roman" w:hAnsi="Times New Roman" w:cs="Times New Roman"/>
          <w:lang w:val="vi-VN"/>
        </w:rPr>
      </w:pPr>
      <w:r w:rsidRPr="00071828">
        <w:rPr>
          <w:rStyle w:val="FootnoteReference"/>
          <w:rFonts w:ascii="Times New Roman" w:hAnsi="Times New Roman" w:cs="Times New Roman"/>
        </w:rPr>
        <w:footnoteRef/>
      </w:r>
      <w:r w:rsidRPr="00071828">
        <w:rPr>
          <w:rFonts w:ascii="Times New Roman" w:hAnsi="Times New Roman" w:cs="Times New Roman"/>
        </w:rPr>
        <w:t xml:space="preserve"> https://www.nzier.org.nz/hubfs/Public%20Publications/Client%20reports/sugar_tax_report.pdf</w:t>
      </w:r>
    </w:p>
  </w:footnote>
  <w:footnote w:id="10">
    <w:p w14:paraId="0B4EEAB4" w14:textId="77777777" w:rsidR="00FB4950" w:rsidRPr="009A16CB" w:rsidRDefault="00FB4950" w:rsidP="00FB4950">
      <w:pPr>
        <w:pStyle w:val="FootnoteText"/>
      </w:pPr>
      <w:r>
        <w:rPr>
          <w:rStyle w:val="FootnoteReference"/>
        </w:rPr>
        <w:footnoteRef/>
      </w:r>
      <w:r>
        <w:t xml:space="preserve"> </w:t>
      </w:r>
      <w:hyperlink r:id="rId8" w:history="1">
        <w:r w:rsidRPr="00AB22DB">
          <w:rPr>
            <w:rStyle w:val="Hyperlink"/>
          </w:rPr>
          <w:t>https://publichealth.berkeley.edu/news-media/research-highlights/do-soda-taxes-work/</w:t>
        </w:r>
      </w:hyperlink>
      <w:r>
        <w:t xml:space="preserve"> </w:t>
      </w:r>
    </w:p>
  </w:footnote>
  <w:footnote w:id="11">
    <w:p w14:paraId="43216491" w14:textId="77777777" w:rsidR="0080648A" w:rsidRDefault="0080648A" w:rsidP="0080648A">
      <w:pPr>
        <w:pStyle w:val="FootnoteText"/>
      </w:pPr>
      <w:r>
        <w:rPr>
          <w:rStyle w:val="FootnoteReference"/>
        </w:rPr>
        <w:footnoteRef/>
      </w:r>
      <w:r>
        <w:t xml:space="preserve"> </w:t>
      </w:r>
      <w:r w:rsidRPr="008F61D8">
        <w:rPr>
          <w:rFonts w:cstheme="minorHAnsi"/>
        </w:rPr>
        <w:t>WHO EB 152/6, “Political Declaration of the third high-level meeting of the General Assembly on the prevention and control of non-communicable diseases and mental health/Draft updated menu of policy options and cost-effective interventions for the prevention and control of non-communicable diseases”, xem tại trang 18 của Phụ lục.</w:t>
      </w:r>
    </w:p>
  </w:footnote>
  <w:footnote w:id="12">
    <w:p w14:paraId="13E570D4" w14:textId="77777777" w:rsidR="004B524F" w:rsidRPr="008F61D8" w:rsidRDefault="004B524F" w:rsidP="004B524F">
      <w:pPr>
        <w:pStyle w:val="FootnoteText"/>
        <w:rPr>
          <w:rFonts w:cstheme="minorHAnsi"/>
          <w:lang w:val="vi-VN"/>
        </w:rPr>
      </w:pPr>
      <w:r w:rsidRPr="008F61D8">
        <w:rPr>
          <w:rStyle w:val="FootnoteReference"/>
          <w:rFonts w:cstheme="minorHAnsi"/>
        </w:rPr>
        <w:footnoteRef/>
      </w:r>
      <w:r w:rsidRPr="008F61D8">
        <w:rPr>
          <w:rFonts w:cstheme="minorHAnsi"/>
        </w:rPr>
        <w:t xml:space="preserve"> WHO EB 152/6, “Political Declaration of the third high-level meeting of the General Assembly on the prevention and control of non-communicable diseases and mental health/Draft updated menu of policy options and cost-effective interventions for the prevention and control of non-communicable diseases”, xem tại trang 18 của Phụ lục.</w:t>
      </w:r>
    </w:p>
  </w:footnote>
  <w:footnote w:id="13">
    <w:p w14:paraId="6940533B" w14:textId="4E2FB8E5" w:rsidR="005F45D7" w:rsidRDefault="005F45D7">
      <w:pPr>
        <w:pStyle w:val="FootnoteText"/>
      </w:pPr>
      <w:r>
        <w:rPr>
          <w:rStyle w:val="FootnoteReference"/>
        </w:rPr>
        <w:footnoteRef/>
      </w:r>
      <w:r>
        <w:t xml:space="preserve"> </w:t>
      </w:r>
      <w:hyperlink r:id="rId9" w:history="1">
        <w:r>
          <w:rPr>
            <w:rStyle w:val="Hyperlink"/>
          </w:rPr>
          <w:t>Báo cáo tình hình kinh tế – xã hội Quý II và 6 tháng đầu năm 2023 – General Statistics Office of Vietnam (gso.gov.vn)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141F" w14:textId="68B002B6" w:rsidR="009904D4" w:rsidRPr="00D30D8B" w:rsidRDefault="009904D4" w:rsidP="009904D4">
    <w:pPr>
      <w:pStyle w:val="Header"/>
      <w:jc w:val="right"/>
      <w:rPr>
        <w:rFonts w:ascii="Times New Roman" w:hAnsi="Times New Roman" w:cs="Times New Roman"/>
        <w:b/>
        <w:i/>
      </w:rPr>
    </w:pPr>
    <w:r w:rsidRPr="00D30D8B">
      <w:rPr>
        <w:rFonts w:ascii="Times New Roman" w:hAnsi="Times New Roman" w:cs="Times New Roman"/>
        <w:b/>
        <w:i/>
      </w:rPr>
      <w:t>Hội thảo “Góp ý Đề nghị xây dựng dự án Luật Thuế Tiêu thụ đặc biệt (sửa đổi)”</w:t>
    </w:r>
  </w:p>
  <w:p w14:paraId="454CDCF3" w14:textId="77777777" w:rsidR="009904D4" w:rsidRPr="00D30D8B" w:rsidRDefault="009904D4" w:rsidP="009904D4">
    <w:pPr>
      <w:pStyle w:val="Header"/>
      <w:jc w:val="right"/>
      <w:rPr>
        <w:rFonts w:ascii="Times New Roman" w:hAnsi="Times New Roman" w:cs="Times New Roman"/>
        <w:b/>
        <w:i/>
      </w:rPr>
    </w:pPr>
    <w:r w:rsidRPr="00D30D8B">
      <w:rPr>
        <w:rFonts w:ascii="Times New Roman" w:hAnsi="Times New Roman" w:cs="Times New Roman"/>
        <w:b/>
        <w:i/>
      </w:rPr>
      <w:t>VCCI, ngày 05/7/2023</w:t>
    </w:r>
  </w:p>
  <w:p w14:paraId="229CA3BB" w14:textId="436501AB" w:rsidR="009904D4" w:rsidRDefault="009904D4">
    <w:pPr>
      <w:pStyle w:val="Header"/>
    </w:pPr>
  </w:p>
  <w:p w14:paraId="6DFD83A1" w14:textId="77777777" w:rsidR="009904D4" w:rsidRDefault="009904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8E5"/>
    <w:multiLevelType w:val="hybridMultilevel"/>
    <w:tmpl w:val="CEB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37E"/>
    <w:multiLevelType w:val="hybridMultilevel"/>
    <w:tmpl w:val="415CD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2669"/>
    <w:multiLevelType w:val="hybridMultilevel"/>
    <w:tmpl w:val="CCB48A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3CAD"/>
    <w:multiLevelType w:val="hybridMultilevel"/>
    <w:tmpl w:val="4C2E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44664"/>
    <w:multiLevelType w:val="hybridMultilevel"/>
    <w:tmpl w:val="26748500"/>
    <w:lvl w:ilvl="0" w:tplc="C48A7E9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B2D667F"/>
    <w:multiLevelType w:val="hybridMultilevel"/>
    <w:tmpl w:val="ACE4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03C69"/>
    <w:multiLevelType w:val="hybridMultilevel"/>
    <w:tmpl w:val="8B4C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270A7"/>
    <w:multiLevelType w:val="hybridMultilevel"/>
    <w:tmpl w:val="28665D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DB5D69"/>
    <w:multiLevelType w:val="hybridMultilevel"/>
    <w:tmpl w:val="5C58FD64"/>
    <w:lvl w:ilvl="0" w:tplc="465E0410">
      <w:start w:val="4"/>
      <w:numFmt w:val="upperRoman"/>
      <w:lvlText w:val="%1."/>
      <w:lvlJc w:val="left"/>
      <w:pPr>
        <w:ind w:left="1080" w:hanging="720"/>
      </w:pPr>
      <w:rPr>
        <w:rFonts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60300"/>
    <w:multiLevelType w:val="hybridMultilevel"/>
    <w:tmpl w:val="FBA8F2BE"/>
    <w:lvl w:ilvl="0" w:tplc="04090001">
      <w:start w:val="1"/>
      <w:numFmt w:val="bullet"/>
      <w:lvlText w:val=""/>
      <w:lvlJc w:val="left"/>
      <w:pPr>
        <w:ind w:left="90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8E30F37"/>
    <w:multiLevelType w:val="hybridMultilevel"/>
    <w:tmpl w:val="F4A4BEE8"/>
    <w:lvl w:ilvl="0" w:tplc="04090003">
      <w:start w:val="1"/>
      <w:numFmt w:val="bullet"/>
      <w:lvlText w:val="o"/>
      <w:lvlJc w:val="left"/>
      <w:pPr>
        <w:ind w:left="1620"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7ADE5AE2"/>
    <w:multiLevelType w:val="hybridMultilevel"/>
    <w:tmpl w:val="BC1899C2"/>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4"/>
  </w:num>
  <w:num w:numId="5">
    <w:abstractNumId w:val="7"/>
  </w:num>
  <w:num w:numId="6">
    <w:abstractNumId w:val="6"/>
  </w:num>
  <w:num w:numId="7">
    <w:abstractNumId w:val="8"/>
  </w:num>
  <w:num w:numId="8">
    <w:abstractNumId w:val="5"/>
  </w:num>
  <w:num w:numId="9">
    <w:abstractNumId w:val="11"/>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7F"/>
    <w:rsid w:val="00000B15"/>
    <w:rsid w:val="00004A9C"/>
    <w:rsid w:val="000130A8"/>
    <w:rsid w:val="000146F2"/>
    <w:rsid w:val="00016F88"/>
    <w:rsid w:val="000303C9"/>
    <w:rsid w:val="0003473A"/>
    <w:rsid w:val="000447A9"/>
    <w:rsid w:val="00050A73"/>
    <w:rsid w:val="000531B5"/>
    <w:rsid w:val="000841A9"/>
    <w:rsid w:val="00085EB6"/>
    <w:rsid w:val="000A0EFD"/>
    <w:rsid w:val="000C78F2"/>
    <w:rsid w:val="000D4924"/>
    <w:rsid w:val="000D4F4F"/>
    <w:rsid w:val="000E54F8"/>
    <w:rsid w:val="000F07FA"/>
    <w:rsid w:val="000F3037"/>
    <w:rsid w:val="000F759A"/>
    <w:rsid w:val="001056CC"/>
    <w:rsid w:val="00122320"/>
    <w:rsid w:val="00125874"/>
    <w:rsid w:val="00126F9A"/>
    <w:rsid w:val="00147988"/>
    <w:rsid w:val="00157CD7"/>
    <w:rsid w:val="001778C3"/>
    <w:rsid w:val="00182660"/>
    <w:rsid w:val="00182A61"/>
    <w:rsid w:val="001A7909"/>
    <w:rsid w:val="001B1606"/>
    <w:rsid w:val="001C2A1B"/>
    <w:rsid w:val="001C372D"/>
    <w:rsid w:val="0022020E"/>
    <w:rsid w:val="00225489"/>
    <w:rsid w:val="002A6717"/>
    <w:rsid w:val="002C240A"/>
    <w:rsid w:val="002D45CC"/>
    <w:rsid w:val="002E29F5"/>
    <w:rsid w:val="00300A5B"/>
    <w:rsid w:val="00300DA6"/>
    <w:rsid w:val="003022D8"/>
    <w:rsid w:val="003047C8"/>
    <w:rsid w:val="0033318C"/>
    <w:rsid w:val="003332CC"/>
    <w:rsid w:val="00334665"/>
    <w:rsid w:val="003552A8"/>
    <w:rsid w:val="00375F64"/>
    <w:rsid w:val="003B25DF"/>
    <w:rsid w:val="003B41E5"/>
    <w:rsid w:val="003B7914"/>
    <w:rsid w:val="003C3181"/>
    <w:rsid w:val="003C685C"/>
    <w:rsid w:val="003D43DD"/>
    <w:rsid w:val="003E2496"/>
    <w:rsid w:val="003E28E5"/>
    <w:rsid w:val="003E7D34"/>
    <w:rsid w:val="003F0243"/>
    <w:rsid w:val="003F033A"/>
    <w:rsid w:val="003F189A"/>
    <w:rsid w:val="00411FAD"/>
    <w:rsid w:val="00424348"/>
    <w:rsid w:val="0042607A"/>
    <w:rsid w:val="00430038"/>
    <w:rsid w:val="00445168"/>
    <w:rsid w:val="00447D8E"/>
    <w:rsid w:val="004675E0"/>
    <w:rsid w:val="00474520"/>
    <w:rsid w:val="0048050F"/>
    <w:rsid w:val="00487398"/>
    <w:rsid w:val="004A0593"/>
    <w:rsid w:val="004B524F"/>
    <w:rsid w:val="004E527C"/>
    <w:rsid w:val="004F58FC"/>
    <w:rsid w:val="0050468D"/>
    <w:rsid w:val="00506818"/>
    <w:rsid w:val="00507F02"/>
    <w:rsid w:val="005220CF"/>
    <w:rsid w:val="0052233F"/>
    <w:rsid w:val="005266E8"/>
    <w:rsid w:val="005273C1"/>
    <w:rsid w:val="0055747E"/>
    <w:rsid w:val="00561DA6"/>
    <w:rsid w:val="005740D9"/>
    <w:rsid w:val="005A36A7"/>
    <w:rsid w:val="005A3831"/>
    <w:rsid w:val="005C26E4"/>
    <w:rsid w:val="005C6F91"/>
    <w:rsid w:val="005F435B"/>
    <w:rsid w:val="005F45D7"/>
    <w:rsid w:val="005F5404"/>
    <w:rsid w:val="005F758D"/>
    <w:rsid w:val="00600FB0"/>
    <w:rsid w:val="0060570A"/>
    <w:rsid w:val="00606452"/>
    <w:rsid w:val="0062309F"/>
    <w:rsid w:val="00667E7F"/>
    <w:rsid w:val="00672BAA"/>
    <w:rsid w:val="00673632"/>
    <w:rsid w:val="00681D61"/>
    <w:rsid w:val="0068492E"/>
    <w:rsid w:val="006A29A1"/>
    <w:rsid w:val="006A415A"/>
    <w:rsid w:val="006A42DB"/>
    <w:rsid w:val="006B2EAF"/>
    <w:rsid w:val="006B642D"/>
    <w:rsid w:val="006C7C2F"/>
    <w:rsid w:val="006D3017"/>
    <w:rsid w:val="006E2AA5"/>
    <w:rsid w:val="006F448F"/>
    <w:rsid w:val="00740711"/>
    <w:rsid w:val="00756880"/>
    <w:rsid w:val="00776B5E"/>
    <w:rsid w:val="007C0063"/>
    <w:rsid w:val="007C1345"/>
    <w:rsid w:val="007D5DD5"/>
    <w:rsid w:val="007D67F1"/>
    <w:rsid w:val="007D68A1"/>
    <w:rsid w:val="007E5123"/>
    <w:rsid w:val="0080648A"/>
    <w:rsid w:val="00851C77"/>
    <w:rsid w:val="00864D78"/>
    <w:rsid w:val="00871E38"/>
    <w:rsid w:val="008A263F"/>
    <w:rsid w:val="008B5A36"/>
    <w:rsid w:val="008E431E"/>
    <w:rsid w:val="00910562"/>
    <w:rsid w:val="00915D61"/>
    <w:rsid w:val="00940C08"/>
    <w:rsid w:val="0096752F"/>
    <w:rsid w:val="0098485C"/>
    <w:rsid w:val="0099016E"/>
    <w:rsid w:val="009904D4"/>
    <w:rsid w:val="009A16CB"/>
    <w:rsid w:val="009B2714"/>
    <w:rsid w:val="009C4BC3"/>
    <w:rsid w:val="009D36F6"/>
    <w:rsid w:val="009E282E"/>
    <w:rsid w:val="00A12DC4"/>
    <w:rsid w:val="00A14BF3"/>
    <w:rsid w:val="00A2032A"/>
    <w:rsid w:val="00A33A43"/>
    <w:rsid w:val="00A649D5"/>
    <w:rsid w:val="00A77011"/>
    <w:rsid w:val="00A8238B"/>
    <w:rsid w:val="00AA50AB"/>
    <w:rsid w:val="00AC39DB"/>
    <w:rsid w:val="00AD00CB"/>
    <w:rsid w:val="00AE1EA1"/>
    <w:rsid w:val="00AE3FB0"/>
    <w:rsid w:val="00B13552"/>
    <w:rsid w:val="00B2037F"/>
    <w:rsid w:val="00B31281"/>
    <w:rsid w:val="00B350CE"/>
    <w:rsid w:val="00B4618C"/>
    <w:rsid w:val="00B574FA"/>
    <w:rsid w:val="00B605A7"/>
    <w:rsid w:val="00B76EFF"/>
    <w:rsid w:val="00B77196"/>
    <w:rsid w:val="00B922F5"/>
    <w:rsid w:val="00BA7EF6"/>
    <w:rsid w:val="00BC0CF1"/>
    <w:rsid w:val="00BD285E"/>
    <w:rsid w:val="00BD54B5"/>
    <w:rsid w:val="00BF0515"/>
    <w:rsid w:val="00C00166"/>
    <w:rsid w:val="00C04A93"/>
    <w:rsid w:val="00C3377A"/>
    <w:rsid w:val="00C648D4"/>
    <w:rsid w:val="00C9148F"/>
    <w:rsid w:val="00C976E4"/>
    <w:rsid w:val="00C97886"/>
    <w:rsid w:val="00CA0A95"/>
    <w:rsid w:val="00CA20A5"/>
    <w:rsid w:val="00CA599A"/>
    <w:rsid w:val="00CB12CD"/>
    <w:rsid w:val="00CB53EB"/>
    <w:rsid w:val="00CC2457"/>
    <w:rsid w:val="00CC2C8A"/>
    <w:rsid w:val="00CD0DA1"/>
    <w:rsid w:val="00D03293"/>
    <w:rsid w:val="00D2230A"/>
    <w:rsid w:val="00D654AE"/>
    <w:rsid w:val="00DB0861"/>
    <w:rsid w:val="00DC2B0C"/>
    <w:rsid w:val="00DC6950"/>
    <w:rsid w:val="00DC7CA9"/>
    <w:rsid w:val="00DD3584"/>
    <w:rsid w:val="00DD39EC"/>
    <w:rsid w:val="00DD50AB"/>
    <w:rsid w:val="00DE3FCC"/>
    <w:rsid w:val="00DE4F45"/>
    <w:rsid w:val="00DF0697"/>
    <w:rsid w:val="00DF3CCA"/>
    <w:rsid w:val="00E0251E"/>
    <w:rsid w:val="00E04DB8"/>
    <w:rsid w:val="00E06DAD"/>
    <w:rsid w:val="00E16132"/>
    <w:rsid w:val="00E179F9"/>
    <w:rsid w:val="00E279D6"/>
    <w:rsid w:val="00E61478"/>
    <w:rsid w:val="00E7148E"/>
    <w:rsid w:val="00E761AE"/>
    <w:rsid w:val="00E961A2"/>
    <w:rsid w:val="00EC0F2C"/>
    <w:rsid w:val="00EC29C5"/>
    <w:rsid w:val="00EE001D"/>
    <w:rsid w:val="00EE35CF"/>
    <w:rsid w:val="00EF69AC"/>
    <w:rsid w:val="00F00C7B"/>
    <w:rsid w:val="00F014A6"/>
    <w:rsid w:val="00F03687"/>
    <w:rsid w:val="00F05C2E"/>
    <w:rsid w:val="00F34FB1"/>
    <w:rsid w:val="00F4033B"/>
    <w:rsid w:val="00F40F9C"/>
    <w:rsid w:val="00F60275"/>
    <w:rsid w:val="00F75890"/>
    <w:rsid w:val="00F7763A"/>
    <w:rsid w:val="00F910DA"/>
    <w:rsid w:val="00FA54C8"/>
    <w:rsid w:val="00FB4950"/>
    <w:rsid w:val="00FC0037"/>
    <w:rsid w:val="00FC55F4"/>
    <w:rsid w:val="00FD0AB3"/>
    <w:rsid w:val="00FD48F4"/>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7815"/>
  <w15:chartTrackingRefBased/>
  <w15:docId w15:val="{2D609EE9-5782-49E5-ABCB-5CEF0618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Bullet List,Issue Action POC,List Paragraph1,Dot pt,F5 List Paragraph,No Spacing1,List Paragraph Char Char Char,Indicator Text,Colorful List - Accent 11,Numbered Para 1,Bullet 1,Bullet Points,List Paragraph2,MAIN CONTENT"/>
    <w:basedOn w:val="Normal"/>
    <w:link w:val="ListParagraphChar"/>
    <w:uiPriority w:val="34"/>
    <w:qFormat/>
    <w:rsid w:val="00B2037F"/>
    <w:pPr>
      <w:spacing w:before="100" w:beforeAutospacing="1" w:after="100" w:afterAutospacing="1"/>
    </w:pPr>
    <w:rPr>
      <w:rFonts w:ascii="Times New Roman" w:eastAsia="Times New Roman" w:hAnsi="Times New Roman" w:cs="Times New Roman"/>
      <w:kern w:val="0"/>
      <w14:ligatures w14:val="none"/>
    </w:rPr>
  </w:style>
  <w:style w:type="paragraph" w:customStyle="1" w:styleId="p1">
    <w:name w:val="p1"/>
    <w:basedOn w:val="Normal"/>
    <w:rsid w:val="00B2037F"/>
    <w:pPr>
      <w:spacing w:before="100" w:beforeAutospacing="1" w:after="100" w:afterAutospacing="1"/>
    </w:pPr>
    <w:rPr>
      <w:rFonts w:ascii="Times New Roman" w:eastAsia="Times New Roman" w:hAnsi="Times New Roman" w:cs="Times New Roman"/>
      <w:kern w:val="0"/>
      <w14:ligatures w14:val="none"/>
    </w:rPr>
  </w:style>
  <w:style w:type="character" w:customStyle="1" w:styleId="s2">
    <w:name w:val="s2"/>
    <w:basedOn w:val="DefaultParagraphFont"/>
    <w:rsid w:val="00B2037F"/>
  </w:style>
  <w:style w:type="character" w:customStyle="1" w:styleId="s1">
    <w:name w:val="s1"/>
    <w:basedOn w:val="DefaultParagraphFont"/>
    <w:rsid w:val="00B2037F"/>
  </w:style>
  <w:style w:type="paragraph" w:customStyle="1" w:styleId="p3">
    <w:name w:val="p3"/>
    <w:basedOn w:val="Normal"/>
    <w:rsid w:val="00B2037F"/>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aliases w:val="ft,fn,fnW,FT,SD Footnote Text,Footnote Text AG,Footnote Text Char2,Footnote Text Char Char,Footnote Text Char1 Char Char,Footnote Text Char Char Char Char,Footnote Text Char1 Char1,Footnote Text Char1 Char,Footnote Text Char1,footnote tex"/>
    <w:basedOn w:val="Normal"/>
    <w:link w:val="FootnoteTextChar"/>
    <w:uiPriority w:val="99"/>
    <w:unhideWhenUsed/>
    <w:rsid w:val="00E16132"/>
    <w:rPr>
      <w:kern w:val="0"/>
      <w:sz w:val="20"/>
      <w:szCs w:val="20"/>
      <w14:ligatures w14:val="none"/>
    </w:rPr>
  </w:style>
  <w:style w:type="character" w:customStyle="1" w:styleId="FootnoteTextChar">
    <w:name w:val="Footnote Text Char"/>
    <w:aliases w:val="ft Char,fn Char,fnW Char,FT Char,SD Footnote Text Char,Footnote Text AG Char,Footnote Text Char2 Char,Footnote Text Char Char Char,Footnote Text Char1 Char Char Char,Footnote Text Char Char Char Char Char,Footnote Text Char1 Char2"/>
    <w:basedOn w:val="DefaultParagraphFont"/>
    <w:link w:val="FootnoteText"/>
    <w:uiPriority w:val="99"/>
    <w:rsid w:val="00E16132"/>
    <w:rPr>
      <w:kern w:val="0"/>
      <w:sz w:val="20"/>
      <w:szCs w:val="20"/>
      <w14:ligatures w14:val="none"/>
    </w:rPr>
  </w:style>
  <w:style w:type="character" w:styleId="FootnoteReference">
    <w:name w:val="footnote reference"/>
    <w:aliases w:val="fr,Footnote ReferenceW,Style 13,fr + (Latin) Arial,(Asian) Arial,Black,Black + (Latin) Arial,Style 13 + (Asian) SimSun + (Asian)...,Footnote symbol,Voetnootverwijzing,Odwołanie przypisu,footnote ref,FR,Fußnotenzeichen diss neu,11 pt"/>
    <w:basedOn w:val="DefaultParagraphFont"/>
    <w:uiPriority w:val="99"/>
    <w:unhideWhenUsed/>
    <w:rsid w:val="00E16132"/>
    <w:rPr>
      <w:vertAlign w:val="superscript"/>
    </w:rPr>
  </w:style>
  <w:style w:type="character" w:styleId="Hyperlink">
    <w:name w:val="Hyperlink"/>
    <w:basedOn w:val="DefaultParagraphFont"/>
    <w:uiPriority w:val="99"/>
    <w:unhideWhenUsed/>
    <w:rsid w:val="00E16132"/>
    <w:rPr>
      <w:color w:val="0563C1" w:themeColor="hyperlink"/>
      <w:u w:val="single"/>
    </w:rPr>
  </w:style>
  <w:style w:type="paragraph" w:styleId="Header">
    <w:name w:val="header"/>
    <w:basedOn w:val="Normal"/>
    <w:link w:val="HeaderChar"/>
    <w:uiPriority w:val="99"/>
    <w:unhideWhenUsed/>
    <w:rsid w:val="006B2EAF"/>
    <w:pPr>
      <w:tabs>
        <w:tab w:val="center" w:pos="4680"/>
        <w:tab w:val="right" w:pos="9360"/>
      </w:tabs>
    </w:pPr>
  </w:style>
  <w:style w:type="character" w:customStyle="1" w:styleId="HeaderChar">
    <w:name w:val="Header Char"/>
    <w:basedOn w:val="DefaultParagraphFont"/>
    <w:link w:val="Header"/>
    <w:uiPriority w:val="99"/>
    <w:rsid w:val="006B2EAF"/>
  </w:style>
  <w:style w:type="paragraph" w:styleId="Footer">
    <w:name w:val="footer"/>
    <w:basedOn w:val="Normal"/>
    <w:link w:val="FooterChar"/>
    <w:uiPriority w:val="99"/>
    <w:unhideWhenUsed/>
    <w:rsid w:val="006B2EAF"/>
    <w:pPr>
      <w:tabs>
        <w:tab w:val="center" w:pos="4680"/>
        <w:tab w:val="right" w:pos="9360"/>
      </w:tabs>
    </w:pPr>
  </w:style>
  <w:style w:type="character" w:customStyle="1" w:styleId="FooterChar">
    <w:name w:val="Footer Char"/>
    <w:basedOn w:val="DefaultParagraphFont"/>
    <w:link w:val="Footer"/>
    <w:uiPriority w:val="99"/>
    <w:rsid w:val="006B2EAF"/>
  </w:style>
  <w:style w:type="paragraph" w:styleId="Revision">
    <w:name w:val="Revision"/>
    <w:hidden/>
    <w:uiPriority w:val="99"/>
    <w:semiHidden/>
    <w:rsid w:val="00C00166"/>
  </w:style>
  <w:style w:type="paragraph" w:styleId="BalloonText">
    <w:name w:val="Balloon Text"/>
    <w:basedOn w:val="Normal"/>
    <w:link w:val="BalloonTextChar"/>
    <w:uiPriority w:val="99"/>
    <w:semiHidden/>
    <w:unhideWhenUsed/>
    <w:rsid w:val="00C00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166"/>
    <w:rPr>
      <w:rFonts w:ascii="Segoe UI" w:hAnsi="Segoe UI" w:cs="Segoe UI"/>
      <w:sz w:val="18"/>
      <w:szCs w:val="18"/>
    </w:rPr>
  </w:style>
  <w:style w:type="character" w:customStyle="1" w:styleId="UnresolvedMention">
    <w:name w:val="Unresolved Mention"/>
    <w:basedOn w:val="DefaultParagraphFont"/>
    <w:uiPriority w:val="99"/>
    <w:semiHidden/>
    <w:unhideWhenUsed/>
    <w:rsid w:val="00C00166"/>
    <w:rPr>
      <w:color w:val="605E5C"/>
      <w:shd w:val="clear" w:color="auto" w:fill="E1DFDD"/>
    </w:rPr>
  </w:style>
  <w:style w:type="table" w:styleId="TableGrid">
    <w:name w:val="Table Grid"/>
    <w:basedOn w:val="TableNormal"/>
    <w:uiPriority w:val="39"/>
    <w:rsid w:val="007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6B5E"/>
    <w:rPr>
      <w:color w:val="954F72" w:themeColor="followedHyperlink"/>
      <w:u w:val="single"/>
    </w:rPr>
  </w:style>
  <w:style w:type="character" w:customStyle="1" w:styleId="ListParagraphChar">
    <w:name w:val="List Paragraph Char"/>
    <w:aliases w:val="3 Char,POCG Table Text Char,Bullet List Char,Issue Action POC Char,List Paragraph1 Char,Dot pt Char,F5 List Paragraph Char,No Spacing1 Char,List Paragraph Char Char Char Char,Indicator Text Char,Colorful List - Accent 11 Char"/>
    <w:link w:val="ListParagraph"/>
    <w:uiPriority w:val="34"/>
    <w:locked/>
    <w:rsid w:val="00776B5E"/>
    <w:rPr>
      <w:rFonts w:ascii="Times New Roman" w:eastAsia="Times New Roman" w:hAnsi="Times New Roman" w:cs="Times New Roman"/>
      <w:kern w:val="0"/>
      <w14:ligatures w14:val="none"/>
    </w:rPr>
  </w:style>
  <w:style w:type="character" w:customStyle="1" w:styleId="ui-provider">
    <w:name w:val="ui-provider"/>
    <w:basedOn w:val="DefaultParagraphFont"/>
    <w:rsid w:val="0068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355">
      <w:bodyDiv w:val="1"/>
      <w:marLeft w:val="0"/>
      <w:marRight w:val="0"/>
      <w:marTop w:val="0"/>
      <w:marBottom w:val="0"/>
      <w:divBdr>
        <w:top w:val="none" w:sz="0" w:space="0" w:color="auto"/>
        <w:left w:val="none" w:sz="0" w:space="0" w:color="auto"/>
        <w:bottom w:val="none" w:sz="0" w:space="0" w:color="auto"/>
        <w:right w:val="none" w:sz="0" w:space="0" w:color="auto"/>
      </w:divBdr>
    </w:div>
    <w:div w:id="157885131">
      <w:bodyDiv w:val="1"/>
      <w:marLeft w:val="0"/>
      <w:marRight w:val="0"/>
      <w:marTop w:val="0"/>
      <w:marBottom w:val="0"/>
      <w:divBdr>
        <w:top w:val="none" w:sz="0" w:space="0" w:color="auto"/>
        <w:left w:val="none" w:sz="0" w:space="0" w:color="auto"/>
        <w:bottom w:val="none" w:sz="0" w:space="0" w:color="auto"/>
        <w:right w:val="none" w:sz="0" w:space="0" w:color="auto"/>
      </w:divBdr>
    </w:div>
    <w:div w:id="293025383">
      <w:bodyDiv w:val="1"/>
      <w:marLeft w:val="0"/>
      <w:marRight w:val="0"/>
      <w:marTop w:val="0"/>
      <w:marBottom w:val="0"/>
      <w:divBdr>
        <w:top w:val="none" w:sz="0" w:space="0" w:color="auto"/>
        <w:left w:val="none" w:sz="0" w:space="0" w:color="auto"/>
        <w:bottom w:val="none" w:sz="0" w:space="0" w:color="auto"/>
        <w:right w:val="none" w:sz="0" w:space="0" w:color="auto"/>
      </w:divBdr>
    </w:div>
    <w:div w:id="339625836">
      <w:bodyDiv w:val="1"/>
      <w:marLeft w:val="0"/>
      <w:marRight w:val="0"/>
      <w:marTop w:val="0"/>
      <w:marBottom w:val="0"/>
      <w:divBdr>
        <w:top w:val="none" w:sz="0" w:space="0" w:color="auto"/>
        <w:left w:val="none" w:sz="0" w:space="0" w:color="auto"/>
        <w:bottom w:val="none" w:sz="0" w:space="0" w:color="auto"/>
        <w:right w:val="none" w:sz="0" w:space="0" w:color="auto"/>
      </w:divBdr>
    </w:div>
    <w:div w:id="752973277">
      <w:bodyDiv w:val="1"/>
      <w:marLeft w:val="0"/>
      <w:marRight w:val="0"/>
      <w:marTop w:val="0"/>
      <w:marBottom w:val="0"/>
      <w:divBdr>
        <w:top w:val="none" w:sz="0" w:space="0" w:color="auto"/>
        <w:left w:val="none" w:sz="0" w:space="0" w:color="auto"/>
        <w:bottom w:val="none" w:sz="0" w:space="0" w:color="auto"/>
        <w:right w:val="none" w:sz="0" w:space="0" w:color="auto"/>
      </w:divBdr>
    </w:div>
    <w:div w:id="829175683">
      <w:bodyDiv w:val="1"/>
      <w:marLeft w:val="0"/>
      <w:marRight w:val="0"/>
      <w:marTop w:val="0"/>
      <w:marBottom w:val="0"/>
      <w:divBdr>
        <w:top w:val="none" w:sz="0" w:space="0" w:color="auto"/>
        <w:left w:val="none" w:sz="0" w:space="0" w:color="auto"/>
        <w:bottom w:val="none" w:sz="0" w:space="0" w:color="auto"/>
        <w:right w:val="none" w:sz="0" w:space="0" w:color="auto"/>
      </w:divBdr>
      <w:divsChild>
        <w:div w:id="40984988">
          <w:marLeft w:val="0"/>
          <w:marRight w:val="0"/>
          <w:marTop w:val="0"/>
          <w:marBottom w:val="0"/>
          <w:divBdr>
            <w:top w:val="none" w:sz="0" w:space="0" w:color="auto"/>
            <w:left w:val="none" w:sz="0" w:space="0" w:color="auto"/>
            <w:bottom w:val="none" w:sz="0" w:space="0" w:color="auto"/>
            <w:right w:val="none" w:sz="0" w:space="0" w:color="auto"/>
          </w:divBdr>
        </w:div>
        <w:div w:id="186799977">
          <w:marLeft w:val="0"/>
          <w:marRight w:val="0"/>
          <w:marTop w:val="0"/>
          <w:marBottom w:val="0"/>
          <w:divBdr>
            <w:top w:val="none" w:sz="0" w:space="0" w:color="auto"/>
            <w:left w:val="none" w:sz="0" w:space="0" w:color="auto"/>
            <w:bottom w:val="none" w:sz="0" w:space="0" w:color="auto"/>
            <w:right w:val="none" w:sz="0" w:space="0" w:color="auto"/>
          </w:divBdr>
        </w:div>
        <w:div w:id="191001143">
          <w:marLeft w:val="0"/>
          <w:marRight w:val="0"/>
          <w:marTop w:val="0"/>
          <w:marBottom w:val="0"/>
          <w:divBdr>
            <w:top w:val="none" w:sz="0" w:space="0" w:color="auto"/>
            <w:left w:val="none" w:sz="0" w:space="0" w:color="auto"/>
            <w:bottom w:val="none" w:sz="0" w:space="0" w:color="auto"/>
            <w:right w:val="none" w:sz="0" w:space="0" w:color="auto"/>
          </w:divBdr>
        </w:div>
        <w:div w:id="305084021">
          <w:marLeft w:val="0"/>
          <w:marRight w:val="0"/>
          <w:marTop w:val="0"/>
          <w:marBottom w:val="0"/>
          <w:divBdr>
            <w:top w:val="none" w:sz="0" w:space="0" w:color="auto"/>
            <w:left w:val="none" w:sz="0" w:space="0" w:color="auto"/>
            <w:bottom w:val="none" w:sz="0" w:space="0" w:color="auto"/>
            <w:right w:val="none" w:sz="0" w:space="0" w:color="auto"/>
          </w:divBdr>
        </w:div>
      </w:divsChild>
    </w:div>
    <w:div w:id="886380928">
      <w:bodyDiv w:val="1"/>
      <w:marLeft w:val="0"/>
      <w:marRight w:val="0"/>
      <w:marTop w:val="0"/>
      <w:marBottom w:val="0"/>
      <w:divBdr>
        <w:top w:val="none" w:sz="0" w:space="0" w:color="auto"/>
        <w:left w:val="none" w:sz="0" w:space="0" w:color="auto"/>
        <w:bottom w:val="none" w:sz="0" w:space="0" w:color="auto"/>
        <w:right w:val="none" w:sz="0" w:space="0" w:color="auto"/>
      </w:divBdr>
      <w:divsChild>
        <w:div w:id="808863720">
          <w:marLeft w:val="720"/>
          <w:marRight w:val="0"/>
          <w:marTop w:val="0"/>
          <w:marBottom w:val="0"/>
          <w:divBdr>
            <w:top w:val="none" w:sz="0" w:space="0" w:color="auto"/>
            <w:left w:val="none" w:sz="0" w:space="0" w:color="auto"/>
            <w:bottom w:val="none" w:sz="0" w:space="0" w:color="auto"/>
            <w:right w:val="none" w:sz="0" w:space="0" w:color="auto"/>
          </w:divBdr>
        </w:div>
      </w:divsChild>
    </w:div>
    <w:div w:id="991565389">
      <w:bodyDiv w:val="1"/>
      <w:marLeft w:val="0"/>
      <w:marRight w:val="0"/>
      <w:marTop w:val="0"/>
      <w:marBottom w:val="0"/>
      <w:divBdr>
        <w:top w:val="none" w:sz="0" w:space="0" w:color="auto"/>
        <w:left w:val="none" w:sz="0" w:space="0" w:color="auto"/>
        <w:bottom w:val="none" w:sz="0" w:space="0" w:color="auto"/>
        <w:right w:val="none" w:sz="0" w:space="0" w:color="auto"/>
      </w:divBdr>
    </w:div>
    <w:div w:id="1042095858">
      <w:bodyDiv w:val="1"/>
      <w:marLeft w:val="0"/>
      <w:marRight w:val="0"/>
      <w:marTop w:val="0"/>
      <w:marBottom w:val="0"/>
      <w:divBdr>
        <w:top w:val="none" w:sz="0" w:space="0" w:color="auto"/>
        <w:left w:val="none" w:sz="0" w:space="0" w:color="auto"/>
        <w:bottom w:val="none" w:sz="0" w:space="0" w:color="auto"/>
        <w:right w:val="none" w:sz="0" w:space="0" w:color="auto"/>
      </w:divBdr>
      <w:divsChild>
        <w:div w:id="195892841">
          <w:marLeft w:val="0"/>
          <w:marRight w:val="0"/>
          <w:marTop w:val="0"/>
          <w:marBottom w:val="0"/>
          <w:divBdr>
            <w:top w:val="none" w:sz="0" w:space="0" w:color="auto"/>
            <w:left w:val="none" w:sz="0" w:space="0" w:color="auto"/>
            <w:bottom w:val="none" w:sz="0" w:space="0" w:color="auto"/>
            <w:right w:val="none" w:sz="0" w:space="0" w:color="auto"/>
          </w:divBdr>
          <w:divsChild>
            <w:div w:id="1079522862">
              <w:marLeft w:val="0"/>
              <w:marRight w:val="0"/>
              <w:marTop w:val="0"/>
              <w:marBottom w:val="0"/>
              <w:divBdr>
                <w:top w:val="none" w:sz="0" w:space="0" w:color="auto"/>
                <w:left w:val="none" w:sz="0" w:space="0" w:color="auto"/>
                <w:bottom w:val="none" w:sz="0" w:space="0" w:color="auto"/>
                <w:right w:val="none" w:sz="0" w:space="0" w:color="auto"/>
              </w:divBdr>
              <w:divsChild>
                <w:div w:id="12719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2322">
      <w:bodyDiv w:val="1"/>
      <w:marLeft w:val="0"/>
      <w:marRight w:val="0"/>
      <w:marTop w:val="0"/>
      <w:marBottom w:val="0"/>
      <w:divBdr>
        <w:top w:val="none" w:sz="0" w:space="0" w:color="auto"/>
        <w:left w:val="none" w:sz="0" w:space="0" w:color="auto"/>
        <w:bottom w:val="none" w:sz="0" w:space="0" w:color="auto"/>
        <w:right w:val="none" w:sz="0" w:space="0" w:color="auto"/>
      </w:divBdr>
      <w:divsChild>
        <w:div w:id="210502063">
          <w:marLeft w:val="0"/>
          <w:marRight w:val="0"/>
          <w:marTop w:val="0"/>
          <w:marBottom w:val="0"/>
          <w:divBdr>
            <w:top w:val="none" w:sz="0" w:space="0" w:color="auto"/>
            <w:left w:val="none" w:sz="0" w:space="0" w:color="auto"/>
            <w:bottom w:val="none" w:sz="0" w:space="0" w:color="auto"/>
            <w:right w:val="none" w:sz="0" w:space="0" w:color="auto"/>
          </w:divBdr>
        </w:div>
        <w:div w:id="525873707">
          <w:marLeft w:val="0"/>
          <w:marRight w:val="0"/>
          <w:marTop w:val="0"/>
          <w:marBottom w:val="0"/>
          <w:divBdr>
            <w:top w:val="none" w:sz="0" w:space="0" w:color="auto"/>
            <w:left w:val="none" w:sz="0" w:space="0" w:color="auto"/>
            <w:bottom w:val="none" w:sz="0" w:space="0" w:color="auto"/>
            <w:right w:val="none" w:sz="0" w:space="0" w:color="auto"/>
          </w:divBdr>
        </w:div>
        <w:div w:id="1197423784">
          <w:marLeft w:val="0"/>
          <w:marRight w:val="0"/>
          <w:marTop w:val="0"/>
          <w:marBottom w:val="0"/>
          <w:divBdr>
            <w:top w:val="none" w:sz="0" w:space="0" w:color="auto"/>
            <w:left w:val="none" w:sz="0" w:space="0" w:color="auto"/>
            <w:bottom w:val="none" w:sz="0" w:space="0" w:color="auto"/>
            <w:right w:val="none" w:sz="0" w:space="0" w:color="auto"/>
          </w:divBdr>
        </w:div>
        <w:div w:id="1821536599">
          <w:marLeft w:val="0"/>
          <w:marRight w:val="0"/>
          <w:marTop w:val="0"/>
          <w:marBottom w:val="0"/>
          <w:divBdr>
            <w:top w:val="none" w:sz="0" w:space="0" w:color="auto"/>
            <w:left w:val="none" w:sz="0" w:space="0" w:color="auto"/>
            <w:bottom w:val="none" w:sz="0" w:space="0" w:color="auto"/>
            <w:right w:val="none" w:sz="0" w:space="0" w:color="auto"/>
          </w:divBdr>
        </w:div>
      </w:divsChild>
    </w:div>
    <w:div w:id="1112016943">
      <w:bodyDiv w:val="1"/>
      <w:marLeft w:val="0"/>
      <w:marRight w:val="0"/>
      <w:marTop w:val="0"/>
      <w:marBottom w:val="0"/>
      <w:divBdr>
        <w:top w:val="none" w:sz="0" w:space="0" w:color="auto"/>
        <w:left w:val="none" w:sz="0" w:space="0" w:color="auto"/>
        <w:bottom w:val="none" w:sz="0" w:space="0" w:color="auto"/>
        <w:right w:val="none" w:sz="0" w:space="0" w:color="auto"/>
      </w:divBdr>
    </w:div>
    <w:div w:id="1744832679">
      <w:bodyDiv w:val="1"/>
      <w:marLeft w:val="0"/>
      <w:marRight w:val="0"/>
      <w:marTop w:val="0"/>
      <w:marBottom w:val="0"/>
      <w:divBdr>
        <w:top w:val="none" w:sz="0" w:space="0" w:color="auto"/>
        <w:left w:val="none" w:sz="0" w:space="0" w:color="auto"/>
        <w:bottom w:val="none" w:sz="0" w:space="0" w:color="auto"/>
        <w:right w:val="none" w:sz="0" w:space="0" w:color="auto"/>
      </w:divBdr>
    </w:div>
    <w:div w:id="1786345091">
      <w:bodyDiv w:val="1"/>
      <w:marLeft w:val="0"/>
      <w:marRight w:val="0"/>
      <w:marTop w:val="0"/>
      <w:marBottom w:val="0"/>
      <w:divBdr>
        <w:top w:val="none" w:sz="0" w:space="0" w:color="auto"/>
        <w:left w:val="none" w:sz="0" w:space="0" w:color="auto"/>
        <w:bottom w:val="none" w:sz="0" w:space="0" w:color="auto"/>
        <w:right w:val="none" w:sz="0" w:space="0" w:color="auto"/>
      </w:divBdr>
      <w:divsChild>
        <w:div w:id="47076403">
          <w:marLeft w:val="0"/>
          <w:marRight w:val="0"/>
          <w:marTop w:val="0"/>
          <w:marBottom w:val="0"/>
          <w:divBdr>
            <w:top w:val="none" w:sz="0" w:space="0" w:color="auto"/>
            <w:left w:val="none" w:sz="0" w:space="0" w:color="auto"/>
            <w:bottom w:val="none" w:sz="0" w:space="0" w:color="auto"/>
            <w:right w:val="none" w:sz="0" w:space="0" w:color="auto"/>
          </w:divBdr>
        </w:div>
        <w:div w:id="117377205">
          <w:marLeft w:val="0"/>
          <w:marRight w:val="0"/>
          <w:marTop w:val="0"/>
          <w:marBottom w:val="0"/>
          <w:divBdr>
            <w:top w:val="none" w:sz="0" w:space="0" w:color="auto"/>
            <w:left w:val="none" w:sz="0" w:space="0" w:color="auto"/>
            <w:bottom w:val="none" w:sz="0" w:space="0" w:color="auto"/>
            <w:right w:val="none" w:sz="0" w:space="0" w:color="auto"/>
          </w:divBdr>
        </w:div>
        <w:div w:id="860823360">
          <w:marLeft w:val="0"/>
          <w:marRight w:val="0"/>
          <w:marTop w:val="0"/>
          <w:marBottom w:val="0"/>
          <w:divBdr>
            <w:top w:val="none" w:sz="0" w:space="0" w:color="auto"/>
            <w:left w:val="none" w:sz="0" w:space="0" w:color="auto"/>
            <w:bottom w:val="none" w:sz="0" w:space="0" w:color="auto"/>
            <w:right w:val="none" w:sz="0" w:space="0" w:color="auto"/>
          </w:divBdr>
        </w:div>
        <w:div w:id="1116489309">
          <w:marLeft w:val="0"/>
          <w:marRight w:val="0"/>
          <w:marTop w:val="0"/>
          <w:marBottom w:val="0"/>
          <w:divBdr>
            <w:top w:val="none" w:sz="0" w:space="0" w:color="auto"/>
            <w:left w:val="none" w:sz="0" w:space="0" w:color="auto"/>
            <w:bottom w:val="none" w:sz="0" w:space="0" w:color="auto"/>
            <w:right w:val="none" w:sz="0" w:space="0" w:color="auto"/>
          </w:divBdr>
        </w:div>
      </w:divsChild>
    </w:div>
    <w:div w:id="1799639227">
      <w:bodyDiv w:val="1"/>
      <w:marLeft w:val="0"/>
      <w:marRight w:val="0"/>
      <w:marTop w:val="0"/>
      <w:marBottom w:val="0"/>
      <w:divBdr>
        <w:top w:val="none" w:sz="0" w:space="0" w:color="auto"/>
        <w:left w:val="none" w:sz="0" w:space="0" w:color="auto"/>
        <w:bottom w:val="none" w:sz="0" w:space="0" w:color="auto"/>
        <w:right w:val="none" w:sz="0" w:space="0" w:color="auto"/>
      </w:divBdr>
    </w:div>
    <w:div w:id="1880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publichealth.berkeley.edu/news-media/research-highlights/do-soda-taxes-work/" TargetMode="External"/><Relationship Id="rId3" Type="http://schemas.openxmlformats.org/officeDocument/2006/relationships/hyperlink" Target="https://data.worldobesity.org/country/belgium-19/" TargetMode="External"/><Relationship Id="rId7" Type="http://schemas.openxmlformats.org/officeDocument/2006/relationships/hyperlink" Target="https://www.economist.com/news/finance-and-economics/21679259-taxes-fizzy-drinks-seem-work-intended-stopping-slurping" TargetMode="External"/><Relationship Id="rId2" Type="http://schemas.openxmlformats.org/officeDocument/2006/relationships/hyperlink" Target="https://data.worldobesity.org/country/mexico-139/" TargetMode="External"/><Relationship Id="rId1" Type="http://schemas.openxmlformats.org/officeDocument/2006/relationships/hyperlink" Target="https://data.worldobesity.org/country/chile-41/" TargetMode="External"/><Relationship Id="rId6" Type="http://schemas.openxmlformats.org/officeDocument/2006/relationships/hyperlink" Target="http://www.foodnavigator.com/Policy/Denmark-to-scrap-decades-old-soft-drink-tax" TargetMode="External"/><Relationship Id="rId5" Type="http://schemas.openxmlformats.org/officeDocument/2006/relationships/hyperlink" Target="https://data.worldobesity.org/country/latvia-118/" TargetMode="External"/><Relationship Id="rId4" Type="http://schemas.openxmlformats.org/officeDocument/2006/relationships/hyperlink" Target="https://data.worldobesity.org/country/finland-70/" TargetMode="External"/><Relationship Id="rId9" Type="http://schemas.openxmlformats.org/officeDocument/2006/relationships/hyperlink" Target="https://www.gso.gov.vn/bai-top/2023/06/bao-cao-tinh-hinh-kinh-te-xa-hoi-quy-ii-va-6-thang-dau-nam-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33E34DEFCA742A7C6E5B6EDA49747" ma:contentTypeVersion="15" ma:contentTypeDescription="Create a new document." ma:contentTypeScope="" ma:versionID="ed202a62c67e10fe4cba039e04ef30c5">
  <xsd:schema xmlns:xsd="http://www.w3.org/2001/XMLSchema" xmlns:xs="http://www.w3.org/2001/XMLSchema" xmlns:p="http://schemas.microsoft.com/office/2006/metadata/properties" xmlns:ns2="401fe31d-ea67-4ed4-8048-7dc7c14bef93" xmlns:ns3="8109f7ae-61a0-466a-8c22-8c6f1983548f" targetNamespace="http://schemas.microsoft.com/office/2006/metadata/properties" ma:root="true" ma:fieldsID="be8c7903c5bf36b14ab1fdd830f4b37a" ns2:_="" ns3:_="">
    <xsd:import namespace="401fe31d-ea67-4ed4-8048-7dc7c14bef93"/>
    <xsd:import namespace="8109f7ae-61a0-466a-8c22-8c6f198354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fe31d-ea67-4ed4-8048-7dc7c14be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22c2b0-b9db-4569-b8c8-1cdbc1b257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09f7ae-61a0-466a-8c22-8c6f198354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a9a044-d481-42c6-a450-163ff7a74cd7}" ma:internalName="TaxCatchAll" ma:showField="CatchAllData" ma:web="8109f7ae-61a0-466a-8c22-8c6f198354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1fe31d-ea67-4ed4-8048-7dc7c14bef93">
      <Terms xmlns="http://schemas.microsoft.com/office/infopath/2007/PartnerControls"/>
    </lcf76f155ced4ddcb4097134ff3c332f>
    <TaxCatchAll xmlns="8109f7ae-61a0-466a-8c22-8c6f198354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DF238-A612-4E3E-96AF-CDA0D8AE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fe31d-ea67-4ed4-8048-7dc7c14bef93"/>
    <ds:schemaRef ds:uri="8109f7ae-61a0-466a-8c22-8c6f19835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2A366-09DB-4D25-969A-7893981E383E}">
  <ds:schemaRefs>
    <ds:schemaRef ds:uri="http://schemas.microsoft.com/office/2006/metadata/properties"/>
    <ds:schemaRef ds:uri="http://schemas.microsoft.com/office/infopath/2007/PartnerControls"/>
    <ds:schemaRef ds:uri="401fe31d-ea67-4ed4-8048-7dc7c14bef93"/>
    <ds:schemaRef ds:uri="8109f7ae-61a0-466a-8c22-8c6f1983548f"/>
  </ds:schemaRefs>
</ds:datastoreItem>
</file>

<file path=customXml/itemProps3.xml><?xml version="1.0" encoding="utf-8"?>
<ds:datastoreItem xmlns:ds="http://schemas.openxmlformats.org/officeDocument/2006/customXml" ds:itemID="{21C03734-1CC7-4803-8508-0453AF67A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Links>
    <vt:vector size="12" baseType="variant">
      <vt:variant>
        <vt:i4>1114186</vt:i4>
      </vt:variant>
      <vt:variant>
        <vt:i4>3</vt:i4>
      </vt:variant>
      <vt:variant>
        <vt:i4>0</vt:i4>
      </vt:variant>
      <vt:variant>
        <vt:i4>5</vt:i4>
      </vt:variant>
      <vt:variant>
        <vt:lpwstr>https://www.globaltrademag.com/the-soft-drink-market-in-asia-pacific-reached-near-200b-posting-solid-gains-over-the-third-year-in-a-row/</vt:lpwstr>
      </vt:variant>
      <vt:variant>
        <vt:lpwstr/>
      </vt:variant>
      <vt:variant>
        <vt:i4>4784145</vt:i4>
      </vt:variant>
      <vt:variant>
        <vt:i4>0</vt:i4>
      </vt:variant>
      <vt:variant>
        <vt:i4>0</vt:i4>
      </vt:variant>
      <vt:variant>
        <vt:i4>5</vt:i4>
      </vt:variant>
      <vt:variant>
        <vt:lpwstr>https://www.ahfesproject.com/app/uploads/2021/09/AHFES-A6.2_Soft-drinks-report_20210901.pdf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Hoang Thanh</cp:lastModifiedBy>
  <cp:revision>134</cp:revision>
  <cp:lastPrinted>2023-06-30T03:53:00Z</cp:lastPrinted>
  <dcterms:created xsi:type="dcterms:W3CDTF">2023-07-01T09:04:00Z</dcterms:created>
  <dcterms:modified xsi:type="dcterms:W3CDTF">2023-07-04T09:30:00Z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0x01010049333E34DEFCA742A7C6E5B6EDA49747</vt:lpwstr>
  </property>
  <property fmtid="{D5CDD505-2E9C-101B-9397-08002B2CF9AE}" pid="3" name="MediaServiceImageTags">
    <vt:lpwstr/>
  </property>
</Properties>
</file>