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45C69" w14:textId="77777777" w:rsidR="005163D7" w:rsidRPr="00B86C0C" w:rsidRDefault="005163D7" w:rsidP="005163D7">
      <w:pPr>
        <w:pStyle w:val="Heading3"/>
        <w:spacing w:before="0" w:line="276" w:lineRule="auto"/>
        <w:ind w:firstLine="709"/>
        <w:jc w:val="center"/>
        <w:rPr>
          <w:rFonts w:ascii="Times New Roman" w:hAnsi="Times New Roman"/>
          <w:b/>
          <w:bCs/>
          <w:color w:val="auto"/>
        </w:rPr>
      </w:pPr>
      <w:r w:rsidRPr="00B86C0C">
        <w:rPr>
          <w:rFonts w:ascii="Times New Roman" w:hAnsi="Times New Roman"/>
          <w:b/>
          <w:bCs/>
          <w:color w:val="auto"/>
        </w:rPr>
        <w:t>THAM LUẬN TẠI HỘI THẢO</w:t>
      </w:r>
    </w:p>
    <w:p w14:paraId="41BA0A60" w14:textId="77777777" w:rsidR="005163D7" w:rsidRPr="00B86C0C" w:rsidRDefault="005163D7" w:rsidP="005163D7">
      <w:pPr>
        <w:jc w:val="center"/>
        <w:rPr>
          <w:b/>
          <w:sz w:val="24"/>
          <w:szCs w:val="24"/>
          <w:lang w:eastAsia="x-none"/>
        </w:rPr>
      </w:pPr>
      <w:r w:rsidRPr="00B86C0C">
        <w:rPr>
          <w:b/>
          <w:sz w:val="24"/>
          <w:szCs w:val="24"/>
          <w:lang w:eastAsia="x-none"/>
        </w:rPr>
        <w:t>GÓP Ý DỰ THẢO LUẬT ĐẤU THẦU (SỬA ĐỔI)</w:t>
      </w:r>
    </w:p>
    <w:p w14:paraId="192CE3BD" w14:textId="77777777" w:rsidR="005163D7" w:rsidRPr="00B86C0C" w:rsidRDefault="005163D7" w:rsidP="005163D7">
      <w:pPr>
        <w:jc w:val="center"/>
        <w:rPr>
          <w:i/>
          <w:sz w:val="24"/>
          <w:szCs w:val="24"/>
          <w:lang w:eastAsia="x-none"/>
        </w:rPr>
      </w:pPr>
      <w:r w:rsidRPr="00B86C0C">
        <w:rPr>
          <w:i/>
          <w:sz w:val="24"/>
          <w:szCs w:val="24"/>
          <w:lang w:eastAsia="x-none"/>
        </w:rPr>
        <w:t>TP. Hồ Chí Minh, ngày 14 tháng 4 năm 2023</w:t>
      </w:r>
    </w:p>
    <w:p w14:paraId="5E6FCD9D" w14:textId="77777777" w:rsidR="005163D7" w:rsidRPr="00B86C0C" w:rsidRDefault="005163D7" w:rsidP="005163D7">
      <w:pPr>
        <w:pStyle w:val="IntenseQuote"/>
        <w:pBdr>
          <w:top w:val="none" w:sz="0" w:space="0" w:color="auto"/>
          <w:bottom w:val="none" w:sz="0" w:space="0" w:color="auto"/>
        </w:pBdr>
        <w:ind w:left="0" w:right="0" w:firstLine="0"/>
        <w:rPr>
          <w:b/>
          <w:bCs/>
          <w:i w:val="0"/>
          <w:color w:val="auto"/>
          <w:sz w:val="24"/>
          <w:szCs w:val="24"/>
        </w:rPr>
      </w:pPr>
      <w:r w:rsidRPr="00B86C0C">
        <w:rPr>
          <w:b/>
          <w:bCs/>
          <w:i w:val="0"/>
          <w:color w:val="auto"/>
          <w:sz w:val="24"/>
          <w:szCs w:val="24"/>
        </w:rPr>
        <w:t>CHÍNH SÁCH VỀ ĐẤU THẦU LỰA CHỌN NHÀ ĐẦU TƯ DỰ ÁN CÓ SỬ DỤNG ĐẤT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536"/>
      </w:tblGrid>
      <w:tr w:rsidR="005163D7" w:rsidRPr="00B86C0C" w14:paraId="699A0B27" w14:textId="77777777" w:rsidTr="009B3883">
        <w:tc>
          <w:tcPr>
            <w:tcW w:w="4962" w:type="dxa"/>
          </w:tcPr>
          <w:p w14:paraId="54733C3B" w14:textId="77777777" w:rsidR="005163D7" w:rsidRPr="00B86C0C" w:rsidRDefault="005163D7" w:rsidP="009B3883">
            <w:pPr>
              <w:jc w:val="both"/>
              <w:rPr>
                <w:rFonts w:cs="Times New Roman"/>
                <w:b/>
                <w:sz w:val="24"/>
                <w:szCs w:val="24"/>
                <w:lang w:eastAsia="x-none"/>
              </w:rPr>
            </w:pPr>
          </w:p>
        </w:tc>
        <w:tc>
          <w:tcPr>
            <w:tcW w:w="4536" w:type="dxa"/>
          </w:tcPr>
          <w:p w14:paraId="63DA8AC2" w14:textId="0185EA95" w:rsidR="005163D7" w:rsidRPr="00B86C0C" w:rsidRDefault="005163D7" w:rsidP="009B3883">
            <w:pPr>
              <w:jc w:val="both"/>
              <w:rPr>
                <w:rFonts w:cs="Times New Roman"/>
                <w:b/>
                <w:sz w:val="24"/>
                <w:szCs w:val="24"/>
                <w:lang w:eastAsia="x-none"/>
              </w:rPr>
            </w:pPr>
            <w:r w:rsidRPr="00B86C0C">
              <w:rPr>
                <w:rFonts w:cs="Times New Roman"/>
                <w:b/>
                <w:sz w:val="24"/>
                <w:szCs w:val="24"/>
                <w:lang w:eastAsia="x-none"/>
              </w:rPr>
              <w:t>Trần Đại Nghĩa</w:t>
            </w:r>
            <w:r w:rsidRPr="00B86C0C">
              <w:rPr>
                <w:rFonts w:cs="Times New Roman"/>
                <w:b/>
                <w:sz w:val="24"/>
                <w:szCs w:val="24"/>
                <w:lang w:eastAsia="x-none"/>
              </w:rPr>
              <w:t xml:space="preserve"> – </w:t>
            </w:r>
            <w:r w:rsidRPr="00B86C0C">
              <w:rPr>
                <w:rFonts w:cs="Times New Roman"/>
                <w:b/>
                <w:sz w:val="24"/>
                <w:szCs w:val="24"/>
                <w:lang w:eastAsia="x-none"/>
              </w:rPr>
              <w:t>UV Thường vụ</w:t>
            </w:r>
          </w:p>
          <w:p w14:paraId="520A20D2" w14:textId="6B5A238E" w:rsidR="005163D7" w:rsidRPr="00B86C0C" w:rsidRDefault="005163D7" w:rsidP="005163D7">
            <w:pPr>
              <w:jc w:val="both"/>
              <w:rPr>
                <w:rFonts w:cs="Times New Roman"/>
                <w:b/>
                <w:sz w:val="24"/>
                <w:szCs w:val="24"/>
                <w:lang w:eastAsia="x-none"/>
              </w:rPr>
            </w:pPr>
            <w:r w:rsidRPr="00B86C0C">
              <w:rPr>
                <w:rFonts w:cs="Times New Roman"/>
                <w:b/>
                <w:sz w:val="24"/>
                <w:szCs w:val="24"/>
                <w:lang w:eastAsia="x-none"/>
              </w:rPr>
              <w:t>Hội Pháp luật Xây dựng Việt Nam</w:t>
            </w:r>
          </w:p>
        </w:tc>
      </w:tr>
    </w:tbl>
    <w:p w14:paraId="2E40D2D4" w14:textId="77777777" w:rsidR="002222F5" w:rsidRPr="00B86C0C" w:rsidRDefault="002222F5" w:rsidP="00FE543C">
      <w:pPr>
        <w:spacing w:before="0" w:after="0" w:line="360" w:lineRule="auto"/>
        <w:ind w:firstLine="0"/>
        <w:jc w:val="both"/>
        <w:rPr>
          <w:rFonts w:ascii="Times New Roman" w:hAnsi="Times New Roman" w:cs="Times New Roman"/>
          <w:b/>
          <w:bCs/>
          <w:sz w:val="24"/>
          <w:szCs w:val="24"/>
        </w:rPr>
      </w:pPr>
    </w:p>
    <w:p w14:paraId="2A35090B" w14:textId="4503167D" w:rsidR="00FE543C" w:rsidRPr="00B86C0C" w:rsidRDefault="00D7501A" w:rsidP="00FE543C">
      <w:pPr>
        <w:spacing w:before="0" w:after="0" w:line="360" w:lineRule="auto"/>
        <w:ind w:firstLine="0"/>
        <w:jc w:val="both"/>
        <w:rPr>
          <w:rFonts w:ascii="Times New Roman" w:hAnsi="Times New Roman" w:cs="Times New Roman"/>
          <w:b/>
          <w:bCs/>
          <w:sz w:val="24"/>
          <w:szCs w:val="24"/>
        </w:rPr>
      </w:pPr>
      <w:r w:rsidRPr="00B86C0C">
        <w:rPr>
          <w:rFonts w:ascii="Times New Roman" w:hAnsi="Times New Roman" w:cs="Times New Roman"/>
          <w:b/>
          <w:bCs/>
          <w:sz w:val="24"/>
          <w:szCs w:val="24"/>
        </w:rPr>
        <w:t xml:space="preserve">Vấn đề chính sách </w:t>
      </w:r>
    </w:p>
    <w:p w14:paraId="4AEAF7C7" w14:textId="5DC2EC99" w:rsidR="00AE1E8A" w:rsidRPr="00B86C0C" w:rsidRDefault="00DA7E96" w:rsidP="00AE1E8A">
      <w:pPr>
        <w:spacing w:before="0" w:after="0" w:line="360" w:lineRule="auto"/>
        <w:jc w:val="both"/>
        <w:rPr>
          <w:rFonts w:ascii="Times New Roman" w:hAnsi="Times New Roman" w:cs="Times New Roman"/>
          <w:sz w:val="24"/>
          <w:szCs w:val="24"/>
        </w:rPr>
      </w:pPr>
      <w:r w:rsidRPr="00B86C0C">
        <w:rPr>
          <w:rFonts w:ascii="Times New Roman" w:hAnsi="Times New Roman" w:cs="Times New Roman"/>
          <w:sz w:val="24"/>
          <w:szCs w:val="24"/>
        </w:rPr>
        <w:t>Nghị quyết 18-NQ/TW năm 2022 về “</w:t>
      </w:r>
      <w:r w:rsidRPr="00B86C0C">
        <w:rPr>
          <w:rFonts w:ascii="Times New Roman" w:hAnsi="Times New Roman" w:cs="Times New Roman"/>
          <w:i/>
          <w:iCs/>
          <w:sz w:val="24"/>
          <w:szCs w:val="24"/>
        </w:rPr>
        <w:t>Tiếp tục đổi mới, hoàn thiện thể chế, chính sách, nâng cao hiệu lực, hiệu quả quản lý và sử dụng đất, tạo động lực đưa nước ta trở thành nước phát triển có thu nhập cao</w:t>
      </w:r>
      <w:r w:rsidRPr="00B86C0C">
        <w:rPr>
          <w:rFonts w:ascii="Times New Roman" w:hAnsi="Times New Roman" w:cs="Times New Roman"/>
          <w:sz w:val="24"/>
          <w:szCs w:val="24"/>
        </w:rPr>
        <w:t>” của Ban Chấp hành Trung ương Đảng khoá XIII đã nêu rõ chủ trương là thực hiện giao đất, cho thuê đất chủ yếu thông qua đấu giá</w:t>
      </w:r>
      <w:r w:rsidR="008859C5" w:rsidRPr="00B86C0C">
        <w:rPr>
          <w:rFonts w:ascii="Times New Roman" w:hAnsi="Times New Roman" w:cs="Times New Roman"/>
          <w:sz w:val="24"/>
          <w:szCs w:val="24"/>
        </w:rPr>
        <w:t xml:space="preserve"> quyền sử dụng đất hoặc</w:t>
      </w:r>
      <w:r w:rsidRPr="00B86C0C">
        <w:rPr>
          <w:rFonts w:ascii="Times New Roman" w:hAnsi="Times New Roman" w:cs="Times New Roman"/>
          <w:sz w:val="24"/>
          <w:szCs w:val="24"/>
        </w:rPr>
        <w:t xml:space="preserve"> đấu thầu</w:t>
      </w:r>
      <w:r w:rsidR="008859C5" w:rsidRPr="00B86C0C">
        <w:rPr>
          <w:rFonts w:ascii="Times New Roman" w:hAnsi="Times New Roman" w:cs="Times New Roman"/>
          <w:sz w:val="24"/>
          <w:szCs w:val="24"/>
        </w:rPr>
        <w:t xml:space="preserve"> dự án có sử dụng đất</w:t>
      </w:r>
      <w:r w:rsidRPr="00B86C0C">
        <w:rPr>
          <w:rFonts w:ascii="Times New Roman" w:hAnsi="Times New Roman" w:cs="Times New Roman"/>
          <w:sz w:val="24"/>
          <w:szCs w:val="24"/>
        </w:rPr>
        <w:t xml:space="preserve">. Đối với hình thức Đấu giá </w:t>
      </w:r>
      <w:r w:rsidR="008859C5" w:rsidRPr="00B86C0C">
        <w:rPr>
          <w:rFonts w:ascii="Times New Roman" w:hAnsi="Times New Roman" w:cs="Times New Roman"/>
          <w:sz w:val="24"/>
          <w:szCs w:val="24"/>
        </w:rPr>
        <w:t xml:space="preserve">quyền sử dụng </w:t>
      </w:r>
      <w:r w:rsidRPr="00B86C0C">
        <w:rPr>
          <w:rFonts w:ascii="Times New Roman" w:hAnsi="Times New Roman" w:cs="Times New Roman"/>
          <w:sz w:val="24"/>
          <w:szCs w:val="24"/>
        </w:rPr>
        <w:t xml:space="preserve">đất thì hiện nay đã bộc lộ nhiều hạn chế khi chỉ căn cứ trên chỉ tiêu tài chính để lựa chọn </w:t>
      </w:r>
      <w:r w:rsidR="00CE761B" w:rsidRPr="00B86C0C">
        <w:rPr>
          <w:rFonts w:ascii="Times New Roman" w:hAnsi="Times New Roman" w:cs="Times New Roman"/>
          <w:sz w:val="24"/>
          <w:szCs w:val="24"/>
        </w:rPr>
        <w:t>n</w:t>
      </w:r>
      <w:r w:rsidRPr="00B86C0C">
        <w:rPr>
          <w:rFonts w:ascii="Times New Roman" w:hAnsi="Times New Roman" w:cs="Times New Roman"/>
          <w:sz w:val="24"/>
          <w:szCs w:val="24"/>
        </w:rPr>
        <w:t xml:space="preserve">hà đầu </w:t>
      </w:r>
      <w:proofErr w:type="gramStart"/>
      <w:r w:rsidRPr="00B86C0C">
        <w:rPr>
          <w:rFonts w:ascii="Times New Roman" w:hAnsi="Times New Roman" w:cs="Times New Roman"/>
          <w:sz w:val="24"/>
          <w:szCs w:val="24"/>
        </w:rPr>
        <w:t>tư</w:t>
      </w:r>
      <w:proofErr w:type="gramEnd"/>
      <w:r w:rsidRPr="00B86C0C">
        <w:rPr>
          <w:rFonts w:ascii="Times New Roman" w:hAnsi="Times New Roman" w:cs="Times New Roman"/>
          <w:sz w:val="24"/>
          <w:szCs w:val="24"/>
        </w:rPr>
        <w:t xml:space="preserve">. Điều này đã dẫn đến tình trạng giá đất trúng đấu giá </w:t>
      </w:r>
      <w:r w:rsidR="00E42662" w:rsidRPr="00B86C0C">
        <w:rPr>
          <w:rFonts w:ascii="Times New Roman" w:hAnsi="Times New Roman" w:cs="Times New Roman"/>
          <w:sz w:val="24"/>
          <w:szCs w:val="24"/>
        </w:rPr>
        <w:t xml:space="preserve">quá </w:t>
      </w:r>
      <w:r w:rsidRPr="00B86C0C">
        <w:rPr>
          <w:rFonts w:ascii="Times New Roman" w:hAnsi="Times New Roman" w:cs="Times New Roman"/>
          <w:sz w:val="24"/>
          <w:szCs w:val="24"/>
        </w:rPr>
        <w:t>cao, gây lũng đoạn thị trường</w:t>
      </w:r>
      <w:r w:rsidR="00E42662" w:rsidRPr="00B86C0C">
        <w:rPr>
          <w:rFonts w:ascii="Times New Roman" w:hAnsi="Times New Roman" w:cs="Times New Roman"/>
          <w:sz w:val="24"/>
          <w:szCs w:val="24"/>
        </w:rPr>
        <w:t xml:space="preserve">, </w:t>
      </w:r>
      <w:r w:rsidRPr="00B86C0C">
        <w:rPr>
          <w:rFonts w:ascii="Times New Roman" w:hAnsi="Times New Roman" w:cs="Times New Roman"/>
          <w:sz w:val="24"/>
          <w:szCs w:val="24"/>
        </w:rPr>
        <w:t>điển hình như vụ Tân Hoàng Minh trúng đấu giá đất ở Thủ Thiêm</w:t>
      </w:r>
      <w:r w:rsidR="00E42662" w:rsidRPr="00B86C0C">
        <w:rPr>
          <w:rFonts w:ascii="Times New Roman" w:hAnsi="Times New Roman" w:cs="Times New Roman"/>
          <w:sz w:val="24"/>
          <w:szCs w:val="24"/>
        </w:rPr>
        <w:t xml:space="preserve"> năm 2022</w:t>
      </w:r>
      <w:r w:rsidRPr="00B86C0C">
        <w:rPr>
          <w:rFonts w:ascii="Times New Roman" w:hAnsi="Times New Roman" w:cs="Times New Roman"/>
          <w:sz w:val="24"/>
          <w:szCs w:val="24"/>
        </w:rPr>
        <w:t xml:space="preserve">. Hơn nữa loại hình này chỉ áp dụng </w:t>
      </w:r>
      <w:r w:rsidR="00123F95" w:rsidRPr="00B86C0C">
        <w:rPr>
          <w:rFonts w:ascii="Times New Roman" w:hAnsi="Times New Roman" w:cs="Times New Roman"/>
          <w:sz w:val="24"/>
          <w:szCs w:val="24"/>
        </w:rPr>
        <w:t>được khi Nhà nước đã có sẵn quỹ đất sạch</w:t>
      </w:r>
      <w:r w:rsidRPr="00B86C0C">
        <w:rPr>
          <w:rFonts w:ascii="Times New Roman" w:hAnsi="Times New Roman" w:cs="Times New Roman"/>
          <w:sz w:val="24"/>
          <w:szCs w:val="24"/>
        </w:rPr>
        <w:t xml:space="preserve">, điều này cũng </w:t>
      </w:r>
      <w:r w:rsidR="00190505" w:rsidRPr="00B86C0C">
        <w:rPr>
          <w:rFonts w:ascii="Times New Roman" w:hAnsi="Times New Roman" w:cs="Times New Roman"/>
          <w:sz w:val="24"/>
          <w:szCs w:val="24"/>
        </w:rPr>
        <w:t>ít</w:t>
      </w:r>
      <w:r w:rsidRPr="00B86C0C">
        <w:rPr>
          <w:rFonts w:ascii="Times New Roman" w:hAnsi="Times New Roman" w:cs="Times New Roman"/>
          <w:sz w:val="24"/>
          <w:szCs w:val="24"/>
        </w:rPr>
        <w:t xml:space="preserve"> phổ </w:t>
      </w:r>
      <w:r w:rsidR="00190505" w:rsidRPr="00B86C0C">
        <w:rPr>
          <w:rFonts w:ascii="Times New Roman" w:hAnsi="Times New Roman" w:cs="Times New Roman"/>
          <w:sz w:val="24"/>
          <w:szCs w:val="24"/>
        </w:rPr>
        <w:t>biến vì</w:t>
      </w:r>
      <w:r w:rsidRPr="00B86C0C">
        <w:rPr>
          <w:rFonts w:ascii="Times New Roman" w:hAnsi="Times New Roman" w:cs="Times New Roman"/>
          <w:sz w:val="24"/>
          <w:szCs w:val="24"/>
        </w:rPr>
        <w:t xml:space="preserve"> khi đa số </w:t>
      </w:r>
      <w:r w:rsidR="00190505" w:rsidRPr="00B86C0C">
        <w:rPr>
          <w:rFonts w:ascii="Times New Roman" w:hAnsi="Times New Roman" w:cs="Times New Roman"/>
          <w:sz w:val="24"/>
          <w:szCs w:val="24"/>
        </w:rPr>
        <w:t xml:space="preserve">quỹ </w:t>
      </w:r>
      <w:r w:rsidRPr="00B86C0C">
        <w:rPr>
          <w:rFonts w:ascii="Times New Roman" w:hAnsi="Times New Roman" w:cs="Times New Roman"/>
          <w:sz w:val="24"/>
          <w:szCs w:val="24"/>
        </w:rPr>
        <w:t xml:space="preserve">đất </w:t>
      </w:r>
      <w:r w:rsidR="00190505" w:rsidRPr="00B86C0C">
        <w:rPr>
          <w:rFonts w:ascii="Times New Roman" w:hAnsi="Times New Roman" w:cs="Times New Roman"/>
          <w:sz w:val="24"/>
          <w:szCs w:val="24"/>
        </w:rPr>
        <w:t xml:space="preserve">phát triển dự án thường </w:t>
      </w:r>
      <w:r w:rsidRPr="00B86C0C">
        <w:rPr>
          <w:rFonts w:ascii="Times New Roman" w:hAnsi="Times New Roman" w:cs="Times New Roman"/>
          <w:sz w:val="24"/>
          <w:szCs w:val="24"/>
        </w:rPr>
        <w:t>ở tình trạng “</w:t>
      </w:r>
      <w:r w:rsidRPr="00B86C0C">
        <w:rPr>
          <w:rFonts w:ascii="Times New Roman" w:hAnsi="Times New Roman" w:cs="Times New Roman"/>
          <w:i/>
          <w:iCs/>
          <w:sz w:val="24"/>
          <w:szCs w:val="24"/>
        </w:rPr>
        <w:t>da beo</w:t>
      </w:r>
      <w:r w:rsidRPr="00B86C0C">
        <w:rPr>
          <w:rFonts w:ascii="Times New Roman" w:hAnsi="Times New Roman" w:cs="Times New Roman"/>
          <w:sz w:val="24"/>
          <w:szCs w:val="24"/>
        </w:rPr>
        <w:t xml:space="preserve">”, </w:t>
      </w:r>
      <w:r w:rsidR="0025761D" w:rsidRPr="00B86C0C">
        <w:rPr>
          <w:rFonts w:ascii="Times New Roman" w:hAnsi="Times New Roman" w:cs="Times New Roman"/>
          <w:sz w:val="24"/>
          <w:szCs w:val="24"/>
        </w:rPr>
        <w:t xml:space="preserve">nên trong thực tiễn thì </w:t>
      </w:r>
      <w:r w:rsidRPr="00B86C0C">
        <w:rPr>
          <w:rFonts w:ascii="Times New Roman" w:hAnsi="Times New Roman" w:cs="Times New Roman"/>
          <w:sz w:val="24"/>
          <w:szCs w:val="24"/>
        </w:rPr>
        <w:t xml:space="preserve">hình thức </w:t>
      </w:r>
      <w:r w:rsidR="0025761D" w:rsidRPr="00B86C0C">
        <w:rPr>
          <w:rFonts w:ascii="Times New Roman" w:hAnsi="Times New Roman" w:cs="Times New Roman"/>
          <w:sz w:val="24"/>
          <w:szCs w:val="24"/>
        </w:rPr>
        <w:t>đ</w:t>
      </w:r>
      <w:r w:rsidRPr="00B86C0C">
        <w:rPr>
          <w:rFonts w:ascii="Times New Roman" w:hAnsi="Times New Roman" w:cs="Times New Roman"/>
          <w:sz w:val="24"/>
          <w:szCs w:val="24"/>
        </w:rPr>
        <w:t xml:space="preserve">ấu thấu lựa chọn </w:t>
      </w:r>
      <w:r w:rsidR="0025761D" w:rsidRPr="00B86C0C">
        <w:rPr>
          <w:rFonts w:ascii="Times New Roman" w:hAnsi="Times New Roman" w:cs="Times New Roman"/>
          <w:sz w:val="24"/>
          <w:szCs w:val="24"/>
        </w:rPr>
        <w:t>n</w:t>
      </w:r>
      <w:r w:rsidRPr="00B86C0C">
        <w:rPr>
          <w:rFonts w:ascii="Times New Roman" w:hAnsi="Times New Roman" w:cs="Times New Roman"/>
          <w:sz w:val="24"/>
          <w:szCs w:val="24"/>
        </w:rPr>
        <w:t xml:space="preserve">hà đầu tư dự án có sử dụng đất sẽ là hình thức phổ biến hơn. Đồng thời việc đấu thầu lựa chọn </w:t>
      </w:r>
      <w:r w:rsidR="0025761D" w:rsidRPr="00B86C0C">
        <w:rPr>
          <w:rFonts w:ascii="Times New Roman" w:hAnsi="Times New Roman" w:cs="Times New Roman"/>
          <w:sz w:val="24"/>
          <w:szCs w:val="24"/>
        </w:rPr>
        <w:t>n</w:t>
      </w:r>
      <w:r w:rsidRPr="00B86C0C">
        <w:rPr>
          <w:rFonts w:ascii="Times New Roman" w:hAnsi="Times New Roman" w:cs="Times New Roman"/>
          <w:sz w:val="24"/>
          <w:szCs w:val="24"/>
        </w:rPr>
        <w:t>hà đầu tư cũng có tính cạnh tranh</w:t>
      </w:r>
      <w:r w:rsidR="0025761D" w:rsidRPr="00B86C0C">
        <w:rPr>
          <w:rFonts w:ascii="Times New Roman" w:hAnsi="Times New Roman" w:cs="Times New Roman"/>
          <w:sz w:val="24"/>
          <w:szCs w:val="24"/>
        </w:rPr>
        <w:t xml:space="preserve"> và công bằng</w:t>
      </w:r>
      <w:r w:rsidRPr="00B86C0C">
        <w:rPr>
          <w:rFonts w:ascii="Times New Roman" w:hAnsi="Times New Roman" w:cs="Times New Roman"/>
          <w:sz w:val="24"/>
          <w:szCs w:val="24"/>
        </w:rPr>
        <w:t xml:space="preserve"> hơn, khi cơ sở để lựa chọn lựa chọn ra một </w:t>
      </w:r>
      <w:r w:rsidR="0025761D" w:rsidRPr="00B86C0C">
        <w:rPr>
          <w:rFonts w:ascii="Times New Roman" w:hAnsi="Times New Roman" w:cs="Times New Roman"/>
          <w:sz w:val="24"/>
          <w:szCs w:val="24"/>
        </w:rPr>
        <w:t>nhà đầu tư</w:t>
      </w:r>
      <w:r w:rsidRPr="00B86C0C">
        <w:rPr>
          <w:rFonts w:ascii="Times New Roman" w:hAnsi="Times New Roman" w:cs="Times New Roman"/>
          <w:sz w:val="24"/>
          <w:szCs w:val="24"/>
        </w:rPr>
        <w:t xml:space="preserve"> còn dựa trên nhiều chỉ tiêu khác về năng lực kinh nghiệm, tài chính, kỹ thuật,… Các </w:t>
      </w:r>
      <w:r w:rsidR="00CE761B" w:rsidRPr="00B86C0C">
        <w:rPr>
          <w:rFonts w:ascii="Times New Roman" w:hAnsi="Times New Roman" w:cs="Times New Roman"/>
          <w:sz w:val="24"/>
          <w:szCs w:val="24"/>
        </w:rPr>
        <w:t>nhà đầu tư</w:t>
      </w:r>
      <w:r w:rsidRPr="00B86C0C">
        <w:rPr>
          <w:rFonts w:ascii="Times New Roman" w:hAnsi="Times New Roman" w:cs="Times New Roman"/>
          <w:sz w:val="24"/>
          <w:szCs w:val="24"/>
        </w:rPr>
        <w:t xml:space="preserve"> cũng phải cam kết thực hiện dự án thông qua việc </w:t>
      </w:r>
      <w:r w:rsidR="00CE761B" w:rsidRPr="00B86C0C">
        <w:rPr>
          <w:rFonts w:ascii="Times New Roman" w:hAnsi="Times New Roman" w:cs="Times New Roman"/>
          <w:sz w:val="24"/>
          <w:szCs w:val="24"/>
        </w:rPr>
        <w:t>k</w:t>
      </w:r>
      <w:r w:rsidRPr="00B86C0C">
        <w:rPr>
          <w:rFonts w:ascii="Times New Roman" w:hAnsi="Times New Roman" w:cs="Times New Roman"/>
          <w:sz w:val="24"/>
          <w:szCs w:val="24"/>
        </w:rPr>
        <w:t xml:space="preserve">ý hợp đồng với Nhà nước về tiến độ thực hiện dự án, nếu </w:t>
      </w:r>
      <w:proofErr w:type="gramStart"/>
      <w:r w:rsidRPr="00B86C0C">
        <w:rPr>
          <w:rFonts w:ascii="Times New Roman" w:hAnsi="Times New Roman" w:cs="Times New Roman"/>
          <w:sz w:val="24"/>
          <w:szCs w:val="24"/>
        </w:rPr>
        <w:t>vi</w:t>
      </w:r>
      <w:proofErr w:type="gramEnd"/>
      <w:r w:rsidRPr="00B86C0C">
        <w:rPr>
          <w:rFonts w:ascii="Times New Roman" w:hAnsi="Times New Roman" w:cs="Times New Roman"/>
          <w:sz w:val="24"/>
          <w:szCs w:val="24"/>
        </w:rPr>
        <w:t xml:space="preserve"> phạm các </w:t>
      </w:r>
      <w:r w:rsidR="00CE761B" w:rsidRPr="00B86C0C">
        <w:rPr>
          <w:rFonts w:ascii="Times New Roman" w:hAnsi="Times New Roman" w:cs="Times New Roman"/>
          <w:sz w:val="24"/>
          <w:szCs w:val="24"/>
        </w:rPr>
        <w:t>h</w:t>
      </w:r>
      <w:r w:rsidRPr="00B86C0C">
        <w:rPr>
          <w:rFonts w:ascii="Times New Roman" w:hAnsi="Times New Roman" w:cs="Times New Roman"/>
          <w:sz w:val="24"/>
          <w:szCs w:val="24"/>
        </w:rPr>
        <w:t>ợp đồng này sẽ có nguy cơ bị thu hồi dự án mà không được đền bù. Điều này sẽ giúp hạn chế được việc một số chủ thể đấu thầu xong nhưng không tiến hành thực hiện dự án, để đất hoang hóa.</w:t>
      </w:r>
    </w:p>
    <w:p w14:paraId="7B124F3D" w14:textId="77777777" w:rsidR="00E5632C" w:rsidRPr="00B86C0C" w:rsidRDefault="00E5632C" w:rsidP="00AE1E8A">
      <w:pPr>
        <w:spacing w:before="0" w:after="0" w:line="360" w:lineRule="auto"/>
        <w:jc w:val="both"/>
        <w:rPr>
          <w:rFonts w:ascii="Times New Roman" w:hAnsi="Times New Roman" w:cs="Times New Roman"/>
          <w:sz w:val="24"/>
          <w:szCs w:val="24"/>
        </w:rPr>
      </w:pPr>
    </w:p>
    <w:p w14:paraId="0490C67D" w14:textId="21EB7BEB" w:rsidR="00C6026B" w:rsidRPr="00B86C0C" w:rsidRDefault="00715C9E" w:rsidP="00C6026B">
      <w:pPr>
        <w:spacing w:before="0" w:after="0" w:line="360" w:lineRule="auto"/>
        <w:ind w:firstLine="0"/>
        <w:jc w:val="both"/>
        <w:rPr>
          <w:rFonts w:ascii="Times New Roman" w:hAnsi="Times New Roman" w:cs="Times New Roman"/>
          <w:b/>
          <w:bCs/>
          <w:sz w:val="24"/>
          <w:szCs w:val="24"/>
        </w:rPr>
      </w:pPr>
      <w:r w:rsidRPr="00B86C0C">
        <w:rPr>
          <w:rFonts w:ascii="Times New Roman" w:hAnsi="Times New Roman" w:cs="Times New Roman"/>
          <w:b/>
          <w:bCs/>
          <w:sz w:val="24"/>
          <w:szCs w:val="24"/>
        </w:rPr>
        <w:t xml:space="preserve">Khung pháp lý của hoạt động đấu thầu lựa chọn nhà đầu tư dự </w:t>
      </w:r>
      <w:proofErr w:type="gramStart"/>
      <w:r w:rsidRPr="00B86C0C">
        <w:rPr>
          <w:rFonts w:ascii="Times New Roman" w:hAnsi="Times New Roman" w:cs="Times New Roman"/>
          <w:b/>
          <w:bCs/>
          <w:sz w:val="24"/>
          <w:szCs w:val="24"/>
        </w:rPr>
        <w:t>án</w:t>
      </w:r>
      <w:proofErr w:type="gramEnd"/>
      <w:r w:rsidRPr="00B86C0C">
        <w:rPr>
          <w:rFonts w:ascii="Times New Roman" w:hAnsi="Times New Roman" w:cs="Times New Roman"/>
          <w:b/>
          <w:bCs/>
          <w:sz w:val="24"/>
          <w:szCs w:val="24"/>
        </w:rPr>
        <w:t xml:space="preserve"> có sử dụng đất</w:t>
      </w:r>
    </w:p>
    <w:p w14:paraId="2FE76068" w14:textId="6CB9479F" w:rsidR="00743394" w:rsidRPr="00B86C0C" w:rsidRDefault="00743394" w:rsidP="003522F5">
      <w:pPr>
        <w:spacing w:before="0" w:after="0" w:line="360" w:lineRule="auto"/>
        <w:ind w:firstLine="720"/>
        <w:jc w:val="both"/>
        <w:rPr>
          <w:rFonts w:ascii="Times New Roman" w:hAnsi="Times New Roman" w:cs="Times New Roman"/>
          <w:sz w:val="24"/>
          <w:szCs w:val="24"/>
        </w:rPr>
      </w:pPr>
      <w:r w:rsidRPr="00B86C0C">
        <w:rPr>
          <w:rFonts w:ascii="Times New Roman" w:hAnsi="Times New Roman" w:cs="Times New Roman"/>
          <w:sz w:val="24"/>
          <w:szCs w:val="24"/>
        </w:rPr>
        <w:t xml:space="preserve">Việc Nghị quyết 18-NQ/TW quy định chủ yếu </w:t>
      </w:r>
      <w:r w:rsidR="009B4DED" w:rsidRPr="00B86C0C">
        <w:rPr>
          <w:rFonts w:ascii="Times New Roman" w:hAnsi="Times New Roman" w:cs="Times New Roman"/>
          <w:sz w:val="24"/>
          <w:szCs w:val="24"/>
        </w:rPr>
        <w:t xml:space="preserve">việc giao đất thông qua đấu giá quyền sử dụng đất hoặc đấu thầu dự </w:t>
      </w:r>
      <w:proofErr w:type="gramStart"/>
      <w:r w:rsidR="009B4DED" w:rsidRPr="00B86C0C">
        <w:rPr>
          <w:rFonts w:ascii="Times New Roman" w:hAnsi="Times New Roman" w:cs="Times New Roman"/>
          <w:sz w:val="24"/>
          <w:szCs w:val="24"/>
        </w:rPr>
        <w:t>án</w:t>
      </w:r>
      <w:proofErr w:type="gramEnd"/>
      <w:r w:rsidR="009B4DED" w:rsidRPr="00B86C0C">
        <w:rPr>
          <w:rFonts w:ascii="Times New Roman" w:hAnsi="Times New Roman" w:cs="Times New Roman"/>
          <w:sz w:val="24"/>
          <w:szCs w:val="24"/>
        </w:rPr>
        <w:t xml:space="preserve"> có sử dụng đất là một sự tiến bộ trong các tiếp cận vấn đề của </w:t>
      </w:r>
      <w:r w:rsidR="00552F32" w:rsidRPr="00B86C0C">
        <w:rPr>
          <w:rFonts w:ascii="Times New Roman" w:hAnsi="Times New Roman" w:cs="Times New Roman"/>
          <w:sz w:val="24"/>
          <w:szCs w:val="24"/>
        </w:rPr>
        <w:t xml:space="preserve">Đảng và Nhà nước Việt Nam. </w:t>
      </w:r>
      <w:r w:rsidR="00F22CB9" w:rsidRPr="00B86C0C">
        <w:rPr>
          <w:rFonts w:ascii="Times New Roman" w:hAnsi="Times New Roman" w:cs="Times New Roman"/>
          <w:sz w:val="24"/>
          <w:szCs w:val="24"/>
        </w:rPr>
        <w:t>Và Việt Nam cũng không phải là quốc gia đầu tiên quy định vấn đề này</w:t>
      </w:r>
      <w:r w:rsidR="001D5EE9" w:rsidRPr="00B86C0C">
        <w:rPr>
          <w:rFonts w:ascii="Times New Roman" w:hAnsi="Times New Roman" w:cs="Times New Roman"/>
          <w:sz w:val="24"/>
          <w:szCs w:val="24"/>
        </w:rPr>
        <w:t xml:space="preserve">, vì </w:t>
      </w:r>
      <w:r w:rsidR="00870FE8" w:rsidRPr="00B86C0C">
        <w:rPr>
          <w:rFonts w:ascii="Times New Roman" w:hAnsi="Times New Roman" w:cs="Times New Roman"/>
          <w:sz w:val="24"/>
          <w:szCs w:val="24"/>
        </w:rPr>
        <w:t xml:space="preserve">Trung Quốc một quốc gia có thể chế và con đường phát triển tương đối giống Việt Nam đã quy định từ rất lâu, cụ thể qua </w:t>
      </w:r>
      <w:r w:rsidR="007B47C9" w:rsidRPr="00B86C0C">
        <w:rPr>
          <w:rFonts w:ascii="Times New Roman" w:hAnsi="Times New Roman" w:cs="Times New Roman"/>
          <w:sz w:val="24"/>
          <w:szCs w:val="24"/>
        </w:rPr>
        <w:t>Luật Quản lý Bất động sản Đô thị 1994</w:t>
      </w:r>
      <w:r w:rsidR="00CD0713" w:rsidRPr="00B86C0C">
        <w:rPr>
          <w:rFonts w:ascii="Times New Roman" w:hAnsi="Times New Roman" w:cs="Times New Roman"/>
          <w:sz w:val="24"/>
          <w:szCs w:val="24"/>
        </w:rPr>
        <w:t>,</w:t>
      </w:r>
      <w:r w:rsidR="007B47C9" w:rsidRPr="00B86C0C">
        <w:rPr>
          <w:rFonts w:ascii="Times New Roman" w:hAnsi="Times New Roman" w:cs="Times New Roman"/>
          <w:sz w:val="24"/>
          <w:szCs w:val="24"/>
        </w:rPr>
        <w:t xml:space="preserve"> </w:t>
      </w:r>
      <w:r w:rsidR="00CD0713" w:rsidRPr="00B86C0C">
        <w:rPr>
          <w:rFonts w:ascii="Times New Roman" w:hAnsi="Times New Roman" w:cs="Times New Roman"/>
          <w:sz w:val="24"/>
          <w:szCs w:val="24"/>
        </w:rPr>
        <w:t xml:space="preserve">sửa đổi năm 2007 </w:t>
      </w:r>
      <w:r w:rsidR="00D23BA1" w:rsidRPr="00B86C0C">
        <w:rPr>
          <w:rFonts w:ascii="Times New Roman" w:hAnsi="Times New Roman" w:cs="Times New Roman"/>
          <w:sz w:val="24"/>
          <w:szCs w:val="24"/>
        </w:rPr>
        <w:t>bởi</w:t>
      </w:r>
      <w:r w:rsidR="00CD0713" w:rsidRPr="00B86C0C">
        <w:rPr>
          <w:rFonts w:ascii="Times New Roman" w:hAnsi="Times New Roman" w:cs="Times New Roman"/>
          <w:sz w:val="24"/>
          <w:szCs w:val="24"/>
        </w:rPr>
        <w:t xml:space="preserve"> Ủy ban Thường vụ Đại hội Đại biểu Nhân dân Toàn quốc Cộng hòa Nhân dân Trung Hoa. Trong đó, tại Điều 1</w:t>
      </w:r>
      <w:r w:rsidR="00D23BA1" w:rsidRPr="00B86C0C">
        <w:rPr>
          <w:rFonts w:ascii="Times New Roman" w:hAnsi="Times New Roman" w:cs="Times New Roman"/>
          <w:sz w:val="24"/>
          <w:szCs w:val="24"/>
        </w:rPr>
        <w:t>3</w:t>
      </w:r>
      <w:r w:rsidR="00CD0713" w:rsidRPr="00B86C0C">
        <w:rPr>
          <w:rFonts w:ascii="Times New Roman" w:hAnsi="Times New Roman" w:cs="Times New Roman"/>
          <w:sz w:val="24"/>
          <w:szCs w:val="24"/>
        </w:rPr>
        <w:t xml:space="preserve"> quy định: “</w:t>
      </w:r>
      <w:r w:rsidR="00A8062E" w:rsidRPr="00B86C0C">
        <w:rPr>
          <w:rFonts w:ascii="Times New Roman" w:hAnsi="Times New Roman" w:cs="Times New Roman"/>
          <w:i/>
          <w:iCs/>
          <w:sz w:val="24"/>
          <w:szCs w:val="24"/>
        </w:rPr>
        <w:t>For Land used for commercial, tourism, recreation and luxury housing purposes, where conditions permit, the means of auction or bidding shall be adopted; where conditions do not permit and it is impossible to adopt the means of auction or bidding, the means of agreement between the two parties may be adopted</w:t>
      </w:r>
      <w:r w:rsidR="00A8062E" w:rsidRPr="00B86C0C">
        <w:rPr>
          <w:rFonts w:ascii="Times New Roman" w:hAnsi="Times New Roman" w:cs="Times New Roman"/>
          <w:sz w:val="24"/>
          <w:szCs w:val="24"/>
        </w:rPr>
        <w:t>”</w:t>
      </w:r>
      <w:sdt>
        <w:sdtPr>
          <w:rPr>
            <w:rFonts w:ascii="Times New Roman" w:hAnsi="Times New Roman" w:cs="Times New Roman"/>
            <w:sz w:val="24"/>
            <w:szCs w:val="24"/>
          </w:rPr>
          <w:id w:val="-683285019"/>
          <w:citation/>
        </w:sdtPr>
        <w:sdtEndPr/>
        <w:sdtContent>
          <w:r w:rsidR="00A8062E" w:rsidRPr="00B86C0C">
            <w:rPr>
              <w:rFonts w:ascii="Times New Roman" w:hAnsi="Times New Roman" w:cs="Times New Roman"/>
              <w:sz w:val="24"/>
              <w:szCs w:val="24"/>
            </w:rPr>
            <w:fldChar w:fldCharType="begin"/>
          </w:r>
          <w:r w:rsidR="00A8062E" w:rsidRPr="00B86C0C">
            <w:rPr>
              <w:rFonts w:ascii="Times New Roman" w:hAnsi="Times New Roman" w:cs="Times New Roman"/>
              <w:sz w:val="24"/>
              <w:szCs w:val="24"/>
            </w:rPr>
            <w:instrText xml:space="preserve"> CITATION The07 \l 1033 </w:instrText>
          </w:r>
          <w:r w:rsidR="00A8062E" w:rsidRPr="00B86C0C">
            <w:rPr>
              <w:rFonts w:ascii="Times New Roman" w:hAnsi="Times New Roman" w:cs="Times New Roman"/>
              <w:sz w:val="24"/>
              <w:szCs w:val="24"/>
            </w:rPr>
            <w:fldChar w:fldCharType="separate"/>
          </w:r>
          <w:r w:rsidR="00A8062E" w:rsidRPr="00B86C0C">
            <w:rPr>
              <w:rFonts w:ascii="Times New Roman" w:hAnsi="Times New Roman" w:cs="Times New Roman"/>
              <w:noProof/>
              <w:sz w:val="24"/>
              <w:szCs w:val="24"/>
            </w:rPr>
            <w:t xml:space="preserve"> [1]</w:t>
          </w:r>
          <w:r w:rsidR="00A8062E" w:rsidRPr="00B86C0C">
            <w:rPr>
              <w:rFonts w:ascii="Times New Roman" w:hAnsi="Times New Roman" w:cs="Times New Roman"/>
              <w:sz w:val="24"/>
              <w:szCs w:val="24"/>
            </w:rPr>
            <w:fldChar w:fldCharType="end"/>
          </w:r>
        </w:sdtContent>
      </w:sdt>
      <w:r w:rsidR="000F16E9" w:rsidRPr="00B86C0C">
        <w:rPr>
          <w:rFonts w:ascii="Times New Roman" w:hAnsi="Times New Roman" w:cs="Times New Roman"/>
          <w:sz w:val="24"/>
          <w:szCs w:val="24"/>
        </w:rPr>
        <w:t xml:space="preserve">, </w:t>
      </w:r>
      <w:r w:rsidR="00A8062E" w:rsidRPr="00B86C0C">
        <w:rPr>
          <w:rFonts w:ascii="Times New Roman" w:hAnsi="Times New Roman" w:cs="Times New Roman"/>
          <w:sz w:val="24"/>
          <w:szCs w:val="24"/>
        </w:rPr>
        <w:t xml:space="preserve">tạm </w:t>
      </w:r>
      <w:r w:rsidR="00A8062E" w:rsidRPr="00B86C0C">
        <w:rPr>
          <w:rFonts w:ascii="Times New Roman" w:hAnsi="Times New Roman" w:cs="Times New Roman"/>
          <w:sz w:val="24"/>
          <w:szCs w:val="24"/>
        </w:rPr>
        <w:lastRenderedPageBreak/>
        <w:t xml:space="preserve">dịch: </w:t>
      </w:r>
      <w:r w:rsidR="000F16E9" w:rsidRPr="00B86C0C">
        <w:rPr>
          <w:rFonts w:ascii="Times New Roman" w:hAnsi="Times New Roman" w:cs="Times New Roman"/>
          <w:sz w:val="24"/>
          <w:szCs w:val="24"/>
        </w:rPr>
        <w:t>“</w:t>
      </w:r>
      <w:r w:rsidR="000F16E9" w:rsidRPr="00B86C0C">
        <w:rPr>
          <w:rFonts w:ascii="Times New Roman" w:hAnsi="Times New Roman" w:cs="Times New Roman"/>
          <w:i/>
          <w:iCs/>
          <w:sz w:val="24"/>
          <w:szCs w:val="24"/>
        </w:rPr>
        <w:t>Đối với Đất sử dụng vào mục đích thương mại, du lịch, vui chơi giải trí và nhà ở cao cấp, nếu có điều kiện thì áp dụng hình thức đấu giá hoặc đấu thầu; trường hợp điều kiện không cho phép và không thể áp dụng phương thức đấu giá, đấu thầu thì có thể áp dụng phương thức do hai bên (hai bên ở đây có nghĩa là một bên là nhà đầu tư bên còn lại là nhà nước) thoả thuận</w:t>
      </w:r>
      <w:r w:rsidR="000F16E9" w:rsidRPr="00B86C0C">
        <w:rPr>
          <w:rFonts w:ascii="Times New Roman" w:hAnsi="Times New Roman" w:cs="Times New Roman"/>
          <w:sz w:val="24"/>
          <w:szCs w:val="24"/>
        </w:rPr>
        <w:t>”.</w:t>
      </w:r>
    </w:p>
    <w:p w14:paraId="6238A35B" w14:textId="1F0C24AA" w:rsidR="00441E24" w:rsidRPr="00B86C0C" w:rsidRDefault="00441E24" w:rsidP="003522F5">
      <w:pPr>
        <w:spacing w:before="0" w:after="0" w:line="360" w:lineRule="auto"/>
        <w:ind w:firstLine="720"/>
        <w:jc w:val="both"/>
        <w:rPr>
          <w:rFonts w:ascii="Times New Roman" w:hAnsi="Times New Roman" w:cs="Times New Roman"/>
          <w:sz w:val="24"/>
          <w:szCs w:val="24"/>
        </w:rPr>
      </w:pPr>
      <w:r w:rsidRPr="00B86C0C">
        <w:rPr>
          <w:rFonts w:ascii="Times New Roman" w:hAnsi="Times New Roman" w:cs="Times New Roman"/>
          <w:sz w:val="24"/>
          <w:szCs w:val="24"/>
        </w:rPr>
        <w:t>H</w:t>
      </w:r>
      <w:r w:rsidR="006F4337" w:rsidRPr="00B86C0C">
        <w:rPr>
          <w:rFonts w:ascii="Times New Roman" w:hAnsi="Times New Roman" w:cs="Times New Roman"/>
          <w:sz w:val="24"/>
          <w:szCs w:val="24"/>
        </w:rPr>
        <w:t>oạt động đấu thầu lựa chọn nhà đầu tư đã từng được quy định tại nhiều văn bản khác nhau</w:t>
      </w:r>
      <w:r w:rsidR="00FD0D49" w:rsidRPr="00B86C0C">
        <w:rPr>
          <w:rFonts w:ascii="Times New Roman" w:hAnsi="Times New Roman" w:cs="Times New Roman"/>
          <w:sz w:val="24"/>
          <w:szCs w:val="24"/>
        </w:rPr>
        <w:t xml:space="preserve">, tuy nhiên </w:t>
      </w:r>
      <w:r w:rsidRPr="00B86C0C">
        <w:rPr>
          <w:rFonts w:ascii="Times New Roman" w:hAnsi="Times New Roman" w:cs="Times New Roman"/>
          <w:sz w:val="24"/>
          <w:szCs w:val="24"/>
        </w:rPr>
        <w:t xml:space="preserve">lại không bắt buộc áp dụng vì đặc thù của Việt Nam trước đây là một nền kinh tế còn tương đối kém hấp dẫn, nên cần phải có những cơ chế </w:t>
      </w:r>
      <w:r w:rsidR="00B07BEA" w:rsidRPr="00B86C0C">
        <w:rPr>
          <w:rFonts w:ascii="Times New Roman" w:hAnsi="Times New Roman" w:cs="Times New Roman"/>
          <w:sz w:val="24"/>
          <w:szCs w:val="24"/>
        </w:rPr>
        <w:t xml:space="preserve">thu hút </w:t>
      </w:r>
      <w:proofErr w:type="gramStart"/>
      <w:r w:rsidR="00B07BEA" w:rsidRPr="00B86C0C">
        <w:rPr>
          <w:rFonts w:ascii="Times New Roman" w:hAnsi="Times New Roman" w:cs="Times New Roman"/>
          <w:sz w:val="24"/>
          <w:szCs w:val="24"/>
        </w:rPr>
        <w:t>nguồn  lực</w:t>
      </w:r>
      <w:proofErr w:type="gramEnd"/>
      <w:r w:rsidR="00B07BEA" w:rsidRPr="00B86C0C">
        <w:rPr>
          <w:rFonts w:ascii="Times New Roman" w:hAnsi="Times New Roman" w:cs="Times New Roman"/>
          <w:sz w:val="24"/>
          <w:szCs w:val="24"/>
        </w:rPr>
        <w:t xml:space="preserve"> đầu tư vì vậy, chưa cần phải bắt buộc tiến hành lựa chọn nhà đầu tư. </w:t>
      </w:r>
      <w:r w:rsidR="007B6E34" w:rsidRPr="00B86C0C">
        <w:rPr>
          <w:rFonts w:ascii="Times New Roman" w:hAnsi="Times New Roman" w:cs="Times New Roman"/>
          <w:sz w:val="24"/>
          <w:szCs w:val="24"/>
        </w:rPr>
        <w:t xml:space="preserve">Càng về sau khi môi trường đầu tư và cơ sở hạ tầng được cải thiện thì cần phải có những </w:t>
      </w:r>
      <w:r w:rsidR="000560D0" w:rsidRPr="00B86C0C">
        <w:rPr>
          <w:rFonts w:ascii="Times New Roman" w:hAnsi="Times New Roman" w:cs="Times New Roman"/>
          <w:sz w:val="24"/>
          <w:szCs w:val="24"/>
        </w:rPr>
        <w:t xml:space="preserve">chính sách phù hơn để công bằng hơn trong quá trình tiếp cận dự án, vì vậy </w:t>
      </w:r>
      <w:r w:rsidR="00AB6106" w:rsidRPr="00B86C0C">
        <w:rPr>
          <w:rFonts w:ascii="Times New Roman" w:hAnsi="Times New Roman" w:cs="Times New Roman"/>
          <w:sz w:val="24"/>
          <w:szCs w:val="24"/>
        </w:rPr>
        <w:t xml:space="preserve">các quy định về lựa chọn nhà đầu tư cũng chặt chẽ hơn, nêu ra các nguyên tắc cụ thể để lựa chọn bao gồm các tiêu chí về </w:t>
      </w:r>
      <w:r w:rsidR="00E03AAD" w:rsidRPr="00B86C0C">
        <w:rPr>
          <w:rFonts w:ascii="Times New Roman" w:hAnsi="Times New Roman" w:cs="Times New Roman"/>
          <w:sz w:val="24"/>
          <w:szCs w:val="24"/>
        </w:rPr>
        <w:t xml:space="preserve">kỹ thuật lẫn tài chính. </w:t>
      </w:r>
      <w:r w:rsidR="00CF318E" w:rsidRPr="00B86C0C">
        <w:rPr>
          <w:rFonts w:ascii="Times New Roman" w:hAnsi="Times New Roman" w:cs="Times New Roman"/>
          <w:sz w:val="24"/>
          <w:szCs w:val="24"/>
        </w:rPr>
        <w:t>Hiện nay, k</w:t>
      </w:r>
      <w:r w:rsidR="003522F5" w:rsidRPr="00B86C0C">
        <w:rPr>
          <w:rFonts w:ascii="Times New Roman" w:hAnsi="Times New Roman" w:cs="Times New Roman"/>
          <w:sz w:val="24"/>
          <w:szCs w:val="24"/>
        </w:rPr>
        <w:t xml:space="preserve">hung pháp lý chính điều chỉnh hoạt động đấu thầu lựa chọn nhà đầu tư là Luật Đấu thầu 2013, </w:t>
      </w:r>
      <w:r w:rsidR="004868AC" w:rsidRPr="00B86C0C">
        <w:rPr>
          <w:rFonts w:ascii="Times New Roman" w:hAnsi="Times New Roman" w:cs="Times New Roman"/>
          <w:sz w:val="24"/>
          <w:szCs w:val="24"/>
        </w:rPr>
        <w:t>được triển khai chi tiết tại</w:t>
      </w:r>
      <w:r w:rsidR="003522F5" w:rsidRPr="00B86C0C">
        <w:rPr>
          <w:rFonts w:ascii="Times New Roman" w:hAnsi="Times New Roman" w:cs="Times New Roman"/>
          <w:sz w:val="24"/>
          <w:szCs w:val="24"/>
        </w:rPr>
        <w:t xml:space="preserve"> Nghị định 25/2020/NĐ-CP (sửa đổi bổ sung một số điều tại Nghị định 31/2021/NĐ-CP) và Thông tư 09/2021/TT-BKHĐT (sửa đổi bổ sung một số điều tại Thông tư 22/2022/TT-BKHĐT). </w:t>
      </w:r>
    </w:p>
    <w:p w14:paraId="77A1CB0A" w14:textId="5499A732" w:rsidR="00900C4B" w:rsidRPr="00B86C0C" w:rsidRDefault="00900C4B" w:rsidP="00900C4B">
      <w:pPr>
        <w:spacing w:before="0" w:after="0"/>
        <w:ind w:firstLine="0"/>
        <w:jc w:val="center"/>
        <w:rPr>
          <w:rFonts w:ascii="Times New Roman" w:hAnsi="Times New Roman" w:cs="Times New Roman"/>
          <w:i/>
          <w:iCs/>
          <w:sz w:val="24"/>
          <w:szCs w:val="24"/>
        </w:rPr>
      </w:pPr>
      <w:r w:rsidRPr="00B86C0C">
        <w:rPr>
          <w:rFonts w:ascii="Times New Roman" w:hAnsi="Times New Roman" w:cs="Times New Roman"/>
          <w:i/>
          <w:iCs/>
          <w:sz w:val="24"/>
          <w:szCs w:val="24"/>
        </w:rPr>
        <w:t xml:space="preserve">Bảng Quy định về đấu thấu lựa chọn nhà đầu tư qua các </w:t>
      </w:r>
      <w:r w:rsidR="00E017FC" w:rsidRPr="00B86C0C">
        <w:rPr>
          <w:rFonts w:ascii="Times New Roman" w:hAnsi="Times New Roman" w:cs="Times New Roman"/>
          <w:i/>
          <w:iCs/>
          <w:sz w:val="24"/>
          <w:szCs w:val="24"/>
        </w:rPr>
        <w:t>văn bản</w:t>
      </w:r>
    </w:p>
    <w:p w14:paraId="6E52F832" w14:textId="2FDDA80C" w:rsidR="00441E24" w:rsidRPr="00B86C0C" w:rsidRDefault="00372A97" w:rsidP="009C7648">
      <w:pPr>
        <w:spacing w:before="0" w:after="0" w:line="360" w:lineRule="auto"/>
        <w:ind w:firstLine="0"/>
        <w:jc w:val="center"/>
        <w:rPr>
          <w:rFonts w:ascii="Times New Roman" w:hAnsi="Times New Roman" w:cs="Times New Roman"/>
          <w:sz w:val="24"/>
          <w:szCs w:val="24"/>
        </w:rPr>
      </w:pPr>
      <w:r w:rsidRPr="00B86C0C">
        <w:rPr>
          <w:rFonts w:ascii="Times New Roman" w:hAnsi="Times New Roman" w:cs="Times New Roman"/>
          <w:noProof/>
          <w:sz w:val="24"/>
          <w:szCs w:val="24"/>
        </w:rPr>
        <w:drawing>
          <wp:inline distT="0" distB="0" distL="0" distR="0" wp14:anchorId="72F624D8" wp14:editId="7EF248BE">
            <wp:extent cx="5850890" cy="2737485"/>
            <wp:effectExtent l="0" t="0" r="0" b="5715"/>
            <wp:docPr id="3"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0890" cy="2737485"/>
                    </a:xfrm>
                    <a:prstGeom prst="rect">
                      <a:avLst/>
                    </a:prstGeom>
                    <a:noFill/>
                    <a:ln>
                      <a:noFill/>
                    </a:ln>
                  </pic:spPr>
                </pic:pic>
              </a:graphicData>
            </a:graphic>
          </wp:inline>
        </w:drawing>
      </w:r>
    </w:p>
    <w:p w14:paraId="67A6E1D1" w14:textId="77777777" w:rsidR="00F87130" w:rsidRPr="00B86C0C" w:rsidRDefault="00441E24" w:rsidP="005E657B">
      <w:pPr>
        <w:spacing w:before="0" w:after="0" w:line="360" w:lineRule="auto"/>
        <w:ind w:firstLine="720"/>
        <w:jc w:val="both"/>
        <w:rPr>
          <w:rFonts w:ascii="Times New Roman" w:hAnsi="Times New Roman" w:cs="Times New Roman"/>
          <w:sz w:val="24"/>
          <w:szCs w:val="24"/>
        </w:rPr>
      </w:pPr>
      <w:r w:rsidRPr="00B86C0C">
        <w:rPr>
          <w:rFonts w:ascii="Times New Roman" w:hAnsi="Times New Roman" w:cs="Times New Roman"/>
          <w:sz w:val="24"/>
          <w:szCs w:val="24"/>
        </w:rPr>
        <w:t>Đ</w:t>
      </w:r>
      <w:r w:rsidR="003522F5" w:rsidRPr="00B86C0C">
        <w:rPr>
          <w:rFonts w:ascii="Times New Roman" w:hAnsi="Times New Roman" w:cs="Times New Roman"/>
          <w:sz w:val="24"/>
          <w:szCs w:val="24"/>
        </w:rPr>
        <w:t>ể có thể đưa được một dự án ra đấu thầu được thì trước hết dự án phải được chấp thuận chủ trương đầu tư thông qua Luật Đầu tư 2020 và các văn bản hướng dẫn, đã có Quy hoạch phân khu 1/2000 hoặc Quy hoạch chi tiết 1/500 được lập thông qua Luật Quy hoạch đô thị 2009 hoặc Luật Xây dựng 2014. Đồng thời với đó dự án cũng phải đáp ứng các điều kiện theo Luật Đất đai 2013 và một số quy đi khác của Luật Nhà ở 2014, Luật Kinh doanh Bất động sản 2014</w:t>
      </w:r>
      <w:r w:rsidR="00FE1713" w:rsidRPr="00B86C0C">
        <w:rPr>
          <w:rFonts w:ascii="Times New Roman" w:hAnsi="Times New Roman" w:cs="Times New Roman"/>
          <w:sz w:val="24"/>
          <w:szCs w:val="24"/>
        </w:rPr>
        <w:t xml:space="preserve">. Một khi đã thỏa mãn các điều kiện đầu vào </w:t>
      </w:r>
      <w:r w:rsidR="005E657B" w:rsidRPr="00B86C0C">
        <w:rPr>
          <w:rFonts w:ascii="Times New Roman" w:hAnsi="Times New Roman" w:cs="Times New Roman"/>
          <w:sz w:val="24"/>
          <w:szCs w:val="24"/>
        </w:rPr>
        <w:t xml:space="preserve">thì dự </w:t>
      </w:r>
      <w:proofErr w:type="gramStart"/>
      <w:r w:rsidR="005E657B" w:rsidRPr="00B86C0C">
        <w:rPr>
          <w:rFonts w:ascii="Times New Roman" w:hAnsi="Times New Roman" w:cs="Times New Roman"/>
          <w:sz w:val="24"/>
          <w:szCs w:val="24"/>
        </w:rPr>
        <w:t>án</w:t>
      </w:r>
      <w:proofErr w:type="gramEnd"/>
      <w:r w:rsidR="005E657B" w:rsidRPr="00B86C0C">
        <w:rPr>
          <w:rFonts w:ascii="Times New Roman" w:hAnsi="Times New Roman" w:cs="Times New Roman"/>
          <w:sz w:val="24"/>
          <w:szCs w:val="24"/>
        </w:rPr>
        <w:t xml:space="preserve"> sẽ được tổ chức đấu thầu thông qua một quy trình khép kín. Quy trình này bao gồm hai giai đoạn chính gồm: (1) Sơ bộ năng lực kinh nghiệm và (2) Đấu thầu lựa chọn nhà đầu </w:t>
      </w:r>
      <w:proofErr w:type="gramStart"/>
      <w:r w:rsidR="005E657B" w:rsidRPr="00B86C0C">
        <w:rPr>
          <w:rFonts w:ascii="Times New Roman" w:hAnsi="Times New Roman" w:cs="Times New Roman"/>
          <w:sz w:val="24"/>
          <w:szCs w:val="24"/>
        </w:rPr>
        <w:t>tư</w:t>
      </w:r>
      <w:proofErr w:type="gramEnd"/>
      <w:r w:rsidR="005E657B" w:rsidRPr="00B86C0C">
        <w:rPr>
          <w:rFonts w:ascii="Times New Roman" w:hAnsi="Times New Roman" w:cs="Times New Roman"/>
          <w:sz w:val="24"/>
          <w:szCs w:val="24"/>
        </w:rPr>
        <w:t>. Các giai đoạn này sẽ được thực hiện trên mạng đấu thầu quốc gia</w:t>
      </w:r>
      <w:r w:rsidR="003522F5" w:rsidRPr="00B86C0C">
        <w:rPr>
          <w:rFonts w:ascii="Times New Roman" w:hAnsi="Times New Roman" w:cs="Times New Roman"/>
          <w:sz w:val="24"/>
          <w:szCs w:val="24"/>
        </w:rPr>
        <w:t xml:space="preserve">. </w:t>
      </w:r>
    </w:p>
    <w:p w14:paraId="7F6D8558" w14:textId="211D5596" w:rsidR="00F87130" w:rsidRPr="00B86C0C" w:rsidRDefault="0050786D" w:rsidP="0050786D">
      <w:pPr>
        <w:spacing w:before="0" w:after="0" w:line="360" w:lineRule="auto"/>
        <w:ind w:firstLine="0"/>
        <w:jc w:val="center"/>
        <w:rPr>
          <w:rFonts w:ascii="Times New Roman" w:hAnsi="Times New Roman" w:cs="Times New Roman"/>
          <w:sz w:val="24"/>
          <w:szCs w:val="24"/>
        </w:rPr>
      </w:pPr>
      <w:r w:rsidRPr="00B86C0C">
        <w:rPr>
          <w:rFonts w:ascii="Times New Roman" w:hAnsi="Times New Roman" w:cs="Times New Roman"/>
          <w:noProof/>
          <w:sz w:val="24"/>
          <w:szCs w:val="24"/>
        </w:rPr>
        <w:lastRenderedPageBreak/>
        <w:drawing>
          <wp:inline distT="0" distB="0" distL="0" distR="0" wp14:anchorId="0A63F8D7" wp14:editId="02B9D61F">
            <wp:extent cx="3657790" cy="3349934"/>
            <wp:effectExtent l="0" t="0" r="0" b="3175"/>
            <wp:docPr id="4" name="Hình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2015" cy="3353803"/>
                    </a:xfrm>
                    <a:prstGeom prst="rect">
                      <a:avLst/>
                    </a:prstGeom>
                    <a:noFill/>
                    <a:ln>
                      <a:noFill/>
                    </a:ln>
                  </pic:spPr>
                </pic:pic>
              </a:graphicData>
            </a:graphic>
          </wp:inline>
        </w:drawing>
      </w:r>
    </w:p>
    <w:p w14:paraId="5A17DF16" w14:textId="3B0F4073" w:rsidR="00715C9E" w:rsidRPr="00B86C0C" w:rsidRDefault="003522F5" w:rsidP="005E657B">
      <w:pPr>
        <w:spacing w:before="0" w:after="0" w:line="360" w:lineRule="auto"/>
        <w:ind w:firstLine="720"/>
        <w:jc w:val="both"/>
        <w:rPr>
          <w:rFonts w:ascii="Times New Roman" w:hAnsi="Times New Roman" w:cs="Times New Roman"/>
          <w:sz w:val="24"/>
          <w:szCs w:val="24"/>
        </w:rPr>
      </w:pPr>
      <w:r w:rsidRPr="00B86C0C">
        <w:rPr>
          <w:rFonts w:ascii="Times New Roman" w:hAnsi="Times New Roman" w:cs="Times New Roman"/>
          <w:sz w:val="24"/>
          <w:szCs w:val="24"/>
        </w:rPr>
        <w:t xml:space="preserve">Trường hợp </w:t>
      </w:r>
      <w:r w:rsidR="0037638D" w:rsidRPr="00B86C0C">
        <w:rPr>
          <w:rFonts w:ascii="Times New Roman" w:hAnsi="Times New Roman" w:cs="Times New Roman"/>
          <w:sz w:val="24"/>
          <w:szCs w:val="24"/>
        </w:rPr>
        <w:t xml:space="preserve">trong giai đoạn sơ bộ năng lực kinh nghiệ </w:t>
      </w:r>
      <w:r w:rsidRPr="00B86C0C">
        <w:rPr>
          <w:rFonts w:ascii="Times New Roman" w:hAnsi="Times New Roman" w:cs="Times New Roman"/>
          <w:sz w:val="24"/>
          <w:szCs w:val="24"/>
        </w:rPr>
        <w:t>chỉ có</w:t>
      </w:r>
      <w:r w:rsidR="0037638D" w:rsidRPr="00B86C0C">
        <w:rPr>
          <w:rFonts w:ascii="Times New Roman" w:hAnsi="Times New Roman" w:cs="Times New Roman"/>
          <w:sz w:val="24"/>
          <w:szCs w:val="24"/>
        </w:rPr>
        <w:t xml:space="preserve"> một n</w:t>
      </w:r>
      <w:r w:rsidRPr="00B86C0C">
        <w:rPr>
          <w:rFonts w:ascii="Times New Roman" w:hAnsi="Times New Roman" w:cs="Times New Roman"/>
          <w:sz w:val="24"/>
          <w:szCs w:val="24"/>
        </w:rPr>
        <w:t xml:space="preserve">hà đầu tư quan tâm thì </w:t>
      </w:r>
      <w:r w:rsidR="0037638D" w:rsidRPr="00B86C0C">
        <w:rPr>
          <w:rFonts w:ascii="Times New Roman" w:hAnsi="Times New Roman" w:cs="Times New Roman"/>
          <w:sz w:val="24"/>
          <w:szCs w:val="24"/>
        </w:rPr>
        <w:t>n</w:t>
      </w:r>
      <w:r w:rsidRPr="00B86C0C">
        <w:rPr>
          <w:rFonts w:ascii="Times New Roman" w:hAnsi="Times New Roman" w:cs="Times New Roman"/>
          <w:sz w:val="24"/>
          <w:szCs w:val="24"/>
        </w:rPr>
        <w:t xml:space="preserve">hà đầu tư đó sẽ </w:t>
      </w:r>
      <w:r w:rsidR="0037638D" w:rsidRPr="00B86C0C">
        <w:rPr>
          <w:rFonts w:ascii="Times New Roman" w:hAnsi="Times New Roman" w:cs="Times New Roman"/>
          <w:sz w:val="24"/>
          <w:szCs w:val="24"/>
        </w:rPr>
        <w:t>trao quyền phát triển dự án mà không cần thực hiện các bước tiếp theo</w:t>
      </w:r>
      <w:r w:rsidRPr="00B86C0C">
        <w:rPr>
          <w:rFonts w:ascii="Times New Roman" w:hAnsi="Times New Roman" w:cs="Times New Roman"/>
          <w:sz w:val="24"/>
          <w:szCs w:val="24"/>
        </w:rPr>
        <w:t>, trường hợp có nhiều hơn một Nhà đầu tư thì dự án sẽ bước sang giai Đấu thầu lựa chọn Nhà đầu tư</w:t>
      </w:r>
      <w:r w:rsidR="00372113" w:rsidRPr="00B86C0C">
        <w:rPr>
          <w:rFonts w:ascii="Times New Roman" w:hAnsi="Times New Roman" w:cs="Times New Roman"/>
          <w:sz w:val="24"/>
          <w:szCs w:val="24"/>
        </w:rPr>
        <w:t>, hình thức đấu thầu là hình thức đấu thầu một giai đoạn hai túi hồ sơ (bao gồm Hồ sơ kỹ thuật và Hồ sơ về mặt tài chính)</w:t>
      </w:r>
      <w:r w:rsidRPr="00B86C0C">
        <w:rPr>
          <w:rFonts w:ascii="Times New Roman" w:hAnsi="Times New Roman" w:cs="Times New Roman"/>
          <w:sz w:val="24"/>
          <w:szCs w:val="24"/>
        </w:rPr>
        <w:t>.</w:t>
      </w:r>
      <w:r w:rsidR="00F87130" w:rsidRPr="00B86C0C">
        <w:rPr>
          <w:rFonts w:ascii="Times New Roman" w:hAnsi="Times New Roman" w:cs="Times New Roman"/>
          <w:sz w:val="24"/>
          <w:szCs w:val="24"/>
        </w:rPr>
        <w:t xml:space="preserve"> </w:t>
      </w:r>
      <w:r w:rsidR="00536108" w:rsidRPr="00B86C0C">
        <w:rPr>
          <w:rFonts w:ascii="Times New Roman" w:hAnsi="Times New Roman" w:cs="Times New Roman"/>
          <w:sz w:val="24"/>
          <w:szCs w:val="24"/>
        </w:rPr>
        <w:t xml:space="preserve">Trong giai đoạn này để xác định ra nhà đầu tư trúng thầu sẽ căn </w:t>
      </w:r>
      <w:proofErr w:type="gramStart"/>
      <w:r w:rsidR="00536108" w:rsidRPr="00B86C0C">
        <w:rPr>
          <w:rFonts w:ascii="Times New Roman" w:hAnsi="Times New Roman" w:cs="Times New Roman"/>
          <w:sz w:val="24"/>
          <w:szCs w:val="24"/>
        </w:rPr>
        <w:t>theo</w:t>
      </w:r>
      <w:proofErr w:type="gramEnd"/>
      <w:r w:rsidR="00536108" w:rsidRPr="00B86C0C">
        <w:rPr>
          <w:rFonts w:ascii="Times New Roman" w:hAnsi="Times New Roman" w:cs="Times New Roman"/>
          <w:sz w:val="24"/>
          <w:szCs w:val="24"/>
        </w:rPr>
        <w:t xml:space="preserve"> các Hồ sơ kỹ thuật và Hồ sơ về mặt tài chính. </w:t>
      </w:r>
      <w:r w:rsidR="00375013" w:rsidRPr="00B86C0C">
        <w:rPr>
          <w:rFonts w:ascii="Times New Roman" w:hAnsi="Times New Roman" w:cs="Times New Roman"/>
          <w:sz w:val="24"/>
          <w:szCs w:val="24"/>
        </w:rPr>
        <w:t>Các nhà đầu tư đáp ứng yêu cầu về mặt kỹ thuật sẽ được cho phép mở hồ sơ về mặt tài chính</w:t>
      </w:r>
      <w:r w:rsidR="00681238" w:rsidRPr="00B86C0C">
        <w:rPr>
          <w:rFonts w:ascii="Times New Roman" w:hAnsi="Times New Roman" w:cs="Times New Roman"/>
          <w:sz w:val="24"/>
          <w:szCs w:val="24"/>
        </w:rPr>
        <w:t>.</w:t>
      </w:r>
      <w:r w:rsidR="001C0ED0" w:rsidRPr="00B86C0C">
        <w:rPr>
          <w:rFonts w:ascii="Times New Roman" w:hAnsi="Times New Roman" w:cs="Times New Roman"/>
          <w:sz w:val="24"/>
          <w:szCs w:val="24"/>
        </w:rPr>
        <w:t xml:space="preserve"> Việc đánh giá các tiêu chí về mặt kỹ thuật </w:t>
      </w:r>
      <w:r w:rsidR="00143E82" w:rsidRPr="00B86C0C">
        <w:rPr>
          <w:rFonts w:ascii="Times New Roman" w:hAnsi="Times New Roman" w:cs="Times New Roman"/>
          <w:sz w:val="24"/>
          <w:szCs w:val="24"/>
        </w:rPr>
        <w:t xml:space="preserve">được quy định </w:t>
      </w:r>
      <w:proofErr w:type="gramStart"/>
      <w:r w:rsidR="00143E82" w:rsidRPr="00B86C0C">
        <w:rPr>
          <w:rFonts w:ascii="Times New Roman" w:hAnsi="Times New Roman" w:cs="Times New Roman"/>
          <w:sz w:val="24"/>
          <w:szCs w:val="24"/>
        </w:rPr>
        <w:t>theo</w:t>
      </w:r>
      <w:proofErr w:type="gramEnd"/>
      <w:r w:rsidR="00143E82" w:rsidRPr="00B86C0C">
        <w:rPr>
          <w:rFonts w:ascii="Times New Roman" w:hAnsi="Times New Roman" w:cs="Times New Roman"/>
          <w:sz w:val="24"/>
          <w:szCs w:val="24"/>
        </w:rPr>
        <w:t xml:space="preserve"> hồ sơ mời thầu. </w:t>
      </w:r>
      <w:r w:rsidR="001C0ED0" w:rsidRPr="00B86C0C">
        <w:rPr>
          <w:rFonts w:ascii="Times New Roman" w:hAnsi="Times New Roman" w:cs="Times New Roman"/>
          <w:sz w:val="24"/>
          <w:szCs w:val="24"/>
        </w:rPr>
        <w:t xml:space="preserve">Với giai đoạn xem xét tài chính, </w:t>
      </w:r>
      <w:r w:rsidR="00143E82" w:rsidRPr="00B86C0C">
        <w:rPr>
          <w:rFonts w:ascii="Times New Roman" w:hAnsi="Times New Roman" w:cs="Times New Roman"/>
          <w:sz w:val="24"/>
          <w:szCs w:val="24"/>
        </w:rPr>
        <w:t xml:space="preserve">thì đặc trưng bằng việc nhà đầu tư nào có giá trị nộp ngân sách nhà nước (m3) lớn hơn thì nhà đầu tư đó sẽ là nhà đầu tư trúng thầu. Quy trình có thể được tổng hợp </w:t>
      </w:r>
      <w:proofErr w:type="gramStart"/>
      <w:r w:rsidR="00143E82" w:rsidRPr="00B86C0C">
        <w:rPr>
          <w:rFonts w:ascii="Times New Roman" w:hAnsi="Times New Roman" w:cs="Times New Roman"/>
          <w:sz w:val="24"/>
          <w:szCs w:val="24"/>
        </w:rPr>
        <w:t>theo</w:t>
      </w:r>
      <w:proofErr w:type="gramEnd"/>
      <w:r w:rsidR="00143E82" w:rsidRPr="00B86C0C">
        <w:rPr>
          <w:rFonts w:ascii="Times New Roman" w:hAnsi="Times New Roman" w:cs="Times New Roman"/>
          <w:sz w:val="24"/>
          <w:szCs w:val="24"/>
        </w:rPr>
        <w:t xml:space="preserve"> lưu đồ dưới đây:</w:t>
      </w:r>
    </w:p>
    <w:p w14:paraId="365B0259" w14:textId="77777777" w:rsidR="00322464" w:rsidRPr="00B86C0C" w:rsidRDefault="00322464" w:rsidP="00B819E9">
      <w:pPr>
        <w:spacing w:before="0" w:after="0"/>
        <w:ind w:left="-567" w:firstLine="0"/>
        <w:jc w:val="center"/>
        <w:rPr>
          <w:rFonts w:ascii="Times New Roman" w:hAnsi="Times New Roman" w:cs="Times New Roman"/>
          <w:color w:val="0070C0"/>
          <w:sz w:val="24"/>
          <w:szCs w:val="24"/>
        </w:rPr>
      </w:pPr>
      <w:r w:rsidRPr="00B86C0C">
        <w:rPr>
          <w:rFonts w:ascii="Times New Roman" w:hAnsi="Times New Roman" w:cs="Times New Roman"/>
          <w:noProof/>
          <w:color w:val="0070C0"/>
          <w:sz w:val="24"/>
          <w:szCs w:val="24"/>
        </w:rPr>
        <w:lastRenderedPageBreak/>
        <w:drawing>
          <wp:inline distT="0" distB="0" distL="0" distR="0" wp14:anchorId="3129FCBA" wp14:editId="32D14BDB">
            <wp:extent cx="6290945" cy="4674235"/>
            <wp:effectExtent l="0" t="0" r="0" b="0"/>
            <wp:docPr id="5" name="Hình ản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0945" cy="4674235"/>
                    </a:xfrm>
                    <a:prstGeom prst="rect">
                      <a:avLst/>
                    </a:prstGeom>
                    <a:noFill/>
                    <a:ln>
                      <a:noFill/>
                    </a:ln>
                  </pic:spPr>
                </pic:pic>
              </a:graphicData>
            </a:graphic>
          </wp:inline>
        </w:drawing>
      </w:r>
    </w:p>
    <w:p w14:paraId="5C75E047" w14:textId="398F3A62" w:rsidR="00322464" w:rsidRPr="00B86C0C" w:rsidRDefault="00E5632C" w:rsidP="00322464">
      <w:pPr>
        <w:spacing w:before="0" w:after="0" w:line="360" w:lineRule="auto"/>
        <w:ind w:firstLine="0"/>
        <w:jc w:val="center"/>
        <w:rPr>
          <w:rFonts w:ascii="Times New Roman" w:hAnsi="Times New Roman" w:cs="Times New Roman"/>
          <w:i/>
          <w:iCs/>
          <w:sz w:val="24"/>
          <w:szCs w:val="24"/>
        </w:rPr>
      </w:pPr>
      <w:r w:rsidRPr="00B86C0C">
        <w:rPr>
          <w:rFonts w:ascii="Times New Roman" w:hAnsi="Times New Roman" w:cs="Times New Roman"/>
          <w:i/>
          <w:iCs/>
          <w:sz w:val="24"/>
          <w:szCs w:val="24"/>
        </w:rPr>
        <w:t>Lưu đồ q</w:t>
      </w:r>
      <w:r w:rsidR="00322464" w:rsidRPr="00B86C0C">
        <w:rPr>
          <w:rFonts w:ascii="Times New Roman" w:hAnsi="Times New Roman" w:cs="Times New Roman"/>
          <w:i/>
          <w:iCs/>
          <w:sz w:val="24"/>
          <w:szCs w:val="24"/>
        </w:rPr>
        <w:t>uy trình đấu thầu lựa chọn Nhà đầu tư (Trần Đại Nghĩa, 2022)</w:t>
      </w:r>
    </w:p>
    <w:p w14:paraId="3FDD8E2C" w14:textId="77777777" w:rsidR="00E5632C" w:rsidRPr="00B86C0C" w:rsidRDefault="00E5632C" w:rsidP="00143E82">
      <w:pPr>
        <w:spacing w:before="0" w:after="0" w:line="360" w:lineRule="auto"/>
        <w:ind w:firstLine="0"/>
        <w:jc w:val="both"/>
        <w:rPr>
          <w:rFonts w:ascii="Times New Roman" w:hAnsi="Times New Roman" w:cs="Times New Roman"/>
          <w:b/>
          <w:bCs/>
          <w:sz w:val="24"/>
          <w:szCs w:val="24"/>
        </w:rPr>
      </w:pPr>
    </w:p>
    <w:p w14:paraId="4D0D6435" w14:textId="46BF9C57" w:rsidR="00143E82" w:rsidRPr="00B86C0C" w:rsidRDefault="00422916" w:rsidP="00143E82">
      <w:pPr>
        <w:spacing w:before="0" w:after="0" w:line="360" w:lineRule="auto"/>
        <w:ind w:firstLine="0"/>
        <w:jc w:val="both"/>
        <w:rPr>
          <w:rFonts w:ascii="Times New Roman" w:hAnsi="Times New Roman" w:cs="Times New Roman"/>
          <w:b/>
          <w:bCs/>
          <w:sz w:val="24"/>
          <w:szCs w:val="24"/>
        </w:rPr>
      </w:pPr>
      <w:r w:rsidRPr="00B86C0C">
        <w:rPr>
          <w:rFonts w:ascii="Times New Roman" w:hAnsi="Times New Roman" w:cs="Times New Roman"/>
          <w:b/>
          <w:bCs/>
          <w:sz w:val="24"/>
          <w:szCs w:val="24"/>
        </w:rPr>
        <w:t>Một số tồn tại trong đấu thầu lựa chọn nhà đầu tư</w:t>
      </w:r>
    </w:p>
    <w:p w14:paraId="33A5AAB2" w14:textId="4D3AEF70" w:rsidR="00F17976" w:rsidRPr="00B86C0C" w:rsidRDefault="00F17976" w:rsidP="00F17976">
      <w:pPr>
        <w:spacing w:before="0" w:after="0" w:line="360" w:lineRule="auto"/>
        <w:ind w:firstLine="720"/>
        <w:jc w:val="both"/>
        <w:rPr>
          <w:rFonts w:ascii="Times New Roman" w:hAnsi="Times New Roman" w:cs="Times New Roman"/>
          <w:sz w:val="24"/>
          <w:szCs w:val="24"/>
        </w:rPr>
      </w:pPr>
      <w:r w:rsidRPr="00B86C0C">
        <w:rPr>
          <w:rFonts w:ascii="Times New Roman" w:hAnsi="Times New Roman" w:cs="Times New Roman"/>
          <w:sz w:val="24"/>
          <w:szCs w:val="24"/>
        </w:rPr>
        <w:t>Các hành lang pháp lý để thực hiện đấu thầu lựa chọn Nhà đầu tư hiện nay đã tương đối rõ ràng, tuy nhiên có một thực trạng là kể từ thời điểm Nghị định 25/202</w:t>
      </w:r>
      <w:r w:rsidR="001E59B2" w:rsidRPr="00B86C0C">
        <w:rPr>
          <w:rFonts w:ascii="Times New Roman" w:hAnsi="Times New Roman" w:cs="Times New Roman"/>
          <w:sz w:val="24"/>
          <w:szCs w:val="24"/>
        </w:rPr>
        <w:t>0</w:t>
      </w:r>
      <w:r w:rsidRPr="00B86C0C">
        <w:rPr>
          <w:rFonts w:ascii="Times New Roman" w:hAnsi="Times New Roman" w:cs="Times New Roman"/>
          <w:sz w:val="24"/>
          <w:szCs w:val="24"/>
        </w:rPr>
        <w:t xml:space="preserve">/NĐ-CP có hiệu lực ngày 20/04/2020 thì tại một số địa phương trong đó có thành phố Hồ Chí Minh vẫn chưa có bất kỳ một dự án nào được triển khai đấu thầu. Hoặc khi phát hành hồ sơ mời quan tâm thì cũng chỉ có một Nhà đầu tư nộp hồ sơ, từ đó Bên mời thầu chấp thuận Nhà đầu tư cho Nhà đầu tư đó luôn mà không tiến hành đấu thầu. Điều đó chứng tỏ vẫn đang có những bất cập nhất định đối với hoạt động đấu thầu lựa chọn Nhà đầu tư này, cần phải có những cải thiện. </w:t>
      </w:r>
    </w:p>
    <w:p w14:paraId="390F0017" w14:textId="0E597FDD" w:rsidR="00BC08EB" w:rsidRPr="00B86C0C" w:rsidRDefault="00BC08EB" w:rsidP="00BC08EB">
      <w:pPr>
        <w:spacing w:before="0" w:after="0" w:line="360" w:lineRule="auto"/>
        <w:ind w:firstLine="0"/>
        <w:jc w:val="both"/>
        <w:rPr>
          <w:rFonts w:ascii="Times New Roman" w:hAnsi="Times New Roman" w:cs="Times New Roman"/>
          <w:sz w:val="24"/>
          <w:szCs w:val="24"/>
        </w:rPr>
      </w:pPr>
      <w:r w:rsidRPr="00B86C0C">
        <w:rPr>
          <w:rFonts w:ascii="Times New Roman" w:hAnsi="Times New Roman" w:cs="Times New Roman"/>
          <w:sz w:val="24"/>
          <w:szCs w:val="24"/>
        </w:rPr>
        <w:tab/>
      </w:r>
      <w:r w:rsidR="00A3718B" w:rsidRPr="00B86C0C">
        <w:rPr>
          <w:rFonts w:ascii="Times New Roman" w:hAnsi="Times New Roman" w:cs="Times New Roman"/>
          <w:sz w:val="24"/>
          <w:szCs w:val="24"/>
        </w:rPr>
        <w:t xml:space="preserve">Một trong những vướng mắc lớn khiến nhiều dự án không thể đem ra đấu thầu là hiện nay quy định của </w:t>
      </w:r>
      <w:r w:rsidR="00BE1578" w:rsidRPr="00B86C0C">
        <w:rPr>
          <w:rFonts w:ascii="Times New Roman" w:hAnsi="Times New Roman" w:cs="Times New Roman"/>
          <w:sz w:val="24"/>
          <w:szCs w:val="24"/>
        </w:rPr>
        <w:t xml:space="preserve">Điểm b, Khoản 01 </w:t>
      </w:r>
      <w:r w:rsidR="00A3718B" w:rsidRPr="00B86C0C">
        <w:rPr>
          <w:rFonts w:ascii="Times New Roman" w:hAnsi="Times New Roman" w:cs="Times New Roman"/>
          <w:sz w:val="24"/>
          <w:szCs w:val="24"/>
        </w:rPr>
        <w:t>Nghị định 25/202</w:t>
      </w:r>
      <w:r w:rsidR="001E59B2" w:rsidRPr="00B86C0C">
        <w:rPr>
          <w:rFonts w:ascii="Times New Roman" w:hAnsi="Times New Roman" w:cs="Times New Roman"/>
          <w:sz w:val="24"/>
          <w:szCs w:val="24"/>
        </w:rPr>
        <w:t>0</w:t>
      </w:r>
      <w:r w:rsidR="00A3718B" w:rsidRPr="00B86C0C">
        <w:rPr>
          <w:rFonts w:ascii="Times New Roman" w:hAnsi="Times New Roman" w:cs="Times New Roman"/>
          <w:sz w:val="24"/>
          <w:szCs w:val="24"/>
        </w:rPr>
        <w:t>/NĐ-CP cho từng trường hợp đấu thầu là cụ thể</w:t>
      </w:r>
      <w:r w:rsidR="00BE1578" w:rsidRPr="00B86C0C">
        <w:rPr>
          <w:rFonts w:ascii="Times New Roman" w:hAnsi="Times New Roman" w:cs="Times New Roman"/>
          <w:sz w:val="24"/>
          <w:szCs w:val="24"/>
        </w:rPr>
        <w:t>: “</w:t>
      </w:r>
      <w:r w:rsidR="00BE1578" w:rsidRPr="00B86C0C">
        <w:rPr>
          <w:rFonts w:ascii="Times New Roman" w:hAnsi="Times New Roman" w:cs="Times New Roman"/>
          <w:i/>
          <w:iCs/>
          <w:sz w:val="24"/>
          <w:szCs w:val="24"/>
        </w:rPr>
        <w:t>Dự án đầu tư có sử dụng đất để xây dựng khu đô thị; xây dựng công trình dân dụng có một hoặc nhiều công năng gồm: nhà ở thương mại; trụ sở, văn phòng làm việc; công trình thương mại, dịch vụ</w:t>
      </w:r>
      <w:r w:rsidR="00BE1578" w:rsidRPr="00B86C0C">
        <w:rPr>
          <w:rFonts w:ascii="Times New Roman" w:hAnsi="Times New Roman" w:cs="Times New Roman"/>
          <w:sz w:val="24"/>
          <w:szCs w:val="24"/>
        </w:rPr>
        <w:t xml:space="preserve">”. </w:t>
      </w:r>
      <w:r w:rsidR="002A1C95" w:rsidRPr="00B86C0C">
        <w:rPr>
          <w:rFonts w:ascii="Times New Roman" w:hAnsi="Times New Roman" w:cs="Times New Roman"/>
          <w:sz w:val="24"/>
          <w:szCs w:val="24"/>
        </w:rPr>
        <w:t>Các dự án này phủ tương đối rộng và có nhiều tương đồng với các trường hợp đem ra đấu thầ</w:t>
      </w:r>
      <w:bookmarkStart w:id="0" w:name="_GoBack"/>
      <w:bookmarkEnd w:id="0"/>
      <w:r w:rsidR="002A1C95" w:rsidRPr="00B86C0C">
        <w:rPr>
          <w:rFonts w:ascii="Times New Roman" w:hAnsi="Times New Roman" w:cs="Times New Roman"/>
          <w:sz w:val="24"/>
          <w:szCs w:val="24"/>
        </w:rPr>
        <w:t xml:space="preserve">u giá </w:t>
      </w:r>
      <w:proofErr w:type="gramStart"/>
      <w:r w:rsidR="002A1C95" w:rsidRPr="00B86C0C">
        <w:rPr>
          <w:rFonts w:ascii="Times New Roman" w:hAnsi="Times New Roman" w:cs="Times New Roman"/>
          <w:sz w:val="24"/>
          <w:szCs w:val="24"/>
        </w:rPr>
        <w:t>theo</w:t>
      </w:r>
      <w:proofErr w:type="gramEnd"/>
      <w:r w:rsidR="002A1C95" w:rsidRPr="00B86C0C">
        <w:rPr>
          <w:rFonts w:ascii="Times New Roman" w:hAnsi="Times New Roman" w:cs="Times New Roman"/>
          <w:sz w:val="24"/>
          <w:szCs w:val="24"/>
        </w:rPr>
        <w:t xml:space="preserve"> quy định của Điều 118 Luật Đất đai 2013, vì vậy khiến các bên liên quan lúng túng nếu buộc phải áp dụng. Ngoài ra theo quy định </w:t>
      </w:r>
      <w:r w:rsidR="001E59B2" w:rsidRPr="00B86C0C">
        <w:rPr>
          <w:rFonts w:ascii="Times New Roman" w:hAnsi="Times New Roman" w:cs="Times New Roman"/>
          <w:sz w:val="24"/>
          <w:szCs w:val="24"/>
        </w:rPr>
        <w:t>Khoản 02 Điều 11 Nghị định 25/2020/NĐ-CP thì dự án đem ra đấu thầu phải: “</w:t>
      </w:r>
      <w:r w:rsidR="001E59B2" w:rsidRPr="00B86C0C">
        <w:rPr>
          <w:rFonts w:ascii="Times New Roman" w:hAnsi="Times New Roman" w:cs="Times New Roman"/>
          <w:i/>
          <w:iCs/>
          <w:sz w:val="24"/>
          <w:szCs w:val="24"/>
        </w:rPr>
        <w:t xml:space="preserve">thuộc </w:t>
      </w:r>
      <w:r w:rsidR="001E59B2" w:rsidRPr="00B86C0C">
        <w:rPr>
          <w:rFonts w:ascii="Times New Roman" w:hAnsi="Times New Roman" w:cs="Times New Roman"/>
          <w:i/>
          <w:iCs/>
          <w:sz w:val="24"/>
          <w:szCs w:val="24"/>
        </w:rPr>
        <w:lastRenderedPageBreak/>
        <w:t>danh mục dự án cần thu hồi đất được duyệt theo quy định của pháp luật về đất đai, thuộc khu đất do Nhà nước đang quản lý, sử dụng mà sẽ được Ủy ban nhân dân cấp tỉnh hoặc Ban quản lý khu kinh tế giao đất, cho thuê đất cho nhà đầu tư được chấp thuận</w:t>
      </w:r>
      <w:r w:rsidR="001E59B2" w:rsidRPr="00B86C0C">
        <w:rPr>
          <w:rFonts w:ascii="Times New Roman" w:hAnsi="Times New Roman" w:cs="Times New Roman"/>
          <w:sz w:val="24"/>
          <w:szCs w:val="24"/>
        </w:rPr>
        <w:t xml:space="preserve">”. Quy định như trên sẽ dẫn chiếu đến việc chỉ có các trường hợp dự án được Nhà nước đứng ra thu hồi đất để phát triển kinh tế xã hội theo Điều 62 Luật Đất đai 2013 mới được phép triển khai đấu thầu, nếu một dự án không thuộc trường hợp thu hồi đất theo Luật Đất đai 2013 thì cũng không thể đem ra đấu thầu được. Đơn cử trong trường hợp này là dự án </w:t>
      </w:r>
      <w:r w:rsidR="00F947C0" w:rsidRPr="00B86C0C">
        <w:rPr>
          <w:rFonts w:ascii="Times New Roman" w:hAnsi="Times New Roman" w:cs="Times New Roman"/>
          <w:sz w:val="24"/>
          <w:szCs w:val="24"/>
        </w:rPr>
        <w:t xml:space="preserve">sân gôn, </w:t>
      </w:r>
      <w:r w:rsidR="005101BB" w:rsidRPr="00B86C0C">
        <w:rPr>
          <w:rFonts w:ascii="Times New Roman" w:hAnsi="Times New Roman" w:cs="Times New Roman"/>
          <w:sz w:val="24"/>
          <w:szCs w:val="24"/>
        </w:rPr>
        <w:t xml:space="preserve">dù Thủ tướng Chính phủ đã ban hành Chỉ thị số 30/CT-TTg ngày 23/11/2021 về đẩy mạnh thi hành pháp luật về đấu thầu lựa chọn nhà đầu tư, trong đó có dự án sân gôn, tuy nhiên dự án này lại không thuộc trường hợp thu hồi đất theo Luật Đất đai 2013, nên dù có tổ chức đấu thầu thì cũng không thể giao đất cho nhà đầu tư được. </w:t>
      </w:r>
      <w:r w:rsidR="00D522B5" w:rsidRPr="00B86C0C">
        <w:rPr>
          <w:rFonts w:ascii="Times New Roman" w:hAnsi="Times New Roman" w:cs="Times New Roman"/>
          <w:sz w:val="24"/>
          <w:szCs w:val="24"/>
        </w:rPr>
        <w:t xml:space="preserve">Đây là tình trạng xung đột pháp luật trong đấu thầu lựa chọn nhà đầu tư, </w:t>
      </w:r>
      <w:r w:rsidR="00F74711" w:rsidRPr="00B86C0C">
        <w:rPr>
          <w:rFonts w:ascii="Times New Roman" w:hAnsi="Times New Roman" w:cs="Times New Roman"/>
          <w:sz w:val="24"/>
          <w:szCs w:val="24"/>
        </w:rPr>
        <w:t xml:space="preserve">điều này xảy ra bởi quá trình đầu tư dự án chịu tác động bởi nhiều luật khác nhau vì vậy phải có những giải pháp để thống nhất các quy định này, tạo thuận lợi cho các bên liên quan trong quá trình áp dụng. </w:t>
      </w:r>
    </w:p>
    <w:p w14:paraId="3493C0E9" w14:textId="05DCA8F5" w:rsidR="00B247F5" w:rsidRPr="00B86C0C" w:rsidRDefault="00AA61B1" w:rsidP="003234A2">
      <w:pPr>
        <w:spacing w:before="0" w:after="0" w:line="360" w:lineRule="auto"/>
        <w:ind w:firstLine="0"/>
        <w:jc w:val="both"/>
        <w:rPr>
          <w:rFonts w:ascii="Times New Roman" w:hAnsi="Times New Roman" w:cs="Times New Roman"/>
          <w:sz w:val="24"/>
          <w:szCs w:val="24"/>
        </w:rPr>
      </w:pPr>
      <w:r w:rsidRPr="00B86C0C">
        <w:rPr>
          <w:rFonts w:ascii="Times New Roman" w:hAnsi="Times New Roman" w:cs="Times New Roman"/>
          <w:sz w:val="24"/>
          <w:szCs w:val="24"/>
        </w:rPr>
        <w:tab/>
        <w:t xml:space="preserve">Một vấn đề cũng cần được quan tâm </w:t>
      </w:r>
      <w:r w:rsidR="006E6283" w:rsidRPr="00B86C0C">
        <w:rPr>
          <w:rFonts w:ascii="Times New Roman" w:hAnsi="Times New Roman" w:cs="Times New Roman"/>
          <w:sz w:val="24"/>
          <w:szCs w:val="24"/>
        </w:rPr>
        <w:t>sửa đổi</w:t>
      </w:r>
      <w:r w:rsidRPr="00B86C0C">
        <w:rPr>
          <w:rFonts w:ascii="Times New Roman" w:hAnsi="Times New Roman" w:cs="Times New Roman"/>
          <w:sz w:val="24"/>
          <w:szCs w:val="24"/>
        </w:rPr>
        <w:t xml:space="preserve"> đó chính là phương pháp tính toán </w:t>
      </w:r>
      <w:r w:rsidR="006E6283" w:rsidRPr="00B86C0C">
        <w:rPr>
          <w:rFonts w:ascii="Times New Roman" w:hAnsi="Times New Roman" w:cs="Times New Roman"/>
          <w:sz w:val="24"/>
          <w:szCs w:val="24"/>
        </w:rPr>
        <w:t xml:space="preserve">giá trị nghị nộp ngân sách Nhà nước (m3). </w:t>
      </w:r>
      <w:r w:rsidR="004646C7" w:rsidRPr="00B86C0C">
        <w:rPr>
          <w:rFonts w:ascii="Times New Roman" w:hAnsi="Times New Roman" w:cs="Times New Roman"/>
          <w:sz w:val="24"/>
          <w:szCs w:val="24"/>
        </w:rPr>
        <w:t xml:space="preserve">Giá trịnh m3 có tính tương đối, và độc lập với tiền sử dụng đất, tiền thuê đất. NĐT dựa trên năng lực tài chính của bản thân và tính toán các giá trị lợi thế của khu đất </w:t>
      </w:r>
      <w:proofErr w:type="gramStart"/>
      <w:r w:rsidR="004646C7" w:rsidRPr="00B86C0C">
        <w:rPr>
          <w:rFonts w:ascii="Times New Roman" w:hAnsi="Times New Roman" w:cs="Times New Roman"/>
          <w:sz w:val="24"/>
          <w:szCs w:val="24"/>
        </w:rPr>
        <w:t>theo</w:t>
      </w:r>
      <w:proofErr w:type="gramEnd"/>
      <w:r w:rsidR="004646C7" w:rsidRPr="00B86C0C">
        <w:rPr>
          <w:rFonts w:ascii="Times New Roman" w:hAnsi="Times New Roman" w:cs="Times New Roman"/>
          <w:sz w:val="24"/>
          <w:szCs w:val="24"/>
        </w:rPr>
        <w:t xml:space="preserve"> phương án kinh doanh của mình để đề ra một con số M3 chính xác (không thấp hơn m3), từ đó lấy làm căn cứ xác định xem NĐT nào sẽ trúng thầu dự án. </w:t>
      </w:r>
      <w:r w:rsidR="006E6283" w:rsidRPr="00B86C0C">
        <w:rPr>
          <w:rFonts w:ascii="Times New Roman" w:hAnsi="Times New Roman" w:cs="Times New Roman"/>
          <w:sz w:val="24"/>
          <w:szCs w:val="24"/>
        </w:rPr>
        <w:t xml:space="preserve">Hiện nay phương pháp tính toán (m3) tại Nghị định 25/2022/NĐ-CP </w:t>
      </w:r>
      <w:r w:rsidR="00B247F5" w:rsidRPr="00B86C0C">
        <w:rPr>
          <w:rFonts w:ascii="Times New Roman" w:hAnsi="Times New Roman" w:cs="Times New Roman"/>
          <w:sz w:val="24"/>
          <w:szCs w:val="24"/>
        </w:rPr>
        <w:t>được quy định như sau:</w:t>
      </w:r>
    </w:p>
    <w:p w14:paraId="5B4E95FF" w14:textId="55D3209B" w:rsidR="003234A2" w:rsidRPr="00B86C0C" w:rsidRDefault="003117E0" w:rsidP="003117E0">
      <w:pPr>
        <w:spacing w:before="0" w:after="0" w:line="360" w:lineRule="auto"/>
        <w:ind w:firstLine="360"/>
        <w:rPr>
          <w:rFonts w:ascii="Times New Roman" w:hAnsi="Times New Roman" w:cs="Times New Roman"/>
          <w:sz w:val="24"/>
          <w:szCs w:val="24"/>
        </w:rPr>
      </w:pPr>
      <w:r w:rsidRPr="00B86C0C">
        <w:rPr>
          <w:rFonts w:ascii="Times New Roman" w:hAnsi="Times New Roman" w:cs="Times New Roman"/>
          <w:sz w:val="24"/>
          <w:szCs w:val="24"/>
        </w:rPr>
        <w:t>“</w:t>
      </w:r>
      <w:r w:rsidRPr="00B86C0C">
        <w:rPr>
          <w:rFonts w:ascii="Times New Roman" w:hAnsi="Times New Roman" w:cs="Times New Roman"/>
          <w:b/>
          <w:bCs/>
          <w:sz w:val="24"/>
          <w:szCs w:val="24"/>
        </w:rPr>
        <w:tab/>
      </w:r>
      <w:r w:rsidRPr="00B86C0C">
        <w:rPr>
          <w:rFonts w:ascii="Times New Roman" w:hAnsi="Times New Roman" w:cs="Times New Roman"/>
          <w:b/>
          <w:bCs/>
          <w:sz w:val="24"/>
          <w:szCs w:val="24"/>
        </w:rPr>
        <w:tab/>
      </w:r>
      <w:r w:rsidRPr="00B86C0C">
        <w:rPr>
          <w:rFonts w:ascii="Times New Roman" w:hAnsi="Times New Roman" w:cs="Times New Roman"/>
          <w:b/>
          <w:bCs/>
          <w:sz w:val="24"/>
          <w:szCs w:val="24"/>
        </w:rPr>
        <w:tab/>
      </w:r>
      <w:r w:rsidR="00B247F5" w:rsidRPr="00B86C0C">
        <w:rPr>
          <w:rFonts w:ascii="Times New Roman" w:hAnsi="Times New Roman" w:cs="Times New Roman"/>
          <w:b/>
          <w:bCs/>
          <w:sz w:val="24"/>
          <w:szCs w:val="24"/>
        </w:rPr>
        <w:t>m3</w:t>
      </w:r>
      <w:r w:rsidR="003234A2" w:rsidRPr="00B86C0C">
        <w:rPr>
          <w:rFonts w:ascii="Times New Roman" w:hAnsi="Times New Roman" w:cs="Times New Roman"/>
          <w:b/>
          <w:bCs/>
          <w:sz w:val="24"/>
          <w:szCs w:val="24"/>
        </w:rPr>
        <w:t xml:space="preserve"> = S x ΔG x k</w:t>
      </w:r>
      <w:r w:rsidR="003234A2" w:rsidRPr="00B86C0C">
        <w:rPr>
          <w:rFonts w:ascii="Times New Roman" w:hAnsi="Times New Roman" w:cs="Times New Roman"/>
          <w:sz w:val="24"/>
          <w:szCs w:val="24"/>
        </w:rPr>
        <w:t xml:space="preserve">, </w:t>
      </w:r>
      <w:r w:rsidR="003234A2" w:rsidRPr="00B86C0C">
        <w:rPr>
          <w:rFonts w:ascii="Times New Roman" w:hAnsi="Times New Roman" w:cs="Times New Roman"/>
          <w:i/>
          <w:iCs/>
          <w:sz w:val="24"/>
          <w:szCs w:val="24"/>
        </w:rPr>
        <w:t>trong đó</w:t>
      </w:r>
      <w:r w:rsidR="003234A2" w:rsidRPr="00B86C0C">
        <w:rPr>
          <w:rFonts w:ascii="Times New Roman" w:hAnsi="Times New Roman" w:cs="Times New Roman"/>
          <w:sz w:val="24"/>
          <w:szCs w:val="24"/>
        </w:rPr>
        <w:t>:</w:t>
      </w:r>
    </w:p>
    <w:p w14:paraId="719A5D29" w14:textId="7DC7DDB4" w:rsidR="003234A2" w:rsidRPr="00B86C0C" w:rsidRDefault="003234A2" w:rsidP="00B247F5">
      <w:pPr>
        <w:pStyle w:val="ListParagraph"/>
        <w:numPr>
          <w:ilvl w:val="0"/>
          <w:numId w:val="8"/>
        </w:numPr>
        <w:spacing w:before="0" w:after="0" w:line="360" w:lineRule="auto"/>
        <w:jc w:val="both"/>
        <w:rPr>
          <w:rFonts w:ascii="Times New Roman" w:hAnsi="Times New Roman" w:cs="Times New Roman"/>
          <w:sz w:val="24"/>
          <w:szCs w:val="24"/>
        </w:rPr>
      </w:pPr>
      <w:r w:rsidRPr="00B86C0C">
        <w:rPr>
          <w:rFonts w:ascii="Times New Roman" w:hAnsi="Times New Roman" w:cs="Times New Roman"/>
          <w:b/>
          <w:bCs/>
          <w:sz w:val="24"/>
          <w:szCs w:val="24"/>
        </w:rPr>
        <w:t>S</w:t>
      </w:r>
      <w:r w:rsidRPr="00B86C0C">
        <w:rPr>
          <w:rFonts w:ascii="Times New Roman" w:hAnsi="Times New Roman" w:cs="Times New Roman"/>
          <w:sz w:val="24"/>
          <w:szCs w:val="24"/>
        </w:rPr>
        <w:t xml:space="preserve"> </w:t>
      </w:r>
      <w:r w:rsidRPr="00B86C0C">
        <w:rPr>
          <w:rFonts w:ascii="Times New Roman" w:hAnsi="Times New Roman" w:cs="Times New Roman"/>
          <w:i/>
          <w:iCs/>
          <w:sz w:val="24"/>
          <w:szCs w:val="24"/>
        </w:rPr>
        <w:t>là diện tích phần đất có thu tiền sử dụng đất, tiền thuê đất của khu đất, quỹ đất dự kiến giao đất, cho thuê đất cho nhà đầu tư để thực hiện dự án</w:t>
      </w:r>
      <w:r w:rsidRPr="00B86C0C">
        <w:rPr>
          <w:rFonts w:ascii="Times New Roman" w:hAnsi="Times New Roman" w:cs="Times New Roman"/>
          <w:sz w:val="24"/>
          <w:szCs w:val="24"/>
        </w:rPr>
        <w:t>;</w:t>
      </w:r>
    </w:p>
    <w:p w14:paraId="53621235" w14:textId="2FE6532E" w:rsidR="003234A2" w:rsidRPr="00B86C0C" w:rsidRDefault="003234A2" w:rsidP="00B247F5">
      <w:pPr>
        <w:pStyle w:val="ListParagraph"/>
        <w:numPr>
          <w:ilvl w:val="0"/>
          <w:numId w:val="8"/>
        </w:numPr>
        <w:spacing w:before="0" w:after="0" w:line="360" w:lineRule="auto"/>
        <w:jc w:val="both"/>
        <w:rPr>
          <w:rFonts w:ascii="Times New Roman" w:hAnsi="Times New Roman" w:cs="Times New Roman"/>
          <w:sz w:val="24"/>
          <w:szCs w:val="24"/>
        </w:rPr>
      </w:pPr>
      <w:r w:rsidRPr="00B86C0C">
        <w:rPr>
          <w:rFonts w:ascii="Times New Roman" w:hAnsi="Times New Roman" w:cs="Times New Roman"/>
          <w:b/>
          <w:bCs/>
          <w:sz w:val="24"/>
          <w:szCs w:val="24"/>
        </w:rPr>
        <w:t xml:space="preserve">ΔG </w:t>
      </w:r>
      <w:r w:rsidRPr="00B86C0C">
        <w:rPr>
          <w:rFonts w:ascii="Times New Roman" w:hAnsi="Times New Roman" w:cs="Times New Roman"/>
          <w:i/>
          <w:iCs/>
          <w:sz w:val="24"/>
          <w:szCs w:val="24"/>
        </w:rPr>
        <w:t>là giá trị tăng bình quân sau trúng đấu giá quyền sử dụng đất tính trên một đơn vị diện tích của các khu đất, quỹ đất có cùng mục đích sử dụng đất trong phạm vi địa phương hoặc khu vực có khu đất, quỹ đất thực hiện dự án. Trường hợp tại địa phương thực hiện dự án không có các khu đất, quỹ đất có cùng mục đích sử dụng đất thì tham chiếu cơ sở dữ liệu về đất đai của các địa phương có điều kiện kinh tế - xã hội tương tự</w:t>
      </w:r>
      <w:r w:rsidRPr="00B86C0C">
        <w:rPr>
          <w:rFonts w:ascii="Times New Roman" w:hAnsi="Times New Roman" w:cs="Times New Roman"/>
          <w:sz w:val="24"/>
          <w:szCs w:val="24"/>
        </w:rPr>
        <w:t>;</w:t>
      </w:r>
    </w:p>
    <w:p w14:paraId="589F4222" w14:textId="104FD4D7" w:rsidR="003234A2" w:rsidRPr="00B86C0C" w:rsidRDefault="003234A2" w:rsidP="00B247F5">
      <w:pPr>
        <w:pStyle w:val="ListParagraph"/>
        <w:numPr>
          <w:ilvl w:val="0"/>
          <w:numId w:val="8"/>
        </w:numPr>
        <w:spacing w:before="0" w:after="0" w:line="360" w:lineRule="auto"/>
        <w:jc w:val="both"/>
        <w:rPr>
          <w:rFonts w:ascii="Times New Roman" w:hAnsi="Times New Roman" w:cs="Times New Roman"/>
          <w:sz w:val="24"/>
          <w:szCs w:val="24"/>
        </w:rPr>
      </w:pPr>
      <w:proofErr w:type="gramStart"/>
      <w:r w:rsidRPr="00B86C0C">
        <w:rPr>
          <w:rFonts w:ascii="Times New Roman" w:hAnsi="Times New Roman" w:cs="Times New Roman"/>
          <w:b/>
          <w:bCs/>
          <w:sz w:val="24"/>
          <w:szCs w:val="24"/>
        </w:rPr>
        <w:t>k</w:t>
      </w:r>
      <w:proofErr w:type="gramEnd"/>
      <w:r w:rsidRPr="00B86C0C">
        <w:rPr>
          <w:rFonts w:ascii="Times New Roman" w:hAnsi="Times New Roman" w:cs="Times New Roman"/>
          <w:sz w:val="24"/>
          <w:szCs w:val="24"/>
        </w:rPr>
        <w:t xml:space="preserve"> </w:t>
      </w:r>
      <w:r w:rsidRPr="00B86C0C">
        <w:rPr>
          <w:rFonts w:ascii="Times New Roman" w:hAnsi="Times New Roman" w:cs="Times New Roman"/>
          <w:i/>
          <w:iCs/>
          <w:sz w:val="24"/>
          <w:szCs w:val="24"/>
        </w:rPr>
        <w:t>là hệ số điều chỉnh giá trị tăng bình quân sau trúng đấu giá của các khu đất, quỹ đất có tính đến yếu tố tương đồng với khu đất, quỹ đất thực hiện dự án và các yếu tố cần thiết khác (nếu có</w:t>
      </w:r>
      <w:r w:rsidRPr="00B86C0C">
        <w:rPr>
          <w:rFonts w:ascii="Times New Roman" w:hAnsi="Times New Roman" w:cs="Times New Roman"/>
          <w:sz w:val="24"/>
          <w:szCs w:val="24"/>
        </w:rPr>
        <w:t>)</w:t>
      </w:r>
      <w:r w:rsidR="003117E0" w:rsidRPr="00B86C0C">
        <w:rPr>
          <w:rFonts w:ascii="Times New Roman" w:hAnsi="Times New Roman" w:cs="Times New Roman"/>
          <w:sz w:val="24"/>
          <w:szCs w:val="24"/>
        </w:rPr>
        <w:t>”</w:t>
      </w:r>
      <w:r w:rsidRPr="00B86C0C">
        <w:rPr>
          <w:rFonts w:ascii="Times New Roman" w:hAnsi="Times New Roman" w:cs="Times New Roman"/>
          <w:sz w:val="24"/>
          <w:szCs w:val="24"/>
        </w:rPr>
        <w:t>.</w:t>
      </w:r>
    </w:p>
    <w:p w14:paraId="4AEC9A8E" w14:textId="3EE42175" w:rsidR="00C92BA7" w:rsidRPr="00B86C0C" w:rsidRDefault="00CE25AC" w:rsidP="00AC726F">
      <w:pPr>
        <w:spacing w:before="0" w:after="0" w:line="360" w:lineRule="auto"/>
        <w:ind w:firstLine="720"/>
        <w:jc w:val="both"/>
        <w:rPr>
          <w:rFonts w:ascii="Times New Roman" w:hAnsi="Times New Roman" w:cs="Times New Roman"/>
          <w:sz w:val="24"/>
          <w:szCs w:val="24"/>
        </w:rPr>
      </w:pPr>
      <w:r w:rsidRPr="00B86C0C">
        <w:rPr>
          <w:rFonts w:ascii="Times New Roman" w:hAnsi="Times New Roman" w:cs="Times New Roman"/>
          <w:sz w:val="24"/>
          <w:szCs w:val="24"/>
        </w:rPr>
        <w:t>Thực tiễn quy định hiện nay khi áp dụng các quy định như trên là việc bên mời thầu</w:t>
      </w:r>
      <w:r w:rsidR="007F4362" w:rsidRPr="00B86C0C">
        <w:rPr>
          <w:rFonts w:ascii="Times New Roman" w:hAnsi="Times New Roman" w:cs="Times New Roman"/>
          <w:sz w:val="24"/>
          <w:szCs w:val="24"/>
        </w:rPr>
        <w:t xml:space="preserve"> gặp nhiều khó khăn trong việc thu thập dữ liệ</w:t>
      </w:r>
      <w:r w:rsidR="00263AD7" w:rsidRPr="00B86C0C">
        <w:rPr>
          <w:rFonts w:ascii="Times New Roman" w:hAnsi="Times New Roman" w:cs="Times New Roman"/>
          <w:sz w:val="24"/>
          <w:szCs w:val="24"/>
        </w:rPr>
        <w:t>u kết quả trung đấu giá quyền sử dụng đất trên địa bàn</w:t>
      </w:r>
      <w:r w:rsidR="000D388D" w:rsidRPr="00B86C0C">
        <w:rPr>
          <w:rFonts w:ascii="Times New Roman" w:hAnsi="Times New Roman" w:cs="Times New Roman"/>
          <w:sz w:val="24"/>
          <w:szCs w:val="24"/>
        </w:rPr>
        <w:t xml:space="preserve">, do kết quả trúng đấu giá này có ở nhiều đơn vị khác nhau như Trung tâm phát triển quỹ đất hay Ủy ban nhân dân các cấp. Trường hợp </w:t>
      </w:r>
      <w:r w:rsidR="005F4C8B" w:rsidRPr="00B86C0C">
        <w:rPr>
          <w:rFonts w:ascii="Times New Roman" w:hAnsi="Times New Roman" w:cs="Times New Roman"/>
          <w:sz w:val="24"/>
          <w:szCs w:val="24"/>
        </w:rPr>
        <w:t xml:space="preserve">nếu </w:t>
      </w:r>
      <w:proofErr w:type="gramStart"/>
      <w:r w:rsidR="005F4C8B" w:rsidRPr="00B86C0C">
        <w:rPr>
          <w:rFonts w:ascii="Times New Roman" w:hAnsi="Times New Roman" w:cs="Times New Roman"/>
          <w:sz w:val="24"/>
          <w:szCs w:val="24"/>
        </w:rPr>
        <w:t>thu</w:t>
      </w:r>
      <w:proofErr w:type="gramEnd"/>
      <w:r w:rsidR="005F4C8B" w:rsidRPr="00B86C0C">
        <w:rPr>
          <w:rFonts w:ascii="Times New Roman" w:hAnsi="Times New Roman" w:cs="Times New Roman"/>
          <w:sz w:val="24"/>
          <w:szCs w:val="24"/>
        </w:rPr>
        <w:t xml:space="preserve"> thập thiếu các dữ liệu này sẽ ảnh hưởng đến kết quả tính toán m3. Ngoài </w:t>
      </w:r>
      <w:r w:rsidR="005F4C8B" w:rsidRPr="00B86C0C">
        <w:rPr>
          <w:rFonts w:ascii="Times New Roman" w:hAnsi="Times New Roman" w:cs="Times New Roman"/>
          <w:sz w:val="24"/>
          <w:szCs w:val="24"/>
        </w:rPr>
        <w:lastRenderedPageBreak/>
        <w:t>ra</w:t>
      </w:r>
      <w:r w:rsidR="007F60FA" w:rsidRPr="00B86C0C">
        <w:rPr>
          <w:rFonts w:ascii="Times New Roman" w:hAnsi="Times New Roman" w:cs="Times New Roman"/>
          <w:sz w:val="24"/>
          <w:szCs w:val="24"/>
        </w:rPr>
        <w:t xml:space="preserve"> việc xác định “</w:t>
      </w:r>
      <w:r w:rsidR="007F60FA" w:rsidRPr="00B86C0C">
        <w:rPr>
          <w:rFonts w:ascii="Times New Roman" w:hAnsi="Times New Roman" w:cs="Times New Roman"/>
          <w:i/>
          <w:iCs/>
          <w:sz w:val="24"/>
          <w:szCs w:val="24"/>
        </w:rPr>
        <w:t>khu đất, quỹ đất có tính đến yếu tố tương đồng</w:t>
      </w:r>
      <w:r w:rsidR="007F60FA" w:rsidRPr="00B86C0C">
        <w:rPr>
          <w:rFonts w:ascii="Times New Roman" w:hAnsi="Times New Roman" w:cs="Times New Roman"/>
          <w:sz w:val="24"/>
          <w:szCs w:val="24"/>
        </w:rPr>
        <w:t xml:space="preserve">” để tính hệ số k cũng gây nhiều </w:t>
      </w:r>
      <w:r w:rsidR="00AC726F" w:rsidRPr="00B86C0C">
        <w:rPr>
          <w:rFonts w:ascii="Times New Roman" w:hAnsi="Times New Roman" w:cs="Times New Roman"/>
          <w:sz w:val="24"/>
          <w:szCs w:val="24"/>
        </w:rPr>
        <w:t xml:space="preserve">lúng túng cho bên mời thầu vì khó định lượng chính xác được thế nào có yếu tố tương đồng. Trong trường hợp này để đơn giải thì có thể xem xét dựa trên Bảng giá đất địa phương để nhanh chóng </w:t>
      </w:r>
      <w:r w:rsidR="00E14AF2" w:rsidRPr="00B86C0C">
        <w:rPr>
          <w:rFonts w:ascii="Times New Roman" w:hAnsi="Times New Roman" w:cs="Times New Roman"/>
          <w:sz w:val="24"/>
          <w:szCs w:val="24"/>
        </w:rPr>
        <w:t>tính toán ra m3, nếu dự án thực sự có giá trị thương mại cao thì chắc chắn các NĐT sẽ trả giá M</w:t>
      </w:r>
      <w:r w:rsidR="00422EE7" w:rsidRPr="00B86C0C">
        <w:rPr>
          <w:rFonts w:ascii="Times New Roman" w:hAnsi="Times New Roman" w:cs="Times New Roman"/>
          <w:sz w:val="24"/>
          <w:szCs w:val="24"/>
        </w:rPr>
        <w:t>3 lớn, còn nếu dự án kém thu hút cần khuyến khích NĐT thì một “mức giá” m3 khởi điểm nhỏ là hợp lý hơn</w:t>
      </w:r>
      <w:r w:rsidR="00CA276E" w:rsidRPr="00B86C0C">
        <w:rPr>
          <w:rFonts w:ascii="Times New Roman" w:hAnsi="Times New Roman" w:cs="Times New Roman"/>
          <w:sz w:val="24"/>
          <w:szCs w:val="24"/>
        </w:rPr>
        <w:t xml:space="preserve"> nhằm thu hút đầu tư.</w:t>
      </w:r>
    </w:p>
    <w:p w14:paraId="7E1D0DA9" w14:textId="281AF020" w:rsidR="000C5074" w:rsidRPr="00B86C0C" w:rsidRDefault="000C5074" w:rsidP="00BC08EB">
      <w:pPr>
        <w:spacing w:before="0" w:after="0" w:line="360" w:lineRule="auto"/>
        <w:ind w:firstLine="0"/>
        <w:jc w:val="both"/>
        <w:rPr>
          <w:rFonts w:ascii="Times New Roman" w:hAnsi="Times New Roman" w:cs="Times New Roman"/>
          <w:sz w:val="24"/>
          <w:szCs w:val="24"/>
        </w:rPr>
      </w:pPr>
      <w:r w:rsidRPr="00B86C0C">
        <w:rPr>
          <w:rFonts w:ascii="Times New Roman" w:hAnsi="Times New Roman" w:cs="Times New Roman"/>
          <w:sz w:val="24"/>
          <w:szCs w:val="24"/>
        </w:rPr>
        <w:tab/>
        <w:t xml:space="preserve">Vấn đề tiếp </w:t>
      </w:r>
      <w:proofErr w:type="gramStart"/>
      <w:r w:rsidRPr="00B86C0C">
        <w:rPr>
          <w:rFonts w:ascii="Times New Roman" w:hAnsi="Times New Roman" w:cs="Times New Roman"/>
          <w:sz w:val="24"/>
          <w:szCs w:val="24"/>
        </w:rPr>
        <w:t>theo</w:t>
      </w:r>
      <w:proofErr w:type="gramEnd"/>
      <w:r w:rsidRPr="00B86C0C">
        <w:rPr>
          <w:rFonts w:ascii="Times New Roman" w:hAnsi="Times New Roman" w:cs="Times New Roman"/>
          <w:sz w:val="24"/>
          <w:szCs w:val="24"/>
        </w:rPr>
        <w:t xml:space="preserve"> của việc lựa chọn nhà đầu tư liên quan đến các tiêu chí để lựa chọn. Hiện nay dù quy định của Nghị định 25/2020/NĐ-CP </w:t>
      </w:r>
      <w:r w:rsidR="005C4B5B" w:rsidRPr="00B86C0C">
        <w:rPr>
          <w:rFonts w:ascii="Times New Roman" w:hAnsi="Times New Roman" w:cs="Times New Roman"/>
          <w:sz w:val="24"/>
          <w:szCs w:val="24"/>
        </w:rPr>
        <w:t xml:space="preserve">là việc lựa chọn nhà đầu tư phải căn cứ dựa trên hồ sơ kỹ thuật và hồ sơ tài chính, tuy nhiên điều này vẫn chưa chắc có thể lựa chọn ra được một nhà đầu tư thực sự tốt, vì để một dự án thành công còn phụ thuộc vào rất nhiều các yếu tố khác nhau. </w:t>
      </w:r>
      <w:r w:rsidR="00AA6C75" w:rsidRPr="00B86C0C">
        <w:rPr>
          <w:rFonts w:ascii="Times New Roman" w:hAnsi="Times New Roman" w:cs="Times New Roman"/>
          <w:sz w:val="24"/>
          <w:szCs w:val="24"/>
        </w:rPr>
        <w:t xml:space="preserve">Ví dụ, một nhà đầu tư sau khi đã đáp ứng được toàn bộ các yêu cầu về mặt kỹ thuật, đến hồ sơ tài chính nhà đầu tư đề nghị giá trị nộp ngân sách Nhà nước (m3) nhỏ hơn so với các nhà đầu tư khác, tuy nhiên nhà đầu tư này trong dự án của mình bố trí rất nhiều cây xanh, công viên, các tiện ích công cộng, hạ tầng xã hội cho cư dân của mình. Nhà đầu tư này sẵn sàng hi sinh lợi ích tài chính của bản thân để phục vụ cho các lợi ích cao hơn của cư dân và toàn xã hội, nếu đánh rớt nhà đầu tư này thì không hợp lý. Đặc biệt trong bối cảnh các đô thị ở Việt Nam luôn trong tình trạng quá tải về hạ tầng xã hội lẫn hạ tầng kỹ thuật, </w:t>
      </w:r>
      <w:r w:rsidR="001017DD" w:rsidRPr="00B86C0C">
        <w:rPr>
          <w:rFonts w:ascii="Times New Roman" w:hAnsi="Times New Roman" w:cs="Times New Roman"/>
          <w:sz w:val="24"/>
          <w:szCs w:val="24"/>
        </w:rPr>
        <w:t>đặc biệt là cây xanh thì những nhà đầu tư như thế này phải được ưu tiên lựa chọn để trở thành nhà phát triển của dự án. Vì vậy, rất cần phải có những cơ chế khác hoặc các tiêu chí khác để đánh giá và lựa chọn nhà đầu tư phù hợp, không chỉ dựa trên mỗi các tiêu chí kỹ thuật, tài chính thông thường mà còn phải dựa trên các tiêu chí về mặt xã hội nói chung</w:t>
      </w:r>
      <w:r w:rsidR="008D03DF" w:rsidRPr="00B86C0C">
        <w:rPr>
          <w:rFonts w:ascii="Times New Roman" w:hAnsi="Times New Roman" w:cs="Times New Roman"/>
          <w:sz w:val="24"/>
          <w:szCs w:val="24"/>
        </w:rPr>
        <w:t xml:space="preserve">. </w:t>
      </w:r>
    </w:p>
    <w:p w14:paraId="7F05CBC7" w14:textId="3E23AC45" w:rsidR="008D03DF" w:rsidRPr="00B86C0C" w:rsidRDefault="008D03DF" w:rsidP="00BC08EB">
      <w:pPr>
        <w:spacing w:before="0" w:after="0" w:line="360" w:lineRule="auto"/>
        <w:ind w:firstLine="0"/>
        <w:jc w:val="both"/>
        <w:rPr>
          <w:rFonts w:ascii="Times New Roman" w:hAnsi="Times New Roman" w:cs="Times New Roman"/>
          <w:b/>
          <w:bCs/>
          <w:sz w:val="24"/>
          <w:szCs w:val="24"/>
        </w:rPr>
      </w:pPr>
      <w:r w:rsidRPr="00B86C0C">
        <w:rPr>
          <w:rFonts w:ascii="Times New Roman" w:hAnsi="Times New Roman" w:cs="Times New Roman"/>
          <w:b/>
          <w:bCs/>
          <w:sz w:val="24"/>
          <w:szCs w:val="24"/>
        </w:rPr>
        <w:t>Một số đề xuất giải pháp</w:t>
      </w:r>
    </w:p>
    <w:p w14:paraId="534A7080" w14:textId="4B251440" w:rsidR="00BE1578" w:rsidRPr="00B86C0C" w:rsidRDefault="00D522B5" w:rsidP="00BC08EB">
      <w:pPr>
        <w:spacing w:before="0" w:after="0" w:line="360" w:lineRule="auto"/>
        <w:ind w:firstLine="0"/>
        <w:jc w:val="both"/>
        <w:rPr>
          <w:rFonts w:ascii="Times New Roman" w:hAnsi="Times New Roman" w:cs="Times New Roman"/>
          <w:sz w:val="24"/>
          <w:szCs w:val="24"/>
        </w:rPr>
      </w:pPr>
      <w:r w:rsidRPr="00B86C0C">
        <w:rPr>
          <w:rFonts w:ascii="Times New Roman" w:hAnsi="Times New Roman" w:cs="Times New Roman"/>
          <w:sz w:val="24"/>
          <w:szCs w:val="24"/>
        </w:rPr>
        <w:tab/>
      </w:r>
      <w:r w:rsidR="00CC0ABF" w:rsidRPr="00B86C0C">
        <w:rPr>
          <w:rFonts w:ascii="Times New Roman" w:hAnsi="Times New Roman" w:cs="Times New Roman"/>
          <w:sz w:val="24"/>
          <w:szCs w:val="24"/>
        </w:rPr>
        <w:t xml:space="preserve">Đấu thầu lựa chọn nhà đầu tư là một </w:t>
      </w:r>
      <w:r w:rsidR="003829B3" w:rsidRPr="00B86C0C">
        <w:rPr>
          <w:rFonts w:ascii="Times New Roman" w:hAnsi="Times New Roman" w:cs="Times New Roman"/>
          <w:sz w:val="24"/>
          <w:szCs w:val="24"/>
        </w:rPr>
        <w:t xml:space="preserve">phương pháp hữu ích trong việc lựa chọn ra một nhà đầu tư phù hợp, đã được áp dụng thành công trên thế giới. Việc Việt Nam chủ động hoàn thiện các chính sách pháp luật để đưa hoạt động này vào khuôn khổ là rất cần thiết. Và để hoàn thiện hơn các thể chế này hạn chế những tồn tại ở trên thì có thể xem xét một số phương </w:t>
      </w:r>
      <w:proofErr w:type="gramStart"/>
      <w:r w:rsidR="003829B3" w:rsidRPr="00B86C0C">
        <w:rPr>
          <w:rFonts w:ascii="Times New Roman" w:hAnsi="Times New Roman" w:cs="Times New Roman"/>
          <w:sz w:val="24"/>
          <w:szCs w:val="24"/>
        </w:rPr>
        <w:t>án</w:t>
      </w:r>
      <w:proofErr w:type="gramEnd"/>
      <w:r w:rsidR="003829B3" w:rsidRPr="00B86C0C">
        <w:rPr>
          <w:rFonts w:ascii="Times New Roman" w:hAnsi="Times New Roman" w:cs="Times New Roman"/>
          <w:sz w:val="24"/>
          <w:szCs w:val="24"/>
        </w:rPr>
        <w:t xml:space="preserve"> như sau:</w:t>
      </w:r>
    </w:p>
    <w:p w14:paraId="1214CE15" w14:textId="1AB140C0" w:rsidR="003829B3" w:rsidRPr="00B86C0C" w:rsidRDefault="003829B3" w:rsidP="003829B3">
      <w:pPr>
        <w:pStyle w:val="ListParagraph"/>
        <w:numPr>
          <w:ilvl w:val="0"/>
          <w:numId w:val="7"/>
        </w:numPr>
        <w:spacing w:before="0" w:after="0" w:line="360" w:lineRule="auto"/>
        <w:jc w:val="both"/>
        <w:rPr>
          <w:rFonts w:ascii="Times New Roman" w:hAnsi="Times New Roman" w:cs="Times New Roman"/>
          <w:sz w:val="24"/>
          <w:szCs w:val="24"/>
        </w:rPr>
      </w:pPr>
      <w:r w:rsidRPr="00B86C0C">
        <w:rPr>
          <w:rFonts w:ascii="Times New Roman" w:hAnsi="Times New Roman" w:cs="Times New Roman"/>
          <w:sz w:val="24"/>
          <w:szCs w:val="24"/>
        </w:rPr>
        <w:t xml:space="preserve">Cần thống nhất các quy định của Luật Đấu thầu và Luật Đất </w:t>
      </w:r>
      <w:proofErr w:type="gramStart"/>
      <w:r w:rsidRPr="00B86C0C">
        <w:rPr>
          <w:rFonts w:ascii="Times New Roman" w:hAnsi="Times New Roman" w:cs="Times New Roman"/>
          <w:sz w:val="24"/>
          <w:szCs w:val="24"/>
        </w:rPr>
        <w:t>đai</w:t>
      </w:r>
      <w:proofErr w:type="gramEnd"/>
      <w:r w:rsidRPr="00B86C0C">
        <w:rPr>
          <w:rFonts w:ascii="Times New Roman" w:hAnsi="Times New Roman" w:cs="Times New Roman"/>
          <w:sz w:val="24"/>
          <w:szCs w:val="24"/>
        </w:rPr>
        <w:t xml:space="preserve">, quy định cụ thể trường hợp nào là phải đấu thầu và trường hợp nào phải đấu giá. Trong đó nên tập trung vào giải pháp xác định đối tượng phải lựa chọn nhà đầu tư, ví dụ dự án có quy mô dưới 20ha thuộc các trường hợp làm đô thị, nhà ở thương mại dịch vụ thì phải đấu thầu hết, không phân biệt có phải được nhà nước </w:t>
      </w:r>
      <w:proofErr w:type="gramStart"/>
      <w:r w:rsidRPr="00B86C0C">
        <w:rPr>
          <w:rFonts w:ascii="Times New Roman" w:hAnsi="Times New Roman" w:cs="Times New Roman"/>
          <w:sz w:val="24"/>
          <w:szCs w:val="24"/>
        </w:rPr>
        <w:t>thu</w:t>
      </w:r>
      <w:proofErr w:type="gramEnd"/>
      <w:r w:rsidRPr="00B86C0C">
        <w:rPr>
          <w:rFonts w:ascii="Times New Roman" w:hAnsi="Times New Roman" w:cs="Times New Roman"/>
          <w:sz w:val="24"/>
          <w:szCs w:val="24"/>
        </w:rPr>
        <w:t xml:space="preserve"> hồi đất hay không. </w:t>
      </w:r>
      <w:r w:rsidR="005034A1" w:rsidRPr="00B86C0C">
        <w:rPr>
          <w:rFonts w:ascii="Times New Roman" w:hAnsi="Times New Roman" w:cs="Times New Roman"/>
          <w:sz w:val="24"/>
          <w:szCs w:val="24"/>
        </w:rPr>
        <w:t xml:space="preserve">Đây là thời điểm rất hợp lý để tiến hành việc này vì năm 2023 này chúng ta sẽ sửa đổi hầu hết các quy định trên. </w:t>
      </w:r>
    </w:p>
    <w:p w14:paraId="2A41EA33" w14:textId="2DE372E6" w:rsidR="005034A1" w:rsidRPr="00B86C0C" w:rsidRDefault="005034A1" w:rsidP="003829B3">
      <w:pPr>
        <w:pStyle w:val="ListParagraph"/>
        <w:numPr>
          <w:ilvl w:val="0"/>
          <w:numId w:val="7"/>
        </w:numPr>
        <w:spacing w:before="0" w:after="0" w:line="360" w:lineRule="auto"/>
        <w:jc w:val="both"/>
        <w:rPr>
          <w:rFonts w:ascii="Times New Roman" w:hAnsi="Times New Roman" w:cs="Times New Roman"/>
          <w:sz w:val="24"/>
          <w:szCs w:val="24"/>
        </w:rPr>
      </w:pPr>
      <w:r w:rsidRPr="00B86C0C">
        <w:rPr>
          <w:rFonts w:ascii="Times New Roman" w:hAnsi="Times New Roman" w:cs="Times New Roman"/>
          <w:sz w:val="24"/>
          <w:szCs w:val="24"/>
        </w:rPr>
        <w:t xml:space="preserve">Bổ sung thêm các quy định cụ thể về đấu thầu lựa chọn nhà đầu tư các dự án chuyên ngành, ví dụ như các dự án sân gôn, giáo dục, </w:t>
      </w:r>
      <w:r w:rsidR="00996C96" w:rsidRPr="00B86C0C">
        <w:rPr>
          <w:rFonts w:ascii="Times New Roman" w:hAnsi="Times New Roman" w:cs="Times New Roman"/>
          <w:sz w:val="24"/>
          <w:szCs w:val="24"/>
        </w:rPr>
        <w:t xml:space="preserve">khu công nghiệp,… các dự án này muốn triển khai thành </w:t>
      </w:r>
      <w:r w:rsidR="00996C96" w:rsidRPr="00B86C0C">
        <w:rPr>
          <w:rFonts w:ascii="Times New Roman" w:hAnsi="Times New Roman" w:cs="Times New Roman"/>
          <w:sz w:val="24"/>
          <w:szCs w:val="24"/>
        </w:rPr>
        <w:lastRenderedPageBreak/>
        <w:t xml:space="preserve">công cần có một cơ chế lựa chọn đặc thù, các văn bản hiện nay chủ yếu áp dụng phù hợp cho dự án đô thị và nhà ở, nếu áp dụng máy móc qua các dự án khác sẽ không hiệu quả. </w:t>
      </w:r>
    </w:p>
    <w:p w14:paraId="0FC3E077" w14:textId="4CDF1FEE" w:rsidR="005034A1" w:rsidRPr="00B86C0C" w:rsidRDefault="005034A1" w:rsidP="005034A1">
      <w:pPr>
        <w:pStyle w:val="ListParagraph"/>
        <w:numPr>
          <w:ilvl w:val="0"/>
          <w:numId w:val="7"/>
        </w:numPr>
        <w:spacing w:before="0" w:after="0" w:line="360" w:lineRule="auto"/>
        <w:jc w:val="both"/>
        <w:rPr>
          <w:rFonts w:ascii="Times New Roman" w:hAnsi="Times New Roman" w:cs="Times New Roman"/>
          <w:sz w:val="24"/>
          <w:szCs w:val="24"/>
        </w:rPr>
      </w:pPr>
      <w:r w:rsidRPr="00B86C0C">
        <w:rPr>
          <w:rFonts w:ascii="Times New Roman" w:hAnsi="Times New Roman" w:cs="Times New Roman"/>
          <w:sz w:val="24"/>
          <w:szCs w:val="24"/>
        </w:rPr>
        <w:t>Cần bổ sung thêm các tiêu khác để lựa chọn nhà đầu tư ví dụ: hệ số cây xanh, hạ tầng xã hội, tiện ích cư dân</w:t>
      </w:r>
      <w:proofErr w:type="gramStart"/>
      <w:r w:rsidRPr="00B86C0C">
        <w:rPr>
          <w:rFonts w:ascii="Times New Roman" w:hAnsi="Times New Roman" w:cs="Times New Roman"/>
          <w:sz w:val="24"/>
          <w:szCs w:val="24"/>
        </w:rPr>
        <w:t>,…</w:t>
      </w:r>
      <w:proofErr w:type="gramEnd"/>
      <w:r w:rsidRPr="00B86C0C">
        <w:rPr>
          <w:rFonts w:ascii="Times New Roman" w:hAnsi="Times New Roman" w:cs="Times New Roman"/>
          <w:sz w:val="24"/>
          <w:szCs w:val="24"/>
        </w:rPr>
        <w:t xml:space="preserve"> các đô thị càng văn minh hiện đại thì vấn đề này nên được ưu tiên. Xem các yếu tố này là một thành tố quan trong ngoài vấn đề giá trị nộp ngân sách nhà nước. Ngoài ra để cân bằng hơn trong lựa chọn thì có thể xem xét áp dụng phương pháp điểm tổng hợp giữa kỹ thuật và tài chính. Trong đó nêu rõ điểm tài chính sẽ chiếm 50-80%, còn lại có thể là điểm tài chính và từ đó chúng ta bổ sung thêm các tiêu chí đã nói kể trên.</w:t>
      </w:r>
    </w:p>
    <w:p w14:paraId="4BD40320" w14:textId="2A98B2A7" w:rsidR="00AA61B1" w:rsidRPr="00B86C0C" w:rsidRDefault="00AA61B1" w:rsidP="005034A1">
      <w:pPr>
        <w:pStyle w:val="ListParagraph"/>
        <w:numPr>
          <w:ilvl w:val="0"/>
          <w:numId w:val="7"/>
        </w:numPr>
        <w:spacing w:before="0" w:after="0" w:line="360" w:lineRule="auto"/>
        <w:jc w:val="both"/>
        <w:rPr>
          <w:rFonts w:ascii="Times New Roman" w:hAnsi="Times New Roman" w:cs="Times New Roman"/>
          <w:sz w:val="24"/>
          <w:szCs w:val="24"/>
        </w:rPr>
      </w:pPr>
      <w:r w:rsidRPr="00B86C0C">
        <w:rPr>
          <w:rFonts w:ascii="Times New Roman" w:hAnsi="Times New Roman" w:cs="Times New Roman"/>
          <w:sz w:val="24"/>
          <w:szCs w:val="24"/>
        </w:rPr>
        <w:t>Cần xem xét lại cách tính toán m3</w:t>
      </w:r>
      <w:r w:rsidR="007B323B" w:rsidRPr="00B86C0C">
        <w:rPr>
          <w:rFonts w:ascii="Times New Roman" w:hAnsi="Times New Roman" w:cs="Times New Roman"/>
          <w:sz w:val="24"/>
          <w:szCs w:val="24"/>
        </w:rPr>
        <w:t xml:space="preserve">, trong đó chỉ nên dựa vào diện tích các loại đất trong dự án, kết hợp với Bảng giá đất của địa phương để tính toán ra chi tiết giá trị m3. Một thuận lợi hiện nay </w:t>
      </w:r>
      <w:r w:rsidR="00A00455" w:rsidRPr="00B86C0C">
        <w:rPr>
          <w:rFonts w:ascii="Times New Roman" w:hAnsi="Times New Roman" w:cs="Times New Roman"/>
          <w:sz w:val="24"/>
          <w:szCs w:val="24"/>
        </w:rPr>
        <w:t>là trong dự thảo Luật Đất đai 2023 cũng đã quy định rằng, vào ngày 01 tháng 01</w:t>
      </w:r>
      <w:r w:rsidR="00780AF5" w:rsidRPr="00B86C0C">
        <w:rPr>
          <w:rFonts w:ascii="Times New Roman" w:hAnsi="Times New Roman" w:cs="Times New Roman"/>
          <w:sz w:val="24"/>
          <w:szCs w:val="24"/>
        </w:rPr>
        <w:t xml:space="preserve"> hằng năm</w:t>
      </w:r>
      <w:r w:rsidR="00A00455" w:rsidRPr="00B86C0C">
        <w:rPr>
          <w:rFonts w:ascii="Times New Roman" w:hAnsi="Times New Roman" w:cs="Times New Roman"/>
          <w:sz w:val="24"/>
          <w:szCs w:val="24"/>
        </w:rPr>
        <w:t xml:space="preserve"> Ủy ban nhân dân cấp tỉnh/thành phố trực thuộc trung ương sẽ ban hành Bảng giá đất cập nhật theo năm đó, </w:t>
      </w:r>
      <w:r w:rsidR="00932395" w:rsidRPr="00B86C0C">
        <w:rPr>
          <w:rFonts w:ascii="Times New Roman" w:hAnsi="Times New Roman" w:cs="Times New Roman"/>
          <w:sz w:val="24"/>
          <w:szCs w:val="24"/>
        </w:rPr>
        <w:t>với mục tiêu là Bảng giá đất này sẽ phù hợp và sát với giá trị trường nhất</w:t>
      </w:r>
      <w:r w:rsidR="00287561" w:rsidRPr="00B86C0C">
        <w:rPr>
          <w:rFonts w:ascii="Times New Roman" w:hAnsi="Times New Roman" w:cs="Times New Roman"/>
          <w:sz w:val="24"/>
          <w:szCs w:val="24"/>
        </w:rPr>
        <w:t>. Vì</w:t>
      </w:r>
      <w:r w:rsidR="00780AF5" w:rsidRPr="00B86C0C">
        <w:rPr>
          <w:rFonts w:ascii="Times New Roman" w:hAnsi="Times New Roman" w:cs="Times New Roman"/>
          <w:sz w:val="24"/>
          <w:szCs w:val="24"/>
        </w:rPr>
        <w:t xml:space="preserve"> vậy </w:t>
      </w:r>
      <w:r w:rsidR="00287561" w:rsidRPr="00B86C0C">
        <w:rPr>
          <w:rFonts w:ascii="Times New Roman" w:hAnsi="Times New Roman" w:cs="Times New Roman"/>
          <w:sz w:val="24"/>
          <w:szCs w:val="24"/>
        </w:rPr>
        <w:t xml:space="preserve">Bên mời thầu có thể lấy bảng giá đất này làm tham khảo, trong đó </w:t>
      </w:r>
      <w:r w:rsidR="00780AF5" w:rsidRPr="00B86C0C">
        <w:rPr>
          <w:rFonts w:ascii="Times New Roman" w:hAnsi="Times New Roman" w:cs="Times New Roman"/>
          <w:sz w:val="24"/>
          <w:szCs w:val="24"/>
        </w:rPr>
        <w:t>phương thức tính toán</w:t>
      </w:r>
      <w:r w:rsidR="00F06296" w:rsidRPr="00B86C0C">
        <w:rPr>
          <w:rFonts w:ascii="Times New Roman" w:hAnsi="Times New Roman" w:cs="Times New Roman"/>
          <w:sz w:val="24"/>
          <w:szCs w:val="24"/>
        </w:rPr>
        <w:t xml:space="preserve"> giá trị nộp ngân sách Nhà nước có thể rút gọn lại còn:</w:t>
      </w:r>
      <w:r w:rsidR="00780AF5" w:rsidRPr="00B86C0C">
        <w:rPr>
          <w:rFonts w:ascii="Times New Roman" w:hAnsi="Times New Roman" w:cs="Times New Roman"/>
          <w:sz w:val="24"/>
          <w:szCs w:val="24"/>
        </w:rPr>
        <w:t xml:space="preserve"> </w:t>
      </w:r>
      <w:r w:rsidR="00780AF5" w:rsidRPr="00B86C0C">
        <w:rPr>
          <w:rFonts w:ascii="Times New Roman" w:hAnsi="Times New Roman" w:cs="Times New Roman"/>
          <w:b/>
          <w:bCs/>
          <w:sz w:val="24"/>
          <w:szCs w:val="24"/>
        </w:rPr>
        <w:t>m3 = S x k</w:t>
      </w:r>
      <w:r w:rsidR="00F06296" w:rsidRPr="00B86C0C">
        <w:rPr>
          <w:rFonts w:ascii="Times New Roman" w:hAnsi="Times New Roman" w:cs="Times New Roman"/>
          <w:sz w:val="24"/>
          <w:szCs w:val="24"/>
        </w:rPr>
        <w:t>, trong đó S là quy định như cũ, còn k là giá đất tương đương của dự án trong Bảng giá đất cập nhật hằng năm của cơ quan nhà nước có thẩm quyền.</w:t>
      </w:r>
    </w:p>
    <w:p w14:paraId="3EB39577" w14:textId="77777777" w:rsidR="00402463" w:rsidRPr="00B86C0C" w:rsidRDefault="00402463" w:rsidP="007B323B">
      <w:pPr>
        <w:spacing w:before="0" w:after="0" w:line="360" w:lineRule="auto"/>
        <w:ind w:firstLine="0"/>
        <w:jc w:val="both"/>
        <w:rPr>
          <w:rFonts w:ascii="Times New Roman" w:hAnsi="Times New Roman" w:cs="Times New Roman"/>
          <w:sz w:val="24"/>
          <w:szCs w:val="24"/>
        </w:rPr>
      </w:pPr>
    </w:p>
    <w:p w14:paraId="7EABB975" w14:textId="6076DE0E" w:rsidR="000B7F50" w:rsidRPr="00B86C0C" w:rsidRDefault="000B7F50" w:rsidP="000B7F50">
      <w:pPr>
        <w:spacing w:before="0" w:after="0" w:line="360" w:lineRule="auto"/>
        <w:ind w:left="360" w:firstLine="0"/>
        <w:jc w:val="both"/>
        <w:rPr>
          <w:rFonts w:ascii="Times New Roman" w:hAnsi="Times New Roman" w:cs="Times New Roman"/>
          <w:b/>
          <w:bCs/>
          <w:sz w:val="24"/>
          <w:szCs w:val="24"/>
        </w:rPr>
      </w:pPr>
      <w:r w:rsidRPr="00B86C0C">
        <w:rPr>
          <w:rFonts w:ascii="Times New Roman" w:hAnsi="Times New Roman" w:cs="Times New Roman"/>
          <w:b/>
          <w:bCs/>
          <w:sz w:val="24"/>
          <w:szCs w:val="24"/>
        </w:rPr>
        <w:t>Một số sửa đổi cụ thể trong dự thảo Luật Đấu thầu</w:t>
      </w:r>
    </w:p>
    <w:p w14:paraId="0877369D" w14:textId="67431737" w:rsidR="000B7F50" w:rsidRPr="00B86C0C" w:rsidRDefault="000B7F50" w:rsidP="002468A2">
      <w:pPr>
        <w:spacing w:before="0" w:after="0" w:line="360" w:lineRule="auto"/>
        <w:ind w:firstLine="360"/>
        <w:jc w:val="both"/>
        <w:rPr>
          <w:rFonts w:ascii="Times New Roman" w:hAnsi="Times New Roman" w:cs="Times New Roman"/>
          <w:sz w:val="24"/>
          <w:szCs w:val="24"/>
        </w:rPr>
      </w:pPr>
      <w:r w:rsidRPr="00B86C0C">
        <w:rPr>
          <w:rFonts w:ascii="Times New Roman" w:hAnsi="Times New Roman" w:cs="Times New Roman"/>
          <w:sz w:val="24"/>
          <w:szCs w:val="24"/>
        </w:rPr>
        <w:tab/>
        <w:t>Từ những những định hướng</w:t>
      </w:r>
      <w:r w:rsidR="002468A2" w:rsidRPr="00B86C0C">
        <w:rPr>
          <w:rFonts w:ascii="Times New Roman" w:hAnsi="Times New Roman" w:cs="Times New Roman"/>
          <w:sz w:val="24"/>
          <w:szCs w:val="24"/>
        </w:rPr>
        <w:t xml:space="preserve"> chính sách</w:t>
      </w:r>
      <w:r w:rsidRPr="00B86C0C">
        <w:rPr>
          <w:rFonts w:ascii="Times New Roman" w:hAnsi="Times New Roman" w:cs="Times New Roman"/>
          <w:sz w:val="24"/>
          <w:szCs w:val="24"/>
        </w:rPr>
        <w:t xml:space="preserve"> và giải pháp ở trên thì cần thiết phải có những </w:t>
      </w:r>
      <w:r w:rsidR="002468A2" w:rsidRPr="00B86C0C">
        <w:rPr>
          <w:rFonts w:ascii="Times New Roman" w:hAnsi="Times New Roman" w:cs="Times New Roman"/>
          <w:sz w:val="24"/>
          <w:szCs w:val="24"/>
        </w:rPr>
        <w:t>điều chỉnh trong dự thảo luật đấu thấu để có thể cụ thể hơn các chính sách như sau:</w:t>
      </w:r>
    </w:p>
    <w:tbl>
      <w:tblPr>
        <w:tblStyle w:val="TableGrid"/>
        <w:tblW w:w="0" w:type="auto"/>
        <w:tblLook w:val="04A0" w:firstRow="1" w:lastRow="0" w:firstColumn="1" w:lastColumn="0" w:noHBand="0" w:noVBand="1"/>
      </w:tblPr>
      <w:tblGrid>
        <w:gridCol w:w="708"/>
        <w:gridCol w:w="3542"/>
        <w:gridCol w:w="3967"/>
        <w:gridCol w:w="1129"/>
      </w:tblGrid>
      <w:tr w:rsidR="002468A2" w:rsidRPr="00B86C0C" w14:paraId="6FE861BF" w14:textId="77777777" w:rsidTr="002468A2">
        <w:tc>
          <w:tcPr>
            <w:tcW w:w="708" w:type="dxa"/>
          </w:tcPr>
          <w:p w14:paraId="52209A64" w14:textId="546CD5C3" w:rsidR="002468A2" w:rsidRPr="00B86C0C" w:rsidRDefault="002468A2" w:rsidP="002468A2">
            <w:pPr>
              <w:spacing w:before="60" w:after="60"/>
              <w:ind w:firstLine="0"/>
              <w:jc w:val="center"/>
              <w:rPr>
                <w:rFonts w:ascii="Times New Roman" w:hAnsi="Times New Roman" w:cs="Times New Roman"/>
                <w:b/>
                <w:bCs/>
                <w:sz w:val="24"/>
                <w:szCs w:val="24"/>
              </w:rPr>
            </w:pPr>
            <w:r w:rsidRPr="00B86C0C">
              <w:rPr>
                <w:rFonts w:ascii="Times New Roman" w:hAnsi="Times New Roman" w:cs="Times New Roman"/>
                <w:b/>
                <w:bCs/>
                <w:sz w:val="24"/>
                <w:szCs w:val="24"/>
              </w:rPr>
              <w:t>STT</w:t>
            </w:r>
          </w:p>
        </w:tc>
        <w:tc>
          <w:tcPr>
            <w:tcW w:w="3542" w:type="dxa"/>
          </w:tcPr>
          <w:p w14:paraId="47CFD5F4" w14:textId="3FA42714" w:rsidR="002468A2" w:rsidRPr="00B86C0C" w:rsidRDefault="002468A2" w:rsidP="002468A2">
            <w:pPr>
              <w:spacing w:before="60" w:after="60"/>
              <w:ind w:firstLine="0"/>
              <w:jc w:val="center"/>
              <w:rPr>
                <w:rFonts w:ascii="Times New Roman" w:hAnsi="Times New Roman" w:cs="Times New Roman"/>
                <w:b/>
                <w:bCs/>
                <w:sz w:val="24"/>
                <w:szCs w:val="24"/>
              </w:rPr>
            </w:pPr>
            <w:r w:rsidRPr="00B86C0C">
              <w:rPr>
                <w:rFonts w:ascii="Times New Roman" w:hAnsi="Times New Roman" w:cs="Times New Roman"/>
                <w:b/>
                <w:bCs/>
                <w:sz w:val="24"/>
                <w:szCs w:val="24"/>
              </w:rPr>
              <w:t>Dự thảo Luật</w:t>
            </w:r>
          </w:p>
        </w:tc>
        <w:tc>
          <w:tcPr>
            <w:tcW w:w="3967" w:type="dxa"/>
          </w:tcPr>
          <w:p w14:paraId="0B4FD380" w14:textId="35942335" w:rsidR="002468A2" w:rsidRPr="00B86C0C" w:rsidRDefault="002468A2" w:rsidP="002468A2">
            <w:pPr>
              <w:spacing w:before="60" w:after="60"/>
              <w:ind w:firstLine="0"/>
              <w:jc w:val="center"/>
              <w:rPr>
                <w:rFonts w:ascii="Times New Roman" w:hAnsi="Times New Roman" w:cs="Times New Roman"/>
                <w:b/>
                <w:bCs/>
                <w:sz w:val="24"/>
                <w:szCs w:val="24"/>
              </w:rPr>
            </w:pPr>
            <w:r w:rsidRPr="00B86C0C">
              <w:rPr>
                <w:rFonts w:ascii="Times New Roman" w:hAnsi="Times New Roman" w:cs="Times New Roman"/>
                <w:b/>
                <w:bCs/>
                <w:sz w:val="24"/>
                <w:szCs w:val="24"/>
              </w:rPr>
              <w:t>Đề xuất của chuyên gia</w:t>
            </w:r>
          </w:p>
        </w:tc>
        <w:tc>
          <w:tcPr>
            <w:tcW w:w="1129" w:type="dxa"/>
          </w:tcPr>
          <w:p w14:paraId="10719185" w14:textId="7183C7CF" w:rsidR="002468A2" w:rsidRPr="00B86C0C" w:rsidRDefault="002468A2" w:rsidP="002468A2">
            <w:pPr>
              <w:spacing w:before="60" w:after="60"/>
              <w:ind w:firstLine="0"/>
              <w:jc w:val="center"/>
              <w:rPr>
                <w:rFonts w:ascii="Times New Roman" w:hAnsi="Times New Roman" w:cs="Times New Roman"/>
                <w:b/>
                <w:bCs/>
                <w:sz w:val="24"/>
                <w:szCs w:val="24"/>
              </w:rPr>
            </w:pPr>
            <w:r w:rsidRPr="00B86C0C">
              <w:rPr>
                <w:rFonts w:ascii="Times New Roman" w:hAnsi="Times New Roman" w:cs="Times New Roman"/>
                <w:b/>
                <w:bCs/>
                <w:sz w:val="24"/>
                <w:szCs w:val="24"/>
              </w:rPr>
              <w:t>Ghi chú</w:t>
            </w:r>
          </w:p>
        </w:tc>
      </w:tr>
      <w:tr w:rsidR="002468A2" w:rsidRPr="00B86C0C" w14:paraId="3AA62A36" w14:textId="77777777" w:rsidTr="002468A2">
        <w:tc>
          <w:tcPr>
            <w:tcW w:w="708" w:type="dxa"/>
          </w:tcPr>
          <w:p w14:paraId="40FAD2B3" w14:textId="280A7CAD" w:rsidR="002468A2" w:rsidRPr="00B86C0C" w:rsidRDefault="002468A2" w:rsidP="002468A2">
            <w:pPr>
              <w:spacing w:before="60" w:after="60"/>
              <w:ind w:firstLine="0"/>
              <w:jc w:val="center"/>
              <w:rPr>
                <w:rFonts w:ascii="Times New Roman" w:hAnsi="Times New Roman" w:cs="Times New Roman"/>
                <w:sz w:val="24"/>
                <w:szCs w:val="24"/>
              </w:rPr>
            </w:pPr>
            <w:r w:rsidRPr="00B86C0C">
              <w:rPr>
                <w:rFonts w:ascii="Times New Roman" w:hAnsi="Times New Roman" w:cs="Times New Roman"/>
                <w:sz w:val="24"/>
                <w:szCs w:val="24"/>
              </w:rPr>
              <w:t>01</w:t>
            </w:r>
          </w:p>
        </w:tc>
        <w:tc>
          <w:tcPr>
            <w:tcW w:w="3542" w:type="dxa"/>
          </w:tcPr>
          <w:p w14:paraId="7171EFAC" w14:textId="77777777" w:rsidR="002468A2" w:rsidRPr="00B86C0C" w:rsidRDefault="002468A2" w:rsidP="002468A2">
            <w:pPr>
              <w:spacing w:before="60" w:after="60"/>
              <w:ind w:firstLine="0"/>
              <w:jc w:val="both"/>
              <w:rPr>
                <w:rFonts w:ascii="Times New Roman" w:hAnsi="Times New Roman" w:cs="Times New Roman"/>
                <w:sz w:val="24"/>
                <w:szCs w:val="24"/>
              </w:rPr>
            </w:pPr>
          </w:p>
        </w:tc>
        <w:tc>
          <w:tcPr>
            <w:tcW w:w="3967" w:type="dxa"/>
          </w:tcPr>
          <w:p w14:paraId="3B0480BC" w14:textId="77777777" w:rsidR="002468A2" w:rsidRPr="00B86C0C" w:rsidRDefault="002468A2" w:rsidP="002468A2">
            <w:pPr>
              <w:spacing w:before="60" w:after="60"/>
              <w:ind w:firstLine="0"/>
              <w:jc w:val="both"/>
              <w:rPr>
                <w:rFonts w:ascii="Times New Roman" w:hAnsi="Times New Roman" w:cs="Times New Roman"/>
                <w:sz w:val="24"/>
                <w:szCs w:val="24"/>
              </w:rPr>
            </w:pPr>
          </w:p>
        </w:tc>
        <w:tc>
          <w:tcPr>
            <w:tcW w:w="1129" w:type="dxa"/>
          </w:tcPr>
          <w:p w14:paraId="36CB91D3" w14:textId="77777777" w:rsidR="002468A2" w:rsidRPr="00B86C0C" w:rsidRDefault="002468A2" w:rsidP="002468A2">
            <w:pPr>
              <w:spacing w:before="60" w:after="60"/>
              <w:ind w:firstLine="0"/>
              <w:jc w:val="both"/>
              <w:rPr>
                <w:rFonts w:ascii="Times New Roman" w:hAnsi="Times New Roman" w:cs="Times New Roman"/>
                <w:sz w:val="24"/>
                <w:szCs w:val="24"/>
              </w:rPr>
            </w:pPr>
          </w:p>
        </w:tc>
      </w:tr>
      <w:tr w:rsidR="002468A2" w:rsidRPr="00B86C0C" w14:paraId="1E0DCC20" w14:textId="77777777" w:rsidTr="002468A2">
        <w:tc>
          <w:tcPr>
            <w:tcW w:w="708" w:type="dxa"/>
          </w:tcPr>
          <w:p w14:paraId="2136CE30" w14:textId="1CDB5A97" w:rsidR="002468A2" w:rsidRPr="00B86C0C" w:rsidRDefault="002468A2" w:rsidP="002468A2">
            <w:pPr>
              <w:spacing w:before="60" w:after="60"/>
              <w:ind w:firstLine="0"/>
              <w:jc w:val="center"/>
              <w:rPr>
                <w:rFonts w:ascii="Times New Roman" w:hAnsi="Times New Roman" w:cs="Times New Roman"/>
                <w:sz w:val="24"/>
                <w:szCs w:val="24"/>
              </w:rPr>
            </w:pPr>
            <w:r w:rsidRPr="00B86C0C">
              <w:rPr>
                <w:rFonts w:ascii="Times New Roman" w:hAnsi="Times New Roman" w:cs="Times New Roman"/>
                <w:sz w:val="24"/>
                <w:szCs w:val="24"/>
              </w:rPr>
              <w:t>02</w:t>
            </w:r>
          </w:p>
        </w:tc>
        <w:tc>
          <w:tcPr>
            <w:tcW w:w="3542" w:type="dxa"/>
          </w:tcPr>
          <w:p w14:paraId="4E90C481" w14:textId="77777777" w:rsidR="002468A2" w:rsidRPr="00B86C0C" w:rsidRDefault="002468A2" w:rsidP="002468A2">
            <w:pPr>
              <w:spacing w:before="60" w:after="60"/>
              <w:ind w:firstLine="0"/>
              <w:jc w:val="both"/>
              <w:rPr>
                <w:rFonts w:ascii="Times New Roman" w:hAnsi="Times New Roman" w:cs="Times New Roman"/>
                <w:sz w:val="24"/>
                <w:szCs w:val="24"/>
              </w:rPr>
            </w:pPr>
          </w:p>
        </w:tc>
        <w:tc>
          <w:tcPr>
            <w:tcW w:w="3967" w:type="dxa"/>
          </w:tcPr>
          <w:p w14:paraId="22CF6421" w14:textId="77777777" w:rsidR="002468A2" w:rsidRPr="00B86C0C" w:rsidRDefault="002468A2" w:rsidP="002468A2">
            <w:pPr>
              <w:spacing w:before="60" w:after="60"/>
              <w:ind w:firstLine="0"/>
              <w:jc w:val="both"/>
              <w:rPr>
                <w:rFonts w:ascii="Times New Roman" w:hAnsi="Times New Roman" w:cs="Times New Roman"/>
                <w:sz w:val="24"/>
                <w:szCs w:val="24"/>
              </w:rPr>
            </w:pPr>
          </w:p>
        </w:tc>
        <w:tc>
          <w:tcPr>
            <w:tcW w:w="1129" w:type="dxa"/>
          </w:tcPr>
          <w:p w14:paraId="0941029C" w14:textId="77777777" w:rsidR="002468A2" w:rsidRPr="00B86C0C" w:rsidRDefault="002468A2" w:rsidP="002468A2">
            <w:pPr>
              <w:spacing w:before="60" w:after="60"/>
              <w:ind w:firstLine="0"/>
              <w:jc w:val="both"/>
              <w:rPr>
                <w:rFonts w:ascii="Times New Roman" w:hAnsi="Times New Roman" w:cs="Times New Roman"/>
                <w:sz w:val="24"/>
                <w:szCs w:val="24"/>
              </w:rPr>
            </w:pPr>
          </w:p>
        </w:tc>
      </w:tr>
      <w:tr w:rsidR="002468A2" w:rsidRPr="00B86C0C" w14:paraId="24C8B67D" w14:textId="77777777" w:rsidTr="002468A2">
        <w:tc>
          <w:tcPr>
            <w:tcW w:w="708" w:type="dxa"/>
          </w:tcPr>
          <w:p w14:paraId="7492A7B5" w14:textId="67CAB99A" w:rsidR="002468A2" w:rsidRPr="00B86C0C" w:rsidRDefault="002468A2" w:rsidP="002468A2">
            <w:pPr>
              <w:spacing w:before="60" w:after="60"/>
              <w:ind w:firstLine="0"/>
              <w:jc w:val="center"/>
              <w:rPr>
                <w:rFonts w:ascii="Times New Roman" w:hAnsi="Times New Roman" w:cs="Times New Roman"/>
                <w:sz w:val="24"/>
                <w:szCs w:val="24"/>
              </w:rPr>
            </w:pPr>
            <w:r w:rsidRPr="00B86C0C">
              <w:rPr>
                <w:rFonts w:ascii="Times New Roman" w:hAnsi="Times New Roman" w:cs="Times New Roman"/>
                <w:sz w:val="24"/>
                <w:szCs w:val="24"/>
              </w:rPr>
              <w:t>03</w:t>
            </w:r>
          </w:p>
        </w:tc>
        <w:tc>
          <w:tcPr>
            <w:tcW w:w="3542" w:type="dxa"/>
          </w:tcPr>
          <w:p w14:paraId="3938C5DD" w14:textId="77777777" w:rsidR="002468A2" w:rsidRPr="00B86C0C" w:rsidRDefault="002468A2" w:rsidP="002468A2">
            <w:pPr>
              <w:spacing w:before="60" w:after="60"/>
              <w:ind w:firstLine="0"/>
              <w:jc w:val="both"/>
              <w:rPr>
                <w:rFonts w:ascii="Times New Roman" w:hAnsi="Times New Roman" w:cs="Times New Roman"/>
                <w:sz w:val="24"/>
                <w:szCs w:val="24"/>
              </w:rPr>
            </w:pPr>
          </w:p>
        </w:tc>
        <w:tc>
          <w:tcPr>
            <w:tcW w:w="3967" w:type="dxa"/>
          </w:tcPr>
          <w:p w14:paraId="520B738B" w14:textId="77777777" w:rsidR="002468A2" w:rsidRPr="00B86C0C" w:rsidRDefault="002468A2" w:rsidP="002468A2">
            <w:pPr>
              <w:spacing w:before="60" w:after="60"/>
              <w:ind w:firstLine="0"/>
              <w:jc w:val="both"/>
              <w:rPr>
                <w:rFonts w:ascii="Times New Roman" w:hAnsi="Times New Roman" w:cs="Times New Roman"/>
                <w:sz w:val="24"/>
                <w:szCs w:val="24"/>
              </w:rPr>
            </w:pPr>
          </w:p>
        </w:tc>
        <w:tc>
          <w:tcPr>
            <w:tcW w:w="1129" w:type="dxa"/>
          </w:tcPr>
          <w:p w14:paraId="1C5C878C" w14:textId="77777777" w:rsidR="002468A2" w:rsidRPr="00B86C0C" w:rsidRDefault="002468A2" w:rsidP="002468A2">
            <w:pPr>
              <w:spacing w:before="60" w:after="60"/>
              <w:ind w:firstLine="0"/>
              <w:jc w:val="both"/>
              <w:rPr>
                <w:rFonts w:ascii="Times New Roman" w:hAnsi="Times New Roman" w:cs="Times New Roman"/>
                <w:sz w:val="24"/>
                <w:szCs w:val="24"/>
              </w:rPr>
            </w:pPr>
          </w:p>
        </w:tc>
      </w:tr>
      <w:tr w:rsidR="002468A2" w:rsidRPr="00B86C0C" w14:paraId="629682EB" w14:textId="77777777" w:rsidTr="002468A2">
        <w:tc>
          <w:tcPr>
            <w:tcW w:w="708" w:type="dxa"/>
          </w:tcPr>
          <w:p w14:paraId="430DAED4" w14:textId="7D6B1C13" w:rsidR="002468A2" w:rsidRPr="00B86C0C" w:rsidRDefault="002468A2" w:rsidP="002468A2">
            <w:pPr>
              <w:spacing w:before="60" w:after="60"/>
              <w:ind w:firstLine="0"/>
              <w:jc w:val="center"/>
              <w:rPr>
                <w:rFonts w:ascii="Times New Roman" w:hAnsi="Times New Roman" w:cs="Times New Roman"/>
                <w:sz w:val="24"/>
                <w:szCs w:val="24"/>
              </w:rPr>
            </w:pPr>
            <w:r w:rsidRPr="00B86C0C">
              <w:rPr>
                <w:rFonts w:ascii="Times New Roman" w:hAnsi="Times New Roman" w:cs="Times New Roman"/>
                <w:sz w:val="24"/>
                <w:szCs w:val="24"/>
              </w:rPr>
              <w:t>04</w:t>
            </w:r>
          </w:p>
        </w:tc>
        <w:tc>
          <w:tcPr>
            <w:tcW w:w="3542" w:type="dxa"/>
          </w:tcPr>
          <w:p w14:paraId="7EF8D78C" w14:textId="77777777" w:rsidR="002468A2" w:rsidRPr="00B86C0C" w:rsidRDefault="002468A2" w:rsidP="002468A2">
            <w:pPr>
              <w:spacing w:before="60" w:after="60"/>
              <w:ind w:firstLine="0"/>
              <w:jc w:val="both"/>
              <w:rPr>
                <w:rFonts w:ascii="Times New Roman" w:hAnsi="Times New Roman" w:cs="Times New Roman"/>
                <w:sz w:val="24"/>
                <w:szCs w:val="24"/>
              </w:rPr>
            </w:pPr>
          </w:p>
        </w:tc>
        <w:tc>
          <w:tcPr>
            <w:tcW w:w="3967" w:type="dxa"/>
          </w:tcPr>
          <w:p w14:paraId="2B722294" w14:textId="77777777" w:rsidR="002468A2" w:rsidRPr="00B86C0C" w:rsidRDefault="002468A2" w:rsidP="002468A2">
            <w:pPr>
              <w:spacing w:before="60" w:after="60"/>
              <w:ind w:firstLine="0"/>
              <w:jc w:val="both"/>
              <w:rPr>
                <w:rFonts w:ascii="Times New Roman" w:hAnsi="Times New Roman" w:cs="Times New Roman"/>
                <w:sz w:val="24"/>
                <w:szCs w:val="24"/>
              </w:rPr>
            </w:pPr>
          </w:p>
        </w:tc>
        <w:tc>
          <w:tcPr>
            <w:tcW w:w="1129" w:type="dxa"/>
          </w:tcPr>
          <w:p w14:paraId="54A54009" w14:textId="77777777" w:rsidR="002468A2" w:rsidRPr="00B86C0C" w:rsidRDefault="002468A2" w:rsidP="002468A2">
            <w:pPr>
              <w:spacing w:before="60" w:after="60"/>
              <w:ind w:firstLine="0"/>
              <w:jc w:val="both"/>
              <w:rPr>
                <w:rFonts w:ascii="Times New Roman" w:hAnsi="Times New Roman" w:cs="Times New Roman"/>
                <w:sz w:val="24"/>
                <w:szCs w:val="24"/>
              </w:rPr>
            </w:pPr>
          </w:p>
        </w:tc>
      </w:tr>
      <w:tr w:rsidR="002468A2" w:rsidRPr="00B86C0C" w14:paraId="374AB1A9" w14:textId="77777777" w:rsidTr="002468A2">
        <w:tc>
          <w:tcPr>
            <w:tcW w:w="708" w:type="dxa"/>
          </w:tcPr>
          <w:p w14:paraId="247E3B30" w14:textId="1D4C25DA" w:rsidR="002468A2" w:rsidRPr="00B86C0C" w:rsidRDefault="002468A2" w:rsidP="002468A2">
            <w:pPr>
              <w:spacing w:before="60" w:after="60"/>
              <w:ind w:firstLine="0"/>
              <w:jc w:val="center"/>
              <w:rPr>
                <w:rFonts w:ascii="Times New Roman" w:hAnsi="Times New Roman" w:cs="Times New Roman"/>
                <w:sz w:val="24"/>
                <w:szCs w:val="24"/>
              </w:rPr>
            </w:pPr>
            <w:r w:rsidRPr="00B86C0C">
              <w:rPr>
                <w:rFonts w:ascii="Times New Roman" w:hAnsi="Times New Roman" w:cs="Times New Roman"/>
                <w:sz w:val="24"/>
                <w:szCs w:val="24"/>
              </w:rPr>
              <w:t>05</w:t>
            </w:r>
          </w:p>
        </w:tc>
        <w:tc>
          <w:tcPr>
            <w:tcW w:w="3542" w:type="dxa"/>
          </w:tcPr>
          <w:p w14:paraId="19B16693" w14:textId="77777777" w:rsidR="002468A2" w:rsidRPr="00B86C0C" w:rsidRDefault="002468A2" w:rsidP="002468A2">
            <w:pPr>
              <w:spacing w:before="60" w:after="60"/>
              <w:ind w:firstLine="0"/>
              <w:jc w:val="both"/>
              <w:rPr>
                <w:rFonts w:ascii="Times New Roman" w:hAnsi="Times New Roman" w:cs="Times New Roman"/>
                <w:sz w:val="24"/>
                <w:szCs w:val="24"/>
              </w:rPr>
            </w:pPr>
          </w:p>
        </w:tc>
        <w:tc>
          <w:tcPr>
            <w:tcW w:w="3967" w:type="dxa"/>
          </w:tcPr>
          <w:p w14:paraId="45B8C97A" w14:textId="77777777" w:rsidR="002468A2" w:rsidRPr="00B86C0C" w:rsidRDefault="002468A2" w:rsidP="002468A2">
            <w:pPr>
              <w:spacing w:before="60" w:after="60"/>
              <w:ind w:firstLine="0"/>
              <w:jc w:val="both"/>
              <w:rPr>
                <w:rFonts w:ascii="Times New Roman" w:hAnsi="Times New Roman" w:cs="Times New Roman"/>
                <w:sz w:val="24"/>
                <w:szCs w:val="24"/>
              </w:rPr>
            </w:pPr>
          </w:p>
        </w:tc>
        <w:tc>
          <w:tcPr>
            <w:tcW w:w="1129" w:type="dxa"/>
          </w:tcPr>
          <w:p w14:paraId="5D163060" w14:textId="77777777" w:rsidR="002468A2" w:rsidRPr="00B86C0C" w:rsidRDefault="002468A2" w:rsidP="002468A2">
            <w:pPr>
              <w:spacing w:before="60" w:after="60"/>
              <w:ind w:firstLine="0"/>
              <w:jc w:val="both"/>
              <w:rPr>
                <w:rFonts w:ascii="Times New Roman" w:hAnsi="Times New Roman" w:cs="Times New Roman"/>
                <w:sz w:val="24"/>
                <w:szCs w:val="24"/>
              </w:rPr>
            </w:pPr>
          </w:p>
        </w:tc>
      </w:tr>
    </w:tbl>
    <w:p w14:paraId="599400B1" w14:textId="77777777" w:rsidR="002468A2" w:rsidRPr="00B86C0C" w:rsidRDefault="002468A2" w:rsidP="002468A2">
      <w:pPr>
        <w:spacing w:before="0" w:after="0" w:line="360" w:lineRule="auto"/>
        <w:ind w:firstLine="0"/>
        <w:jc w:val="both"/>
        <w:rPr>
          <w:rFonts w:ascii="Times New Roman" w:hAnsi="Times New Roman" w:cs="Times New Roman"/>
          <w:sz w:val="24"/>
          <w:szCs w:val="24"/>
        </w:rPr>
      </w:pPr>
    </w:p>
    <w:p w14:paraId="01DD5AF9" w14:textId="6A83F476" w:rsidR="005034A1" w:rsidRPr="00B86C0C" w:rsidRDefault="005034A1" w:rsidP="00E35E07">
      <w:pPr>
        <w:spacing w:before="0" w:after="0" w:line="360" w:lineRule="auto"/>
        <w:ind w:firstLine="360"/>
        <w:jc w:val="both"/>
        <w:rPr>
          <w:rFonts w:ascii="Times New Roman" w:hAnsi="Times New Roman" w:cs="Times New Roman"/>
          <w:sz w:val="24"/>
          <w:szCs w:val="24"/>
        </w:rPr>
      </w:pPr>
      <w:r w:rsidRPr="00B86C0C">
        <w:rPr>
          <w:rFonts w:ascii="Times New Roman" w:hAnsi="Times New Roman" w:cs="Times New Roman"/>
          <w:sz w:val="24"/>
          <w:szCs w:val="24"/>
        </w:rPr>
        <w:t>Đấu thầu lựa chọn nhà đầu tư là một chủ trương lớn, tuy vẫn còn tồn tại n</w:t>
      </w:r>
      <w:r w:rsidR="00E35E07" w:rsidRPr="00B86C0C">
        <w:rPr>
          <w:rFonts w:ascii="Times New Roman" w:hAnsi="Times New Roman" w:cs="Times New Roman"/>
          <w:sz w:val="24"/>
          <w:szCs w:val="24"/>
        </w:rPr>
        <w:t>hiều tồn tại cần cải thiện nhưng cần phải có những sự ưu tiên nhất trong quá trình xây dựng quy định pháp luật, không chỉ với Luật Đấu thầu mà còn với cả các quy định pháp luật liên quan khác</w:t>
      </w:r>
      <w:r w:rsidR="00BF00CA" w:rsidRPr="00B86C0C">
        <w:rPr>
          <w:rFonts w:ascii="Times New Roman" w:hAnsi="Times New Roman" w:cs="Times New Roman"/>
          <w:sz w:val="24"/>
          <w:szCs w:val="24"/>
        </w:rPr>
        <w:t>, từ đó thực hiện thành công các định hướng của Nghị quyết 18-NQ/TW.</w:t>
      </w:r>
    </w:p>
    <w:p w14:paraId="4D81702A" w14:textId="79B8E0DC" w:rsidR="00254717" w:rsidRPr="00B86C0C" w:rsidRDefault="00254717">
      <w:pPr>
        <w:rPr>
          <w:rFonts w:ascii="Times New Roman" w:hAnsi="Times New Roman" w:cs="Times New Roman"/>
          <w:sz w:val="24"/>
          <w:szCs w:val="24"/>
        </w:rPr>
      </w:pPr>
      <w:r w:rsidRPr="00B86C0C">
        <w:rPr>
          <w:rFonts w:ascii="Times New Roman" w:hAnsi="Times New Roman" w:cs="Times New Roman"/>
          <w:sz w:val="24"/>
          <w:szCs w:val="24"/>
        </w:rPr>
        <w:br w:type="page"/>
      </w:r>
    </w:p>
    <w:sdt>
      <w:sdtPr>
        <w:rPr>
          <w:rFonts w:asciiTheme="minorHAnsi" w:eastAsiaTheme="minorHAnsi" w:hAnsiTheme="minorHAnsi" w:cstheme="minorBidi"/>
          <w:color w:val="auto"/>
          <w:sz w:val="24"/>
          <w:szCs w:val="24"/>
          <w:lang w:val="vi-VN"/>
        </w:rPr>
        <w:id w:val="25611114"/>
        <w:docPartObj>
          <w:docPartGallery w:val="Bibliographies"/>
          <w:docPartUnique/>
        </w:docPartObj>
      </w:sdtPr>
      <w:sdtEndPr>
        <w:rPr>
          <w:lang w:val="en-US"/>
        </w:rPr>
      </w:sdtEndPr>
      <w:sdtContent>
        <w:p w14:paraId="4132E3BF" w14:textId="78236415" w:rsidR="00254717" w:rsidRPr="00B86C0C" w:rsidRDefault="00254717">
          <w:pPr>
            <w:pStyle w:val="Heading1"/>
            <w:rPr>
              <w:sz w:val="24"/>
              <w:szCs w:val="24"/>
            </w:rPr>
          </w:pPr>
          <w:r w:rsidRPr="00B86C0C">
            <w:rPr>
              <w:sz w:val="24"/>
              <w:szCs w:val="24"/>
              <w:lang w:val="vi-VN"/>
            </w:rPr>
            <w:t>Tài liệu tham khảo</w:t>
          </w:r>
        </w:p>
        <w:sdt>
          <w:sdtPr>
            <w:rPr>
              <w:sz w:val="24"/>
              <w:szCs w:val="24"/>
            </w:rPr>
            <w:id w:val="-573587230"/>
            <w:bibliography/>
          </w:sdtPr>
          <w:sdtEndPr/>
          <w:sdtContent>
            <w:p w14:paraId="4C327F11" w14:textId="77777777" w:rsidR="00254717" w:rsidRPr="00B86C0C" w:rsidRDefault="00254717">
              <w:pPr>
                <w:rPr>
                  <w:noProof/>
                  <w:sz w:val="24"/>
                  <w:szCs w:val="24"/>
                </w:rPr>
              </w:pPr>
              <w:r w:rsidRPr="00B86C0C">
                <w:rPr>
                  <w:sz w:val="24"/>
                  <w:szCs w:val="24"/>
                </w:rPr>
                <w:fldChar w:fldCharType="begin"/>
              </w:r>
              <w:r w:rsidRPr="00B86C0C">
                <w:rPr>
                  <w:sz w:val="24"/>
                  <w:szCs w:val="24"/>
                </w:rPr>
                <w:instrText>BIBLIOGRAPHY</w:instrText>
              </w:r>
              <w:r w:rsidRPr="00B86C0C">
                <w:rPr>
                  <w:sz w:val="24"/>
                  <w:szCs w:val="24"/>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
                <w:gridCol w:w="9011"/>
              </w:tblGrid>
              <w:tr w:rsidR="00254717" w:rsidRPr="00B86C0C" w14:paraId="65E5FA56" w14:textId="77777777">
                <w:trPr>
                  <w:divId w:val="472139596"/>
                  <w:tblCellSpacing w:w="15" w:type="dxa"/>
                </w:trPr>
                <w:tc>
                  <w:tcPr>
                    <w:tcW w:w="50" w:type="pct"/>
                    <w:hideMark/>
                  </w:tcPr>
                  <w:p w14:paraId="5867E6ED" w14:textId="58DA5D19" w:rsidR="00254717" w:rsidRPr="00B86C0C" w:rsidRDefault="00254717">
                    <w:pPr>
                      <w:pStyle w:val="Bibliography"/>
                      <w:rPr>
                        <w:noProof/>
                        <w:sz w:val="24"/>
                        <w:szCs w:val="24"/>
                      </w:rPr>
                    </w:pPr>
                    <w:r w:rsidRPr="00B86C0C">
                      <w:rPr>
                        <w:noProof/>
                        <w:sz w:val="24"/>
                        <w:szCs w:val="24"/>
                      </w:rPr>
                      <w:t xml:space="preserve">[1] </w:t>
                    </w:r>
                  </w:p>
                </w:tc>
                <w:tc>
                  <w:tcPr>
                    <w:tcW w:w="0" w:type="auto"/>
                    <w:hideMark/>
                  </w:tcPr>
                  <w:p w14:paraId="25130650" w14:textId="77777777" w:rsidR="00254717" w:rsidRPr="00B86C0C" w:rsidRDefault="00254717">
                    <w:pPr>
                      <w:pStyle w:val="Bibliography"/>
                      <w:rPr>
                        <w:noProof/>
                        <w:sz w:val="24"/>
                        <w:szCs w:val="24"/>
                      </w:rPr>
                    </w:pPr>
                    <w:r w:rsidRPr="00B86C0C">
                      <w:rPr>
                        <w:noProof/>
                        <w:sz w:val="24"/>
                        <w:szCs w:val="24"/>
                      </w:rPr>
                      <w:t>The National People's Congress of the People's Republic of China, “Decision of the Standing Committee of the National People's Congress on Amending the Law of the People's Republic of China on the Administration of the Urban Real Estate,” The National People's Congress of the People's Republic of China, Beijing, 2007.</w:t>
                    </w:r>
                  </w:p>
                </w:tc>
              </w:tr>
              <w:tr w:rsidR="00254717" w:rsidRPr="00B86C0C" w14:paraId="14DC9F86" w14:textId="77777777">
                <w:trPr>
                  <w:divId w:val="472139596"/>
                  <w:tblCellSpacing w:w="15" w:type="dxa"/>
                </w:trPr>
                <w:tc>
                  <w:tcPr>
                    <w:tcW w:w="50" w:type="pct"/>
                    <w:hideMark/>
                  </w:tcPr>
                  <w:p w14:paraId="42C195D3" w14:textId="4EFE59C7" w:rsidR="00254717" w:rsidRPr="00B86C0C" w:rsidRDefault="00254717">
                    <w:pPr>
                      <w:pStyle w:val="Bibliography"/>
                      <w:rPr>
                        <w:noProof/>
                        <w:sz w:val="24"/>
                        <w:szCs w:val="24"/>
                      </w:rPr>
                    </w:pPr>
                  </w:p>
                </w:tc>
                <w:tc>
                  <w:tcPr>
                    <w:tcW w:w="0" w:type="auto"/>
                    <w:hideMark/>
                  </w:tcPr>
                  <w:p w14:paraId="179D9EAA" w14:textId="1C464629" w:rsidR="00254717" w:rsidRPr="00B86C0C" w:rsidRDefault="00254717" w:rsidP="00DB66FA">
                    <w:pPr>
                      <w:pStyle w:val="Bibliography"/>
                      <w:ind w:firstLine="0"/>
                      <w:rPr>
                        <w:noProof/>
                        <w:sz w:val="24"/>
                        <w:szCs w:val="24"/>
                      </w:rPr>
                    </w:pPr>
                  </w:p>
                </w:tc>
              </w:tr>
            </w:tbl>
            <w:p w14:paraId="6EE0A142" w14:textId="77777777" w:rsidR="00254717" w:rsidRPr="00B86C0C" w:rsidRDefault="00254717">
              <w:pPr>
                <w:divId w:val="472139596"/>
                <w:rPr>
                  <w:rFonts w:eastAsia="Times New Roman"/>
                  <w:noProof/>
                  <w:sz w:val="24"/>
                  <w:szCs w:val="24"/>
                </w:rPr>
              </w:pPr>
            </w:p>
            <w:p w14:paraId="5857FA91" w14:textId="17C192A4" w:rsidR="00254717" w:rsidRPr="00B86C0C" w:rsidRDefault="00254717">
              <w:pPr>
                <w:rPr>
                  <w:sz w:val="24"/>
                  <w:szCs w:val="24"/>
                </w:rPr>
              </w:pPr>
              <w:r w:rsidRPr="00B86C0C">
                <w:rPr>
                  <w:b/>
                  <w:bCs/>
                  <w:sz w:val="24"/>
                  <w:szCs w:val="24"/>
                </w:rPr>
                <w:fldChar w:fldCharType="end"/>
              </w:r>
            </w:p>
          </w:sdtContent>
        </w:sdt>
      </w:sdtContent>
    </w:sdt>
    <w:p w14:paraId="449748EA" w14:textId="77777777" w:rsidR="00254717" w:rsidRPr="00B86C0C" w:rsidRDefault="00254717" w:rsidP="00254717">
      <w:pPr>
        <w:spacing w:before="0" w:after="0" w:line="360" w:lineRule="auto"/>
        <w:ind w:firstLine="0"/>
        <w:jc w:val="both"/>
        <w:rPr>
          <w:rFonts w:ascii="Times New Roman" w:hAnsi="Times New Roman" w:cs="Times New Roman"/>
          <w:sz w:val="24"/>
          <w:szCs w:val="24"/>
        </w:rPr>
      </w:pPr>
    </w:p>
    <w:sectPr w:rsidR="00254717" w:rsidRPr="00B86C0C" w:rsidSect="00B86C0C">
      <w:footerReference w:type="default" r:id="rId11"/>
      <w:pgSz w:w="11907" w:h="16840" w:code="9"/>
      <w:pgMar w:top="851" w:right="851" w:bottom="851"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9289A" w14:textId="77777777" w:rsidR="002205A6" w:rsidRDefault="002205A6" w:rsidP="0072039C">
      <w:pPr>
        <w:spacing w:before="0" w:after="0"/>
      </w:pPr>
      <w:r>
        <w:separator/>
      </w:r>
    </w:p>
  </w:endnote>
  <w:endnote w:type="continuationSeparator" w:id="0">
    <w:p w14:paraId="43A001C9" w14:textId="77777777" w:rsidR="002205A6" w:rsidRDefault="002205A6" w:rsidP="007203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931673"/>
      <w:docPartObj>
        <w:docPartGallery w:val="Page Numbers (Bottom of Page)"/>
        <w:docPartUnique/>
      </w:docPartObj>
    </w:sdtPr>
    <w:sdtEndPr>
      <w:rPr>
        <w:noProof/>
      </w:rPr>
    </w:sdtEndPr>
    <w:sdtContent>
      <w:p w14:paraId="71853871" w14:textId="77777777" w:rsidR="00B86C0C" w:rsidRDefault="00B86C0C">
        <w:pPr>
          <w:pStyle w:val="Footer"/>
          <w:jc w:val="center"/>
        </w:pPr>
      </w:p>
      <w:p w14:paraId="4F4E4CEC" w14:textId="1ED3429C" w:rsidR="00B86C0C" w:rsidRDefault="00B86C0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6AC14B2B" w14:textId="77777777" w:rsidR="0072039C" w:rsidRDefault="00720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B8F3F" w14:textId="77777777" w:rsidR="002205A6" w:rsidRDefault="002205A6" w:rsidP="0072039C">
      <w:pPr>
        <w:spacing w:before="0" w:after="0"/>
      </w:pPr>
      <w:r>
        <w:separator/>
      </w:r>
    </w:p>
  </w:footnote>
  <w:footnote w:type="continuationSeparator" w:id="0">
    <w:p w14:paraId="6C62C060" w14:textId="77777777" w:rsidR="002205A6" w:rsidRDefault="002205A6" w:rsidP="0072039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B7CAA"/>
    <w:multiLevelType w:val="hybridMultilevel"/>
    <w:tmpl w:val="B1CED13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B861123"/>
    <w:multiLevelType w:val="hybridMultilevel"/>
    <w:tmpl w:val="5EB4BB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EA45796"/>
    <w:multiLevelType w:val="hybridMultilevel"/>
    <w:tmpl w:val="C3484C6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84672F3"/>
    <w:multiLevelType w:val="hybridMultilevel"/>
    <w:tmpl w:val="3594D17A"/>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48703F0C"/>
    <w:multiLevelType w:val="hybridMultilevel"/>
    <w:tmpl w:val="54E2C98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4CC260DE"/>
    <w:multiLevelType w:val="hybridMultilevel"/>
    <w:tmpl w:val="5EB4BB6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FB108D1"/>
    <w:multiLevelType w:val="hybridMultilevel"/>
    <w:tmpl w:val="51BACC5C"/>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54300FBE"/>
    <w:multiLevelType w:val="hybridMultilevel"/>
    <w:tmpl w:val="51CA02C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C8"/>
    <w:rsid w:val="00012738"/>
    <w:rsid w:val="000133D8"/>
    <w:rsid w:val="00014AAD"/>
    <w:rsid w:val="00015A29"/>
    <w:rsid w:val="000161CD"/>
    <w:rsid w:val="00017515"/>
    <w:rsid w:val="00021B16"/>
    <w:rsid w:val="00022AFA"/>
    <w:rsid w:val="00023616"/>
    <w:rsid w:val="000372AC"/>
    <w:rsid w:val="0004419C"/>
    <w:rsid w:val="00053874"/>
    <w:rsid w:val="000560D0"/>
    <w:rsid w:val="0005667A"/>
    <w:rsid w:val="00057164"/>
    <w:rsid w:val="00060CE0"/>
    <w:rsid w:val="00066379"/>
    <w:rsid w:val="00074EC4"/>
    <w:rsid w:val="000756C9"/>
    <w:rsid w:val="000920A8"/>
    <w:rsid w:val="000B49C5"/>
    <w:rsid w:val="000B7F50"/>
    <w:rsid w:val="000C5074"/>
    <w:rsid w:val="000D03E1"/>
    <w:rsid w:val="000D388D"/>
    <w:rsid w:val="000E1C9E"/>
    <w:rsid w:val="000E3D77"/>
    <w:rsid w:val="000E3F55"/>
    <w:rsid w:val="000F16E9"/>
    <w:rsid w:val="000F3805"/>
    <w:rsid w:val="000F5F10"/>
    <w:rsid w:val="001017DD"/>
    <w:rsid w:val="00105911"/>
    <w:rsid w:val="00123F95"/>
    <w:rsid w:val="0013097F"/>
    <w:rsid w:val="00132813"/>
    <w:rsid w:val="00133214"/>
    <w:rsid w:val="00143E82"/>
    <w:rsid w:val="00144C87"/>
    <w:rsid w:val="00145857"/>
    <w:rsid w:val="0017645D"/>
    <w:rsid w:val="001800FC"/>
    <w:rsid w:val="00181B9E"/>
    <w:rsid w:val="001840B9"/>
    <w:rsid w:val="00184446"/>
    <w:rsid w:val="00190505"/>
    <w:rsid w:val="00194643"/>
    <w:rsid w:val="0019564C"/>
    <w:rsid w:val="001B10A2"/>
    <w:rsid w:val="001B32CC"/>
    <w:rsid w:val="001B73C5"/>
    <w:rsid w:val="001C0ED0"/>
    <w:rsid w:val="001C28AF"/>
    <w:rsid w:val="001C6B44"/>
    <w:rsid w:val="001D0BE7"/>
    <w:rsid w:val="001D3B3A"/>
    <w:rsid w:val="001D4722"/>
    <w:rsid w:val="001D5EE9"/>
    <w:rsid w:val="001E59B2"/>
    <w:rsid w:val="001E7BE9"/>
    <w:rsid w:val="001F3A78"/>
    <w:rsid w:val="001F4963"/>
    <w:rsid w:val="001F6A39"/>
    <w:rsid w:val="001F78C7"/>
    <w:rsid w:val="001F7FB4"/>
    <w:rsid w:val="0020022B"/>
    <w:rsid w:val="00201916"/>
    <w:rsid w:val="0021158A"/>
    <w:rsid w:val="00213911"/>
    <w:rsid w:val="00214F7D"/>
    <w:rsid w:val="00216AF7"/>
    <w:rsid w:val="002205A6"/>
    <w:rsid w:val="00221B1D"/>
    <w:rsid w:val="002222F5"/>
    <w:rsid w:val="002247A4"/>
    <w:rsid w:val="002463BD"/>
    <w:rsid w:val="00246886"/>
    <w:rsid w:val="002468A2"/>
    <w:rsid w:val="00246DD2"/>
    <w:rsid w:val="00251DCF"/>
    <w:rsid w:val="00253B7C"/>
    <w:rsid w:val="00254717"/>
    <w:rsid w:val="0025761D"/>
    <w:rsid w:val="002617E7"/>
    <w:rsid w:val="0026261C"/>
    <w:rsid w:val="00262D64"/>
    <w:rsid w:val="00262D74"/>
    <w:rsid w:val="00262DCD"/>
    <w:rsid w:val="00263AD7"/>
    <w:rsid w:val="00264A23"/>
    <w:rsid w:val="00265F87"/>
    <w:rsid w:val="00267505"/>
    <w:rsid w:val="00270DC4"/>
    <w:rsid w:val="0028060D"/>
    <w:rsid w:val="00286468"/>
    <w:rsid w:val="00287561"/>
    <w:rsid w:val="002A1C95"/>
    <w:rsid w:val="002A7B5D"/>
    <w:rsid w:val="002B1340"/>
    <w:rsid w:val="002D55DE"/>
    <w:rsid w:val="002D683E"/>
    <w:rsid w:val="002F6CC6"/>
    <w:rsid w:val="003032D4"/>
    <w:rsid w:val="003117E0"/>
    <w:rsid w:val="00317E6B"/>
    <w:rsid w:val="00320C9C"/>
    <w:rsid w:val="00322464"/>
    <w:rsid w:val="00322E6D"/>
    <w:rsid w:val="003234A2"/>
    <w:rsid w:val="0032614A"/>
    <w:rsid w:val="00327E99"/>
    <w:rsid w:val="00332797"/>
    <w:rsid w:val="00332A41"/>
    <w:rsid w:val="00336EE2"/>
    <w:rsid w:val="00350F5B"/>
    <w:rsid w:val="003522F5"/>
    <w:rsid w:val="00355534"/>
    <w:rsid w:val="00355E0E"/>
    <w:rsid w:val="00355E8F"/>
    <w:rsid w:val="003604CF"/>
    <w:rsid w:val="00361627"/>
    <w:rsid w:val="00361D8A"/>
    <w:rsid w:val="003623CF"/>
    <w:rsid w:val="00362628"/>
    <w:rsid w:val="00372113"/>
    <w:rsid w:val="00372A97"/>
    <w:rsid w:val="003735A2"/>
    <w:rsid w:val="00375013"/>
    <w:rsid w:val="0037638D"/>
    <w:rsid w:val="003829B3"/>
    <w:rsid w:val="00384060"/>
    <w:rsid w:val="003966EC"/>
    <w:rsid w:val="003A1014"/>
    <w:rsid w:val="003A5B5E"/>
    <w:rsid w:val="003B6927"/>
    <w:rsid w:val="003B70FE"/>
    <w:rsid w:val="003C3864"/>
    <w:rsid w:val="003D3392"/>
    <w:rsid w:val="003D43EA"/>
    <w:rsid w:val="003E2E71"/>
    <w:rsid w:val="003E63D5"/>
    <w:rsid w:val="003F57A0"/>
    <w:rsid w:val="00402463"/>
    <w:rsid w:val="00407320"/>
    <w:rsid w:val="00415860"/>
    <w:rsid w:val="004160B8"/>
    <w:rsid w:val="00422916"/>
    <w:rsid w:val="00422EE7"/>
    <w:rsid w:val="00424DCE"/>
    <w:rsid w:val="00433379"/>
    <w:rsid w:val="00436048"/>
    <w:rsid w:val="00440EB3"/>
    <w:rsid w:val="004414EA"/>
    <w:rsid w:val="00441E24"/>
    <w:rsid w:val="00447C31"/>
    <w:rsid w:val="00455A53"/>
    <w:rsid w:val="00457CE3"/>
    <w:rsid w:val="00460891"/>
    <w:rsid w:val="004646C7"/>
    <w:rsid w:val="0046775C"/>
    <w:rsid w:val="00482676"/>
    <w:rsid w:val="0048604D"/>
    <w:rsid w:val="004868AC"/>
    <w:rsid w:val="00486F33"/>
    <w:rsid w:val="00493F0B"/>
    <w:rsid w:val="004A7FB5"/>
    <w:rsid w:val="004B1D03"/>
    <w:rsid w:val="004B5871"/>
    <w:rsid w:val="004C1DEF"/>
    <w:rsid w:val="004E12AD"/>
    <w:rsid w:val="004F4FAD"/>
    <w:rsid w:val="005034A1"/>
    <w:rsid w:val="00504ABB"/>
    <w:rsid w:val="0050786D"/>
    <w:rsid w:val="005101BB"/>
    <w:rsid w:val="005163D7"/>
    <w:rsid w:val="00525DAA"/>
    <w:rsid w:val="00536108"/>
    <w:rsid w:val="005373E8"/>
    <w:rsid w:val="00542ED0"/>
    <w:rsid w:val="00552F32"/>
    <w:rsid w:val="00555B89"/>
    <w:rsid w:val="005707DB"/>
    <w:rsid w:val="005711D8"/>
    <w:rsid w:val="00575374"/>
    <w:rsid w:val="00581C31"/>
    <w:rsid w:val="00586A1B"/>
    <w:rsid w:val="0059218B"/>
    <w:rsid w:val="005A48CE"/>
    <w:rsid w:val="005B5952"/>
    <w:rsid w:val="005B7794"/>
    <w:rsid w:val="005C4B5B"/>
    <w:rsid w:val="005D062E"/>
    <w:rsid w:val="005D151C"/>
    <w:rsid w:val="005E0642"/>
    <w:rsid w:val="005E4AB2"/>
    <w:rsid w:val="005E657B"/>
    <w:rsid w:val="005F2708"/>
    <w:rsid w:val="005F320B"/>
    <w:rsid w:val="005F4C8B"/>
    <w:rsid w:val="006159F1"/>
    <w:rsid w:val="006174F2"/>
    <w:rsid w:val="00617DC3"/>
    <w:rsid w:val="00620F74"/>
    <w:rsid w:val="0064012A"/>
    <w:rsid w:val="006563E0"/>
    <w:rsid w:val="006604B6"/>
    <w:rsid w:val="00662389"/>
    <w:rsid w:val="006726B4"/>
    <w:rsid w:val="00681238"/>
    <w:rsid w:val="00687170"/>
    <w:rsid w:val="006906FD"/>
    <w:rsid w:val="006A2EB3"/>
    <w:rsid w:val="006A3C7E"/>
    <w:rsid w:val="006A6AD3"/>
    <w:rsid w:val="006D5E64"/>
    <w:rsid w:val="006E3FEE"/>
    <w:rsid w:val="006E6283"/>
    <w:rsid w:val="006F0353"/>
    <w:rsid w:val="006F1547"/>
    <w:rsid w:val="006F4337"/>
    <w:rsid w:val="006F4A19"/>
    <w:rsid w:val="00715529"/>
    <w:rsid w:val="00715C9E"/>
    <w:rsid w:val="0072039C"/>
    <w:rsid w:val="00730B2E"/>
    <w:rsid w:val="00731891"/>
    <w:rsid w:val="007364C8"/>
    <w:rsid w:val="00743394"/>
    <w:rsid w:val="00761E28"/>
    <w:rsid w:val="00780AF5"/>
    <w:rsid w:val="00783614"/>
    <w:rsid w:val="007837C1"/>
    <w:rsid w:val="007865CE"/>
    <w:rsid w:val="007A1C9C"/>
    <w:rsid w:val="007A6174"/>
    <w:rsid w:val="007B2411"/>
    <w:rsid w:val="007B2F5D"/>
    <w:rsid w:val="007B323B"/>
    <w:rsid w:val="007B47C9"/>
    <w:rsid w:val="007B6E34"/>
    <w:rsid w:val="007C26CD"/>
    <w:rsid w:val="007C642F"/>
    <w:rsid w:val="007C7616"/>
    <w:rsid w:val="007D1E75"/>
    <w:rsid w:val="007E131F"/>
    <w:rsid w:val="007E36CE"/>
    <w:rsid w:val="007F0EF2"/>
    <w:rsid w:val="007F4362"/>
    <w:rsid w:val="007F60FA"/>
    <w:rsid w:val="00803922"/>
    <w:rsid w:val="008215E0"/>
    <w:rsid w:val="00822EDE"/>
    <w:rsid w:val="00823127"/>
    <w:rsid w:val="0082338C"/>
    <w:rsid w:val="00831FB1"/>
    <w:rsid w:val="00844702"/>
    <w:rsid w:val="008502A6"/>
    <w:rsid w:val="00861EAD"/>
    <w:rsid w:val="008630EF"/>
    <w:rsid w:val="0086329F"/>
    <w:rsid w:val="00866BCB"/>
    <w:rsid w:val="00870B4C"/>
    <w:rsid w:val="00870FE8"/>
    <w:rsid w:val="00882233"/>
    <w:rsid w:val="008859C5"/>
    <w:rsid w:val="008915AA"/>
    <w:rsid w:val="00893D4C"/>
    <w:rsid w:val="00897DE6"/>
    <w:rsid w:val="008A25D8"/>
    <w:rsid w:val="008B6605"/>
    <w:rsid w:val="008C03DA"/>
    <w:rsid w:val="008C412A"/>
    <w:rsid w:val="008D03DF"/>
    <w:rsid w:val="008E27B7"/>
    <w:rsid w:val="008F03BF"/>
    <w:rsid w:val="008F4DFD"/>
    <w:rsid w:val="008F7554"/>
    <w:rsid w:val="00900C4B"/>
    <w:rsid w:val="00907D6A"/>
    <w:rsid w:val="009100F6"/>
    <w:rsid w:val="009204A9"/>
    <w:rsid w:val="009264F9"/>
    <w:rsid w:val="0093138D"/>
    <w:rsid w:val="00932395"/>
    <w:rsid w:val="0094076A"/>
    <w:rsid w:val="009464FC"/>
    <w:rsid w:val="009578E9"/>
    <w:rsid w:val="0098257C"/>
    <w:rsid w:val="00992BA6"/>
    <w:rsid w:val="00996C96"/>
    <w:rsid w:val="009B0B20"/>
    <w:rsid w:val="009B4DED"/>
    <w:rsid w:val="009B5874"/>
    <w:rsid w:val="009C3D15"/>
    <w:rsid w:val="009C7648"/>
    <w:rsid w:val="009D546E"/>
    <w:rsid w:val="009E1C79"/>
    <w:rsid w:val="009E2032"/>
    <w:rsid w:val="009E7EE3"/>
    <w:rsid w:val="009F3096"/>
    <w:rsid w:val="009F7891"/>
    <w:rsid w:val="00A00455"/>
    <w:rsid w:val="00A00A47"/>
    <w:rsid w:val="00A10FB8"/>
    <w:rsid w:val="00A24E18"/>
    <w:rsid w:val="00A3094D"/>
    <w:rsid w:val="00A33925"/>
    <w:rsid w:val="00A3718B"/>
    <w:rsid w:val="00A40B10"/>
    <w:rsid w:val="00A42593"/>
    <w:rsid w:val="00A579E4"/>
    <w:rsid w:val="00A8062E"/>
    <w:rsid w:val="00A966B4"/>
    <w:rsid w:val="00A978D0"/>
    <w:rsid w:val="00AA51C0"/>
    <w:rsid w:val="00AA61B1"/>
    <w:rsid w:val="00AA6C75"/>
    <w:rsid w:val="00AB6106"/>
    <w:rsid w:val="00AC0594"/>
    <w:rsid w:val="00AC726F"/>
    <w:rsid w:val="00AD1FD1"/>
    <w:rsid w:val="00AD5B95"/>
    <w:rsid w:val="00AD79C4"/>
    <w:rsid w:val="00AE1E8A"/>
    <w:rsid w:val="00AE6293"/>
    <w:rsid w:val="00AF5B0F"/>
    <w:rsid w:val="00B01F13"/>
    <w:rsid w:val="00B04B31"/>
    <w:rsid w:val="00B07BEA"/>
    <w:rsid w:val="00B12CEF"/>
    <w:rsid w:val="00B23E5D"/>
    <w:rsid w:val="00B247F5"/>
    <w:rsid w:val="00B2667D"/>
    <w:rsid w:val="00B30DED"/>
    <w:rsid w:val="00B322BE"/>
    <w:rsid w:val="00B37356"/>
    <w:rsid w:val="00B41599"/>
    <w:rsid w:val="00B41EEF"/>
    <w:rsid w:val="00B457C3"/>
    <w:rsid w:val="00B45840"/>
    <w:rsid w:val="00B64D4B"/>
    <w:rsid w:val="00B67112"/>
    <w:rsid w:val="00B819E9"/>
    <w:rsid w:val="00B85D01"/>
    <w:rsid w:val="00B86C0C"/>
    <w:rsid w:val="00B86F4E"/>
    <w:rsid w:val="00B87F92"/>
    <w:rsid w:val="00B911D4"/>
    <w:rsid w:val="00BA0867"/>
    <w:rsid w:val="00BA08E0"/>
    <w:rsid w:val="00BA2AE0"/>
    <w:rsid w:val="00BB0434"/>
    <w:rsid w:val="00BB44A1"/>
    <w:rsid w:val="00BB668C"/>
    <w:rsid w:val="00BC08EB"/>
    <w:rsid w:val="00BE1578"/>
    <w:rsid w:val="00BE3629"/>
    <w:rsid w:val="00BF00CA"/>
    <w:rsid w:val="00C05D95"/>
    <w:rsid w:val="00C06BA1"/>
    <w:rsid w:val="00C10AB9"/>
    <w:rsid w:val="00C10E44"/>
    <w:rsid w:val="00C12EA7"/>
    <w:rsid w:val="00C158CA"/>
    <w:rsid w:val="00C20AB4"/>
    <w:rsid w:val="00C22E01"/>
    <w:rsid w:val="00C26B50"/>
    <w:rsid w:val="00C45EED"/>
    <w:rsid w:val="00C534A4"/>
    <w:rsid w:val="00C536D7"/>
    <w:rsid w:val="00C55729"/>
    <w:rsid w:val="00C5741E"/>
    <w:rsid w:val="00C6026B"/>
    <w:rsid w:val="00C63F7D"/>
    <w:rsid w:val="00C64BCF"/>
    <w:rsid w:val="00C679AB"/>
    <w:rsid w:val="00C71156"/>
    <w:rsid w:val="00C71DA7"/>
    <w:rsid w:val="00C86A4C"/>
    <w:rsid w:val="00C92BA7"/>
    <w:rsid w:val="00C9470B"/>
    <w:rsid w:val="00CA059A"/>
    <w:rsid w:val="00CA276E"/>
    <w:rsid w:val="00CA5735"/>
    <w:rsid w:val="00CA7F0F"/>
    <w:rsid w:val="00CB0881"/>
    <w:rsid w:val="00CC0ABF"/>
    <w:rsid w:val="00CD0713"/>
    <w:rsid w:val="00CD2B7A"/>
    <w:rsid w:val="00CE25AC"/>
    <w:rsid w:val="00CE761B"/>
    <w:rsid w:val="00CF318E"/>
    <w:rsid w:val="00D0110E"/>
    <w:rsid w:val="00D0289B"/>
    <w:rsid w:val="00D0307F"/>
    <w:rsid w:val="00D05B35"/>
    <w:rsid w:val="00D22B77"/>
    <w:rsid w:val="00D23BA1"/>
    <w:rsid w:val="00D30955"/>
    <w:rsid w:val="00D33A36"/>
    <w:rsid w:val="00D347B0"/>
    <w:rsid w:val="00D40735"/>
    <w:rsid w:val="00D522B5"/>
    <w:rsid w:val="00D7501A"/>
    <w:rsid w:val="00D76EED"/>
    <w:rsid w:val="00D85351"/>
    <w:rsid w:val="00D932CA"/>
    <w:rsid w:val="00D96665"/>
    <w:rsid w:val="00DA4A79"/>
    <w:rsid w:val="00DA7E96"/>
    <w:rsid w:val="00DB270C"/>
    <w:rsid w:val="00DB63B5"/>
    <w:rsid w:val="00DB66FA"/>
    <w:rsid w:val="00DB6DED"/>
    <w:rsid w:val="00DC101D"/>
    <w:rsid w:val="00DC29EC"/>
    <w:rsid w:val="00DD29BB"/>
    <w:rsid w:val="00DD3CF7"/>
    <w:rsid w:val="00DE03C9"/>
    <w:rsid w:val="00DE1F18"/>
    <w:rsid w:val="00DE35E5"/>
    <w:rsid w:val="00DE3B81"/>
    <w:rsid w:val="00E017FC"/>
    <w:rsid w:val="00E02EEB"/>
    <w:rsid w:val="00E03216"/>
    <w:rsid w:val="00E03AAD"/>
    <w:rsid w:val="00E10BF2"/>
    <w:rsid w:val="00E14AF2"/>
    <w:rsid w:val="00E152E3"/>
    <w:rsid w:val="00E35E07"/>
    <w:rsid w:val="00E42662"/>
    <w:rsid w:val="00E44AF3"/>
    <w:rsid w:val="00E47097"/>
    <w:rsid w:val="00E524A6"/>
    <w:rsid w:val="00E5632C"/>
    <w:rsid w:val="00E60586"/>
    <w:rsid w:val="00E6187E"/>
    <w:rsid w:val="00E655B4"/>
    <w:rsid w:val="00E77736"/>
    <w:rsid w:val="00E9081A"/>
    <w:rsid w:val="00E94E53"/>
    <w:rsid w:val="00EA257A"/>
    <w:rsid w:val="00EA34D7"/>
    <w:rsid w:val="00EA4532"/>
    <w:rsid w:val="00EA74E3"/>
    <w:rsid w:val="00EB585D"/>
    <w:rsid w:val="00EC25A0"/>
    <w:rsid w:val="00EC3380"/>
    <w:rsid w:val="00EC33BF"/>
    <w:rsid w:val="00ED7199"/>
    <w:rsid w:val="00EE3CC9"/>
    <w:rsid w:val="00EF7464"/>
    <w:rsid w:val="00F06296"/>
    <w:rsid w:val="00F17976"/>
    <w:rsid w:val="00F22CB9"/>
    <w:rsid w:val="00F23AD4"/>
    <w:rsid w:val="00F51704"/>
    <w:rsid w:val="00F51BD2"/>
    <w:rsid w:val="00F60190"/>
    <w:rsid w:val="00F64CD5"/>
    <w:rsid w:val="00F64CDE"/>
    <w:rsid w:val="00F70BC4"/>
    <w:rsid w:val="00F74711"/>
    <w:rsid w:val="00F77A64"/>
    <w:rsid w:val="00F820A0"/>
    <w:rsid w:val="00F82792"/>
    <w:rsid w:val="00F87130"/>
    <w:rsid w:val="00F87362"/>
    <w:rsid w:val="00F93280"/>
    <w:rsid w:val="00F947C0"/>
    <w:rsid w:val="00F95B99"/>
    <w:rsid w:val="00F960D6"/>
    <w:rsid w:val="00FA46A8"/>
    <w:rsid w:val="00FA496C"/>
    <w:rsid w:val="00FA544D"/>
    <w:rsid w:val="00FB0052"/>
    <w:rsid w:val="00FB14EC"/>
    <w:rsid w:val="00FB1DB4"/>
    <w:rsid w:val="00FB3A35"/>
    <w:rsid w:val="00FB647C"/>
    <w:rsid w:val="00FC10E4"/>
    <w:rsid w:val="00FC2218"/>
    <w:rsid w:val="00FC28AF"/>
    <w:rsid w:val="00FC6252"/>
    <w:rsid w:val="00FD0D49"/>
    <w:rsid w:val="00FD4A61"/>
    <w:rsid w:val="00FD5389"/>
    <w:rsid w:val="00FD7231"/>
    <w:rsid w:val="00FE036B"/>
    <w:rsid w:val="00FE1713"/>
    <w:rsid w:val="00FE4477"/>
    <w:rsid w:val="00FE543C"/>
    <w:rsid w:val="00FF0CD2"/>
    <w:rsid w:val="00FF3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44345"/>
  <w15:chartTrackingRefBased/>
  <w15:docId w15:val="{08506994-61C0-44D1-A3F9-A9C88732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6"/>
        <w:szCs w:val="22"/>
        <w:lang w:val="en-US" w:eastAsia="en-US" w:bidi="ar-SA"/>
      </w:rPr>
    </w:rPrDefault>
    <w:pPrDefault>
      <w:pPr>
        <w:spacing w:before="120" w:after="120"/>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DA"/>
  </w:style>
  <w:style w:type="paragraph" w:styleId="Heading1">
    <w:name w:val="heading 1"/>
    <w:basedOn w:val="Normal"/>
    <w:next w:val="Normal"/>
    <w:link w:val="Heading1Char"/>
    <w:uiPriority w:val="9"/>
    <w:qFormat/>
    <w:rsid w:val="00FF39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163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505"/>
    <w:pPr>
      <w:ind w:left="720"/>
      <w:contextualSpacing/>
    </w:pPr>
  </w:style>
  <w:style w:type="character" w:customStyle="1" w:styleId="Heading1Char">
    <w:name w:val="Heading 1 Char"/>
    <w:basedOn w:val="DefaultParagraphFont"/>
    <w:link w:val="Heading1"/>
    <w:uiPriority w:val="9"/>
    <w:rsid w:val="00FF3947"/>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FF394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F3947"/>
    <w:rPr>
      <w:i/>
      <w:iCs/>
      <w:color w:val="5B9BD5" w:themeColor="accent1"/>
    </w:rPr>
  </w:style>
  <w:style w:type="paragraph" w:styleId="Header">
    <w:name w:val="header"/>
    <w:basedOn w:val="Normal"/>
    <w:link w:val="HeaderChar"/>
    <w:uiPriority w:val="99"/>
    <w:unhideWhenUsed/>
    <w:rsid w:val="0072039C"/>
    <w:pPr>
      <w:tabs>
        <w:tab w:val="center" w:pos="4680"/>
        <w:tab w:val="right" w:pos="9360"/>
      </w:tabs>
      <w:spacing w:before="0" w:after="0"/>
    </w:pPr>
  </w:style>
  <w:style w:type="character" w:customStyle="1" w:styleId="HeaderChar">
    <w:name w:val="Header Char"/>
    <w:basedOn w:val="DefaultParagraphFont"/>
    <w:link w:val="Header"/>
    <w:uiPriority w:val="99"/>
    <w:rsid w:val="0072039C"/>
  </w:style>
  <w:style w:type="paragraph" w:styleId="Footer">
    <w:name w:val="footer"/>
    <w:basedOn w:val="Normal"/>
    <w:link w:val="FooterChar"/>
    <w:uiPriority w:val="99"/>
    <w:unhideWhenUsed/>
    <w:rsid w:val="0072039C"/>
    <w:pPr>
      <w:tabs>
        <w:tab w:val="center" w:pos="4680"/>
        <w:tab w:val="right" w:pos="9360"/>
      </w:tabs>
      <w:spacing w:before="0" w:after="0"/>
    </w:pPr>
  </w:style>
  <w:style w:type="character" w:customStyle="1" w:styleId="FooterChar">
    <w:name w:val="Footer Char"/>
    <w:basedOn w:val="DefaultParagraphFont"/>
    <w:link w:val="Footer"/>
    <w:uiPriority w:val="99"/>
    <w:rsid w:val="0072039C"/>
  </w:style>
  <w:style w:type="paragraph" w:styleId="Bibliography">
    <w:name w:val="Bibliography"/>
    <w:basedOn w:val="Normal"/>
    <w:next w:val="Normal"/>
    <w:uiPriority w:val="37"/>
    <w:unhideWhenUsed/>
    <w:rsid w:val="00AE1E8A"/>
  </w:style>
  <w:style w:type="paragraph" w:styleId="FootnoteText">
    <w:name w:val="footnote text"/>
    <w:basedOn w:val="Normal"/>
    <w:link w:val="FootnoteTextChar"/>
    <w:uiPriority w:val="99"/>
    <w:semiHidden/>
    <w:unhideWhenUsed/>
    <w:rsid w:val="006159F1"/>
    <w:pPr>
      <w:spacing w:before="0" w:after="0"/>
    </w:pPr>
    <w:rPr>
      <w:sz w:val="20"/>
      <w:szCs w:val="20"/>
    </w:rPr>
  </w:style>
  <w:style w:type="character" w:customStyle="1" w:styleId="FootnoteTextChar">
    <w:name w:val="Footnote Text Char"/>
    <w:basedOn w:val="DefaultParagraphFont"/>
    <w:link w:val="FootnoteText"/>
    <w:uiPriority w:val="99"/>
    <w:semiHidden/>
    <w:rsid w:val="006159F1"/>
    <w:rPr>
      <w:sz w:val="20"/>
      <w:szCs w:val="20"/>
    </w:rPr>
  </w:style>
  <w:style w:type="character" w:styleId="FootnoteReference">
    <w:name w:val="footnote reference"/>
    <w:basedOn w:val="DefaultParagraphFont"/>
    <w:uiPriority w:val="99"/>
    <w:semiHidden/>
    <w:unhideWhenUsed/>
    <w:rsid w:val="006159F1"/>
    <w:rPr>
      <w:vertAlign w:val="superscript"/>
    </w:rPr>
  </w:style>
  <w:style w:type="table" w:styleId="TableGrid">
    <w:name w:val="Table Grid"/>
    <w:basedOn w:val="TableNormal"/>
    <w:uiPriority w:val="39"/>
    <w:rsid w:val="002468A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163D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5032">
      <w:bodyDiv w:val="1"/>
      <w:marLeft w:val="0"/>
      <w:marRight w:val="0"/>
      <w:marTop w:val="0"/>
      <w:marBottom w:val="0"/>
      <w:divBdr>
        <w:top w:val="none" w:sz="0" w:space="0" w:color="auto"/>
        <w:left w:val="none" w:sz="0" w:space="0" w:color="auto"/>
        <w:bottom w:val="none" w:sz="0" w:space="0" w:color="auto"/>
        <w:right w:val="none" w:sz="0" w:space="0" w:color="auto"/>
      </w:divBdr>
    </w:div>
    <w:div w:id="472139596">
      <w:bodyDiv w:val="1"/>
      <w:marLeft w:val="0"/>
      <w:marRight w:val="0"/>
      <w:marTop w:val="0"/>
      <w:marBottom w:val="0"/>
      <w:divBdr>
        <w:top w:val="none" w:sz="0" w:space="0" w:color="auto"/>
        <w:left w:val="none" w:sz="0" w:space="0" w:color="auto"/>
        <w:bottom w:val="none" w:sz="0" w:space="0" w:color="auto"/>
        <w:right w:val="none" w:sz="0" w:space="0" w:color="auto"/>
      </w:divBdr>
    </w:div>
    <w:div w:id="617100883">
      <w:bodyDiv w:val="1"/>
      <w:marLeft w:val="0"/>
      <w:marRight w:val="0"/>
      <w:marTop w:val="0"/>
      <w:marBottom w:val="0"/>
      <w:divBdr>
        <w:top w:val="none" w:sz="0" w:space="0" w:color="auto"/>
        <w:left w:val="none" w:sz="0" w:space="0" w:color="auto"/>
        <w:bottom w:val="none" w:sz="0" w:space="0" w:color="auto"/>
        <w:right w:val="none" w:sz="0" w:space="0" w:color="auto"/>
      </w:divBdr>
    </w:div>
    <w:div w:id="1066342195">
      <w:bodyDiv w:val="1"/>
      <w:marLeft w:val="0"/>
      <w:marRight w:val="0"/>
      <w:marTop w:val="0"/>
      <w:marBottom w:val="0"/>
      <w:divBdr>
        <w:top w:val="none" w:sz="0" w:space="0" w:color="auto"/>
        <w:left w:val="none" w:sz="0" w:space="0" w:color="auto"/>
        <w:bottom w:val="none" w:sz="0" w:space="0" w:color="auto"/>
        <w:right w:val="none" w:sz="0" w:space="0" w:color="auto"/>
      </w:divBdr>
    </w:div>
    <w:div w:id="1142770458">
      <w:bodyDiv w:val="1"/>
      <w:marLeft w:val="0"/>
      <w:marRight w:val="0"/>
      <w:marTop w:val="0"/>
      <w:marBottom w:val="0"/>
      <w:divBdr>
        <w:top w:val="none" w:sz="0" w:space="0" w:color="auto"/>
        <w:left w:val="none" w:sz="0" w:space="0" w:color="auto"/>
        <w:bottom w:val="none" w:sz="0" w:space="0" w:color="auto"/>
        <w:right w:val="none" w:sz="0" w:space="0" w:color="auto"/>
      </w:divBdr>
    </w:div>
    <w:div w:id="1149058002">
      <w:bodyDiv w:val="1"/>
      <w:marLeft w:val="0"/>
      <w:marRight w:val="0"/>
      <w:marTop w:val="0"/>
      <w:marBottom w:val="0"/>
      <w:divBdr>
        <w:top w:val="none" w:sz="0" w:space="0" w:color="auto"/>
        <w:left w:val="none" w:sz="0" w:space="0" w:color="auto"/>
        <w:bottom w:val="none" w:sz="0" w:space="0" w:color="auto"/>
        <w:right w:val="none" w:sz="0" w:space="0" w:color="auto"/>
      </w:divBdr>
    </w:div>
    <w:div w:id="1524318948">
      <w:bodyDiv w:val="1"/>
      <w:marLeft w:val="0"/>
      <w:marRight w:val="0"/>
      <w:marTop w:val="0"/>
      <w:marBottom w:val="0"/>
      <w:divBdr>
        <w:top w:val="none" w:sz="0" w:space="0" w:color="auto"/>
        <w:left w:val="none" w:sz="0" w:space="0" w:color="auto"/>
        <w:bottom w:val="none" w:sz="0" w:space="0" w:color="auto"/>
        <w:right w:val="none" w:sz="0" w:space="0" w:color="auto"/>
      </w:divBdr>
    </w:div>
    <w:div w:id="1687950048">
      <w:bodyDiv w:val="1"/>
      <w:marLeft w:val="0"/>
      <w:marRight w:val="0"/>
      <w:marTop w:val="0"/>
      <w:marBottom w:val="0"/>
      <w:divBdr>
        <w:top w:val="none" w:sz="0" w:space="0" w:color="auto"/>
        <w:left w:val="none" w:sz="0" w:space="0" w:color="auto"/>
        <w:bottom w:val="none" w:sz="0" w:space="0" w:color="auto"/>
        <w:right w:val="none" w:sz="0" w:space="0" w:color="auto"/>
      </w:divBdr>
    </w:div>
    <w:div w:id="1735006753">
      <w:bodyDiv w:val="1"/>
      <w:marLeft w:val="0"/>
      <w:marRight w:val="0"/>
      <w:marTop w:val="0"/>
      <w:marBottom w:val="0"/>
      <w:divBdr>
        <w:top w:val="none" w:sz="0" w:space="0" w:color="auto"/>
        <w:left w:val="none" w:sz="0" w:space="0" w:color="auto"/>
        <w:bottom w:val="none" w:sz="0" w:space="0" w:color="auto"/>
        <w:right w:val="none" w:sz="0" w:space="0" w:color="auto"/>
      </w:divBdr>
    </w:div>
    <w:div w:id="18793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Hiệ21</b:Tag>
    <b:SourceType>DocumentFromInternetSite</b:SourceType>
    <b:Guid>{E6B3538A-8EA3-4DF1-9124-A8CEAD653A4F}</b:Guid>
    <b:Title>Tóm tắt thị trường trái phiếu Việt Nam năm 2021</b:Title>
    <b:Year>2021</b:Year>
    <b:Author>
      <b:Author>
        <b:NameList>
          <b:Person>
            <b:Last>Hiệp hội thị trường Trái phiếu Việt Nam</b:Last>
          </b:Person>
        </b:NameList>
      </b:Author>
    </b:Author>
    <b:Publisher>Hiệp hội trái phiếu Việt Nam</b:Publisher>
    <b:City>Hà Nội</b:City>
    <b:Month>01</b:Month>
    <b:Day>31</b:Day>
    <b:YearAccessed>2022</b:YearAccessed>
    <b:MonthAccessed>12</b:MonthAccessed>
    <b:DayAccessed>27</b:DayAccessed>
    <b:URL>https://vbma.org.vn/storage/reports/March2022/VIE_VBMA_TOM%20TAT%20TTTP%202021.pdf</b:URL>
    <b:RefOrder>2</b:RefOrder>
  </b:Source>
  <b:Source>
    <b:Tag>The07</b:Tag>
    <b:SourceType>ElectronicSource</b:SourceType>
    <b:Guid>{534D386E-1935-4EAA-A833-06FB5A71199F}</b:Guid>
    <b:Title>Decision of the Standing Committee of the National People's Congress on Amending the Law of the People's Republic of China on the Administration of the Urban Real Estate</b:Title>
    <b:Year>2007</b:Year>
    <b:Author>
      <b:Author>
        <b:Corporate>The National People's Congress of the People's Republic of China</b:Corporate>
      </b:Author>
    </b:Author>
    <b:City>Beijing</b:City>
    <b:Publisher>The National People's Congress of the People's Republic of China</b:Publisher>
    <b:RefOrder>1</b:RefOrder>
  </b:Source>
</b:Sources>
</file>

<file path=customXml/itemProps1.xml><?xml version="1.0" encoding="utf-8"?>
<ds:datastoreItem xmlns:ds="http://schemas.openxmlformats.org/officeDocument/2006/customXml" ds:itemID="{C74FC9B9-58E4-4262-BC80-22D87569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8</Pages>
  <Words>2323</Words>
  <Characters>13246</Characters>
  <Application>Microsoft Office Word</Application>
  <DocSecurity>0</DocSecurity>
  <Lines>110</Lines>
  <Paragraphs>31</Paragraphs>
  <ScaleCrop>false</ScaleCrop>
  <Company/>
  <LinksUpToDate>false</LinksUpToDate>
  <CharactersWithSpaces>15538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Nghĩa Trần Đại</dc:creator>
  <cp:keywords/>
  <dc:description/>
  <cp:lastModifiedBy>Microsoft account</cp:lastModifiedBy>
  <cp:revision>496</cp:revision>
  <dcterms:created xsi:type="dcterms:W3CDTF">2022-12-05T17:03:00Z</dcterms:created>
  <dcterms:modified xsi:type="dcterms:W3CDTF">2023-04-11T08:47:00Z</dcterms:modified>
</cp:coreProperties>
</file>