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2">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Thưa các quý vị,</w:t>
      </w:r>
    </w:p>
    <w:p w:rsidR="00000000" w:rsidDel="00000000" w:rsidP="00000000" w:rsidRDefault="00000000" w:rsidRPr="00000000" w14:paraId="00000003">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4">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Tôi rất vinh hạnh thay mặt cho Hiệp hội Thương mại Mỹ ở hội thảo ngày hôm nay. Lời đầu tiên, tôi xin chúc toàn thể quý vị sức khỏe và hạnh phúc.</w:t>
      </w:r>
    </w:p>
    <w:p w:rsidR="00000000" w:rsidDel="00000000" w:rsidP="00000000" w:rsidRDefault="00000000" w:rsidRPr="00000000" w14:paraId="00000005">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6">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Hiệp hội Thương mại Mỹ luôn mong muốn hợp tác với Chính phủ Việt Nam để bảo vệ cuộc sống và sinh kế, hỗ trợ phục hồi kinh tế sau đại dịch Covid-19 và tăng trưởng bền vững cũng như đóng góp vào quá trình xây dựng các chính sách của Việt Nam.</w:t>
      </w:r>
    </w:p>
    <w:p w:rsidR="00000000" w:rsidDel="00000000" w:rsidP="00000000" w:rsidRDefault="00000000" w:rsidRPr="00000000" w14:paraId="00000007">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8">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Bộ Tài chính đang xem xét đề xuất áp dụng thuế Tiêu Thụ Đặc Biệt đối với đồ uống có đường, thức uống đại mạch và nước giải khát không cồn để kiểm soát béo phì và các bệnh không lây nhiễm. Chúng tôi rất quan ngại về đề xuất này vì theo báo cáo của Bộ Tài chính</w:t>
      </w:r>
      <w:r w:rsidDel="00000000" w:rsidR="00000000" w:rsidRPr="00000000">
        <w:rPr>
          <w:rFonts w:ascii="Times New Roman" w:cs="Times New Roman" w:eastAsia="Times New Roman" w:hAnsi="Times New Roman"/>
          <w:color w:val="202124"/>
          <w:sz w:val="25"/>
          <w:szCs w:val="25"/>
          <w:vertAlign w:val="superscript"/>
          <w:rtl w:val="0"/>
        </w:rPr>
        <w:t xml:space="preserve">1</w:t>
      </w:r>
      <w:r w:rsidDel="00000000" w:rsidR="00000000" w:rsidRPr="00000000">
        <w:rPr>
          <w:rFonts w:ascii="Times New Roman" w:cs="Times New Roman" w:eastAsia="Times New Roman" w:hAnsi="Times New Roman"/>
          <w:color w:val="202124"/>
          <w:sz w:val="25"/>
          <w:szCs w:val="25"/>
          <w:rtl w:val="0"/>
        </w:rPr>
        <w:t xml:space="preserve">, chỉ có khoảng ¼ quốc gia trên thế giới áp dụng thuế đối với đồ uống có đường (đây là một thuật ngữ gây nhầm lẫn, vì các tài liệu khoa học trong chính báo cáo này sử dụng một thuật ngữ khác là “Nước Giải Khát Có Bổ Sung Đường”</w:t>
      </w:r>
      <w:r w:rsidDel="00000000" w:rsidR="00000000" w:rsidRPr="00000000">
        <w:rPr>
          <w:rFonts w:ascii="Times New Roman" w:cs="Times New Roman" w:eastAsia="Times New Roman" w:hAnsi="Times New Roman"/>
          <w:color w:val="202124"/>
          <w:sz w:val="25"/>
          <w:szCs w:val="25"/>
          <w:vertAlign w:val="superscript"/>
          <w:rtl w:val="0"/>
        </w:rPr>
        <w:t xml:space="preserve">2</w:t>
      </w:r>
      <w:r w:rsidDel="00000000" w:rsidR="00000000" w:rsidRPr="00000000">
        <w:rPr>
          <w:rFonts w:ascii="Times New Roman" w:cs="Times New Roman" w:eastAsia="Times New Roman" w:hAnsi="Times New Roman"/>
          <w:color w:val="202124"/>
          <w:sz w:val="25"/>
          <w:szCs w:val="25"/>
          <w:rtl w:val="0"/>
        </w:rPr>
        <w:t xml:space="preserve">. Như vậy, chúng tôi thấy không có quốc gia nào trong số này chứng minh được hiệu quả của sắc thuế trong việc giảm béo phì và đái tháo đường, trong khi nó gây ra những tác động kinh tế và xã hội lớn đến mức một số quốc gia, chẳng hạn như Đan Mạch, đã rút bỏ loại thuế này</w:t>
      </w:r>
      <w:r w:rsidDel="00000000" w:rsidR="00000000" w:rsidRPr="00000000">
        <w:rPr>
          <w:rFonts w:ascii="Times New Roman" w:cs="Times New Roman" w:eastAsia="Times New Roman" w:hAnsi="Times New Roman"/>
          <w:color w:val="202124"/>
          <w:sz w:val="25"/>
          <w:szCs w:val="25"/>
          <w:vertAlign w:val="superscript"/>
          <w:rtl w:val="0"/>
        </w:rPr>
        <w:t xml:space="preserve">3</w:t>
      </w:r>
      <w:r w:rsidDel="00000000" w:rsidR="00000000" w:rsidRPr="00000000">
        <w:rPr>
          <w:rFonts w:ascii="Times New Roman" w:cs="Times New Roman" w:eastAsia="Times New Roman" w:hAnsi="Times New Roman"/>
          <w:color w:val="202124"/>
          <w:sz w:val="25"/>
          <w:szCs w:val="25"/>
          <w:rtl w:val="0"/>
        </w:rPr>
        <w:t xml:space="preserve">.</w:t>
      </w:r>
    </w:p>
    <w:p w:rsidR="00000000" w:rsidDel="00000000" w:rsidP="00000000" w:rsidRDefault="00000000" w:rsidRPr="00000000" w14:paraId="00000009">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A">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Báo cáo của Bộ Y tế</w:t>
      </w:r>
      <w:r w:rsidDel="00000000" w:rsidR="00000000" w:rsidRPr="00000000">
        <w:rPr>
          <w:rFonts w:ascii="Times New Roman" w:cs="Times New Roman" w:eastAsia="Times New Roman" w:hAnsi="Times New Roman"/>
          <w:color w:val="202124"/>
          <w:sz w:val="25"/>
          <w:szCs w:val="25"/>
          <w:vertAlign w:val="superscript"/>
          <w:rtl w:val="0"/>
        </w:rPr>
        <w:t xml:space="preserve">4</w:t>
      </w:r>
      <w:r w:rsidDel="00000000" w:rsidR="00000000" w:rsidRPr="00000000">
        <w:rPr>
          <w:rFonts w:ascii="Times New Roman" w:cs="Times New Roman" w:eastAsia="Times New Roman" w:hAnsi="Times New Roman"/>
          <w:color w:val="202124"/>
          <w:sz w:val="25"/>
          <w:szCs w:val="25"/>
          <w:rtl w:val="0"/>
        </w:rPr>
        <w:t xml:space="preserve"> cho thấy nguyên nhân chính gây béo phì là do chế độ ăn uống mất cân đối, quá nhiều năng lượng (từ cả chất béo, chất đạm, carbohydrat); và thiếu hoạt động thể chất. Do đó, để kiểm soát béo phì, cách hiệu quả nhất là giáo dục người dân cân bằng chế độ ăn uống và tăng cường hoạt động thể chất.</w:t>
      </w:r>
    </w:p>
    <w:p w:rsidR="00000000" w:rsidDel="00000000" w:rsidP="00000000" w:rsidRDefault="00000000" w:rsidRPr="00000000" w14:paraId="0000000B">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C">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Theo hệ thống văn bản phát luật Việt Nam hiện hành không có định nghĩa thế nào là “đồ uống có đường”. Do đó, đề xuất này của Bộ Tài chính có thể bao gồm cả nhiều loại sản phẩm là thực phẩm thiết yếu cho cuộc sống và tốt cho sức khỏe như sữa và các sản phẩm từ sữa, thực phẩm đặc biệt cho trẻ em, phụ nữ có thai, người già, thực phẩm bảo vệ sức khỏe, thực phẩm y tế cho người bệnh, v.v. Việc áp dụng thuế tiêu thụ đặc biệt đối với các sản phẩm này sẽ tác động tiêu cực đến đời sống của mọi gia đình và sức khỏe của người dân.</w:t>
      </w:r>
    </w:p>
    <w:p w:rsidR="00000000" w:rsidDel="00000000" w:rsidP="00000000" w:rsidRDefault="00000000" w:rsidRPr="00000000" w14:paraId="0000000D">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0E">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Nếu đề xuất này được thông qua, cả ngành thực phẩm và đồ uống, vốn đang chật vật phục hồi sau đại dịch Covid-19, sẽ phải đối mặt thêm gánh nặng tài chính. Nó cũng tạo thêm gánh nặng tài chính cho mọi gia đình khi phải chi trả giá cao hơn cho nhiều loại thực phẩm thông thường, trong thời kỳ lạm phát cao như hiện nay.</w:t>
      </w:r>
    </w:p>
    <w:p w:rsidR="00000000" w:rsidDel="00000000" w:rsidP="00000000" w:rsidRDefault="00000000" w:rsidRPr="00000000" w14:paraId="0000000F">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10">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Chúng tôi kính đề nghị Bộ Tài chính loại bỏ đồ uống có đường, đồ uống đại mạch và nước giải khát không cồn ra khỏi dự thảo thuế tiêu thụ đặc biệt sửa đổi. Bộ Tài chính cần cân nhắc các tác động tiềm ẩn của đề xuất đối với doanh nghiệp và người tiêu dùng so với hiệu quả của nó, dựa trên các bằng chứng khoa học xác đáng và nguyên tắc quản lý rủi ro để tránh những hậu quả không mong muốn cho cộng đồng và xã hội.</w:t>
      </w:r>
    </w:p>
    <w:p w:rsidR="00000000" w:rsidDel="00000000" w:rsidP="00000000" w:rsidRDefault="00000000" w:rsidRPr="00000000" w14:paraId="00000011">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12">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Fonts w:ascii="Times New Roman" w:cs="Times New Roman" w:eastAsia="Times New Roman" w:hAnsi="Times New Roman"/>
          <w:color w:val="202124"/>
          <w:sz w:val="25"/>
          <w:szCs w:val="25"/>
          <w:rtl w:val="0"/>
        </w:rPr>
        <w:t xml:space="preserve">Xin trân trọng cảm ơn quý đại biểu.</w:t>
      </w:r>
    </w:p>
    <w:p w:rsidR="00000000" w:rsidDel="00000000" w:rsidP="00000000" w:rsidRDefault="00000000" w:rsidRPr="00000000" w14:paraId="00000013">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14">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15">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Báo cáo đánh giá tác động đề nghị xây dựng Luật Thuế tiêu thụ đặc biệt sửa đổi. Bộ Tài Chính. 2023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Malik VS, Popkin BM, Bray GA, Després JP, Willett WC, Hu FB. Sugar-sweetened beverages and risk of metabolic syndrome and type 2 diabetes: a meta-analysis. Diabetes care. 2010 Nov 1;33(11):2477-83.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http://www.foodnavigator.com/Policy/Denmark-to-scrap-decades-old-soft-drink-tax</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Quyết định số 2892/QĐ-BYT ngày 22/10/2022 ban hành “Hướng dẫn chẩn đoán và điều trị bệnh béo phì”. Bộ Y tế</w:t>
      </w:r>
    </w:p>
    <w:p w:rsidR="00000000" w:rsidDel="00000000" w:rsidP="00000000" w:rsidRDefault="00000000" w:rsidRPr="00000000" w14:paraId="0000001A">
      <w:pPr>
        <w:spacing w:after="160" w:line="259"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Lady and gentlemen,</w:t>
      </w:r>
    </w:p>
    <w:p w:rsidR="00000000" w:rsidDel="00000000" w:rsidP="00000000" w:rsidRDefault="00000000" w:rsidRPr="00000000" w14:paraId="0000001C">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I am proud to be here today on behalf of the American Chamber of Commerce in Vietnam. First of all, I would like to wish all of you healthy and happiness. </w:t>
      </w:r>
    </w:p>
    <w:p w:rsidR="00000000" w:rsidDel="00000000" w:rsidP="00000000" w:rsidRDefault="00000000" w:rsidRPr="00000000" w14:paraId="0000001E">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AmCham Vietnam looks forward to partnering with Vietnam Government to protect lives and livelihoods and enable economic recovery after Covid-19 pandemic, and sustainable growth, as well as contributing to the development of Vietnam’s policies.</w:t>
      </w:r>
    </w:p>
    <w:p w:rsidR="00000000" w:rsidDel="00000000" w:rsidP="00000000" w:rsidRDefault="00000000" w:rsidRPr="00000000" w14:paraId="00000020">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To control obesity and non-communicated diseases, the Ministry of Finance is considering a proposal to apply a Special Consumption Tax (“SCT”) on sugar-contained drinks, barley drinks, and non-alcoholic beverages. We are deeply concerned about this proposal, since according to MOF report</w:t>
      </w:r>
      <w:r w:rsidDel="00000000" w:rsidR="00000000" w:rsidRPr="00000000">
        <w:rPr>
          <w:rFonts w:ascii="Times New Roman" w:cs="Times New Roman" w:eastAsia="Times New Roman" w:hAnsi="Times New Roman"/>
          <w:sz w:val="25"/>
          <w:szCs w:val="25"/>
          <w:vertAlign w:val="superscript"/>
        </w:rPr>
        <w:footnoteReference w:customMarkFollows="0" w:id="0"/>
      </w:r>
      <w:r w:rsidDel="00000000" w:rsidR="00000000" w:rsidRPr="00000000">
        <w:rPr>
          <w:rFonts w:ascii="Times New Roman" w:cs="Times New Roman" w:eastAsia="Times New Roman" w:hAnsi="Times New Roman"/>
          <w:sz w:val="25"/>
          <w:szCs w:val="25"/>
          <w:rtl w:val="0"/>
        </w:rPr>
        <w:t xml:space="preserve">, as only around ¼ countries in the world applied the tax on sugar-contained drinks (its a confusing term, as the scientific references in the same report use a different term “sugar-sweetened beverages”)</w:t>
      </w:r>
      <w:r w:rsidDel="00000000" w:rsidR="00000000" w:rsidRPr="00000000">
        <w:rPr>
          <w:rFonts w:ascii="Times New Roman" w:cs="Times New Roman" w:eastAsia="Times New Roman" w:hAnsi="Times New Roman"/>
          <w:sz w:val="25"/>
          <w:szCs w:val="25"/>
          <w:vertAlign w:val="superscript"/>
          <w:rtl w:val="0"/>
        </w:rPr>
        <w:t xml:space="preserve">2</w:t>
      </w:r>
      <w:r w:rsidDel="00000000" w:rsidR="00000000" w:rsidRPr="00000000">
        <w:rPr>
          <w:rFonts w:ascii="Times New Roman" w:cs="Times New Roman" w:eastAsia="Times New Roman" w:hAnsi="Times New Roman"/>
          <w:sz w:val="25"/>
          <w:szCs w:val="25"/>
          <w:rtl w:val="0"/>
        </w:rPr>
        <w:t xml:space="preserve">. As such, we find none of these countries proves effective in reducing obesity and diabetes, while it caused significant social and economic impacts, that some countries, such as Denmark, has withdrawn this tax</w:t>
      </w:r>
      <w:r w:rsidDel="00000000" w:rsidR="00000000" w:rsidRPr="00000000">
        <w:rPr>
          <w:rFonts w:ascii="Times New Roman" w:cs="Times New Roman" w:eastAsia="Times New Roman" w:hAnsi="Times New Roman"/>
          <w:sz w:val="25"/>
          <w:szCs w:val="25"/>
          <w:vertAlign w:val="superscript"/>
          <w:rtl w:val="0"/>
        </w:rPr>
        <w:t xml:space="preserve">3</w:t>
      </w: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022">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MOH report</w:t>
      </w:r>
      <w:r w:rsidDel="00000000" w:rsidR="00000000" w:rsidRPr="00000000">
        <w:rPr>
          <w:rFonts w:ascii="Times New Roman" w:cs="Times New Roman" w:eastAsia="Times New Roman" w:hAnsi="Times New Roman"/>
          <w:sz w:val="25"/>
          <w:szCs w:val="25"/>
          <w:vertAlign w:val="superscript"/>
          <w:rtl w:val="0"/>
        </w:rPr>
        <w:t xml:space="preserve">4</w:t>
      </w:r>
      <w:r w:rsidDel="00000000" w:rsidR="00000000" w:rsidRPr="00000000">
        <w:rPr>
          <w:rFonts w:ascii="Times New Roman" w:cs="Times New Roman" w:eastAsia="Times New Roman" w:hAnsi="Times New Roman"/>
          <w:sz w:val="25"/>
          <w:szCs w:val="25"/>
          <w:rtl w:val="0"/>
        </w:rPr>
        <w:t xml:space="preserve"> show that the main cause of obesity are unbalance diet regiments which contains too much of energy, that may come from fat, protein, carbohydrates; and the lack of physical activity among school age children. Hence, to control the obesity, the most effective way is educating people for balance diet and enhancing physical activity.</w:t>
      </w:r>
    </w:p>
    <w:p w:rsidR="00000000" w:rsidDel="00000000" w:rsidP="00000000" w:rsidRDefault="00000000" w:rsidRPr="00000000" w14:paraId="00000024">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There is no definition of “sugar-contained drinks” under  Vietnamese law. Hence, this MOF’s proposal may include a variety of food products which are essential for the life and good for health, such as milk &amp; milk products, special foods for children, pregnant, elderly people, health supplements, medical foods for patients, etc. Apply the SCT in these products will negatively impact to the life of each and every family, and to the people health.</w:t>
      </w:r>
    </w:p>
    <w:p w:rsidR="00000000" w:rsidDel="00000000" w:rsidP="00000000" w:rsidRDefault="00000000" w:rsidRPr="00000000" w14:paraId="00000026">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If the proposal is eventually endorsed, both the food and beverage industry, which are struggling to recover from the Covid-19 pandemic, will face additional financial burdens. It also put an additional financial burden to all families when they have to pay higher price for many regular food products, in this high-inflation period as now. </w:t>
      </w:r>
    </w:p>
    <w:p w:rsidR="00000000" w:rsidDel="00000000" w:rsidP="00000000" w:rsidRDefault="00000000" w:rsidRPr="00000000" w14:paraId="00000028">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We strongly recommend the MOF to remove sugar-contained drinks, barley drinks, and non-alcoholic beverages out of the current draft. The Ministry of Finance should take into consideration the potential impacts of their proposal on businesses and consumers versus its effectiveness, based on sound scientific evidences and risk management principle, to avoid unintentional consequences to the public and society. </w:t>
      </w:r>
    </w:p>
    <w:p w:rsidR="00000000" w:rsidDel="00000000" w:rsidP="00000000" w:rsidRDefault="00000000" w:rsidRPr="00000000" w14:paraId="0000002A">
      <w:pPr>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Thanks everyone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color w:val="202124"/>
          <w:sz w:val="25"/>
          <w:szCs w:val="25"/>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152" w:left="115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2023 The Impact Assessment Report by Ministry of Finance proposes to amend Law on Special Consumption Tax.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Malik VS, Popkin BM, Bray GA, Després JP, Willett WC, Hu FB. Sugar-sweetened beverages and risk of metabolic syndrome and type 2 diabetes: a meta-analysis. Diabetes care. 2010 Nov 1;33(11):2477-83.</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http://www.foodnavigator.com/Policy/Denmark-to-scrap-decades-old-soft-drink-tax</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Decision No.: 2892/QĐ-BYT dated 22/10/2022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professional document "Guidelines for diagnosis and treatment of observations" issued by the Minister of Health.</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oodnavigator.com/Policy/Denmark-to-scrap-decades-old-soft-drink-tax"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oodnavigator.com/Policy/Denmark-to-scrap-decades-old-soft-drink-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