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6"/>
          <w:szCs w:val="26"/>
        </w:rPr>
      </w:pPr>
      <w:r>
        <w:rPr>
          <w:b/>
          <w:sz w:val="26"/>
          <w:szCs w:val="26"/>
        </w:rPr>
        <w:t>VĂN PHÒNG LUẬT SƯ VNC</w:t>
      </w:r>
    </w:p>
    <w:p>
      <w:pPr>
        <w:rPr>
          <w:sz w:val="26"/>
          <w:szCs w:val="26"/>
        </w:rPr>
      </w:pPr>
      <w:r>
        <w:rPr>
          <w:b/>
          <w:sz w:val="26"/>
          <w:szCs w:val="26"/>
        </w:rPr>
        <w:t xml:space="preserve">  VINA CODE LAW FIRM</w:t>
      </w:r>
    </w:p>
    <w:p>
      <w:pPr>
        <w:rPr>
          <w:i/>
          <w:sz w:val="26"/>
          <w:szCs w:val="26"/>
        </w:rPr>
      </w:pPr>
      <w:r>
        <w:rPr>
          <w:i/>
          <w:sz w:val="26"/>
          <w:szCs w:val="26"/>
        </w:rPr>
        <w:t>Add: 274 Chu V</w:t>
      </w:r>
      <w:r>
        <w:rPr>
          <w:sz w:val="26"/>
          <w:szCs w:val="26"/>
        </w:rPr>
        <w:t xml:space="preserve"> </w:t>
      </w:r>
      <w:r>
        <w:rPr>
          <w:i/>
          <w:sz w:val="26"/>
          <w:szCs w:val="26"/>
        </w:rPr>
        <w:t>ăn An, P.</w:t>
      </w:r>
      <w:r>
        <w:rPr>
          <w:rFonts w:hint="default"/>
          <w:i/>
          <w:sz w:val="26"/>
          <w:szCs w:val="26"/>
          <w:lang w:val="en-US"/>
        </w:rPr>
        <w:t xml:space="preserve"> </w:t>
      </w:r>
      <w:r>
        <w:rPr>
          <w:i/>
          <w:sz w:val="26"/>
          <w:szCs w:val="26"/>
        </w:rPr>
        <w:t>26, Q. Bình Thạnh, Tp.HCM</w:t>
      </w:r>
    </w:p>
    <w:p>
      <w:pPr>
        <w:rPr>
          <w:i/>
          <w:sz w:val="26"/>
          <w:szCs w:val="26"/>
        </w:rPr>
      </w:pPr>
      <w:r>
        <w:rPr>
          <w:i/>
          <w:sz w:val="26"/>
          <w:szCs w:val="26"/>
        </w:rPr>
        <w:t>Tel :  0</w:t>
      </w:r>
      <w:r>
        <w:rPr>
          <w:i/>
          <w:sz w:val="26"/>
          <w:szCs w:val="26"/>
          <w:lang w:val="en-US"/>
        </w:rPr>
        <w:t>2</w:t>
      </w:r>
      <w:r>
        <w:rPr>
          <w:i/>
          <w:sz w:val="26"/>
          <w:szCs w:val="26"/>
        </w:rPr>
        <w:t xml:space="preserve">8.62947899 </w:t>
      </w:r>
    </w:p>
    <w:p>
      <w:pPr>
        <w:rPr>
          <w:i/>
          <w:sz w:val="26"/>
          <w:szCs w:val="26"/>
        </w:rPr>
      </w:pPr>
      <w:r>
        <w:rPr>
          <w:i/>
          <w:sz w:val="26"/>
          <w:szCs w:val="26"/>
        </w:rPr>
        <w:t xml:space="preserve">Mobile :   0988650729 </w:t>
      </w:r>
    </w:p>
    <w:p>
      <w:pPr>
        <w:rPr>
          <w:sz w:val="28"/>
          <w:szCs w:val="28"/>
        </w:rPr>
      </w:pPr>
      <w:r>
        <w:rPr>
          <w:i/>
          <w:sz w:val="26"/>
          <w:szCs w:val="26"/>
        </w:rPr>
        <w:t>Email: vnclaw@yahoo.com</w:t>
      </w:r>
    </w:p>
    <w:p>
      <w:pPr>
        <w:jc w:val="right"/>
        <w:rPr>
          <w:i/>
          <w:sz w:val="28"/>
          <w:szCs w:val="28"/>
        </w:rPr>
      </w:pPr>
    </w:p>
    <w:p>
      <w:pPr>
        <w:jc w:val="right"/>
        <w:rPr>
          <w:rFonts w:hint="default"/>
          <w:i/>
          <w:sz w:val="28"/>
          <w:szCs w:val="28"/>
          <w:lang w:val="en-US"/>
        </w:rPr>
      </w:pPr>
      <w:r>
        <w:rPr>
          <w:i/>
          <w:sz w:val="28"/>
          <w:szCs w:val="28"/>
        </w:rPr>
        <w:t xml:space="preserve">Thành phố Hồ Chí Minh, ngày </w:t>
      </w:r>
      <w:r>
        <w:rPr>
          <w:rFonts w:hint="default"/>
          <w:i/>
          <w:sz w:val="28"/>
          <w:szCs w:val="28"/>
          <w:lang w:val="en-US"/>
        </w:rPr>
        <w:t>23</w:t>
      </w:r>
      <w:r>
        <w:rPr>
          <w:i/>
          <w:sz w:val="28"/>
          <w:szCs w:val="28"/>
        </w:rPr>
        <w:t xml:space="preserve"> tháng </w:t>
      </w:r>
      <w:r>
        <w:rPr>
          <w:rFonts w:hint="default"/>
          <w:i/>
          <w:sz w:val="28"/>
          <w:szCs w:val="28"/>
          <w:lang w:val="en-US"/>
        </w:rPr>
        <w:t>02</w:t>
      </w:r>
      <w:r>
        <w:rPr>
          <w:i/>
          <w:sz w:val="28"/>
          <w:szCs w:val="28"/>
        </w:rPr>
        <w:t xml:space="preserve"> năm 20</w:t>
      </w:r>
      <w:r>
        <w:rPr>
          <w:rFonts w:hint="default"/>
          <w:i/>
          <w:sz w:val="28"/>
          <w:szCs w:val="28"/>
          <w:lang w:val="en-US"/>
        </w:rPr>
        <w:t>23</w:t>
      </w:r>
    </w:p>
    <w:p>
      <w:pPr>
        <w:tabs>
          <w:tab w:val="center" w:pos="4680"/>
          <w:tab w:val="left" w:pos="6285"/>
        </w:tabs>
        <w:jc w:val="both"/>
        <w:rPr>
          <w:b/>
          <w:sz w:val="28"/>
          <w:szCs w:val="28"/>
          <w:highlight w:val="none"/>
        </w:rPr>
      </w:pPr>
    </w:p>
    <w:p>
      <w:pPr>
        <w:jc w:val="center"/>
        <w:rPr>
          <w:b/>
          <w:sz w:val="28"/>
          <w:szCs w:val="28"/>
          <w:lang w:val="en-US"/>
        </w:rPr>
      </w:pPr>
      <w:r>
        <w:rPr>
          <w:rFonts w:hint="default"/>
          <w:b/>
          <w:sz w:val="28"/>
          <w:szCs w:val="28"/>
          <w:lang w:val="en-US"/>
        </w:rPr>
        <w:t>MỘT SỐ</w:t>
      </w:r>
      <w:r>
        <w:rPr>
          <w:b/>
          <w:sz w:val="28"/>
          <w:szCs w:val="28"/>
        </w:rPr>
        <w:t xml:space="preserve"> Ý KIẾN </w:t>
      </w:r>
      <w:r>
        <w:rPr>
          <w:b/>
          <w:sz w:val="28"/>
          <w:szCs w:val="28"/>
          <w:lang w:val="en-US"/>
        </w:rPr>
        <w:t>Đ</w:t>
      </w:r>
      <w:r>
        <w:rPr>
          <w:rFonts w:hint="default"/>
          <w:b/>
          <w:sz w:val="28"/>
          <w:szCs w:val="28"/>
          <w:lang w:val="en-US"/>
        </w:rPr>
        <w:t xml:space="preserve">ÓNG GÓP </w:t>
      </w:r>
      <w:r>
        <w:rPr>
          <w:b/>
          <w:sz w:val="28"/>
          <w:szCs w:val="28"/>
          <w:lang w:val="en-US"/>
        </w:rPr>
        <w:t>S</w:t>
      </w:r>
      <w:r>
        <w:rPr>
          <w:rFonts w:hint="default"/>
          <w:b/>
          <w:sz w:val="28"/>
          <w:szCs w:val="28"/>
          <w:lang w:val="en-US"/>
        </w:rPr>
        <w:t xml:space="preserve">ỬA ĐỔI LUẬT BẢO VỆ QUYỀN LỢI NGƯỜI TIÊU DÙNG </w:t>
      </w:r>
    </w:p>
    <w:p>
      <w:pPr>
        <w:jc w:val="center"/>
        <w:rPr>
          <w:sz w:val="28"/>
          <w:szCs w:val="28"/>
        </w:rPr>
      </w:pPr>
      <w:r>
        <w:rPr>
          <w:i/>
          <w:sz w:val="28"/>
          <w:szCs w:val="28"/>
        </w:rPr>
        <w:t xml:space="preserve">(Tại hội thảo diễn ra ngày </w:t>
      </w:r>
      <w:r>
        <w:rPr>
          <w:rFonts w:hint="default"/>
          <w:i/>
          <w:sz w:val="28"/>
          <w:szCs w:val="28"/>
          <w:lang w:val="en-US"/>
        </w:rPr>
        <w:t>23</w:t>
      </w:r>
      <w:r>
        <w:rPr>
          <w:i/>
          <w:sz w:val="28"/>
          <w:szCs w:val="28"/>
        </w:rPr>
        <w:t>/</w:t>
      </w:r>
      <w:r>
        <w:rPr>
          <w:rFonts w:hint="default"/>
          <w:i/>
          <w:sz w:val="28"/>
          <w:szCs w:val="28"/>
          <w:lang w:val="en-US"/>
        </w:rPr>
        <w:t>02</w:t>
      </w:r>
      <w:r>
        <w:rPr>
          <w:i/>
          <w:sz w:val="28"/>
          <w:szCs w:val="28"/>
        </w:rPr>
        <w:t>/20</w:t>
      </w:r>
      <w:r>
        <w:rPr>
          <w:rFonts w:hint="default"/>
          <w:i/>
          <w:sz w:val="28"/>
          <w:szCs w:val="28"/>
          <w:lang w:val="en-US"/>
        </w:rPr>
        <w:t>23</w:t>
      </w:r>
      <w:r>
        <w:rPr>
          <w:i/>
          <w:sz w:val="28"/>
          <w:szCs w:val="28"/>
          <w:lang w:val="en-US"/>
        </w:rPr>
        <w:t xml:space="preserve"> </w:t>
      </w:r>
      <w:r>
        <w:rPr>
          <w:i/>
          <w:sz w:val="28"/>
          <w:szCs w:val="28"/>
        </w:rPr>
        <w:t xml:space="preserve">do </w:t>
      </w:r>
      <w:r>
        <w:rPr>
          <w:rFonts w:hint="default"/>
          <w:i/>
          <w:sz w:val="28"/>
          <w:szCs w:val="28"/>
        </w:rPr>
        <w:t>Ủy</w:t>
      </w:r>
      <w:r>
        <w:rPr>
          <w:rFonts w:hint="default"/>
          <w:i/>
          <w:sz w:val="28"/>
          <w:szCs w:val="28"/>
          <w:lang w:val="en-US"/>
        </w:rPr>
        <w:t xml:space="preserve"> ban KHCN</w:t>
      </w:r>
      <w:bookmarkStart w:id="8" w:name="_GoBack"/>
      <w:bookmarkEnd w:id="8"/>
      <w:r>
        <w:rPr>
          <w:rFonts w:hint="default"/>
          <w:i/>
          <w:sz w:val="28"/>
          <w:szCs w:val="28"/>
          <w:lang w:val="en-US"/>
        </w:rPr>
        <w:t xml:space="preserve"> và môi trường phối hợp với </w:t>
      </w:r>
      <w:r>
        <w:rPr>
          <w:i/>
          <w:sz w:val="28"/>
          <w:szCs w:val="28"/>
        </w:rPr>
        <w:t>VCCI</w:t>
      </w:r>
      <w:r>
        <w:rPr>
          <w:rFonts w:hint="default"/>
          <w:i/>
          <w:sz w:val="28"/>
          <w:szCs w:val="28"/>
          <w:lang w:val="en-US"/>
        </w:rPr>
        <w:t xml:space="preserve"> </w:t>
      </w:r>
      <w:r>
        <w:rPr>
          <w:i/>
          <w:sz w:val="28"/>
          <w:szCs w:val="28"/>
        </w:rPr>
        <w:t>tổ chức)</w:t>
      </w:r>
    </w:p>
    <w:p>
      <w:pPr>
        <w:ind w:left="5590" w:hanging="6023" w:hangingChars="2150"/>
        <w:jc w:val="center"/>
        <w:rPr>
          <w:b/>
          <w:sz w:val="28"/>
          <w:szCs w:val="28"/>
          <w:lang w:val="en-US"/>
        </w:rPr>
      </w:pPr>
      <w:r>
        <w:rPr>
          <w:b/>
          <w:sz w:val="28"/>
          <w:szCs w:val="28"/>
          <w:lang w:val="en-US"/>
        </w:rPr>
        <w:t xml:space="preserve">                     </w:t>
      </w:r>
    </w:p>
    <w:p>
      <w:pPr>
        <w:ind w:firstLine="4622" w:firstLineChars="1650"/>
        <w:jc w:val="both"/>
        <w:rPr>
          <w:i/>
          <w:sz w:val="28"/>
          <w:szCs w:val="28"/>
        </w:rPr>
      </w:pPr>
      <w:r>
        <w:rPr>
          <w:b/>
          <w:sz w:val="28"/>
          <w:szCs w:val="28"/>
        </w:rPr>
        <w:t>Luật sư</w:t>
      </w:r>
      <w:r>
        <w:rPr>
          <w:sz w:val="28"/>
          <w:szCs w:val="28"/>
        </w:rPr>
        <w:t xml:space="preserve"> </w:t>
      </w:r>
      <w:r>
        <w:rPr>
          <w:b/>
          <w:sz w:val="28"/>
          <w:szCs w:val="28"/>
        </w:rPr>
        <w:t>Hoàng Văn Sơn</w:t>
      </w:r>
      <w:r>
        <w:rPr>
          <w:i/>
          <w:sz w:val="28"/>
          <w:szCs w:val="28"/>
        </w:rPr>
        <w:t xml:space="preserve">                                                                  </w:t>
      </w:r>
    </w:p>
    <w:p>
      <w:pPr>
        <w:tabs>
          <w:tab w:val="left" w:pos="6240"/>
        </w:tabs>
        <w:ind w:firstLine="4760" w:firstLineChars="1700"/>
        <w:jc w:val="both"/>
        <w:rPr>
          <w:rFonts w:hint="default"/>
          <w:i/>
          <w:iCs w:val="0"/>
          <w:sz w:val="28"/>
          <w:szCs w:val="28"/>
          <w:lang w:val="en-US"/>
        </w:rPr>
      </w:pPr>
      <w:r>
        <w:rPr>
          <w:rFonts w:hint="default"/>
          <w:i/>
          <w:iCs w:val="0"/>
          <w:sz w:val="28"/>
          <w:szCs w:val="28"/>
          <w:lang w:val="en-US"/>
        </w:rPr>
        <w:t>Văn phòng luật sư VNC</w:t>
      </w:r>
    </w:p>
    <w:p>
      <w:pPr>
        <w:tabs>
          <w:tab w:val="left" w:pos="6240"/>
        </w:tabs>
        <w:ind w:left="0" w:leftChars="0" w:firstLine="0" w:firstLineChars="0"/>
        <w:jc w:val="both"/>
        <w:rPr>
          <w:rFonts w:hint="default"/>
          <w:i w:val="0"/>
          <w:iCs/>
          <w:sz w:val="28"/>
          <w:szCs w:val="28"/>
          <w:lang w:val="en-US"/>
        </w:rPr>
      </w:pPr>
    </w:p>
    <w:p>
      <w:pPr>
        <w:spacing w:before="120" w:line="360" w:lineRule="exact"/>
        <w:ind w:firstLine="420" w:firstLineChars="150"/>
        <w:jc w:val="both"/>
        <w:rPr>
          <w:rFonts w:hint="default"/>
          <w:i w:val="0"/>
          <w:iCs/>
          <w:sz w:val="28"/>
          <w:szCs w:val="28"/>
          <w:lang w:val="en-US"/>
        </w:rPr>
      </w:pPr>
      <w:r>
        <w:rPr>
          <w:rFonts w:hint="default"/>
          <w:i w:val="0"/>
          <w:iCs/>
          <w:sz w:val="28"/>
          <w:szCs w:val="28"/>
          <w:lang w:val="en-US"/>
        </w:rPr>
        <w:t xml:space="preserve">Trên cơ sở những vấn đề gợi mở của Ban tổ chức hội thảo, chúng tôi xin đóng góp một số ý kiến sửa đổi của Dự án Luật bảo vệ quyền lợi của người tiêu dùng như sau: </w:t>
      </w:r>
    </w:p>
    <w:p>
      <w:pPr>
        <w:spacing w:before="120" w:line="360" w:lineRule="exact"/>
        <w:jc w:val="both"/>
        <w:rPr>
          <w:rFonts w:hint="default"/>
          <w:i w:val="0"/>
          <w:iCs/>
          <w:sz w:val="28"/>
          <w:szCs w:val="28"/>
          <w:lang w:val="en-US"/>
        </w:rPr>
      </w:pPr>
      <w:r>
        <w:rPr>
          <w:rFonts w:hint="default"/>
          <w:b/>
          <w:bCs/>
          <w:i w:val="0"/>
          <w:iCs/>
          <w:sz w:val="28"/>
          <w:szCs w:val="28"/>
          <w:lang w:val="en-US"/>
        </w:rPr>
        <w:t>- Về phạm vi điều chỉnh, đối tượng áp dụng đối với khái niệm người tiêu dùng :</w:t>
      </w:r>
      <w:r>
        <w:rPr>
          <w:rFonts w:hint="default"/>
          <w:i w:val="0"/>
          <w:iCs/>
          <w:sz w:val="28"/>
          <w:szCs w:val="28"/>
          <w:lang w:val="en-US"/>
        </w:rPr>
        <w:t xml:space="preserve"> </w:t>
      </w:r>
    </w:p>
    <w:p>
      <w:pPr>
        <w:spacing w:before="120" w:line="360" w:lineRule="exact"/>
        <w:ind w:firstLine="420" w:firstLineChars="150"/>
        <w:jc w:val="both"/>
        <w:rPr>
          <w:rFonts w:hint="default"/>
          <w:i w:val="0"/>
          <w:iCs/>
          <w:sz w:val="28"/>
          <w:szCs w:val="28"/>
          <w:lang w:val="en-US"/>
        </w:rPr>
      </w:pPr>
      <w:r>
        <w:rPr>
          <w:rFonts w:hint="default"/>
          <w:i w:val="0"/>
          <w:iCs/>
          <w:sz w:val="28"/>
          <w:szCs w:val="28"/>
          <w:lang w:val="en-US"/>
        </w:rPr>
        <w:t>Tại các hội thảo trước đây và ý kiến của các nhiều đại biểu Quốc hội đề nghị người tiêu dùng gồm có các cá nhân và cả các tổ chức. Về nội dung này, chúng tôi cho rằng người tiêu dùng bao gồm cả tổ chức. Tuy nhiên, đối với tổ chức phải giới hạn phạm vi được bảo vệ, theo đó hàng hóa, dịch vụ phải trực tiếp sử dụng cho tổ chức đó với mục đích sử dụng hàng hóa, dịch vụ phải được xác định rõ ràng, cụ thể.</w:t>
      </w:r>
    </w:p>
    <w:p>
      <w:pPr>
        <w:spacing w:after="200"/>
        <w:jc w:val="both"/>
        <w:rPr>
          <w:rFonts w:hint="default"/>
          <w:i w:val="0"/>
          <w:iCs/>
          <w:sz w:val="16"/>
          <w:szCs w:val="16"/>
          <w:lang w:val="en-US"/>
        </w:rPr>
      </w:pPr>
    </w:p>
    <w:p>
      <w:pPr>
        <w:spacing w:after="200"/>
        <w:jc w:val="both"/>
        <w:rPr>
          <w:rFonts w:hint="default"/>
          <w:b/>
          <w:bCs/>
          <w:i w:val="0"/>
          <w:iCs/>
          <w:sz w:val="28"/>
          <w:szCs w:val="28"/>
          <w:lang w:val="en-US"/>
        </w:rPr>
      </w:pPr>
      <w:r>
        <w:rPr>
          <w:rFonts w:hint="default"/>
          <w:b/>
          <w:bCs/>
          <w:i w:val="0"/>
          <w:iCs/>
          <w:sz w:val="28"/>
          <w:szCs w:val="28"/>
          <w:lang w:val="en-US"/>
        </w:rPr>
        <w:t>- Về nội dung quy định tại khoản 4 Điều 3 theo phương án 2</w:t>
      </w:r>
    </w:p>
    <w:p>
      <w:pPr>
        <w:spacing w:after="200"/>
        <w:jc w:val="both"/>
        <w:rPr>
          <w:color w:val="auto"/>
          <w:sz w:val="28"/>
          <w:szCs w:val="28"/>
        </w:rPr>
      </w:pPr>
      <w:r>
        <w:rPr>
          <w:color w:val="auto"/>
          <w:sz w:val="28"/>
          <w:szCs w:val="28"/>
          <w:lang w:val="pt-BR"/>
        </w:rPr>
        <w:t xml:space="preserve">4. </w:t>
      </w:r>
      <w:r>
        <w:rPr>
          <w:color w:val="auto"/>
          <w:sz w:val="28"/>
          <w:szCs w:val="28"/>
        </w:rPr>
        <w:t>Sản phẩm, hàng hóa có khuyết tật là sản phẩm, hàng hóa được sản xuất theo đúng tiêu chuẩn hoặc quy chuẩn kỹ thuật hiện hành nhưng chưa phát hiện được khuyết tật tại thời điểm sản phẩm, hàng hoá được cung cấp cho người tiêu dùng, bao gồm:</w:t>
      </w:r>
    </w:p>
    <w:p>
      <w:pPr>
        <w:spacing w:after="200"/>
        <w:jc w:val="both"/>
        <w:rPr>
          <w:color w:val="auto"/>
          <w:sz w:val="28"/>
          <w:szCs w:val="28"/>
        </w:rPr>
      </w:pPr>
      <w:r>
        <w:rPr>
          <w:color w:val="auto"/>
          <w:sz w:val="28"/>
          <w:szCs w:val="28"/>
        </w:rPr>
        <w:t>a) Sản phẩm, hàng hóa sản xuất hàng loạt có khuyết tật phát sinh từ thiết kế kỹ thuật;</w:t>
      </w:r>
    </w:p>
    <w:p>
      <w:pPr>
        <w:spacing w:after="200"/>
        <w:jc w:val="both"/>
        <w:rPr>
          <w:color w:val="auto"/>
          <w:sz w:val="28"/>
          <w:szCs w:val="28"/>
        </w:rPr>
      </w:pPr>
      <w:r>
        <w:rPr>
          <w:color w:val="auto"/>
          <w:sz w:val="28"/>
          <w:szCs w:val="28"/>
        </w:rPr>
        <w:t>b) Sản phẩm, hàng hóa đơn lẻ có khuyết tật phát sinh từ quá trình sản xuất, chế biến, vận chuyển, lưu giữ và sử dụng;</w:t>
      </w:r>
    </w:p>
    <w:p>
      <w:pPr>
        <w:spacing w:after="200"/>
        <w:jc w:val="both"/>
        <w:rPr>
          <w:color w:val="auto"/>
          <w:sz w:val="28"/>
          <w:szCs w:val="28"/>
        </w:rPr>
      </w:pPr>
      <w:r>
        <w:rPr>
          <w:color w:val="auto"/>
          <w:sz w:val="28"/>
          <w:szCs w:val="28"/>
        </w:rPr>
        <w:t>c) Sản phẩm, hàng hóa tiềm ẩn nguy cơ gây mất an toàn trong quá trình sử dụng nhưng không có hướng dẫn, cảnh báo đầy đủ cho người tiêu dùng.</w:t>
      </w:r>
    </w:p>
    <w:p>
      <w:pPr>
        <w:spacing w:after="200"/>
        <w:jc w:val="both"/>
        <w:rPr>
          <w:rFonts w:hint="default"/>
          <w:b/>
          <w:bCs/>
          <w:color w:val="auto"/>
          <w:sz w:val="28"/>
          <w:szCs w:val="28"/>
          <w:lang w:val="en-US"/>
        </w:rPr>
      </w:pPr>
      <w:r>
        <w:rPr>
          <w:rFonts w:hint="default"/>
          <w:b/>
          <w:bCs/>
          <w:color w:val="auto"/>
          <w:sz w:val="28"/>
          <w:szCs w:val="28"/>
          <w:lang w:val="en-US"/>
        </w:rPr>
        <w:t>Đối với sản phẩm, hàng hóa thì có quy định về khuyết tật. Vậy, dịch vụ có được coi là có khuyết tật không ? Ví dụ : Các dịch vụ về môi giới bất động sản do người không có chứng chỉ hành nghề; dịch vụ chăm sóc sắc đẹp, spa không do người không có chuyên môn thực hiện; dịch vụ trông giữ xe; dịch vụ du lịch, dịch vụ vận chuyển hành khách tại thời điểm bán dịch vụ cũng chưa xác định được khuyết tật của dịch vụ…Từ chối cung cấp dịch vụ như : Dịch vụ công chứng, dịch vụ đăng kiểm…mà không có lí do chính đáng! Tại thời điểm thực hiện dịch vụ, người tiêu dùng không thể và cũng không có khả năng để xác định dịch vụ có khuyết tật hay không.</w:t>
      </w:r>
    </w:p>
    <w:p>
      <w:pPr>
        <w:spacing w:after="200"/>
        <w:rPr>
          <w:rFonts w:hint="default"/>
          <w:b w:val="0"/>
          <w:bCs w:val="0"/>
          <w:color w:val="auto"/>
          <w:sz w:val="28"/>
          <w:szCs w:val="28"/>
          <w:lang w:val="en-US"/>
        </w:rPr>
      </w:pPr>
      <w:r>
        <w:rPr>
          <w:rFonts w:hint="default"/>
          <w:b/>
          <w:bCs/>
          <w:color w:val="auto"/>
          <w:sz w:val="28"/>
          <w:szCs w:val="28"/>
          <w:lang w:val="en-US"/>
        </w:rPr>
        <w:t>- Về quy định tại khoản 8 Điều 3 của Dự án luật :</w:t>
      </w:r>
      <w:r>
        <w:rPr>
          <w:rFonts w:hint="default"/>
          <w:b w:val="0"/>
          <w:bCs w:val="0"/>
          <w:color w:val="auto"/>
          <w:sz w:val="28"/>
          <w:szCs w:val="28"/>
          <w:lang w:val="en-US"/>
        </w:rPr>
        <w:t xml:space="preserve"> </w:t>
      </w:r>
    </w:p>
    <w:p>
      <w:pPr>
        <w:spacing w:after="200"/>
        <w:rPr>
          <w:spacing w:val="-4"/>
        </w:rPr>
      </w:pPr>
      <w:r>
        <w:rPr>
          <w:sz w:val="28"/>
          <w:szCs w:val="28"/>
        </w:rPr>
        <w:t>8. Người có ảnh hưởng là các chuyên gia, n</w:t>
      </w:r>
      <w:r>
        <w:rPr>
          <w:spacing w:val="-4"/>
          <w:sz w:val="28"/>
          <w:szCs w:val="28"/>
        </w:rPr>
        <w:t>gười có uy tín, người được xã hội chú ý trong ngành nghề, lĩnh vực cụ thể theo quy định chi tiết của Chính phủ.</w:t>
      </w:r>
    </w:p>
    <w:p>
      <w:pPr>
        <w:spacing w:after="200"/>
        <w:jc w:val="both"/>
        <w:rPr>
          <w:rFonts w:hint="default"/>
          <w:b/>
          <w:bCs/>
          <w:color w:val="auto"/>
          <w:sz w:val="28"/>
          <w:szCs w:val="28"/>
          <w:lang w:val="en-US"/>
        </w:rPr>
      </w:pPr>
      <w:r>
        <w:rPr>
          <w:rFonts w:hint="default"/>
          <w:b/>
          <w:bCs/>
          <w:color w:val="auto"/>
          <w:sz w:val="28"/>
          <w:szCs w:val="28"/>
          <w:lang w:val="en-US"/>
        </w:rPr>
        <w:t>Theo chúng tôi cần bổ sung thêm : Các văn, nghệ sĩ, người dẫn chương trình truyền thông.</w:t>
      </w:r>
    </w:p>
    <w:p>
      <w:pPr>
        <w:spacing w:after="200"/>
        <w:jc w:val="both"/>
        <w:rPr>
          <w:rFonts w:hint="default"/>
          <w:b/>
          <w:bCs/>
          <w:color w:val="auto"/>
          <w:sz w:val="28"/>
          <w:szCs w:val="28"/>
          <w:lang w:val="en-US"/>
        </w:rPr>
      </w:pPr>
      <w:r>
        <w:rPr>
          <w:rFonts w:hint="default"/>
          <w:b/>
          <w:bCs/>
          <w:color w:val="auto"/>
          <w:sz w:val="28"/>
          <w:szCs w:val="28"/>
          <w:lang w:val="en-US"/>
        </w:rPr>
        <w:t>- Về quy định tại khoản 1 Điều 6 của dự luật</w:t>
      </w:r>
    </w:p>
    <w:p>
      <w:pPr>
        <w:pStyle w:val="4"/>
        <w:numPr>
          <w:numId w:val="0"/>
        </w:numPr>
        <w:tabs>
          <w:tab w:val="left" w:pos="0"/>
          <w:tab w:val="clear" w:pos="1260"/>
        </w:tabs>
        <w:ind w:left="571" w:leftChars="0"/>
        <w:rPr>
          <w:color w:val="auto"/>
          <w:sz w:val="28"/>
          <w:szCs w:val="28"/>
          <w:lang w:val="vi-VN"/>
        </w:rPr>
      </w:pPr>
      <w:bookmarkStart w:id="0" w:name="_Toc86825987"/>
      <w:r>
        <w:rPr>
          <w:rFonts w:hint="default"/>
          <w:color w:val="auto"/>
          <w:sz w:val="28"/>
          <w:szCs w:val="28"/>
          <w:lang w:val="vi-VN"/>
        </w:rPr>
        <w:t>Đ</w:t>
      </w:r>
      <w:r>
        <w:rPr>
          <w:rFonts w:hint="default"/>
          <w:color w:val="auto"/>
          <w:sz w:val="28"/>
          <w:szCs w:val="28"/>
          <w:lang w:val="en-US"/>
        </w:rPr>
        <w:t xml:space="preserve">iều 6. </w:t>
      </w:r>
      <w:r>
        <w:rPr>
          <w:color w:val="auto"/>
          <w:sz w:val="28"/>
          <w:szCs w:val="28"/>
          <w:lang w:val="vi-VN"/>
        </w:rPr>
        <w:t>Nguyên tắc bảo vệ quyền lợi người tiêu dùng</w:t>
      </w:r>
      <w:bookmarkEnd w:id="0"/>
      <w:r>
        <w:rPr>
          <w:color w:val="auto"/>
          <w:sz w:val="28"/>
          <w:szCs w:val="28"/>
          <w:lang w:val="vi-VN"/>
        </w:rPr>
        <w:t xml:space="preserve"> </w:t>
      </w:r>
    </w:p>
    <w:p>
      <w:pPr>
        <w:spacing w:after="200"/>
        <w:rPr>
          <w:lang w:val="vi-VN"/>
        </w:rPr>
      </w:pPr>
      <w:r>
        <w:rPr>
          <w:color w:val="auto"/>
          <w:sz w:val="28"/>
          <w:szCs w:val="28"/>
          <w:lang w:val="vi-VN"/>
        </w:rPr>
        <w:t xml:space="preserve">1. Bảo vệ quyền lợi người tiêu dùng là trách nhiệm của </w:t>
      </w:r>
      <w:r>
        <w:rPr>
          <w:color w:val="auto"/>
          <w:sz w:val="28"/>
          <w:szCs w:val="28"/>
        </w:rPr>
        <w:t xml:space="preserve">Nhà nước, tổ chức, cá nhân </w:t>
      </w:r>
      <w:r>
        <w:rPr>
          <w:b/>
          <w:bCs/>
          <w:color w:val="auto"/>
          <w:sz w:val="28"/>
          <w:szCs w:val="28"/>
          <w:u w:val="single"/>
        </w:rPr>
        <w:t>và toàn xã hội</w:t>
      </w:r>
      <w:r>
        <w:rPr>
          <w:color w:val="auto"/>
          <w:sz w:val="28"/>
          <w:szCs w:val="28"/>
        </w:rPr>
        <w:t>.</w:t>
      </w:r>
    </w:p>
    <w:p>
      <w:pPr>
        <w:spacing w:before="120" w:line="360" w:lineRule="exact"/>
        <w:ind w:firstLine="420" w:firstLineChars="150"/>
        <w:jc w:val="both"/>
        <w:rPr>
          <w:rFonts w:hint="default"/>
          <w:b/>
          <w:bCs/>
          <w:i w:val="0"/>
          <w:iCs/>
          <w:sz w:val="28"/>
          <w:szCs w:val="28"/>
          <w:lang w:val="en-US"/>
        </w:rPr>
      </w:pPr>
      <w:r>
        <w:rPr>
          <w:rFonts w:hint="default"/>
          <w:b/>
          <w:bCs/>
          <w:i w:val="0"/>
          <w:iCs/>
          <w:sz w:val="28"/>
          <w:szCs w:val="28"/>
          <w:lang w:val="en-US"/>
        </w:rPr>
        <w:t>Đối với quy định này : Toàn xã hội có nghĩa là đã bao gồm cả nhà nước, tổ chức và cá nhân.</w:t>
      </w:r>
    </w:p>
    <w:p>
      <w:pPr>
        <w:spacing w:before="120" w:line="360" w:lineRule="exact"/>
        <w:ind w:firstLine="420" w:firstLineChars="150"/>
        <w:jc w:val="both"/>
        <w:rPr>
          <w:rFonts w:hint="default"/>
          <w:b/>
          <w:bCs/>
          <w:i w:val="0"/>
          <w:iCs/>
          <w:sz w:val="28"/>
          <w:szCs w:val="28"/>
          <w:lang w:val="en-US"/>
        </w:rPr>
      </w:pPr>
      <w:r>
        <w:rPr>
          <w:rFonts w:hint="default"/>
          <w:b/>
          <w:bCs/>
          <w:i w:val="0"/>
          <w:iCs/>
          <w:sz w:val="28"/>
          <w:szCs w:val="28"/>
          <w:lang w:val="en-US"/>
        </w:rPr>
        <w:t>- Về quy định tại khoản 1 Điều 10 của dự luật : Các hành vi bị cấm, cần bổ sung thêm :</w:t>
      </w:r>
    </w:p>
    <w:p>
      <w:pPr>
        <w:spacing w:before="120" w:line="360" w:lineRule="exact"/>
        <w:ind w:firstLine="420" w:firstLineChars="150"/>
        <w:jc w:val="both"/>
        <w:rPr>
          <w:rFonts w:hint="default"/>
          <w:b/>
          <w:bCs/>
          <w:i w:val="0"/>
          <w:iCs/>
          <w:sz w:val="28"/>
          <w:szCs w:val="28"/>
          <w:lang w:val="en-US"/>
        </w:rPr>
      </w:pPr>
      <w:r>
        <w:rPr>
          <w:rFonts w:hint="default"/>
          <w:b/>
          <w:bCs/>
          <w:i w:val="0"/>
          <w:iCs/>
          <w:sz w:val="28"/>
          <w:szCs w:val="28"/>
          <w:lang w:val="en-US"/>
        </w:rPr>
        <w:t xml:space="preserve">“Ép buộc người tiêu dùng đang sử dụng sản phẩm hàng hóa, dịch vụ của mình phảm mua thêm sản phẩm hàng hóa, dịch vụ của tổ chức cá nhân khác mà người tiêu dùng phải miễn cưỡng thực hiện”. </w:t>
      </w:r>
    </w:p>
    <w:p>
      <w:pPr>
        <w:spacing w:before="120" w:line="360" w:lineRule="exact"/>
        <w:ind w:firstLine="420" w:firstLineChars="150"/>
        <w:jc w:val="both"/>
        <w:rPr>
          <w:rFonts w:hint="default"/>
          <w:b/>
          <w:bCs/>
          <w:i w:val="0"/>
          <w:iCs/>
          <w:sz w:val="28"/>
          <w:szCs w:val="28"/>
          <w:lang w:val="en-US"/>
        </w:rPr>
      </w:pPr>
      <w:r>
        <w:rPr>
          <w:rFonts w:hint="default"/>
          <w:b/>
          <w:bCs/>
          <w:i w:val="0"/>
          <w:iCs/>
          <w:sz w:val="28"/>
          <w:szCs w:val="28"/>
          <w:lang w:val="en-US"/>
        </w:rPr>
        <w:t>Chẳng hạn: Hiện nay đang phổ biến việc người gửi tiền tại ngân hàng hoặc vay tiền phải mua thêm gói bảo hiểm.</w:t>
      </w:r>
    </w:p>
    <w:p>
      <w:pPr>
        <w:spacing w:before="120" w:line="360" w:lineRule="exact"/>
        <w:ind w:firstLine="420" w:firstLineChars="150"/>
        <w:jc w:val="both"/>
        <w:rPr>
          <w:rFonts w:hint="default"/>
          <w:b/>
          <w:bCs/>
          <w:i w:val="0"/>
          <w:iCs/>
          <w:sz w:val="28"/>
          <w:szCs w:val="28"/>
          <w:lang w:val="en-US"/>
        </w:rPr>
      </w:pPr>
    </w:p>
    <w:p>
      <w:pPr>
        <w:pStyle w:val="4"/>
        <w:numPr>
          <w:ilvl w:val="0"/>
          <w:numId w:val="0"/>
        </w:numPr>
        <w:ind w:firstLine="420" w:firstLineChars="150"/>
        <w:jc w:val="both"/>
        <w:rPr>
          <w:i/>
          <w:color w:val="auto"/>
          <w:sz w:val="28"/>
          <w:szCs w:val="28"/>
        </w:rPr>
      </w:pPr>
      <w:bookmarkStart w:id="1" w:name="_Toc258514853"/>
      <w:bookmarkStart w:id="2" w:name="_Toc86825997"/>
      <w:r>
        <w:rPr>
          <w:rFonts w:hint="default"/>
          <w:sz w:val="28"/>
          <w:szCs w:val="28"/>
          <w:lang w:val="en-US"/>
        </w:rPr>
        <w:t xml:space="preserve">- Về quy định tại khoản 1, 2 Điều 24 </w:t>
      </w:r>
      <w:r>
        <w:rPr>
          <w:rFonts w:hint="default"/>
          <w:color w:val="auto"/>
          <w:sz w:val="28"/>
          <w:szCs w:val="28"/>
          <w:lang w:val="en-US"/>
        </w:rPr>
        <w:t xml:space="preserve">. </w:t>
      </w:r>
      <w:bookmarkStart w:id="3" w:name="_Toc86826006"/>
      <w:r>
        <w:rPr>
          <w:color w:val="auto"/>
          <w:sz w:val="28"/>
          <w:szCs w:val="28"/>
        </w:rPr>
        <w:t>Điều khoản của hợp đồng giao kết với người tiêu dùng, điều kiện giao dịch chung không có hiệu lực</w:t>
      </w:r>
      <w:bookmarkEnd w:id="1"/>
      <w:bookmarkEnd w:id="2"/>
      <w:bookmarkEnd w:id="3"/>
      <w:r>
        <w:rPr>
          <w:color w:val="auto"/>
          <w:sz w:val="28"/>
          <w:szCs w:val="28"/>
        </w:rPr>
        <w:t xml:space="preserve"> </w:t>
      </w:r>
    </w:p>
    <w:p>
      <w:pPr>
        <w:pStyle w:val="8"/>
        <w:spacing w:before="120" w:beforeAutospacing="0" w:after="160" w:afterAutospacing="0"/>
        <w:ind w:firstLine="280" w:firstLineChars="100"/>
        <w:jc w:val="both"/>
        <w:rPr>
          <w:color w:val="auto"/>
          <w:sz w:val="28"/>
          <w:szCs w:val="28"/>
        </w:rPr>
      </w:pPr>
      <w:r>
        <w:rPr>
          <w:color w:val="auto"/>
          <w:sz w:val="28"/>
          <w:szCs w:val="28"/>
        </w:rPr>
        <w:t xml:space="preserve">Điều khoản của hợp đồng giao kết với người tiêu dùng, điều kiện giao dịch chung không có hiệu lực trong các trường hợp sau đây:  </w:t>
      </w:r>
    </w:p>
    <w:p>
      <w:pPr>
        <w:pStyle w:val="8"/>
        <w:spacing w:before="120" w:beforeAutospacing="0" w:after="140" w:afterAutospacing="0"/>
        <w:jc w:val="both"/>
        <w:rPr>
          <w:bCs/>
          <w:color w:val="auto"/>
          <w:sz w:val="28"/>
          <w:szCs w:val="28"/>
        </w:rPr>
      </w:pPr>
      <w:r>
        <w:rPr>
          <w:rFonts w:hint="default"/>
          <w:color w:val="auto"/>
          <w:sz w:val="28"/>
          <w:szCs w:val="28"/>
          <w:lang w:val="en-US"/>
        </w:rPr>
        <w:t>1</w:t>
      </w:r>
      <w:r>
        <w:rPr>
          <w:color w:val="auto"/>
          <w:sz w:val="28"/>
          <w:szCs w:val="28"/>
        </w:rPr>
        <w:t xml:space="preserve">) </w:t>
      </w:r>
      <w:r>
        <w:rPr>
          <w:bCs/>
          <w:color w:val="auto"/>
          <w:sz w:val="28"/>
          <w:szCs w:val="28"/>
        </w:rPr>
        <w:t>Hạn chế, loại trừ trách nhiệm của tổ chức, cá nhân kinh doanh đối với người tiêu dùng theo quy định của pháp luật;</w:t>
      </w:r>
    </w:p>
    <w:p>
      <w:pPr>
        <w:pStyle w:val="8"/>
        <w:spacing w:before="120" w:beforeAutospacing="0" w:after="140" w:afterAutospacing="0"/>
        <w:jc w:val="both"/>
        <w:rPr>
          <w:bCs/>
          <w:color w:val="auto"/>
          <w:sz w:val="28"/>
          <w:szCs w:val="28"/>
        </w:rPr>
      </w:pPr>
      <w:r>
        <w:rPr>
          <w:rFonts w:hint="default"/>
          <w:bCs/>
          <w:color w:val="auto"/>
          <w:sz w:val="28"/>
          <w:szCs w:val="28"/>
          <w:lang w:val="en-US"/>
        </w:rPr>
        <w:t>2</w:t>
      </w:r>
      <w:r>
        <w:rPr>
          <w:bCs/>
          <w:color w:val="auto"/>
          <w:sz w:val="28"/>
          <w:szCs w:val="28"/>
        </w:rPr>
        <w:t>) Hạn chế, loại trừ quyền khiếu nại, khởi kiện của người tiêu dùng;</w:t>
      </w:r>
    </w:p>
    <w:p>
      <w:pPr>
        <w:numPr>
          <w:ilvl w:val="0"/>
          <w:numId w:val="0"/>
        </w:numPr>
        <w:spacing w:before="120" w:line="360" w:lineRule="exact"/>
        <w:ind w:firstLine="420" w:firstLineChars="150"/>
        <w:jc w:val="both"/>
        <w:rPr>
          <w:rFonts w:hint="default"/>
          <w:i w:val="0"/>
          <w:iCs w:val="0"/>
          <w:color w:val="auto"/>
          <w:sz w:val="28"/>
          <w:szCs w:val="28"/>
          <w:lang w:val="en-US"/>
        </w:rPr>
      </w:pPr>
      <w:r>
        <w:rPr>
          <w:rFonts w:hint="default"/>
          <w:i w:val="0"/>
          <w:iCs w:val="0"/>
          <w:color w:val="auto"/>
          <w:sz w:val="28"/>
          <w:szCs w:val="28"/>
          <w:lang w:val="en-US"/>
        </w:rPr>
        <w:t xml:space="preserve"> Quy định tại khoản 1, 2  của điều này theo chúng tôi cần phải sửa đổi lại là “Hạn chế hoặc loại trừ trách nhiệm” chứ không thể “Hạn chế, loại trừ trách nhiệm”. Bởi vì, nếu viết : Hạn chế, loại trừ thì có thể hiểu phải bao gồm có cả hạn chế và có cả loại trừ. Trường hợp chỉ có hạn chế, chúng ta vẫn có thể hiểu rằng nó (điều khoản đó) vẫn có hiệu lực hoặc điều khoản chỉ loại trừ quyền khiếu nại thì vẫn suy luận là điều khoản có hiệu lực.</w:t>
      </w:r>
    </w:p>
    <w:p>
      <w:pPr>
        <w:numPr>
          <w:ilvl w:val="0"/>
          <w:numId w:val="0"/>
        </w:numPr>
        <w:spacing w:before="120" w:line="360" w:lineRule="exact"/>
        <w:ind w:firstLine="420" w:firstLineChars="150"/>
        <w:jc w:val="both"/>
        <w:rPr>
          <w:rFonts w:hint="default"/>
          <w:i w:val="0"/>
          <w:iCs w:val="0"/>
          <w:color w:val="auto"/>
          <w:sz w:val="28"/>
          <w:szCs w:val="28"/>
          <w:lang w:val="en-US"/>
        </w:rPr>
      </w:pPr>
    </w:p>
    <w:p>
      <w:pPr>
        <w:numPr>
          <w:ilvl w:val="0"/>
          <w:numId w:val="0"/>
        </w:numPr>
        <w:spacing w:before="120" w:line="360" w:lineRule="exact"/>
        <w:ind w:firstLine="420" w:firstLineChars="150"/>
        <w:jc w:val="both"/>
        <w:rPr>
          <w:b/>
          <w:bCs/>
          <w:i/>
          <w:color w:val="auto"/>
          <w:sz w:val="28"/>
          <w:szCs w:val="28"/>
        </w:rPr>
      </w:pPr>
      <w:r>
        <w:rPr>
          <w:rFonts w:hint="default"/>
          <w:i w:val="0"/>
          <w:iCs w:val="0"/>
          <w:color w:val="auto"/>
          <w:sz w:val="28"/>
          <w:szCs w:val="28"/>
          <w:lang w:val="en-US"/>
        </w:rPr>
        <w:t xml:space="preserve">- </w:t>
      </w:r>
      <w:r>
        <w:rPr>
          <w:rFonts w:hint="default"/>
          <w:b/>
          <w:bCs/>
          <w:i w:val="0"/>
          <w:iCs w:val="0"/>
          <w:color w:val="auto"/>
          <w:sz w:val="28"/>
          <w:szCs w:val="28"/>
          <w:lang w:val="en-US"/>
        </w:rPr>
        <w:t xml:space="preserve">Về quy định tại khoản 1 </w:t>
      </w:r>
      <w:r>
        <w:rPr>
          <w:rFonts w:hint="default"/>
          <w:b/>
          <w:bCs/>
          <w:color w:val="auto"/>
          <w:sz w:val="28"/>
          <w:szCs w:val="28"/>
          <w:lang w:val="en-US"/>
        </w:rPr>
        <w:t xml:space="preserve">Điều 32. </w:t>
      </w:r>
      <w:r>
        <w:rPr>
          <w:b/>
          <w:bCs/>
          <w:color w:val="auto"/>
          <w:sz w:val="28"/>
          <w:szCs w:val="28"/>
        </w:rPr>
        <w:t>Trách nhiệm đối với sản phẩm có khuyết tật</w:t>
      </w:r>
    </w:p>
    <w:p>
      <w:pPr>
        <w:spacing w:after="160"/>
        <w:jc w:val="both"/>
        <w:rPr>
          <w:color w:val="auto"/>
          <w:sz w:val="28"/>
          <w:szCs w:val="28"/>
        </w:rPr>
      </w:pPr>
      <w:r>
        <w:rPr>
          <w:color w:val="auto"/>
          <w:sz w:val="28"/>
          <w:szCs w:val="28"/>
        </w:rPr>
        <w:t xml:space="preserve">1. Sản phẩm có khuyết tật bao gồm: </w:t>
      </w:r>
    </w:p>
    <w:p>
      <w:pPr>
        <w:spacing w:after="160"/>
        <w:jc w:val="both"/>
        <w:rPr>
          <w:rFonts w:hint="default"/>
          <w:color w:val="auto"/>
          <w:sz w:val="28"/>
          <w:szCs w:val="28"/>
          <w:lang w:val="en-US"/>
        </w:rPr>
      </w:pPr>
      <w:r>
        <w:rPr>
          <w:color w:val="auto"/>
          <w:sz w:val="28"/>
          <w:szCs w:val="28"/>
        </w:rPr>
        <w:t xml:space="preserve">a) Sản phẩm có khuyết tật nhóm A là sản phẩm có khả năng gây thiệt hại cho sức khỏe, tính mạng của người tiêu dùng; </w:t>
      </w:r>
    </w:p>
    <w:p>
      <w:pPr>
        <w:spacing w:after="160"/>
        <w:ind w:firstLine="420" w:firstLineChars="150"/>
        <w:jc w:val="both"/>
        <w:rPr>
          <w:rFonts w:hint="default"/>
          <w:b/>
          <w:bCs/>
          <w:color w:val="auto"/>
          <w:sz w:val="28"/>
          <w:szCs w:val="28"/>
          <w:lang w:val="en-US"/>
        </w:rPr>
      </w:pPr>
      <w:r>
        <w:rPr>
          <w:rFonts w:hint="default"/>
          <w:b/>
          <w:bCs/>
          <w:color w:val="auto"/>
          <w:sz w:val="28"/>
          <w:szCs w:val="28"/>
          <w:lang w:val="en-US"/>
        </w:rPr>
        <w:t>“Quy định theo này là chưa chính xác, bởi vì, có sản phẩm có thể gây cả thiệt hại cho tính mạng, sức khỏe và cả tài sản của người tiêu dùng thì xếp vào nhóm nào? Ví dụ : Sản phẩm có thể gây cháy, nổ thì có thể gây ra thiệt hại cho sức khỏe, tính mạng và tài sản của người tiêu dùng”.</w:t>
      </w:r>
    </w:p>
    <w:p>
      <w:pPr>
        <w:spacing w:after="160"/>
        <w:jc w:val="both"/>
        <w:rPr>
          <w:color w:val="auto"/>
          <w:sz w:val="28"/>
          <w:szCs w:val="28"/>
        </w:rPr>
      </w:pPr>
      <w:r>
        <w:rPr>
          <w:color w:val="auto"/>
          <w:sz w:val="28"/>
          <w:szCs w:val="28"/>
        </w:rPr>
        <w:t>b) Sản phẩm có khuyết tật nhóm B là sản phẩm có khả năng gây thiệt hại cho tài sản của người tiêu dùng.</w:t>
      </w:r>
    </w:p>
    <w:p>
      <w:pPr>
        <w:spacing w:after="160"/>
        <w:ind w:firstLine="420" w:firstLineChars="150"/>
        <w:jc w:val="both"/>
        <w:rPr>
          <w:rFonts w:hint="default"/>
          <w:b/>
          <w:bCs/>
          <w:color w:val="auto"/>
          <w:sz w:val="28"/>
          <w:szCs w:val="28"/>
          <w:lang w:val="en-US"/>
        </w:rPr>
      </w:pPr>
      <w:r>
        <w:rPr>
          <w:rFonts w:hint="default"/>
          <w:b/>
          <w:bCs/>
          <w:color w:val="auto"/>
          <w:sz w:val="28"/>
          <w:szCs w:val="28"/>
          <w:lang w:val="en-US"/>
        </w:rPr>
        <w:t>“Quy định tại điểm b cũng tương tự tại điểm a, có sản phẩm có thể gây ra cả hai, vì vậy việc phân loại này vẫn chưa rõ ràng”.</w:t>
      </w:r>
    </w:p>
    <w:p>
      <w:pPr>
        <w:spacing w:after="160"/>
        <w:ind w:firstLine="420" w:firstLineChars="150"/>
        <w:jc w:val="both"/>
        <w:rPr>
          <w:rFonts w:hint="default"/>
          <w:b/>
          <w:bCs/>
          <w:color w:val="auto"/>
          <w:sz w:val="28"/>
          <w:szCs w:val="28"/>
          <w:lang w:val="en-US"/>
        </w:rPr>
      </w:pPr>
    </w:p>
    <w:p>
      <w:pPr>
        <w:spacing w:after="200"/>
        <w:ind w:firstLine="420" w:firstLineChars="150"/>
        <w:jc w:val="both"/>
        <w:rPr>
          <w:sz w:val="28"/>
          <w:szCs w:val="28"/>
        </w:rPr>
      </w:pPr>
      <w:r>
        <w:rPr>
          <w:rFonts w:hint="default"/>
          <w:b/>
          <w:bCs/>
          <w:sz w:val="28"/>
          <w:szCs w:val="28"/>
          <w:lang w:val="en-US"/>
        </w:rPr>
        <w:t>-  Về quy định giải quyết tranh chấp bằng trọng tài tại</w:t>
      </w:r>
      <w:bookmarkStart w:id="4" w:name="_Toc86826038"/>
      <w:bookmarkStart w:id="5" w:name="_Toc258514884"/>
      <w:r>
        <w:rPr>
          <w:rFonts w:hint="default"/>
          <w:b/>
          <w:bCs/>
          <w:sz w:val="28"/>
          <w:szCs w:val="28"/>
          <w:lang w:val="en-US"/>
        </w:rPr>
        <w:t xml:space="preserve"> </w:t>
      </w:r>
      <w:r>
        <w:rPr>
          <w:b/>
          <w:bCs/>
          <w:sz w:val="28"/>
          <w:szCs w:val="28"/>
          <w:lang w:val="en-US"/>
        </w:rPr>
        <w:t>Đ</w:t>
      </w:r>
      <w:r>
        <w:rPr>
          <w:rFonts w:hint="default"/>
          <w:b/>
          <w:bCs/>
          <w:sz w:val="28"/>
          <w:szCs w:val="28"/>
          <w:lang w:val="en-US"/>
        </w:rPr>
        <w:t xml:space="preserve">iều 66. </w:t>
      </w:r>
      <w:bookmarkEnd w:id="4"/>
      <w:bookmarkEnd w:id="5"/>
      <w:bookmarkStart w:id="6" w:name="_Toc86826052"/>
      <w:bookmarkStart w:id="7" w:name="_Toc258514893"/>
      <w:r>
        <w:rPr>
          <w:rFonts w:hint="default"/>
          <w:b/>
          <w:bCs/>
          <w:sz w:val="28"/>
          <w:szCs w:val="28"/>
          <w:lang w:val="en-US"/>
        </w:rPr>
        <w:t>H</w:t>
      </w:r>
      <w:r>
        <w:rPr>
          <w:b/>
          <w:bCs/>
          <w:sz w:val="28"/>
          <w:szCs w:val="28"/>
        </w:rPr>
        <w:t>iệu lực của điều khoản trọng tài</w:t>
      </w:r>
      <w:bookmarkEnd w:id="6"/>
      <w:r>
        <w:rPr>
          <w:b/>
          <w:bCs/>
          <w:sz w:val="28"/>
          <w:szCs w:val="28"/>
        </w:rPr>
        <w:t xml:space="preserve"> </w:t>
      </w:r>
      <w:bookmarkEnd w:id="7"/>
      <w:r>
        <w:rPr>
          <w:sz w:val="28"/>
          <w:szCs w:val="28"/>
        </w:rPr>
        <w:t xml:space="preserve"> </w:t>
      </w:r>
    </w:p>
    <w:p>
      <w:pPr>
        <w:spacing w:after="200"/>
        <w:jc w:val="both"/>
        <w:rPr>
          <w:sz w:val="28"/>
          <w:szCs w:val="28"/>
        </w:rPr>
      </w:pPr>
      <w:r>
        <w:rPr>
          <w:sz w:val="28"/>
          <w:szCs w:val="28"/>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p>
      <w:pPr>
        <w:spacing w:after="200"/>
        <w:jc w:val="both"/>
        <w:rPr>
          <w:rFonts w:hint="default"/>
          <w:b/>
          <w:bCs/>
          <w:i/>
          <w:iCs/>
          <w:sz w:val="28"/>
          <w:szCs w:val="28"/>
          <w:lang w:val="en-US"/>
        </w:rPr>
      </w:pPr>
      <w:r>
        <w:rPr>
          <w:rFonts w:hint="default"/>
          <w:sz w:val="28"/>
          <w:szCs w:val="28"/>
          <w:lang w:val="en-US"/>
        </w:rPr>
        <w:t xml:space="preserve">Khoản 2 Điều 66 cần bổ sung thêm :  </w:t>
      </w:r>
      <w:r>
        <w:rPr>
          <w:rFonts w:hint="default"/>
          <w:b/>
          <w:bCs/>
          <w:i/>
          <w:iCs/>
          <w:sz w:val="28"/>
          <w:szCs w:val="28"/>
          <w:lang w:val="en-US"/>
        </w:rPr>
        <w:t xml:space="preserve">Hoặc được quyền lựa chọn tổ chức trọng tài khác được phép hoạt động tại Việt Nam kể cả trường hợp không phải là hợp đồng mẫu. </w:t>
      </w:r>
    </w:p>
    <w:p>
      <w:pPr>
        <w:spacing w:after="200"/>
        <w:jc w:val="both"/>
        <w:rPr>
          <w:rFonts w:hint="default"/>
          <w:b w:val="0"/>
          <w:bCs w:val="0"/>
          <w:i w:val="0"/>
          <w:iCs w:val="0"/>
          <w:sz w:val="28"/>
          <w:szCs w:val="28"/>
          <w:lang w:val="en-US"/>
        </w:rPr>
      </w:pPr>
      <w:r>
        <w:rPr>
          <w:rFonts w:hint="default"/>
          <w:b w:val="0"/>
          <w:bCs w:val="0"/>
          <w:i w:val="0"/>
          <w:iCs w:val="0"/>
          <w:sz w:val="28"/>
          <w:szCs w:val="28"/>
          <w:lang w:val="en-US"/>
        </w:rPr>
        <w:t>Thực tế, có nhiều tổ chức kinh doanh hàng hóa, dịch vụ lựa chọn tổ chức trọng tài nước ngoài có thẩm quyền giải quyết tranh chấp, mặc dù giá trị tranh chấp không lớn, cho nên người tiêu dùng tại Việt Nam đã phải từ bỏ việc khởi kiện. Bên soạn thảo hợp đồng họ bằng nhiều cách thức để đưa vào hợp đồng điều khoản trọng tài nước ngoài lấy lí do là do người tiêu dùng lựa chọn và soạn thảo.</w:t>
      </w:r>
    </w:p>
    <w:p>
      <w:pPr>
        <w:spacing w:after="120"/>
        <w:jc w:val="center"/>
      </w:pPr>
      <w:r>
        <w:rPr>
          <w:rFonts w:hint="default"/>
          <w:sz w:val="28"/>
          <w:szCs w:val="28"/>
          <w:lang w:val="en-US"/>
        </w:rPr>
        <w:t xml:space="preserve">                    </w:t>
      </w:r>
      <w:r>
        <w:rPr>
          <w:sz w:val="28"/>
          <w:szCs w:val="28"/>
        </w:rPr>
        <w:t>Trên đây là một số ý kiến đóng góp của chúng tôi, kính chúc hội thảo t</w:t>
      </w:r>
      <w:r>
        <w:rPr>
          <w:sz w:val="28"/>
          <w:szCs w:val="28"/>
          <w:lang w:val="en-US"/>
        </w:rPr>
        <w:t>h</w:t>
      </w:r>
      <w:r>
        <w:rPr>
          <w:rFonts w:hint="default"/>
          <w:sz w:val="28"/>
          <w:szCs w:val="28"/>
          <w:lang w:val="en-US"/>
        </w:rPr>
        <w:t>ành công</w:t>
      </w:r>
      <w:r>
        <w:rPr>
          <w:sz w:val="28"/>
          <w:szCs w:val="28"/>
        </w:rPr>
        <w:t>.</w:t>
      </w:r>
    </w:p>
    <w:sectPr>
      <w:footerReference r:id="rId5" w:type="default"/>
      <w:pgSz w:w="11906" w:h="16838"/>
      <w:pgMar w:top="1296" w:right="1656" w:bottom="1296" w:left="165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Bold">
    <w:altName w:val="Times New Roman"/>
    <w:panose1 w:val="02020803070505020304"/>
    <w:charset w:val="00"/>
    <w:family w:val="auto"/>
    <w:pitch w:val="default"/>
    <w:sig w:usb0="00000000" w:usb1="00000000" w:usb2="00000000" w:usb3="00000000" w:csb0="00000001"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32FB1"/>
    <w:multiLevelType w:val="multilevel"/>
    <w:tmpl w:val="2F032FB1"/>
    <w:lvl w:ilvl="0" w:tentative="0">
      <w:start w:val="1"/>
      <w:numFmt w:val="decimal"/>
      <w:pStyle w:val="3"/>
      <w:suff w:val="space"/>
      <w:lvlText w:val="MỤC %1."/>
      <w:lvlJc w:val="left"/>
      <w:pPr>
        <w:ind w:left="851" w:hanging="284"/>
      </w:pPr>
      <w:rPr>
        <w:rFonts w:hint="default" w:ascii="Times New Roman" w:hAnsi="Times New Roman"/>
        <w:b/>
        <w:i w:val="0"/>
        <w:caps w:val="0"/>
        <w:strike w:val="0"/>
        <w:dstrike w:val="0"/>
        <w:vanish w:val="0"/>
        <w:spacing w:val="0"/>
        <w:w w:val="100"/>
        <w:kern w:val="0"/>
        <w:position w:val="0"/>
        <w:sz w:val="28"/>
        <w:vertAlign w:val="baseline"/>
        <w14:ligatures w14:val="none"/>
        <w14:numForm w14:val="default"/>
        <w14:numSpacing w14:val="default"/>
        <w14:cntxtalts w14: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37376E31"/>
    <w:multiLevelType w:val="multilevel"/>
    <w:tmpl w:val="37376E31"/>
    <w:lvl w:ilvl="0" w:tentative="0">
      <w:start w:val="1"/>
      <w:numFmt w:val="upperRoman"/>
      <w:pStyle w:val="2"/>
      <w:suff w:val="space"/>
      <w:lvlText w:val="CHƯƠNG %1."/>
      <w:lvlJc w:val="left"/>
      <w:pPr>
        <w:ind w:left="0" w:firstLine="0"/>
      </w:pPr>
      <w:rPr>
        <w:rFonts w:hint="default" w:ascii="Times New Roman Bold" w:hAnsi="Times New Roman Bold"/>
        <w:b/>
        <w:i w:val="0"/>
        <w:caps w:val="0"/>
        <w:strike w:val="0"/>
        <w:dstrike w:val="0"/>
        <w:vanish w:val="0"/>
        <w:spacing w:val="0"/>
        <w:w w:val="100"/>
        <w:kern w:val="0"/>
        <w:position w:val="0"/>
        <w:sz w:val="28"/>
        <w:vertAlign w:val="baseline"/>
        <w14:ligatures w14:val="none"/>
        <w14:numForm w14:val="default"/>
        <w14:numSpacing w14:val="default"/>
        <w14:cntxtalts w14:val="0"/>
      </w:rPr>
    </w:lvl>
    <w:lvl w:ilvl="1" w:tentative="0">
      <w:start w:val="1"/>
      <w:numFmt w:val="decimal"/>
      <w:isLgl/>
      <w:suff w:val="space"/>
      <w:lvlText w:val="%2."/>
      <w:lvlJc w:val="left"/>
      <w:pPr>
        <w:ind w:left="0" w:firstLine="720"/>
      </w:pPr>
      <w:rPr>
        <w:rFonts w:hint="default"/>
      </w:rPr>
    </w:lvl>
    <w:lvl w:ilvl="2" w:tentative="0">
      <w:start w:val="1"/>
      <w:numFmt w:val="decimal"/>
      <w:isLgl/>
      <w:suff w:val="space"/>
      <w:lvlText w:val="%2.%3."/>
      <w:lvlJc w:val="left"/>
      <w:pPr>
        <w:ind w:left="0" w:firstLine="720"/>
      </w:pPr>
      <w:rPr>
        <w:rFonts w:hint="default"/>
      </w:rPr>
    </w:lvl>
    <w:lvl w:ilvl="3" w:tentative="0">
      <w:start w:val="1"/>
      <w:numFmt w:val="decimal"/>
      <w:isLgl/>
      <w:suff w:val="space"/>
      <w:lvlText w:val="%2.%3.%4."/>
      <w:lvlJc w:val="left"/>
      <w:pPr>
        <w:ind w:left="0" w:firstLine="720"/>
      </w:pPr>
      <w:rPr>
        <w:rFonts w:hint="default"/>
        <w:i/>
      </w:rPr>
    </w:lvl>
    <w:lvl w:ilvl="4" w:tentative="0">
      <w:start w:val="1"/>
      <w:numFmt w:val="decimal"/>
      <w:isLgl/>
      <w:suff w:val="space"/>
      <w:lvlText w:val="%2.%3.%4.%5."/>
      <w:lvlJc w:val="left"/>
      <w:pPr>
        <w:ind w:left="0" w:firstLine="720"/>
      </w:pPr>
      <w:rPr>
        <w:rFonts w:hint="default"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5" w:tentative="0">
      <w:start w:val="1"/>
      <w:numFmt w:val="decimal"/>
      <w:isLgl/>
      <w:suff w:val="space"/>
      <w:lvlText w:val="%2.%3.%4.%5.%6."/>
      <w:lvlJc w:val="left"/>
      <w:pPr>
        <w:ind w:left="0" w:firstLine="720"/>
      </w:pPr>
      <w:rPr>
        <w:rFonts w:hint="default"/>
      </w:rPr>
    </w:lvl>
    <w:lvl w:ilvl="6" w:tentative="0">
      <w:start w:val="1"/>
      <w:numFmt w:val="decimal"/>
      <w:isLgl/>
      <w:suff w:val="space"/>
      <w:lvlText w:val="%2.%3.%4.%5.%6.%7."/>
      <w:lvlJc w:val="left"/>
      <w:pPr>
        <w:ind w:left="0" w:firstLine="720"/>
      </w:pPr>
      <w:rPr>
        <w:rFonts w:hint="default"/>
      </w:rPr>
    </w:lvl>
    <w:lvl w:ilvl="7" w:tentative="0">
      <w:start w:val="1"/>
      <w:numFmt w:val="decimal"/>
      <w:suff w:val="space"/>
      <w:lvlText w:val="%2.%3.%4.%5.%6.%7.%8."/>
      <w:lvlJc w:val="left"/>
      <w:pPr>
        <w:ind w:left="0" w:firstLine="720"/>
      </w:pPr>
      <w:rPr>
        <w:rFonts w:hint="default"/>
      </w:rPr>
    </w:lvl>
    <w:lvl w:ilvl="8" w:tentative="0">
      <w:start w:val="1"/>
      <w:numFmt w:val="decimal"/>
      <w:suff w:val="space"/>
      <w:lvlText w:val="%2.%3.%4.%5.%6.%7.%8.%9."/>
      <w:lvlJc w:val="left"/>
      <w:pPr>
        <w:ind w:left="0" w:firstLine="720"/>
      </w:pPr>
      <w:rPr>
        <w:rFonts w:hint="default"/>
      </w:rPr>
    </w:lvl>
  </w:abstractNum>
  <w:abstractNum w:abstractNumId="2">
    <w:nsid w:val="7D690159"/>
    <w:multiLevelType w:val="multilevel"/>
    <w:tmpl w:val="7D690159"/>
    <w:lvl w:ilvl="0" w:tentative="0">
      <w:start w:val="1"/>
      <w:numFmt w:val="decimal"/>
      <w:pStyle w:val="4"/>
      <w:suff w:val="space"/>
      <w:lvlText w:val="Điều %1."/>
      <w:lvlJc w:val="left"/>
      <w:pPr>
        <w:ind w:left="2540" w:firstLine="720"/>
      </w:pPr>
      <w:rPr>
        <w:rFonts w:hint="default" w:ascii="Times New Roman" w:hAnsi="Times New Roman" w:cs="Times New Roman"/>
        <w:b/>
        <w:i w:val="0"/>
        <w:strike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2527A"/>
    <w:rsid w:val="0044358E"/>
    <w:rsid w:val="018354C8"/>
    <w:rsid w:val="02817D27"/>
    <w:rsid w:val="04D34D07"/>
    <w:rsid w:val="051B55DD"/>
    <w:rsid w:val="05B944A6"/>
    <w:rsid w:val="06370573"/>
    <w:rsid w:val="090F47F8"/>
    <w:rsid w:val="0944770B"/>
    <w:rsid w:val="09AD4A1F"/>
    <w:rsid w:val="0AF113C9"/>
    <w:rsid w:val="0B842BF3"/>
    <w:rsid w:val="0BCC713B"/>
    <w:rsid w:val="0D0668A3"/>
    <w:rsid w:val="0EF31A2E"/>
    <w:rsid w:val="0FE03FE9"/>
    <w:rsid w:val="10617434"/>
    <w:rsid w:val="10ED365F"/>
    <w:rsid w:val="114B3009"/>
    <w:rsid w:val="116D0789"/>
    <w:rsid w:val="1243235D"/>
    <w:rsid w:val="13172781"/>
    <w:rsid w:val="14B35F82"/>
    <w:rsid w:val="15FC6F54"/>
    <w:rsid w:val="16845908"/>
    <w:rsid w:val="17292AB1"/>
    <w:rsid w:val="1731462E"/>
    <w:rsid w:val="175B1A28"/>
    <w:rsid w:val="186E0EF7"/>
    <w:rsid w:val="19967190"/>
    <w:rsid w:val="19BD06ED"/>
    <w:rsid w:val="1A6A5B64"/>
    <w:rsid w:val="1B325E04"/>
    <w:rsid w:val="1B6A44FF"/>
    <w:rsid w:val="1BB43819"/>
    <w:rsid w:val="1C515BA2"/>
    <w:rsid w:val="1CA15DF5"/>
    <w:rsid w:val="1DBD1585"/>
    <w:rsid w:val="1E924EE7"/>
    <w:rsid w:val="20717447"/>
    <w:rsid w:val="20A20958"/>
    <w:rsid w:val="217437D8"/>
    <w:rsid w:val="222C0C9D"/>
    <w:rsid w:val="22D03FC0"/>
    <w:rsid w:val="2388313A"/>
    <w:rsid w:val="247A4D83"/>
    <w:rsid w:val="2662527A"/>
    <w:rsid w:val="27537E10"/>
    <w:rsid w:val="281F1002"/>
    <w:rsid w:val="28635BFE"/>
    <w:rsid w:val="28683702"/>
    <w:rsid w:val="296D1C92"/>
    <w:rsid w:val="2A452C3C"/>
    <w:rsid w:val="2C413B13"/>
    <w:rsid w:val="2D4642B0"/>
    <w:rsid w:val="2D840ED6"/>
    <w:rsid w:val="2DEA1A78"/>
    <w:rsid w:val="2DED686D"/>
    <w:rsid w:val="2E633B8B"/>
    <w:rsid w:val="2E8214B6"/>
    <w:rsid w:val="31684018"/>
    <w:rsid w:val="32457B0D"/>
    <w:rsid w:val="354130A5"/>
    <w:rsid w:val="35F3325C"/>
    <w:rsid w:val="36772BCE"/>
    <w:rsid w:val="37D56C1A"/>
    <w:rsid w:val="38914F77"/>
    <w:rsid w:val="39CD5C5B"/>
    <w:rsid w:val="3BFD1169"/>
    <w:rsid w:val="3CCE467B"/>
    <w:rsid w:val="3D4326DC"/>
    <w:rsid w:val="3DB23C75"/>
    <w:rsid w:val="3E2C2DAB"/>
    <w:rsid w:val="3F3A1CF0"/>
    <w:rsid w:val="3F500852"/>
    <w:rsid w:val="3FAB5800"/>
    <w:rsid w:val="415E03B4"/>
    <w:rsid w:val="417E1FB2"/>
    <w:rsid w:val="43F15DF3"/>
    <w:rsid w:val="440742FC"/>
    <w:rsid w:val="444D13A9"/>
    <w:rsid w:val="44A42311"/>
    <w:rsid w:val="44B60A85"/>
    <w:rsid w:val="44FE3355"/>
    <w:rsid w:val="45366045"/>
    <w:rsid w:val="4537221B"/>
    <w:rsid w:val="458D22CF"/>
    <w:rsid w:val="463D5B03"/>
    <w:rsid w:val="480F053E"/>
    <w:rsid w:val="49503536"/>
    <w:rsid w:val="495546F5"/>
    <w:rsid w:val="4ABC58F4"/>
    <w:rsid w:val="4C78532D"/>
    <w:rsid w:val="4CEC3C14"/>
    <w:rsid w:val="4D28268B"/>
    <w:rsid w:val="4F663959"/>
    <w:rsid w:val="5033689F"/>
    <w:rsid w:val="50C77F50"/>
    <w:rsid w:val="50FB0839"/>
    <w:rsid w:val="520F375B"/>
    <w:rsid w:val="52366DAB"/>
    <w:rsid w:val="52AC71F5"/>
    <w:rsid w:val="54501EA0"/>
    <w:rsid w:val="55BB3493"/>
    <w:rsid w:val="58D75090"/>
    <w:rsid w:val="58E83D30"/>
    <w:rsid w:val="59313A84"/>
    <w:rsid w:val="598F3B85"/>
    <w:rsid w:val="5AE826B0"/>
    <w:rsid w:val="5B6233DD"/>
    <w:rsid w:val="5B6600A8"/>
    <w:rsid w:val="5EFF5A4F"/>
    <w:rsid w:val="6019725F"/>
    <w:rsid w:val="60904828"/>
    <w:rsid w:val="63135CDB"/>
    <w:rsid w:val="63160936"/>
    <w:rsid w:val="64835000"/>
    <w:rsid w:val="65801411"/>
    <w:rsid w:val="66ED4851"/>
    <w:rsid w:val="68153375"/>
    <w:rsid w:val="68F750BC"/>
    <w:rsid w:val="697A5B43"/>
    <w:rsid w:val="698908F6"/>
    <w:rsid w:val="6AED010E"/>
    <w:rsid w:val="6B44729D"/>
    <w:rsid w:val="6BDA38FF"/>
    <w:rsid w:val="6C001768"/>
    <w:rsid w:val="6CF1233E"/>
    <w:rsid w:val="6DA17B18"/>
    <w:rsid w:val="6DCF0593"/>
    <w:rsid w:val="6FD92F16"/>
    <w:rsid w:val="709B50CA"/>
    <w:rsid w:val="7203421B"/>
    <w:rsid w:val="734551BF"/>
    <w:rsid w:val="73E6515C"/>
    <w:rsid w:val="75D210CB"/>
    <w:rsid w:val="77375F49"/>
    <w:rsid w:val="7D8327C9"/>
    <w:rsid w:val="7F394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1"/>
    <w:pPr>
      <w:numPr>
        <w:ilvl w:val="0"/>
        <w:numId w:val="1"/>
      </w:numPr>
      <w:spacing w:before="0" w:after="0"/>
      <w:jc w:val="center"/>
      <w:outlineLvl w:val="0"/>
    </w:pPr>
    <w:rPr>
      <w:rFonts w:ascii="Times New Roman Bold" w:hAnsi="Times New Roman Bold"/>
      <w:b/>
      <w:caps/>
      <w:szCs w:val="28"/>
      <w:lang w:val="vi-VN"/>
    </w:rPr>
  </w:style>
  <w:style w:type="paragraph" w:styleId="3">
    <w:name w:val="heading 2"/>
    <w:basedOn w:val="2"/>
    <w:next w:val="1"/>
    <w:qFormat/>
    <w:uiPriority w:val="1"/>
    <w:pPr>
      <w:numPr>
        <w:numId w:val="2"/>
      </w:numPr>
      <w:tabs>
        <w:tab w:val="left" w:pos="1260"/>
      </w:tabs>
      <w:outlineLvl w:val="1"/>
    </w:pPr>
    <w:rPr>
      <w:rFonts w:eastAsiaTheme="minorHAnsi"/>
    </w:rPr>
  </w:style>
  <w:style w:type="paragraph" w:styleId="4">
    <w:name w:val="heading 3"/>
    <w:basedOn w:val="3"/>
    <w:next w:val="1"/>
    <w:qFormat/>
    <w:uiPriority w:val="1"/>
    <w:pPr>
      <w:numPr>
        <w:numId w:val="3"/>
      </w:numPr>
      <w:spacing w:before="120" w:after="240"/>
      <w:ind w:left="0"/>
      <w:jc w:val="both"/>
      <w:outlineLvl w:val="2"/>
    </w:pPr>
    <w:rPr>
      <w:rFonts w:eastAsia="Times New Roman"/>
      <w:caps w:val="0"/>
      <w:szCs w:val="20"/>
      <w:lang w:val="en-US"/>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Body Text Indent Char1 Char3"/>
    <w:qFormat/>
    <w:uiPriority w:val="99"/>
    <w:rPr>
      <w:rFonts w:ascii=".VnTime" w:hAnsi=".VnTime"/>
      <w:sz w:val="2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2018-11-03T04:27:00Z</dcterms:created>
  <dc:creator>Hoang Son</dc:creator>
  <cp:lastModifiedBy>Son Hoang Van</cp:lastModifiedBy>
  <dcterms:modified xsi:type="dcterms:W3CDTF">2023-02-22T08:24:13Z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9CAC5AD42C8449D28CEEA548D7AC88B1</vt:lpwstr>
  </property>
</Properties>
</file>