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AE58" w14:textId="77777777" w:rsidR="00E945B9" w:rsidRPr="00E945B9" w:rsidRDefault="005A1B70" w:rsidP="00E945B9">
      <w:pPr>
        <w:pStyle w:val="NormalWeb"/>
        <w:tabs>
          <w:tab w:val="left" w:pos="0"/>
          <w:tab w:val="right" w:pos="14399"/>
        </w:tabs>
        <w:spacing w:beforeLines="40" w:before="96" w:beforeAutospacing="0" w:afterLines="40" w:after="96" w:afterAutospacing="0" w:line="300" w:lineRule="auto"/>
        <w:contextualSpacing/>
        <w:jc w:val="center"/>
        <w:rPr>
          <w:rFonts w:asciiTheme="majorHAnsi" w:hAnsiTheme="majorHAnsi" w:cstheme="majorHAnsi"/>
          <w:b/>
          <w:bCs/>
          <w:spacing w:val="-2"/>
          <w:sz w:val="30"/>
          <w:szCs w:val="30"/>
        </w:rPr>
      </w:pPr>
      <w:r w:rsidRPr="00E945B9">
        <w:rPr>
          <w:rFonts w:asciiTheme="majorHAnsi" w:hAnsiTheme="majorHAnsi" w:cstheme="majorHAnsi"/>
          <w:b/>
          <w:bCs/>
          <w:spacing w:val="-2"/>
          <w:sz w:val="30"/>
          <w:szCs w:val="30"/>
        </w:rPr>
        <w:t xml:space="preserve">TỔNG HỢP </w:t>
      </w:r>
      <w:r w:rsidR="001360F5" w:rsidRPr="00E945B9">
        <w:rPr>
          <w:rFonts w:asciiTheme="majorHAnsi" w:hAnsiTheme="majorHAnsi" w:cstheme="majorHAnsi"/>
          <w:b/>
          <w:bCs/>
          <w:spacing w:val="-2"/>
          <w:sz w:val="30"/>
          <w:szCs w:val="30"/>
        </w:rPr>
        <w:t xml:space="preserve">QUY ĐỊNH BẤT CẬP TRONG LĨNH VỰC ĐẦU TƯ, </w:t>
      </w:r>
    </w:p>
    <w:p w14:paraId="0C3E5221" w14:textId="4BB36AA0" w:rsidR="005A1B70" w:rsidRPr="00E945B9" w:rsidRDefault="001360F5" w:rsidP="00E945B9">
      <w:pPr>
        <w:pStyle w:val="NormalWeb"/>
        <w:tabs>
          <w:tab w:val="left" w:pos="0"/>
          <w:tab w:val="right" w:pos="14399"/>
        </w:tabs>
        <w:spacing w:beforeLines="40" w:before="96" w:beforeAutospacing="0" w:afterLines="40" w:after="96" w:afterAutospacing="0" w:line="300" w:lineRule="auto"/>
        <w:contextualSpacing/>
        <w:jc w:val="center"/>
        <w:rPr>
          <w:rFonts w:asciiTheme="majorHAnsi" w:hAnsiTheme="majorHAnsi" w:cstheme="majorHAnsi"/>
          <w:b/>
          <w:bCs/>
          <w:spacing w:val="-2"/>
          <w:sz w:val="30"/>
          <w:szCs w:val="30"/>
        </w:rPr>
      </w:pPr>
      <w:r w:rsidRPr="00E945B9">
        <w:rPr>
          <w:rFonts w:asciiTheme="majorHAnsi" w:hAnsiTheme="majorHAnsi" w:cstheme="majorHAnsi"/>
          <w:b/>
          <w:bCs/>
          <w:spacing w:val="-2"/>
          <w:sz w:val="30"/>
          <w:szCs w:val="30"/>
        </w:rPr>
        <w:t>KINH DOANH BẤT ĐỘNG SẢN, NHÀ Ở</w:t>
      </w:r>
    </w:p>
    <w:p w14:paraId="3D0E4F5F" w14:textId="77777777" w:rsidR="00E945B9" w:rsidRDefault="00E945B9" w:rsidP="00E945B9">
      <w:pPr>
        <w:pStyle w:val="NormalWeb"/>
        <w:tabs>
          <w:tab w:val="left" w:pos="0"/>
          <w:tab w:val="right" w:pos="14399"/>
        </w:tabs>
        <w:spacing w:beforeLines="40" w:before="96" w:beforeAutospacing="0" w:afterLines="40" w:after="96" w:afterAutospacing="0" w:line="300" w:lineRule="auto"/>
        <w:contextualSpacing/>
        <w:jc w:val="center"/>
        <w:rPr>
          <w:rFonts w:asciiTheme="majorHAnsi" w:hAnsiTheme="majorHAnsi" w:cstheme="majorHAnsi"/>
          <w:b/>
          <w:bCs/>
          <w:spacing w:val="-2"/>
          <w:sz w:val="26"/>
          <w:szCs w:val="26"/>
        </w:rPr>
      </w:pPr>
    </w:p>
    <w:p w14:paraId="668F93FE" w14:textId="23C7AC6C" w:rsidR="00F3202E" w:rsidRPr="00E945B9" w:rsidRDefault="00E945B9" w:rsidP="00E945B9">
      <w:pPr>
        <w:pStyle w:val="NormalWeb"/>
        <w:tabs>
          <w:tab w:val="left" w:pos="0"/>
          <w:tab w:val="right" w:pos="14399"/>
        </w:tabs>
        <w:spacing w:beforeLines="40" w:before="96" w:beforeAutospacing="0" w:afterLines="40" w:after="96" w:afterAutospacing="0" w:line="300" w:lineRule="auto"/>
        <w:contextualSpacing/>
        <w:jc w:val="right"/>
        <w:rPr>
          <w:rFonts w:asciiTheme="majorHAnsi" w:hAnsiTheme="majorHAnsi" w:cstheme="majorHAnsi"/>
          <w:b/>
          <w:bCs/>
          <w:i/>
          <w:iCs/>
          <w:spacing w:val="-2"/>
          <w:sz w:val="26"/>
          <w:szCs w:val="26"/>
        </w:rPr>
      </w:pPr>
      <w:r w:rsidRPr="00E945B9">
        <w:rPr>
          <w:rFonts w:asciiTheme="majorHAnsi" w:hAnsiTheme="majorHAnsi" w:cstheme="majorHAnsi"/>
          <w:b/>
          <w:bCs/>
          <w:i/>
          <w:iCs/>
          <w:spacing w:val="-2"/>
          <w:sz w:val="26"/>
          <w:szCs w:val="26"/>
        </w:rPr>
        <w:t>Hiệp hội Nhà thầu Xây dựng Việt Nam</w:t>
      </w:r>
      <w:r w:rsidRPr="00E945B9">
        <w:rPr>
          <w:rFonts w:asciiTheme="majorHAnsi" w:hAnsiTheme="majorHAnsi" w:cstheme="majorHAnsi"/>
          <w:b/>
          <w:bCs/>
          <w:i/>
          <w:iCs/>
          <w:spacing w:val="-2"/>
          <w:sz w:val="26"/>
          <w:szCs w:val="26"/>
        </w:rPr>
        <w:t xml:space="preserve"> (VACC)</w:t>
      </w:r>
    </w:p>
    <w:p w14:paraId="5B952460" w14:textId="77777777" w:rsidR="00572657" w:rsidRDefault="00572657" w:rsidP="00E945B9">
      <w:pPr>
        <w:pStyle w:val="NormalWeb"/>
        <w:tabs>
          <w:tab w:val="left" w:pos="0"/>
          <w:tab w:val="right" w:pos="14399"/>
        </w:tabs>
        <w:spacing w:beforeLines="40" w:before="96" w:beforeAutospacing="0" w:afterLines="40" w:after="96" w:afterAutospacing="0" w:line="300" w:lineRule="auto"/>
        <w:contextualSpacing/>
        <w:rPr>
          <w:rFonts w:asciiTheme="majorHAnsi" w:hAnsiTheme="majorHAnsi" w:cstheme="majorHAnsi"/>
          <w:b/>
          <w:bCs/>
          <w:spacing w:val="-2"/>
          <w:sz w:val="26"/>
          <w:szCs w:val="26"/>
        </w:rPr>
      </w:pPr>
    </w:p>
    <w:tbl>
      <w:tblPr>
        <w:tblStyle w:val="TableGrid"/>
        <w:tblW w:w="9776" w:type="dxa"/>
        <w:tblLook w:val="04A0" w:firstRow="1" w:lastRow="0" w:firstColumn="1" w:lastColumn="0" w:noHBand="0" w:noVBand="1"/>
      </w:tblPr>
      <w:tblGrid>
        <w:gridCol w:w="704"/>
        <w:gridCol w:w="2977"/>
        <w:gridCol w:w="6095"/>
      </w:tblGrid>
      <w:tr w:rsidR="00BD469E" w14:paraId="16725EC1" w14:textId="77777777" w:rsidTr="00E945B9">
        <w:trPr>
          <w:trHeight w:val="754"/>
        </w:trPr>
        <w:tc>
          <w:tcPr>
            <w:tcW w:w="704" w:type="dxa"/>
            <w:vAlign w:val="center"/>
          </w:tcPr>
          <w:p w14:paraId="03A16B2B" w14:textId="77777777" w:rsidR="00BD469E" w:rsidRDefault="00804127"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
                <w:bCs/>
                <w:spacing w:val="-2"/>
                <w:sz w:val="26"/>
                <w:szCs w:val="26"/>
              </w:rPr>
            </w:pPr>
            <w:r>
              <w:rPr>
                <w:rFonts w:asciiTheme="majorHAnsi" w:hAnsiTheme="majorHAnsi" w:cstheme="majorHAnsi"/>
                <w:b/>
                <w:bCs/>
                <w:spacing w:val="-2"/>
                <w:sz w:val="26"/>
                <w:szCs w:val="26"/>
              </w:rPr>
              <w:t>STT</w:t>
            </w:r>
          </w:p>
        </w:tc>
        <w:tc>
          <w:tcPr>
            <w:tcW w:w="2977" w:type="dxa"/>
            <w:vAlign w:val="center"/>
          </w:tcPr>
          <w:p w14:paraId="62990080" w14:textId="77777777" w:rsidR="00BD469E" w:rsidRDefault="00804127"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
                <w:bCs/>
                <w:spacing w:val="-2"/>
                <w:sz w:val="26"/>
                <w:szCs w:val="26"/>
              </w:rPr>
            </w:pPr>
            <w:r>
              <w:rPr>
                <w:rFonts w:asciiTheme="majorHAnsi" w:hAnsiTheme="majorHAnsi" w:cstheme="majorHAnsi"/>
                <w:b/>
                <w:bCs/>
                <w:spacing w:val="-2"/>
                <w:sz w:val="26"/>
                <w:szCs w:val="26"/>
              </w:rPr>
              <w:t>Bất cập</w:t>
            </w:r>
          </w:p>
        </w:tc>
        <w:tc>
          <w:tcPr>
            <w:tcW w:w="6095" w:type="dxa"/>
            <w:vAlign w:val="center"/>
          </w:tcPr>
          <w:p w14:paraId="22B50AF7" w14:textId="77777777" w:rsidR="00BD469E" w:rsidRDefault="00804127"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
                <w:bCs/>
                <w:spacing w:val="-2"/>
                <w:sz w:val="26"/>
                <w:szCs w:val="26"/>
              </w:rPr>
            </w:pPr>
            <w:r>
              <w:rPr>
                <w:rFonts w:asciiTheme="majorHAnsi" w:hAnsiTheme="majorHAnsi" w:cstheme="majorHAnsi"/>
                <w:b/>
                <w:bCs/>
                <w:spacing w:val="-2"/>
                <w:sz w:val="26"/>
                <w:szCs w:val="26"/>
              </w:rPr>
              <w:t>Nội dung chi tiết</w:t>
            </w:r>
          </w:p>
        </w:tc>
      </w:tr>
      <w:tr w:rsidR="005F19B7" w14:paraId="595E5465" w14:textId="77777777" w:rsidTr="00E945B9">
        <w:tc>
          <w:tcPr>
            <w:tcW w:w="9776" w:type="dxa"/>
            <w:gridSpan w:val="3"/>
          </w:tcPr>
          <w:p w14:paraId="3CA9CE5B" w14:textId="77777777" w:rsidR="005F19B7" w:rsidRDefault="005F19B7"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
                <w:bCs/>
                <w:spacing w:val="-2"/>
                <w:sz w:val="26"/>
                <w:szCs w:val="26"/>
              </w:rPr>
            </w:pPr>
            <w:r>
              <w:rPr>
                <w:rFonts w:asciiTheme="majorHAnsi" w:hAnsiTheme="majorHAnsi" w:cstheme="majorHAnsi"/>
                <w:b/>
                <w:bCs/>
                <w:spacing w:val="-2"/>
                <w:sz w:val="26"/>
                <w:szCs w:val="26"/>
              </w:rPr>
              <w:t>Bất cập trong hoạt động đầu tư, kinh doanh nhà ở, bất động sản</w:t>
            </w:r>
          </w:p>
        </w:tc>
      </w:tr>
      <w:tr w:rsidR="00BD469E" w14:paraId="44E0D610" w14:textId="77777777" w:rsidTr="00E945B9">
        <w:tc>
          <w:tcPr>
            <w:tcW w:w="704" w:type="dxa"/>
            <w:vAlign w:val="center"/>
          </w:tcPr>
          <w:p w14:paraId="12D890A5" w14:textId="77777777" w:rsidR="00BD469E" w:rsidRPr="00804127" w:rsidRDefault="00804127"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sidRPr="00804127">
              <w:rPr>
                <w:rFonts w:asciiTheme="majorHAnsi" w:hAnsiTheme="majorHAnsi" w:cstheme="majorHAnsi"/>
                <w:bCs/>
                <w:spacing w:val="-2"/>
                <w:sz w:val="26"/>
                <w:szCs w:val="26"/>
              </w:rPr>
              <w:t>1</w:t>
            </w:r>
          </w:p>
        </w:tc>
        <w:tc>
          <w:tcPr>
            <w:tcW w:w="2977" w:type="dxa"/>
            <w:vAlign w:val="center"/>
          </w:tcPr>
          <w:p w14:paraId="1931B747" w14:textId="77777777" w:rsidR="00BD469E" w:rsidRDefault="001360F5"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bCs/>
                <w:spacing w:val="-2"/>
                <w:sz w:val="26"/>
                <w:szCs w:val="26"/>
              </w:rPr>
            </w:pPr>
            <w:r>
              <w:rPr>
                <w:rFonts w:asciiTheme="majorHAnsi" w:hAnsiTheme="majorHAnsi" w:cstheme="majorHAnsi"/>
                <w:b/>
                <w:iCs/>
                <w:sz w:val="26"/>
                <w:szCs w:val="26"/>
              </w:rPr>
              <w:t>Bất cập trong q</w:t>
            </w:r>
            <w:r w:rsidR="00BD469E" w:rsidRPr="00BD469E">
              <w:rPr>
                <w:rFonts w:asciiTheme="majorHAnsi" w:hAnsiTheme="majorHAnsi" w:cstheme="majorHAnsi"/>
                <w:b/>
                <w:iCs/>
                <w:sz w:val="26"/>
                <w:szCs w:val="26"/>
              </w:rPr>
              <w:t>uy định về lựa chọn nhà đầu tư làm chủ đầu tư xây dựng dự án nhà ở thương mại tại Nghị định 30/2021/NĐ-CP</w:t>
            </w:r>
          </w:p>
        </w:tc>
        <w:tc>
          <w:tcPr>
            <w:tcW w:w="6095" w:type="dxa"/>
          </w:tcPr>
          <w:p w14:paraId="2350CE26" w14:textId="77777777" w:rsidR="00BD469E" w:rsidRPr="00BD469E" w:rsidRDefault="00BD469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iCs/>
                <w:sz w:val="26"/>
                <w:szCs w:val="26"/>
              </w:rPr>
            </w:pPr>
            <w:r w:rsidRPr="00BD469E">
              <w:rPr>
                <w:rFonts w:asciiTheme="majorHAnsi" w:hAnsiTheme="majorHAnsi" w:cstheme="majorHAnsi"/>
                <w:iCs/>
                <w:sz w:val="26"/>
                <w:szCs w:val="26"/>
              </w:rPr>
              <w:t>Theo đó, NĐ 30</w:t>
            </w:r>
            <w:r w:rsidR="0079461C">
              <w:rPr>
                <w:rFonts w:asciiTheme="majorHAnsi" w:hAnsiTheme="majorHAnsi" w:cstheme="majorHAnsi"/>
                <w:iCs/>
                <w:sz w:val="26"/>
                <w:szCs w:val="26"/>
              </w:rPr>
              <w:t>/2021</w:t>
            </w:r>
            <w:r w:rsidRPr="00BD469E">
              <w:rPr>
                <w:rFonts w:asciiTheme="majorHAnsi" w:hAnsiTheme="majorHAnsi" w:cstheme="majorHAnsi"/>
                <w:iCs/>
                <w:sz w:val="26"/>
                <w:szCs w:val="26"/>
              </w:rPr>
              <w:t xml:space="preserve"> quy định, nhà đầu tư có quyền sử dụng đất ở hoặc đất ở và một phần đất khác thì trong quyết định chấp thuận chủ trương đầu tư xác nhận nhà đầu tư đó làm chủ đầu tư.</w:t>
            </w:r>
          </w:p>
          <w:p w14:paraId="6E0159D9" w14:textId="77777777" w:rsidR="00BD469E" w:rsidRDefault="0079461C"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bCs/>
                <w:spacing w:val="-2"/>
                <w:sz w:val="26"/>
                <w:szCs w:val="26"/>
              </w:rPr>
            </w:pPr>
            <w:r>
              <w:rPr>
                <w:rFonts w:asciiTheme="majorHAnsi" w:hAnsiTheme="majorHAnsi" w:cstheme="majorHAnsi"/>
                <w:iCs/>
                <w:sz w:val="26"/>
                <w:szCs w:val="26"/>
              </w:rPr>
              <w:t>T</w:t>
            </w:r>
            <w:r w:rsidR="00BD469E" w:rsidRPr="00BD469E">
              <w:rPr>
                <w:rFonts w:asciiTheme="majorHAnsi" w:hAnsiTheme="majorHAnsi" w:cstheme="majorHAnsi"/>
                <w:iCs/>
                <w:sz w:val="26"/>
                <w:szCs w:val="26"/>
              </w:rPr>
              <w:t xml:space="preserve">hực tế hiện nay, rất nhiều dự án </w:t>
            </w:r>
            <w:r w:rsidR="004A25F2">
              <w:rPr>
                <w:rFonts w:asciiTheme="majorHAnsi" w:hAnsiTheme="majorHAnsi" w:cstheme="majorHAnsi"/>
                <w:iCs/>
                <w:sz w:val="26"/>
                <w:szCs w:val="26"/>
              </w:rPr>
              <w:t xml:space="preserve">mà </w:t>
            </w:r>
            <w:r w:rsidR="00BD469E" w:rsidRPr="00BD469E">
              <w:rPr>
                <w:rFonts w:asciiTheme="majorHAnsi" w:hAnsiTheme="majorHAnsi" w:cstheme="majorHAnsi"/>
                <w:iCs/>
                <w:sz w:val="26"/>
                <w:szCs w:val="26"/>
              </w:rPr>
              <w:t xml:space="preserve">nhà đầu tư có đất và đủ điều kiện để làm chủ đầu tư dự án nhà ở theo quy định pháp luật. Tuy nhiên, đất đó không phải là đất ở hoặc không có </w:t>
            </w:r>
            <w:r w:rsidR="004A25F2">
              <w:rPr>
                <w:rFonts w:asciiTheme="majorHAnsi" w:hAnsiTheme="majorHAnsi" w:cstheme="majorHAnsi"/>
                <w:iCs/>
                <w:sz w:val="26"/>
                <w:szCs w:val="26"/>
              </w:rPr>
              <w:t xml:space="preserve">một </w:t>
            </w:r>
            <w:r w:rsidR="00BD469E" w:rsidRPr="00BD469E">
              <w:rPr>
                <w:rFonts w:asciiTheme="majorHAnsi" w:hAnsiTheme="majorHAnsi" w:cstheme="majorHAnsi"/>
                <w:iCs/>
                <w:sz w:val="26"/>
                <w:szCs w:val="26"/>
              </w:rPr>
              <w:t>phần đất ở</w:t>
            </w:r>
            <w:r w:rsidR="00CE01D1">
              <w:rPr>
                <w:rFonts w:asciiTheme="majorHAnsi" w:hAnsiTheme="majorHAnsi" w:cstheme="majorHAnsi"/>
                <w:iCs/>
                <w:sz w:val="26"/>
                <w:szCs w:val="26"/>
              </w:rPr>
              <w:t xml:space="preserve"> theo quy định tại Nghị định 30/2021</w:t>
            </w:r>
            <w:r w:rsidR="00BD469E" w:rsidRPr="00BD469E">
              <w:rPr>
                <w:rFonts w:asciiTheme="majorHAnsi" w:hAnsiTheme="majorHAnsi" w:cstheme="majorHAnsi"/>
                <w:iCs/>
                <w:sz w:val="26"/>
                <w:szCs w:val="26"/>
              </w:rPr>
              <w:t xml:space="preserve"> nên không được công nhận làm chủ đầu tư dự án. Chính vì quy định này, hiện nay có rất nhiều dự án không thể triển khai thực hiện</w:t>
            </w:r>
            <w:r w:rsidR="00CE01D1">
              <w:rPr>
                <w:rFonts w:asciiTheme="majorHAnsi" w:hAnsiTheme="majorHAnsi" w:cstheme="majorHAnsi"/>
                <w:iCs/>
                <w:sz w:val="26"/>
                <w:szCs w:val="26"/>
              </w:rPr>
              <w:t xml:space="preserve"> được</w:t>
            </w:r>
            <w:r>
              <w:rPr>
                <w:rFonts w:asciiTheme="majorHAnsi" w:hAnsiTheme="majorHAnsi" w:cstheme="majorHAnsi"/>
                <w:iCs/>
                <w:sz w:val="26"/>
                <w:szCs w:val="26"/>
              </w:rPr>
              <w:t>.</w:t>
            </w:r>
          </w:p>
        </w:tc>
      </w:tr>
      <w:tr w:rsidR="00BD469E" w14:paraId="188C0483" w14:textId="77777777" w:rsidTr="00E945B9">
        <w:tc>
          <w:tcPr>
            <w:tcW w:w="704" w:type="dxa"/>
            <w:vAlign w:val="center"/>
          </w:tcPr>
          <w:p w14:paraId="008103F3" w14:textId="77777777" w:rsidR="00BD469E" w:rsidRPr="00804127" w:rsidRDefault="00804127"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sidRPr="00804127">
              <w:rPr>
                <w:rFonts w:asciiTheme="majorHAnsi" w:hAnsiTheme="majorHAnsi" w:cstheme="majorHAnsi"/>
                <w:bCs/>
                <w:spacing w:val="-2"/>
                <w:sz w:val="26"/>
                <w:szCs w:val="26"/>
              </w:rPr>
              <w:t>2</w:t>
            </w:r>
          </w:p>
        </w:tc>
        <w:tc>
          <w:tcPr>
            <w:tcW w:w="2977" w:type="dxa"/>
            <w:vAlign w:val="center"/>
          </w:tcPr>
          <w:p w14:paraId="70813679" w14:textId="77777777" w:rsidR="00BD469E" w:rsidRDefault="001360F5"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bCs/>
                <w:spacing w:val="-2"/>
                <w:sz w:val="26"/>
                <w:szCs w:val="26"/>
              </w:rPr>
            </w:pPr>
            <w:r>
              <w:rPr>
                <w:rFonts w:asciiTheme="majorHAnsi" w:hAnsiTheme="majorHAnsi" w:cstheme="majorHAnsi"/>
                <w:b/>
                <w:iCs/>
                <w:sz w:val="26"/>
                <w:szCs w:val="26"/>
              </w:rPr>
              <w:t>Bất cập trong q</w:t>
            </w:r>
            <w:r w:rsidRPr="00BD469E">
              <w:rPr>
                <w:rFonts w:asciiTheme="majorHAnsi" w:hAnsiTheme="majorHAnsi" w:cstheme="majorHAnsi"/>
                <w:b/>
                <w:iCs/>
                <w:sz w:val="26"/>
                <w:szCs w:val="26"/>
              </w:rPr>
              <w:t>uy định</w:t>
            </w:r>
            <w:r>
              <w:rPr>
                <w:rFonts w:asciiTheme="majorHAnsi" w:hAnsiTheme="majorHAnsi" w:cstheme="majorHAnsi"/>
                <w:b/>
                <w:iCs/>
                <w:sz w:val="26"/>
                <w:szCs w:val="26"/>
              </w:rPr>
              <w:t xml:space="preserve"> </w:t>
            </w:r>
            <w:r w:rsidR="00BD469E" w:rsidRPr="00BD469E">
              <w:rPr>
                <w:rFonts w:asciiTheme="majorHAnsi" w:hAnsiTheme="majorHAnsi" w:cstheme="majorHAnsi"/>
                <w:b/>
                <w:iCs/>
                <w:sz w:val="26"/>
                <w:szCs w:val="26"/>
              </w:rPr>
              <w:t>về việc hợp tác, liên danh</w:t>
            </w:r>
            <w:r w:rsidR="00CE01D1">
              <w:rPr>
                <w:rFonts w:asciiTheme="majorHAnsi" w:hAnsiTheme="majorHAnsi" w:cstheme="majorHAnsi"/>
                <w:b/>
                <w:iCs/>
                <w:sz w:val="26"/>
                <w:szCs w:val="26"/>
              </w:rPr>
              <w:t>, liên kết</w:t>
            </w:r>
            <w:r w:rsidR="00BD469E" w:rsidRPr="00BD469E">
              <w:rPr>
                <w:rFonts w:asciiTheme="majorHAnsi" w:hAnsiTheme="majorHAnsi" w:cstheme="majorHAnsi"/>
                <w:b/>
                <w:iCs/>
                <w:sz w:val="26"/>
                <w:szCs w:val="26"/>
              </w:rPr>
              <w:t xml:space="preserve"> giữa các nhà đầu tư để thực hiện dự án</w:t>
            </w:r>
          </w:p>
        </w:tc>
        <w:tc>
          <w:tcPr>
            <w:tcW w:w="6095" w:type="dxa"/>
          </w:tcPr>
          <w:p w14:paraId="2813BED0" w14:textId="77777777" w:rsidR="00BD469E" w:rsidRDefault="00BD469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bCs/>
                <w:spacing w:val="-2"/>
                <w:sz w:val="26"/>
                <w:szCs w:val="26"/>
              </w:rPr>
            </w:pPr>
            <w:r w:rsidRPr="00BD469E">
              <w:rPr>
                <w:rFonts w:asciiTheme="majorHAnsi" w:hAnsiTheme="majorHAnsi" w:cstheme="majorHAnsi"/>
                <w:iCs/>
                <w:sz w:val="26"/>
                <w:szCs w:val="26"/>
              </w:rPr>
              <w:t>Thực tế, có rất nhiều dự án, hai hoặc ba nhà đầu tư cùng</w:t>
            </w:r>
            <w:r w:rsidR="005C67E1">
              <w:rPr>
                <w:rFonts w:asciiTheme="majorHAnsi" w:hAnsiTheme="majorHAnsi" w:cstheme="majorHAnsi"/>
                <w:iCs/>
                <w:sz w:val="26"/>
                <w:szCs w:val="26"/>
              </w:rPr>
              <w:t xml:space="preserve"> hợp tác,</w:t>
            </w:r>
            <w:r w:rsidRPr="00BD469E">
              <w:rPr>
                <w:rFonts w:asciiTheme="majorHAnsi" w:hAnsiTheme="majorHAnsi" w:cstheme="majorHAnsi"/>
                <w:iCs/>
                <w:sz w:val="26"/>
                <w:szCs w:val="26"/>
              </w:rPr>
              <w:t xml:space="preserve"> liên danh</w:t>
            </w:r>
            <w:r w:rsidR="00CE01D1">
              <w:rPr>
                <w:rFonts w:asciiTheme="majorHAnsi" w:hAnsiTheme="majorHAnsi" w:cstheme="majorHAnsi"/>
                <w:iCs/>
                <w:sz w:val="26"/>
                <w:szCs w:val="26"/>
              </w:rPr>
              <w:t>, liên kết</w:t>
            </w:r>
            <w:r w:rsidRPr="00BD469E">
              <w:rPr>
                <w:rFonts w:asciiTheme="majorHAnsi" w:hAnsiTheme="majorHAnsi" w:cstheme="majorHAnsi"/>
                <w:iCs/>
                <w:sz w:val="26"/>
                <w:szCs w:val="26"/>
              </w:rPr>
              <w:t xml:space="preserve"> </w:t>
            </w:r>
            <w:r w:rsidR="00B72D5B">
              <w:rPr>
                <w:rFonts w:asciiTheme="majorHAnsi" w:hAnsiTheme="majorHAnsi" w:cstheme="majorHAnsi"/>
                <w:iCs/>
                <w:sz w:val="26"/>
                <w:szCs w:val="26"/>
              </w:rPr>
              <w:t xml:space="preserve">(không thành lập pháp </w:t>
            </w:r>
            <w:r w:rsidR="00B72D5B" w:rsidRPr="000F30B0">
              <w:rPr>
                <w:rFonts w:asciiTheme="majorHAnsi" w:hAnsiTheme="majorHAnsi" w:cstheme="majorHAnsi"/>
                <w:iCs/>
                <w:sz w:val="26"/>
                <w:szCs w:val="26"/>
              </w:rPr>
              <w:t xml:space="preserve">nhân mới) </w:t>
            </w:r>
            <w:r w:rsidRPr="000F30B0">
              <w:rPr>
                <w:rFonts w:asciiTheme="majorHAnsi" w:hAnsiTheme="majorHAnsi" w:cstheme="majorHAnsi"/>
                <w:iCs/>
                <w:sz w:val="26"/>
                <w:szCs w:val="26"/>
              </w:rPr>
              <w:t xml:space="preserve">để </w:t>
            </w:r>
            <w:r w:rsidR="00B72D5B" w:rsidRPr="000F30B0">
              <w:rPr>
                <w:rFonts w:asciiTheme="majorHAnsi" w:hAnsiTheme="majorHAnsi" w:cstheme="majorHAnsi"/>
                <w:iCs/>
                <w:sz w:val="26"/>
                <w:szCs w:val="26"/>
              </w:rPr>
              <w:t xml:space="preserve">cùng </w:t>
            </w:r>
            <w:r w:rsidRPr="000F30B0">
              <w:rPr>
                <w:rFonts w:asciiTheme="majorHAnsi" w:hAnsiTheme="majorHAnsi" w:cstheme="majorHAnsi"/>
                <w:iCs/>
                <w:sz w:val="26"/>
                <w:szCs w:val="26"/>
              </w:rPr>
              <w:t>đầu tư</w:t>
            </w:r>
            <w:r w:rsidR="00B72D5B" w:rsidRPr="000F30B0">
              <w:rPr>
                <w:rFonts w:asciiTheme="majorHAnsi" w:hAnsiTheme="majorHAnsi" w:cstheme="majorHAnsi"/>
                <w:iCs/>
                <w:sz w:val="26"/>
                <w:szCs w:val="26"/>
              </w:rPr>
              <w:t xml:space="preserve"> một dự án</w:t>
            </w:r>
            <w:r w:rsidRPr="000F30B0">
              <w:rPr>
                <w:rFonts w:asciiTheme="majorHAnsi" w:hAnsiTheme="majorHAnsi" w:cstheme="majorHAnsi"/>
                <w:iCs/>
                <w:sz w:val="26"/>
                <w:szCs w:val="26"/>
              </w:rPr>
              <w:t xml:space="preserve">, và tất cả các nhà đầu tư đều được ghi nhận trên </w:t>
            </w:r>
            <w:r w:rsidR="00CE01D1" w:rsidRPr="000F30B0">
              <w:rPr>
                <w:rFonts w:asciiTheme="majorHAnsi" w:hAnsiTheme="majorHAnsi" w:cstheme="majorHAnsi"/>
                <w:iCs/>
                <w:sz w:val="26"/>
                <w:szCs w:val="26"/>
              </w:rPr>
              <w:t>q</w:t>
            </w:r>
            <w:r w:rsidRPr="000F30B0">
              <w:rPr>
                <w:rFonts w:asciiTheme="majorHAnsi" w:hAnsiTheme="majorHAnsi" w:cstheme="majorHAnsi"/>
                <w:iCs/>
                <w:sz w:val="26"/>
                <w:szCs w:val="26"/>
              </w:rPr>
              <w:t>uyết định chấp thuận chủ trương đầu tư</w:t>
            </w:r>
            <w:r w:rsidR="00CE01D1" w:rsidRPr="000F30B0">
              <w:rPr>
                <w:rFonts w:asciiTheme="majorHAnsi" w:hAnsiTheme="majorHAnsi" w:cstheme="majorHAnsi"/>
                <w:iCs/>
                <w:sz w:val="26"/>
                <w:szCs w:val="26"/>
              </w:rPr>
              <w:t>/giấy chứng nhận đầu tư</w:t>
            </w:r>
            <w:r w:rsidRPr="000F30B0">
              <w:rPr>
                <w:rFonts w:asciiTheme="majorHAnsi" w:hAnsiTheme="majorHAnsi" w:cstheme="majorHAnsi"/>
                <w:iCs/>
                <w:sz w:val="26"/>
                <w:szCs w:val="26"/>
              </w:rPr>
              <w:t xml:space="preserve"> với tư cách là chủ đầu tư dự án. Tuy nhiên, tại Điều </w:t>
            </w:r>
            <w:r w:rsidR="00AD74C8" w:rsidRPr="000F30B0">
              <w:rPr>
                <w:rFonts w:asciiTheme="majorHAnsi" w:hAnsiTheme="majorHAnsi" w:cstheme="majorHAnsi"/>
                <w:iCs/>
                <w:sz w:val="26"/>
                <w:szCs w:val="26"/>
              </w:rPr>
              <w:t>6</w:t>
            </w:r>
            <w:r w:rsidRPr="000F30B0">
              <w:rPr>
                <w:rFonts w:asciiTheme="majorHAnsi" w:hAnsiTheme="majorHAnsi" w:cstheme="majorHAnsi"/>
                <w:iCs/>
                <w:sz w:val="26"/>
                <w:szCs w:val="26"/>
              </w:rPr>
              <w:t xml:space="preserve"> Luật Nhà ở </w:t>
            </w:r>
            <w:r w:rsidR="000135C6" w:rsidRPr="000F30B0">
              <w:rPr>
                <w:rFonts w:asciiTheme="majorHAnsi" w:hAnsiTheme="majorHAnsi" w:cstheme="majorHAnsi"/>
                <w:iCs/>
                <w:sz w:val="26"/>
                <w:szCs w:val="26"/>
              </w:rPr>
              <w:t>và điều</w:t>
            </w:r>
            <w:r w:rsidRPr="000F30B0">
              <w:rPr>
                <w:rFonts w:asciiTheme="majorHAnsi" w:hAnsiTheme="majorHAnsi" w:cstheme="majorHAnsi"/>
                <w:iCs/>
                <w:sz w:val="26"/>
                <w:szCs w:val="26"/>
              </w:rPr>
              <w:t xml:space="preserve"> </w:t>
            </w:r>
            <w:r w:rsidR="002A72EE" w:rsidRPr="000F30B0">
              <w:rPr>
                <w:rFonts w:asciiTheme="majorHAnsi" w:hAnsiTheme="majorHAnsi" w:cstheme="majorHAnsi"/>
                <w:iCs/>
                <w:sz w:val="26"/>
                <w:szCs w:val="26"/>
              </w:rPr>
              <w:t xml:space="preserve">19 Nghị định </w:t>
            </w:r>
            <w:r w:rsidR="000F30B0" w:rsidRPr="000F30B0">
              <w:rPr>
                <w:rFonts w:asciiTheme="majorHAnsi" w:hAnsiTheme="majorHAnsi" w:cstheme="majorHAnsi"/>
                <w:iCs/>
                <w:sz w:val="26"/>
                <w:szCs w:val="26"/>
              </w:rPr>
              <w:t>99/2015</w:t>
            </w:r>
            <w:r w:rsidRPr="000F30B0">
              <w:rPr>
                <w:rFonts w:asciiTheme="majorHAnsi" w:hAnsiTheme="majorHAnsi" w:cstheme="majorHAnsi"/>
                <w:iCs/>
                <w:sz w:val="26"/>
                <w:szCs w:val="26"/>
              </w:rPr>
              <w:t xml:space="preserve"> quy định, Chủ đầu tư không được ủy quyền cho các bên liên danh liên kết ký hợp đồng mua bán nhà ở, hoặc các nhà đầu tư liên danh, liên kết không được thỏa thuận phân chia sản phẩm nhà ở</w:t>
            </w:r>
            <w:r w:rsidR="00AD74C8" w:rsidRPr="000F30B0">
              <w:rPr>
                <w:rFonts w:asciiTheme="majorHAnsi" w:hAnsiTheme="majorHAnsi" w:cstheme="majorHAnsi"/>
                <w:iCs/>
                <w:sz w:val="26"/>
                <w:szCs w:val="26"/>
              </w:rPr>
              <w:t xml:space="preserve"> của dự án mà chỉ được</w:t>
            </w:r>
            <w:r w:rsidR="00AD74C8">
              <w:rPr>
                <w:rFonts w:asciiTheme="majorHAnsi" w:hAnsiTheme="majorHAnsi" w:cstheme="majorHAnsi"/>
                <w:iCs/>
                <w:sz w:val="26"/>
                <w:szCs w:val="26"/>
              </w:rPr>
              <w:t xml:space="preserve"> chia lợi nhuận bằng tiền</w:t>
            </w:r>
            <w:r w:rsidR="000F30B0">
              <w:rPr>
                <w:rFonts w:asciiTheme="majorHAnsi" w:hAnsiTheme="majorHAnsi" w:cstheme="majorHAnsi"/>
                <w:iCs/>
                <w:sz w:val="26"/>
                <w:szCs w:val="26"/>
              </w:rPr>
              <w:t xml:space="preserve"> hoặc cổ phiếu</w:t>
            </w:r>
            <w:r w:rsidRPr="00BD469E">
              <w:rPr>
                <w:rFonts w:asciiTheme="majorHAnsi" w:hAnsiTheme="majorHAnsi" w:cstheme="majorHAnsi"/>
                <w:iCs/>
                <w:sz w:val="26"/>
                <w:szCs w:val="26"/>
              </w:rPr>
              <w:t xml:space="preserve">. Quy định này là bất cập và gây nhiều khó khăn cho các chủ đầu tư. </w:t>
            </w:r>
            <w:r w:rsidR="000135C6">
              <w:rPr>
                <w:rFonts w:asciiTheme="majorHAnsi" w:hAnsiTheme="majorHAnsi" w:cstheme="majorHAnsi"/>
                <w:iCs/>
                <w:sz w:val="26"/>
                <w:szCs w:val="26"/>
              </w:rPr>
              <w:t>Bởi lẽ họ đều</w:t>
            </w:r>
            <w:r w:rsidRPr="00BD469E">
              <w:rPr>
                <w:rFonts w:asciiTheme="majorHAnsi" w:hAnsiTheme="majorHAnsi" w:cstheme="majorHAnsi"/>
                <w:iCs/>
                <w:sz w:val="26"/>
                <w:szCs w:val="26"/>
              </w:rPr>
              <w:t xml:space="preserve"> là chủ đầu tư dự án</w:t>
            </w:r>
            <w:r w:rsidR="002A72EE">
              <w:rPr>
                <w:rFonts w:asciiTheme="majorHAnsi" w:hAnsiTheme="majorHAnsi" w:cstheme="majorHAnsi"/>
                <w:iCs/>
                <w:sz w:val="26"/>
                <w:szCs w:val="26"/>
              </w:rPr>
              <w:t xml:space="preserve"> được ghi nhận</w:t>
            </w:r>
            <w:r w:rsidR="000F30B0">
              <w:rPr>
                <w:rFonts w:asciiTheme="majorHAnsi" w:hAnsiTheme="majorHAnsi" w:cstheme="majorHAnsi"/>
                <w:iCs/>
                <w:sz w:val="26"/>
                <w:szCs w:val="26"/>
              </w:rPr>
              <w:t xml:space="preserve"> hợp pháp</w:t>
            </w:r>
            <w:r w:rsidR="002A72EE">
              <w:rPr>
                <w:rFonts w:asciiTheme="majorHAnsi" w:hAnsiTheme="majorHAnsi" w:cstheme="majorHAnsi"/>
                <w:iCs/>
                <w:sz w:val="26"/>
                <w:szCs w:val="26"/>
              </w:rPr>
              <w:t xml:space="preserve"> trên hồ sơ pháp lý dự án</w:t>
            </w:r>
            <w:r w:rsidR="000F30B0">
              <w:rPr>
                <w:rFonts w:asciiTheme="majorHAnsi" w:hAnsiTheme="majorHAnsi" w:cstheme="majorHAnsi"/>
                <w:iCs/>
                <w:sz w:val="26"/>
                <w:szCs w:val="26"/>
              </w:rPr>
              <w:t>.</w:t>
            </w:r>
            <w:r w:rsidR="000135C6">
              <w:rPr>
                <w:rFonts w:asciiTheme="majorHAnsi" w:hAnsiTheme="majorHAnsi" w:cstheme="majorHAnsi"/>
                <w:iCs/>
                <w:sz w:val="26"/>
                <w:szCs w:val="26"/>
              </w:rPr>
              <w:t xml:space="preserve"> </w:t>
            </w:r>
            <w:r w:rsidR="000F30B0">
              <w:rPr>
                <w:rFonts w:asciiTheme="majorHAnsi" w:hAnsiTheme="majorHAnsi" w:cstheme="majorHAnsi"/>
                <w:iCs/>
                <w:sz w:val="26"/>
                <w:szCs w:val="26"/>
              </w:rPr>
              <w:t>Đã</w:t>
            </w:r>
            <w:r w:rsidR="000135C6">
              <w:rPr>
                <w:rFonts w:asciiTheme="majorHAnsi" w:hAnsiTheme="majorHAnsi" w:cstheme="majorHAnsi"/>
                <w:iCs/>
                <w:sz w:val="26"/>
                <w:szCs w:val="26"/>
              </w:rPr>
              <w:t xml:space="preserve"> là</w:t>
            </w:r>
            <w:r w:rsidRPr="00BD469E">
              <w:rPr>
                <w:rFonts w:asciiTheme="majorHAnsi" w:hAnsiTheme="majorHAnsi" w:cstheme="majorHAnsi"/>
                <w:iCs/>
                <w:sz w:val="26"/>
                <w:szCs w:val="26"/>
              </w:rPr>
              <w:t xml:space="preserve"> chủ đầu tư</w:t>
            </w:r>
            <w:r w:rsidR="000135C6">
              <w:rPr>
                <w:rFonts w:asciiTheme="majorHAnsi" w:hAnsiTheme="majorHAnsi" w:cstheme="majorHAnsi"/>
                <w:iCs/>
                <w:sz w:val="26"/>
                <w:szCs w:val="26"/>
              </w:rPr>
              <w:t xml:space="preserve"> </w:t>
            </w:r>
            <w:r w:rsidR="000F30B0">
              <w:rPr>
                <w:rFonts w:asciiTheme="majorHAnsi" w:hAnsiTheme="majorHAnsi" w:cstheme="majorHAnsi"/>
                <w:iCs/>
                <w:sz w:val="26"/>
                <w:szCs w:val="26"/>
              </w:rPr>
              <w:t xml:space="preserve">dự án </w:t>
            </w:r>
            <w:r w:rsidR="000135C6">
              <w:rPr>
                <w:rFonts w:asciiTheme="majorHAnsi" w:hAnsiTheme="majorHAnsi" w:cstheme="majorHAnsi"/>
                <w:iCs/>
                <w:sz w:val="26"/>
                <w:szCs w:val="26"/>
              </w:rPr>
              <w:t>thì họ</w:t>
            </w:r>
            <w:r w:rsidRPr="00BD469E">
              <w:rPr>
                <w:rFonts w:asciiTheme="majorHAnsi" w:hAnsiTheme="majorHAnsi" w:cstheme="majorHAnsi"/>
                <w:iCs/>
                <w:sz w:val="26"/>
                <w:szCs w:val="26"/>
              </w:rPr>
              <w:t xml:space="preserve"> hoàn toàn có thể thỏa thuận ủy quyền cho </w:t>
            </w:r>
            <w:r w:rsidR="006F2A25">
              <w:rPr>
                <w:rFonts w:asciiTheme="majorHAnsi" w:hAnsiTheme="majorHAnsi" w:cstheme="majorHAnsi"/>
                <w:iCs/>
                <w:sz w:val="26"/>
                <w:szCs w:val="26"/>
              </w:rPr>
              <w:t>chủ đầu tư</w:t>
            </w:r>
            <w:r w:rsidRPr="00BD469E">
              <w:rPr>
                <w:rFonts w:asciiTheme="majorHAnsi" w:hAnsiTheme="majorHAnsi" w:cstheme="majorHAnsi"/>
                <w:iCs/>
                <w:sz w:val="26"/>
                <w:szCs w:val="26"/>
              </w:rPr>
              <w:t xml:space="preserve"> tư</w:t>
            </w:r>
            <w:r w:rsidR="000135C6">
              <w:rPr>
                <w:rFonts w:asciiTheme="majorHAnsi" w:hAnsiTheme="majorHAnsi" w:cstheme="majorHAnsi"/>
                <w:iCs/>
                <w:sz w:val="26"/>
                <w:szCs w:val="26"/>
              </w:rPr>
              <w:t xml:space="preserve"> còn lại</w:t>
            </w:r>
            <w:r w:rsidR="002A72EE">
              <w:rPr>
                <w:rFonts w:asciiTheme="majorHAnsi" w:hAnsiTheme="majorHAnsi" w:cstheme="majorHAnsi"/>
                <w:iCs/>
                <w:sz w:val="26"/>
                <w:szCs w:val="26"/>
              </w:rPr>
              <w:t xml:space="preserve"> trong số họ ký hợp đồng mua bán nhà ở, hoặc họ </w:t>
            </w:r>
            <w:r w:rsidR="002A72EE">
              <w:rPr>
                <w:rFonts w:asciiTheme="majorHAnsi" w:hAnsiTheme="majorHAnsi" w:cstheme="majorHAnsi"/>
                <w:iCs/>
                <w:sz w:val="26"/>
                <w:szCs w:val="26"/>
              </w:rPr>
              <w:lastRenderedPageBreak/>
              <w:t>cũng được</w:t>
            </w:r>
            <w:r w:rsidRPr="00BD469E">
              <w:rPr>
                <w:rFonts w:asciiTheme="majorHAnsi" w:hAnsiTheme="majorHAnsi" w:cstheme="majorHAnsi"/>
                <w:iCs/>
                <w:sz w:val="26"/>
                <w:szCs w:val="26"/>
              </w:rPr>
              <w:t xml:space="preserve"> </w:t>
            </w:r>
            <w:r w:rsidR="002A72EE">
              <w:rPr>
                <w:rFonts w:asciiTheme="majorHAnsi" w:hAnsiTheme="majorHAnsi" w:cstheme="majorHAnsi"/>
                <w:iCs/>
                <w:sz w:val="26"/>
                <w:szCs w:val="26"/>
              </w:rPr>
              <w:t xml:space="preserve">tự do thỏa thuận hình thức phân chia lợi nhuận từ việc hợp tác là bằng tiền mặt hoặc sản phẩm dự án. </w:t>
            </w:r>
          </w:p>
        </w:tc>
      </w:tr>
      <w:tr w:rsidR="00CD0C8E" w14:paraId="1FD1C719" w14:textId="77777777" w:rsidTr="00E945B9">
        <w:tc>
          <w:tcPr>
            <w:tcW w:w="704" w:type="dxa"/>
            <w:vAlign w:val="center"/>
          </w:tcPr>
          <w:p w14:paraId="4E95CBFD" w14:textId="77777777" w:rsidR="00CD0C8E" w:rsidRPr="00804127" w:rsidRDefault="00804127"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sidRPr="00804127">
              <w:rPr>
                <w:rFonts w:asciiTheme="majorHAnsi" w:hAnsiTheme="majorHAnsi" w:cstheme="majorHAnsi"/>
                <w:bCs/>
                <w:spacing w:val="-2"/>
                <w:sz w:val="26"/>
                <w:szCs w:val="26"/>
              </w:rPr>
              <w:lastRenderedPageBreak/>
              <w:t>3</w:t>
            </w:r>
          </w:p>
        </w:tc>
        <w:tc>
          <w:tcPr>
            <w:tcW w:w="2977" w:type="dxa"/>
            <w:vAlign w:val="center"/>
          </w:tcPr>
          <w:p w14:paraId="63BF7DCD" w14:textId="77777777" w:rsidR="00CD0C8E" w:rsidRPr="00BD469E" w:rsidRDefault="00CD0C8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iCs/>
                <w:sz w:val="26"/>
                <w:szCs w:val="26"/>
              </w:rPr>
            </w:pPr>
            <w:r>
              <w:rPr>
                <w:rFonts w:asciiTheme="majorHAnsi" w:hAnsiTheme="majorHAnsi" w:cstheme="majorHAnsi"/>
                <w:b/>
                <w:iCs/>
                <w:sz w:val="26"/>
                <w:szCs w:val="26"/>
              </w:rPr>
              <w:t xml:space="preserve">Bất cập trong </w:t>
            </w:r>
            <w:r w:rsidR="00E40779">
              <w:rPr>
                <w:rFonts w:asciiTheme="majorHAnsi" w:hAnsiTheme="majorHAnsi" w:cstheme="majorHAnsi"/>
                <w:b/>
                <w:iCs/>
                <w:sz w:val="26"/>
                <w:szCs w:val="26"/>
              </w:rPr>
              <w:t>thuật ngữ</w:t>
            </w:r>
            <w:r>
              <w:rPr>
                <w:rFonts w:asciiTheme="majorHAnsi" w:hAnsiTheme="majorHAnsi" w:cstheme="majorHAnsi"/>
                <w:b/>
                <w:iCs/>
                <w:sz w:val="26"/>
                <w:szCs w:val="26"/>
              </w:rPr>
              <w:t xml:space="preserve"> “Chủ đầu tư” hay “Nhà đầu tư”</w:t>
            </w:r>
          </w:p>
        </w:tc>
        <w:tc>
          <w:tcPr>
            <w:tcW w:w="6095" w:type="dxa"/>
          </w:tcPr>
          <w:p w14:paraId="444A19F5" w14:textId="77777777" w:rsidR="00CD0C8E" w:rsidRDefault="00CD0C8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iCs/>
                <w:sz w:val="26"/>
                <w:szCs w:val="26"/>
              </w:rPr>
            </w:pPr>
            <w:r>
              <w:rPr>
                <w:rFonts w:asciiTheme="majorHAnsi" w:hAnsiTheme="majorHAnsi" w:cstheme="majorHAnsi"/>
                <w:iCs/>
                <w:sz w:val="26"/>
                <w:szCs w:val="26"/>
              </w:rPr>
              <w:t>Luật Đầu tư dùng thuật ngữ “Nhà Đầu tư” để quy định các vấn đề liên quan đến chủ thể thực hiện dự án đầu tư</w:t>
            </w:r>
            <w:r w:rsidR="0008191B">
              <w:rPr>
                <w:rFonts w:asciiTheme="majorHAnsi" w:hAnsiTheme="majorHAnsi" w:cstheme="majorHAnsi"/>
                <w:iCs/>
                <w:sz w:val="26"/>
                <w:szCs w:val="26"/>
              </w:rPr>
              <w:t>.</w:t>
            </w:r>
          </w:p>
          <w:p w14:paraId="69D2A8D6" w14:textId="77777777" w:rsidR="0008191B" w:rsidRDefault="00D64E9B"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iCs/>
                <w:sz w:val="26"/>
                <w:szCs w:val="26"/>
              </w:rPr>
            </w:pPr>
            <w:r>
              <w:rPr>
                <w:rFonts w:asciiTheme="majorHAnsi" w:hAnsiTheme="majorHAnsi" w:cstheme="majorHAnsi"/>
                <w:iCs/>
                <w:sz w:val="26"/>
                <w:szCs w:val="26"/>
              </w:rPr>
              <w:t xml:space="preserve">Tuy nhiên, </w:t>
            </w:r>
            <w:r w:rsidR="004861B1">
              <w:rPr>
                <w:rFonts w:asciiTheme="majorHAnsi" w:hAnsiTheme="majorHAnsi" w:cstheme="majorHAnsi"/>
                <w:iCs/>
                <w:sz w:val="26"/>
                <w:szCs w:val="26"/>
              </w:rPr>
              <w:t>Luật Đất đai, Luật xây dựng, Luật Nhà ở</w:t>
            </w:r>
            <w:r w:rsidR="0008191B">
              <w:rPr>
                <w:rFonts w:asciiTheme="majorHAnsi" w:hAnsiTheme="majorHAnsi" w:cstheme="majorHAnsi"/>
                <w:iCs/>
                <w:sz w:val="26"/>
                <w:szCs w:val="26"/>
              </w:rPr>
              <w:t xml:space="preserve"> </w:t>
            </w:r>
            <w:r>
              <w:rPr>
                <w:rFonts w:asciiTheme="majorHAnsi" w:hAnsiTheme="majorHAnsi" w:cstheme="majorHAnsi"/>
                <w:iCs/>
                <w:sz w:val="26"/>
                <w:szCs w:val="26"/>
              </w:rPr>
              <w:t xml:space="preserve">lại </w:t>
            </w:r>
            <w:r w:rsidR="0008191B">
              <w:rPr>
                <w:rFonts w:asciiTheme="majorHAnsi" w:hAnsiTheme="majorHAnsi" w:cstheme="majorHAnsi"/>
                <w:iCs/>
                <w:sz w:val="26"/>
                <w:szCs w:val="26"/>
              </w:rPr>
              <w:t>dùng cả thuật ngữ “Nhà đầu tư” và “Chủ đầu tư” để thể hiện chủ thể thực hiện các thủ tục đất đai, đầu tư dự án</w:t>
            </w:r>
            <w:r>
              <w:rPr>
                <w:rFonts w:asciiTheme="majorHAnsi" w:hAnsiTheme="majorHAnsi" w:cstheme="majorHAnsi"/>
                <w:iCs/>
                <w:sz w:val="26"/>
                <w:szCs w:val="26"/>
              </w:rPr>
              <w:t>.</w:t>
            </w:r>
          </w:p>
          <w:p w14:paraId="51A41BF8" w14:textId="77777777" w:rsidR="00CD0C8E" w:rsidRPr="00BD469E" w:rsidRDefault="004861B1"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iCs/>
                <w:sz w:val="26"/>
                <w:szCs w:val="26"/>
              </w:rPr>
            </w:pPr>
            <w:r>
              <w:rPr>
                <w:rFonts w:asciiTheme="majorHAnsi" w:hAnsiTheme="majorHAnsi" w:cstheme="majorHAnsi"/>
                <w:iCs/>
                <w:sz w:val="26"/>
                <w:szCs w:val="26"/>
              </w:rPr>
              <w:t>Việc thiếu thống nhất trong khái niệ</w:t>
            </w:r>
            <w:r w:rsidR="00DE4CED">
              <w:rPr>
                <w:rFonts w:asciiTheme="majorHAnsi" w:hAnsiTheme="majorHAnsi" w:cstheme="majorHAnsi"/>
                <w:iCs/>
                <w:sz w:val="26"/>
                <w:szCs w:val="26"/>
              </w:rPr>
              <w:t>m</w:t>
            </w:r>
            <w:r>
              <w:rPr>
                <w:rFonts w:asciiTheme="majorHAnsi" w:hAnsiTheme="majorHAnsi" w:cstheme="majorHAnsi"/>
                <w:iCs/>
                <w:sz w:val="26"/>
                <w:szCs w:val="26"/>
              </w:rPr>
              <w:t xml:space="preserve"> </w:t>
            </w:r>
            <w:r w:rsidR="00346FD8">
              <w:rPr>
                <w:rFonts w:asciiTheme="majorHAnsi" w:hAnsiTheme="majorHAnsi" w:cstheme="majorHAnsi"/>
                <w:iCs/>
                <w:sz w:val="26"/>
                <w:szCs w:val="26"/>
              </w:rPr>
              <w:t xml:space="preserve">giữa các luật chuyên ngành </w:t>
            </w:r>
            <w:r>
              <w:rPr>
                <w:rFonts w:asciiTheme="majorHAnsi" w:hAnsiTheme="majorHAnsi" w:cstheme="majorHAnsi"/>
                <w:iCs/>
                <w:sz w:val="26"/>
                <w:szCs w:val="26"/>
              </w:rPr>
              <w:t xml:space="preserve">khiến cho </w:t>
            </w:r>
            <w:r w:rsidR="00C62349">
              <w:rPr>
                <w:rFonts w:asciiTheme="majorHAnsi" w:hAnsiTheme="majorHAnsi" w:cstheme="majorHAnsi"/>
                <w:iCs/>
                <w:sz w:val="26"/>
                <w:szCs w:val="26"/>
              </w:rPr>
              <w:t>việc áp dụng khó khăn và nhiều trường hợp làm cho dự án không thể triển khai</w:t>
            </w:r>
            <w:r w:rsidR="00DF2A2D">
              <w:rPr>
                <w:rFonts w:asciiTheme="majorHAnsi" w:hAnsiTheme="majorHAnsi" w:cstheme="majorHAnsi"/>
                <w:iCs/>
                <w:sz w:val="26"/>
                <w:szCs w:val="26"/>
              </w:rPr>
              <w:t>.</w:t>
            </w:r>
          </w:p>
        </w:tc>
      </w:tr>
      <w:tr w:rsidR="00BD469E" w14:paraId="2C9AC085" w14:textId="77777777" w:rsidTr="00E945B9">
        <w:tc>
          <w:tcPr>
            <w:tcW w:w="704" w:type="dxa"/>
            <w:vAlign w:val="center"/>
          </w:tcPr>
          <w:p w14:paraId="4DCFC0EE" w14:textId="77777777" w:rsidR="00BD469E" w:rsidRPr="00804127" w:rsidRDefault="00804127"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sidRPr="00804127">
              <w:rPr>
                <w:rFonts w:asciiTheme="majorHAnsi" w:hAnsiTheme="majorHAnsi" w:cstheme="majorHAnsi"/>
                <w:bCs/>
                <w:spacing w:val="-2"/>
                <w:sz w:val="26"/>
                <w:szCs w:val="26"/>
              </w:rPr>
              <w:t>4</w:t>
            </w:r>
          </w:p>
        </w:tc>
        <w:tc>
          <w:tcPr>
            <w:tcW w:w="2977" w:type="dxa"/>
            <w:vAlign w:val="center"/>
          </w:tcPr>
          <w:p w14:paraId="362942CD" w14:textId="77777777" w:rsidR="00BD469E" w:rsidRDefault="00C62349"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bCs/>
                <w:spacing w:val="-2"/>
                <w:sz w:val="26"/>
                <w:szCs w:val="26"/>
              </w:rPr>
            </w:pPr>
            <w:r>
              <w:rPr>
                <w:rFonts w:asciiTheme="majorHAnsi" w:hAnsiTheme="majorHAnsi" w:cstheme="majorHAnsi"/>
                <w:b/>
                <w:iCs/>
                <w:sz w:val="26"/>
                <w:szCs w:val="26"/>
              </w:rPr>
              <w:t xml:space="preserve">Bất </w:t>
            </w:r>
            <w:r w:rsidR="00BD469E" w:rsidRPr="00BD469E">
              <w:rPr>
                <w:rFonts w:asciiTheme="majorHAnsi" w:hAnsiTheme="majorHAnsi" w:cstheme="majorHAnsi"/>
                <w:b/>
                <w:iCs/>
                <w:sz w:val="26"/>
                <w:szCs w:val="26"/>
              </w:rPr>
              <w:t>cập trong quy định về thời gian bảo hành nhà chung cư</w:t>
            </w:r>
          </w:p>
        </w:tc>
        <w:tc>
          <w:tcPr>
            <w:tcW w:w="6095" w:type="dxa"/>
          </w:tcPr>
          <w:p w14:paraId="67F4923B" w14:textId="77777777" w:rsidR="00BD469E" w:rsidRDefault="00BD469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bCs/>
                <w:spacing w:val="-2"/>
                <w:sz w:val="26"/>
                <w:szCs w:val="26"/>
              </w:rPr>
            </w:pPr>
            <w:r w:rsidRPr="00BD469E">
              <w:rPr>
                <w:rFonts w:asciiTheme="majorHAnsi" w:hAnsiTheme="majorHAnsi" w:cstheme="majorHAnsi"/>
                <w:sz w:val="26"/>
                <w:szCs w:val="26"/>
                <w:shd w:val="clear" w:color="auto" w:fill="FFFFFF"/>
              </w:rPr>
              <w:t xml:space="preserve">Khoản 2 Điều 85 Luật Nhà ở 2014 quy định về thời hạn bảo hành của chủ đầu tư là </w:t>
            </w:r>
            <w:r w:rsidRPr="00D64E9B">
              <w:rPr>
                <w:rFonts w:asciiTheme="majorHAnsi" w:hAnsiTheme="majorHAnsi" w:cstheme="majorHAnsi"/>
                <w:sz w:val="26"/>
                <w:szCs w:val="26"/>
                <w:shd w:val="clear" w:color="auto" w:fill="FFFFFF"/>
              </w:rPr>
              <w:t>60 tháng đối với nhà chung cư</w:t>
            </w:r>
            <w:r w:rsidRPr="00BD469E">
              <w:rPr>
                <w:rFonts w:asciiTheme="majorHAnsi" w:hAnsiTheme="majorHAnsi" w:cstheme="majorHAnsi"/>
                <w:b/>
                <w:sz w:val="26"/>
                <w:szCs w:val="26"/>
                <w:shd w:val="clear" w:color="auto" w:fill="FFFFFF"/>
              </w:rPr>
              <w:t xml:space="preserve">. </w:t>
            </w:r>
            <w:r w:rsidRPr="00BD469E">
              <w:rPr>
                <w:rFonts w:asciiTheme="majorHAnsi" w:hAnsiTheme="majorHAnsi" w:cstheme="majorHAnsi"/>
                <w:sz w:val="26"/>
                <w:szCs w:val="26"/>
                <w:shd w:val="clear" w:color="auto" w:fill="FFFFFF"/>
              </w:rPr>
              <w:t xml:space="preserve">Quy định về thời gian bảo hành đối với nhà chung cư chưa phù hợp với thực tế hiện nay. Vì Theo quy định Luật Xây dựng, thời hạn bảo hành tối đa đối với </w:t>
            </w:r>
            <w:r w:rsidRPr="00BD469E">
              <w:rPr>
                <w:rFonts w:asciiTheme="majorHAnsi" w:hAnsiTheme="majorHAnsi" w:cstheme="majorHAnsi"/>
                <w:sz w:val="26"/>
                <w:szCs w:val="26"/>
                <w:lang w:val="vi-VN"/>
              </w:rPr>
              <w:t>công trình cấp đặc biệt và cấp I</w:t>
            </w:r>
            <w:r w:rsidRPr="00BD469E">
              <w:rPr>
                <w:rFonts w:asciiTheme="majorHAnsi" w:hAnsiTheme="majorHAnsi" w:cstheme="majorHAnsi"/>
                <w:sz w:val="26"/>
                <w:szCs w:val="26"/>
              </w:rPr>
              <w:t xml:space="preserve"> cũng chỉ tối đa là 24 tháng</w:t>
            </w:r>
            <w:r w:rsidR="006F5BCF">
              <w:rPr>
                <w:rFonts w:asciiTheme="majorHAnsi" w:hAnsiTheme="majorHAnsi" w:cstheme="majorHAnsi"/>
                <w:sz w:val="26"/>
                <w:szCs w:val="26"/>
              </w:rPr>
              <w:t>.</w:t>
            </w:r>
          </w:p>
        </w:tc>
      </w:tr>
      <w:tr w:rsidR="00105768" w14:paraId="37BB40AD" w14:textId="77777777" w:rsidTr="00E945B9">
        <w:tc>
          <w:tcPr>
            <w:tcW w:w="704" w:type="dxa"/>
            <w:vAlign w:val="center"/>
          </w:tcPr>
          <w:p w14:paraId="47D8750C" w14:textId="77777777" w:rsidR="00105768" w:rsidRPr="006A6211" w:rsidRDefault="00572657"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Pr>
                <w:rFonts w:asciiTheme="majorHAnsi" w:hAnsiTheme="majorHAnsi" w:cstheme="majorHAnsi"/>
                <w:bCs/>
                <w:spacing w:val="-2"/>
                <w:sz w:val="26"/>
                <w:szCs w:val="26"/>
              </w:rPr>
              <w:t>5</w:t>
            </w:r>
          </w:p>
        </w:tc>
        <w:tc>
          <w:tcPr>
            <w:tcW w:w="2977" w:type="dxa"/>
            <w:vAlign w:val="center"/>
          </w:tcPr>
          <w:p w14:paraId="560F392E" w14:textId="77777777" w:rsidR="00105768" w:rsidRPr="00BD469E" w:rsidRDefault="00866AE1"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sz w:val="26"/>
                <w:szCs w:val="26"/>
                <w:shd w:val="clear" w:color="auto" w:fill="FFFFFF"/>
              </w:rPr>
            </w:pPr>
            <w:r>
              <w:rPr>
                <w:rFonts w:asciiTheme="majorHAnsi" w:hAnsiTheme="majorHAnsi" w:cstheme="majorHAnsi"/>
                <w:b/>
                <w:sz w:val="26"/>
                <w:szCs w:val="26"/>
              </w:rPr>
              <w:t>Bất cập trong việc c</w:t>
            </w:r>
            <w:r w:rsidRPr="00BD469E">
              <w:rPr>
                <w:rFonts w:asciiTheme="majorHAnsi" w:hAnsiTheme="majorHAnsi" w:cstheme="majorHAnsi"/>
                <w:b/>
                <w:sz w:val="26"/>
                <w:szCs w:val="26"/>
              </w:rPr>
              <w:t>huyển nhượng hợp đồng mua bán đối với bất động sản hình thành trong tương lai</w:t>
            </w:r>
          </w:p>
        </w:tc>
        <w:tc>
          <w:tcPr>
            <w:tcW w:w="6095" w:type="dxa"/>
          </w:tcPr>
          <w:p w14:paraId="2111822A" w14:textId="77777777" w:rsidR="00105768" w:rsidRPr="00BD469E" w:rsidRDefault="00105768"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sz w:val="26"/>
                <w:szCs w:val="26"/>
                <w:shd w:val="clear" w:color="auto" w:fill="FFFFFF"/>
              </w:rPr>
            </w:pPr>
            <w:r w:rsidRPr="00BD469E">
              <w:rPr>
                <w:rFonts w:asciiTheme="majorHAnsi" w:hAnsiTheme="majorHAnsi" w:cstheme="majorHAnsi"/>
                <w:sz w:val="26"/>
                <w:szCs w:val="26"/>
              </w:rPr>
              <w:t xml:space="preserve">Hiện tại, Luật Kinh doanh bất động sản chỉ quy định chi tiết về thủ tục chuyển nhượng hợp đồng mua bán, thuê mua </w:t>
            </w:r>
            <w:r w:rsidRPr="00BC2BF1">
              <w:rPr>
                <w:rFonts w:asciiTheme="majorHAnsi" w:hAnsiTheme="majorHAnsi" w:cstheme="majorHAnsi"/>
                <w:sz w:val="26"/>
                <w:szCs w:val="26"/>
              </w:rPr>
              <w:t>nhà ở</w:t>
            </w:r>
            <w:r w:rsidRPr="00BD469E">
              <w:rPr>
                <w:rFonts w:asciiTheme="majorHAnsi" w:hAnsiTheme="majorHAnsi" w:cstheme="majorHAnsi"/>
                <w:sz w:val="26"/>
                <w:szCs w:val="26"/>
              </w:rPr>
              <w:t xml:space="preserve"> hình thành trong tương lai tại Điều 59. Nhưng không có quy định chi tiết về thủ tục chuyển nhượng hợp đồng mua bán, thuê mua đối với các loại bất động sản hình thành trong tương lai khác (không phải nhà ở). Việc chuyển nhượng hợp đồng mua bán đối với các loại hình bất động sản khác (không phải nhà ở) là nhu cầu thực tế của thị trường hiện nay, nhưng Luật Kinh doanh bất động sản không có hướng dẫn, dẫn đến sự lúng túng của chủ đầu tư, của người mua và cả của cơ quan nhà nước có thẩm quyền có liên quan</w:t>
            </w:r>
            <w:r w:rsidR="00BC2BF1">
              <w:rPr>
                <w:rFonts w:asciiTheme="majorHAnsi" w:hAnsiTheme="majorHAnsi" w:cstheme="majorHAnsi"/>
                <w:sz w:val="26"/>
                <w:szCs w:val="26"/>
              </w:rPr>
              <w:t>.</w:t>
            </w:r>
          </w:p>
        </w:tc>
      </w:tr>
      <w:tr w:rsidR="00105768" w14:paraId="481A7172" w14:textId="77777777" w:rsidTr="00E945B9">
        <w:tc>
          <w:tcPr>
            <w:tcW w:w="704" w:type="dxa"/>
            <w:vAlign w:val="center"/>
          </w:tcPr>
          <w:p w14:paraId="25AD0843" w14:textId="77777777" w:rsidR="00105768" w:rsidRPr="006A6211" w:rsidRDefault="00390C01"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Pr>
                <w:rFonts w:asciiTheme="majorHAnsi" w:hAnsiTheme="majorHAnsi" w:cstheme="majorHAnsi"/>
                <w:bCs/>
                <w:spacing w:val="-2"/>
                <w:sz w:val="26"/>
                <w:szCs w:val="26"/>
              </w:rPr>
              <w:t>6</w:t>
            </w:r>
          </w:p>
        </w:tc>
        <w:tc>
          <w:tcPr>
            <w:tcW w:w="2977" w:type="dxa"/>
            <w:vAlign w:val="center"/>
          </w:tcPr>
          <w:p w14:paraId="7A22BCE4" w14:textId="77777777" w:rsidR="00105768" w:rsidRPr="00BD469E" w:rsidRDefault="00E35EDC"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sz w:val="26"/>
                <w:szCs w:val="26"/>
                <w:shd w:val="clear" w:color="auto" w:fill="FFFFFF"/>
              </w:rPr>
            </w:pPr>
            <w:r>
              <w:rPr>
                <w:rFonts w:asciiTheme="majorHAnsi" w:hAnsiTheme="majorHAnsi" w:cstheme="majorHAnsi"/>
                <w:b/>
                <w:sz w:val="26"/>
                <w:szCs w:val="26"/>
                <w:shd w:val="clear" w:color="auto" w:fill="FFFFFF"/>
              </w:rPr>
              <w:t xml:space="preserve">Bất cập trong việc chủ đầu tư tự </w:t>
            </w:r>
            <w:r w:rsidR="007D2BE6">
              <w:rPr>
                <w:rFonts w:asciiTheme="majorHAnsi" w:hAnsiTheme="majorHAnsi" w:cstheme="majorHAnsi"/>
                <w:b/>
                <w:sz w:val="26"/>
                <w:szCs w:val="26"/>
                <w:shd w:val="clear" w:color="auto" w:fill="FFFFFF"/>
              </w:rPr>
              <w:t xml:space="preserve">ứng trước </w:t>
            </w:r>
            <w:r>
              <w:rPr>
                <w:rFonts w:asciiTheme="majorHAnsi" w:hAnsiTheme="majorHAnsi" w:cstheme="majorHAnsi"/>
                <w:b/>
                <w:sz w:val="26"/>
                <w:szCs w:val="26"/>
                <w:shd w:val="clear" w:color="auto" w:fill="FFFFFF"/>
              </w:rPr>
              <w:t>kinh phí thực hiện bảo trì nhà chung cư</w:t>
            </w:r>
          </w:p>
        </w:tc>
        <w:tc>
          <w:tcPr>
            <w:tcW w:w="6095" w:type="dxa"/>
          </w:tcPr>
          <w:p w14:paraId="21B56CC4" w14:textId="77777777" w:rsidR="00105768" w:rsidRPr="00E35EDC" w:rsidRDefault="00105768" w:rsidP="00E945B9">
            <w:pPr>
              <w:widowControl w:val="0"/>
              <w:spacing w:beforeLines="40" w:before="96" w:afterLines="60" w:after="144" w:line="300" w:lineRule="auto"/>
              <w:jc w:val="both"/>
              <w:rPr>
                <w:rFonts w:asciiTheme="majorHAnsi" w:hAnsiTheme="majorHAnsi" w:cstheme="majorHAnsi"/>
                <w:bCs/>
                <w:sz w:val="26"/>
                <w:szCs w:val="26"/>
              </w:rPr>
            </w:pPr>
            <w:r w:rsidRPr="005D1E91">
              <w:rPr>
                <w:rFonts w:asciiTheme="majorHAnsi" w:hAnsiTheme="majorHAnsi" w:cstheme="majorHAnsi"/>
                <w:iCs/>
                <w:sz w:val="26"/>
                <w:szCs w:val="26"/>
              </w:rPr>
              <w:t>Khoản 6, Điều 1, Nghị định số 30/2021/NĐ-CP sửa đổi Điều 36 Nghị định 99/2015/NĐ-CP quy địnhh</w:t>
            </w:r>
            <w:r w:rsidR="007D2BE6">
              <w:rPr>
                <w:rFonts w:asciiTheme="majorHAnsi" w:hAnsiTheme="majorHAnsi" w:cstheme="majorHAnsi"/>
                <w:iCs/>
                <w:sz w:val="26"/>
                <w:szCs w:val="26"/>
              </w:rPr>
              <w:t>:</w:t>
            </w:r>
            <w:r w:rsidRPr="005D1E91">
              <w:rPr>
                <w:rFonts w:asciiTheme="majorHAnsi" w:hAnsiTheme="majorHAnsi" w:cstheme="majorHAnsi"/>
                <w:bCs/>
                <w:sz w:val="26"/>
                <w:szCs w:val="26"/>
              </w:rPr>
              <w:t xml:space="preserve"> khi cần bảo trì đối với phần diện tích sở hữu chung của nhà chung cư trong thời gian Ban quản trị nhà chung cư chưa thành lập thì chủ đầu tư phải tự bỏ kinh phí của mình để thực hiện trước, sau đó sẽ nhận hoàn trả kinh phí này sau khi Ban quản trị được thành lập. Quy định này chưa phù hợp và sẽ gây khó khăn cho cũng như không khuyến khích được chủ đầu tư thực hiện việc bảo trì đối với phần diện </w:t>
            </w:r>
            <w:r w:rsidRPr="005D1E91">
              <w:rPr>
                <w:rFonts w:asciiTheme="majorHAnsi" w:hAnsiTheme="majorHAnsi" w:cstheme="majorHAnsi"/>
                <w:bCs/>
                <w:sz w:val="26"/>
                <w:szCs w:val="26"/>
              </w:rPr>
              <w:lastRenderedPageBreak/>
              <w:t>tích chung khi có sự cố. Bởi lẽ, sau khi phải tự bỏ kinh phí của mình để tiến hành bảo trì, công tác quyết toán kinh phí về sau giữa chủ đầu tư với Ban quản trị là rất khó khăn, dễ xảy ra tranh chấp do những mâu thuẫn, sự không thống nhất giữa các bên về mức chi phí này</w:t>
            </w:r>
          </w:p>
        </w:tc>
      </w:tr>
      <w:tr w:rsidR="00E35EDC" w14:paraId="34545EE8" w14:textId="77777777" w:rsidTr="00E945B9">
        <w:tc>
          <w:tcPr>
            <w:tcW w:w="704" w:type="dxa"/>
            <w:vAlign w:val="center"/>
          </w:tcPr>
          <w:p w14:paraId="397EFEE0" w14:textId="77777777" w:rsidR="00E35EDC" w:rsidRPr="006A6211" w:rsidRDefault="00390C01"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Pr>
                <w:rFonts w:asciiTheme="majorHAnsi" w:hAnsiTheme="majorHAnsi" w:cstheme="majorHAnsi"/>
                <w:bCs/>
                <w:spacing w:val="-2"/>
                <w:sz w:val="26"/>
                <w:szCs w:val="26"/>
              </w:rPr>
              <w:lastRenderedPageBreak/>
              <w:t>7</w:t>
            </w:r>
          </w:p>
        </w:tc>
        <w:tc>
          <w:tcPr>
            <w:tcW w:w="2977" w:type="dxa"/>
            <w:vAlign w:val="center"/>
          </w:tcPr>
          <w:p w14:paraId="5804B6C2" w14:textId="77777777" w:rsidR="00E35EDC" w:rsidRPr="00BD469E" w:rsidRDefault="001646F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sz w:val="26"/>
                <w:szCs w:val="26"/>
                <w:shd w:val="clear" w:color="auto" w:fill="FFFFFF"/>
              </w:rPr>
            </w:pPr>
            <w:r>
              <w:rPr>
                <w:rFonts w:asciiTheme="majorHAnsi" w:hAnsiTheme="majorHAnsi" w:cstheme="majorHAnsi"/>
                <w:b/>
                <w:sz w:val="26"/>
                <w:szCs w:val="26"/>
                <w:shd w:val="clear" w:color="auto" w:fill="FFFFFF"/>
              </w:rPr>
              <w:t>Bất cập về việc đóng kinh phí bảo trì của chủa đầu tư</w:t>
            </w:r>
          </w:p>
        </w:tc>
        <w:tc>
          <w:tcPr>
            <w:tcW w:w="6095" w:type="dxa"/>
          </w:tcPr>
          <w:p w14:paraId="47E41315" w14:textId="77777777" w:rsidR="00E35EDC" w:rsidRDefault="00B66340" w:rsidP="00E945B9">
            <w:pPr>
              <w:spacing w:beforeLines="40" w:before="96" w:afterLines="60" w:after="144" w:line="300" w:lineRule="auto"/>
              <w:jc w:val="both"/>
              <w:rPr>
                <w:rFonts w:asciiTheme="majorHAnsi" w:hAnsiTheme="majorHAnsi" w:cstheme="majorHAnsi"/>
                <w:color w:val="000000"/>
                <w:sz w:val="26"/>
                <w:szCs w:val="26"/>
                <w:shd w:val="clear" w:color="auto" w:fill="FFFFFF"/>
              </w:rPr>
            </w:pPr>
            <w:r>
              <w:rPr>
                <w:rFonts w:asciiTheme="majorHAnsi" w:hAnsiTheme="majorHAnsi" w:cstheme="majorHAnsi"/>
                <w:sz w:val="26"/>
                <w:szCs w:val="26"/>
              </w:rPr>
              <w:t xml:space="preserve">Điều 108 </w:t>
            </w:r>
            <w:r w:rsidR="002B69D4">
              <w:rPr>
                <w:rFonts w:asciiTheme="majorHAnsi" w:hAnsiTheme="majorHAnsi" w:cstheme="majorHAnsi"/>
                <w:sz w:val="26"/>
                <w:szCs w:val="26"/>
              </w:rPr>
              <w:t xml:space="preserve">Luật Nhà ở quy định: </w:t>
            </w:r>
            <w:r w:rsidR="002B69D4" w:rsidRPr="002B69D4">
              <w:rPr>
                <w:rFonts w:asciiTheme="majorHAnsi" w:hAnsiTheme="majorHAnsi" w:cstheme="majorHAnsi"/>
                <w:sz w:val="26"/>
                <w:szCs w:val="26"/>
              </w:rPr>
              <w:t>Đ</w:t>
            </w:r>
            <w:r w:rsidR="002B69D4" w:rsidRPr="002B69D4">
              <w:rPr>
                <w:rFonts w:asciiTheme="majorHAnsi" w:hAnsiTheme="majorHAnsi" w:cstheme="majorHAnsi"/>
                <w:color w:val="000000"/>
                <w:sz w:val="26"/>
                <w:szCs w:val="26"/>
                <w:shd w:val="clear" w:color="auto" w:fill="FFFFFF"/>
              </w:rPr>
              <w:t>ối với căn hộ, phần diện tích khác trong nhà chung cư mà chủ đầu tư giữ lại không bán, không cho thuê mua hoặc chưa bán, chưa cho thuê mua tính đến thời điểm bàn giao đưa nhà chung cư vào sử dụng, trừ phần diện tích thuộc sở hữu chung thì chủ đầu tư phải đóng 2% giá trị căn hộ, ph</w:t>
            </w:r>
            <w:r>
              <w:rPr>
                <w:rFonts w:asciiTheme="majorHAnsi" w:hAnsiTheme="majorHAnsi" w:cstheme="majorHAnsi"/>
                <w:color w:val="000000"/>
                <w:sz w:val="26"/>
                <w:szCs w:val="26"/>
                <w:shd w:val="clear" w:color="auto" w:fill="FFFFFF"/>
              </w:rPr>
              <w:t xml:space="preserve">ần diện tích giữ lại </w:t>
            </w:r>
            <w:r w:rsidR="002B69D4" w:rsidRPr="002B69D4">
              <w:rPr>
                <w:rFonts w:asciiTheme="majorHAnsi" w:hAnsiTheme="majorHAnsi" w:cstheme="majorHAnsi"/>
                <w:color w:val="000000"/>
                <w:sz w:val="26"/>
                <w:szCs w:val="26"/>
                <w:shd w:val="clear" w:color="auto" w:fill="FFFFFF"/>
              </w:rPr>
              <w:t>theo giá bán căn hộ có giá cao nhất của nhà chung cư đó.</w:t>
            </w:r>
          </w:p>
          <w:p w14:paraId="13BCE7F8" w14:textId="77777777" w:rsidR="00E35EDC" w:rsidRDefault="00B66340" w:rsidP="00E945B9">
            <w:pPr>
              <w:spacing w:beforeLines="40" w:before="96" w:afterLines="60" w:after="144" w:line="300" w:lineRule="auto"/>
              <w:jc w:val="both"/>
              <w:rPr>
                <w:rFonts w:asciiTheme="majorHAnsi" w:hAnsiTheme="majorHAnsi" w:cstheme="majorHAnsi"/>
                <w:color w:val="000000"/>
                <w:sz w:val="26"/>
                <w:szCs w:val="26"/>
                <w:shd w:val="clear" w:color="auto" w:fill="FFFFFF"/>
              </w:rPr>
            </w:pPr>
            <w:r>
              <w:rPr>
                <w:rFonts w:asciiTheme="majorHAnsi" w:hAnsiTheme="majorHAnsi" w:cstheme="majorHAnsi"/>
                <w:color w:val="000000"/>
                <w:sz w:val="26"/>
                <w:szCs w:val="26"/>
                <w:shd w:val="clear" w:color="auto" w:fill="FFFFFF"/>
              </w:rPr>
              <w:t xml:space="preserve">Quy định này </w:t>
            </w:r>
            <w:r w:rsidR="001D5D9A">
              <w:rPr>
                <w:rFonts w:asciiTheme="majorHAnsi" w:hAnsiTheme="majorHAnsi" w:cstheme="majorHAnsi"/>
                <w:color w:val="000000"/>
                <w:sz w:val="26"/>
                <w:szCs w:val="26"/>
                <w:shd w:val="clear" w:color="auto" w:fill="FFFFFF"/>
              </w:rPr>
              <w:t>bất cập</w:t>
            </w:r>
            <w:r>
              <w:rPr>
                <w:rFonts w:asciiTheme="majorHAnsi" w:hAnsiTheme="majorHAnsi" w:cstheme="majorHAnsi"/>
                <w:color w:val="000000"/>
                <w:sz w:val="26"/>
                <w:szCs w:val="26"/>
                <w:shd w:val="clear" w:color="auto" w:fill="FFFFFF"/>
              </w:rPr>
              <w:t xml:space="preserve"> và gây khó khăn cho chủ đầu tư, bởi lẽ phần diện tích </w:t>
            </w:r>
            <w:r w:rsidR="0085639D">
              <w:rPr>
                <w:rFonts w:asciiTheme="majorHAnsi" w:hAnsiTheme="majorHAnsi" w:cstheme="majorHAnsi"/>
                <w:color w:val="000000"/>
                <w:sz w:val="26"/>
                <w:szCs w:val="26"/>
                <w:shd w:val="clear" w:color="auto" w:fill="FFFFFF"/>
              </w:rPr>
              <w:t>mà chủ đầu tư chưa bán được sẽ</w:t>
            </w:r>
            <w:r>
              <w:rPr>
                <w:rFonts w:asciiTheme="majorHAnsi" w:hAnsiTheme="majorHAnsi" w:cstheme="majorHAnsi"/>
                <w:color w:val="000000"/>
                <w:sz w:val="26"/>
                <w:szCs w:val="26"/>
                <w:shd w:val="clear" w:color="auto" w:fill="FFFFFF"/>
              </w:rPr>
              <w:t xml:space="preserve"> có nhiều khung giá khác nhau, nếu buộc chủ đầu tư đóng trên mức giá bán cao nhất, về sau</w:t>
            </w:r>
            <w:r w:rsidR="0085639D">
              <w:rPr>
                <w:rFonts w:asciiTheme="majorHAnsi" w:hAnsiTheme="majorHAnsi" w:cstheme="majorHAnsi"/>
                <w:color w:val="000000"/>
                <w:sz w:val="26"/>
                <w:szCs w:val="26"/>
                <w:shd w:val="clear" w:color="auto" w:fill="FFFFFF"/>
              </w:rPr>
              <w:t xml:space="preserve"> chủ đầu tư</w:t>
            </w:r>
            <w:r>
              <w:rPr>
                <w:rFonts w:asciiTheme="majorHAnsi" w:hAnsiTheme="majorHAnsi" w:cstheme="majorHAnsi"/>
                <w:color w:val="000000"/>
                <w:sz w:val="26"/>
                <w:szCs w:val="26"/>
                <w:shd w:val="clear" w:color="auto" w:fill="FFFFFF"/>
              </w:rPr>
              <w:t xml:space="preserve"> không thể thu lại của khách hàng phần chênh lệch</w:t>
            </w:r>
            <w:r w:rsidR="001D5D9A">
              <w:rPr>
                <w:rFonts w:asciiTheme="majorHAnsi" w:hAnsiTheme="majorHAnsi" w:cstheme="majorHAnsi"/>
                <w:color w:val="000000"/>
                <w:sz w:val="26"/>
                <w:szCs w:val="26"/>
                <w:shd w:val="clear" w:color="auto" w:fill="FFFFFF"/>
              </w:rPr>
              <w:t xml:space="preserve"> này.</w:t>
            </w:r>
          </w:p>
          <w:p w14:paraId="511BD8AE" w14:textId="77777777" w:rsidR="00B67D98" w:rsidRPr="00413B09" w:rsidRDefault="00B67D98" w:rsidP="00E945B9">
            <w:pPr>
              <w:spacing w:beforeLines="40" w:before="96" w:afterLines="60" w:after="144" w:line="300" w:lineRule="auto"/>
              <w:jc w:val="both"/>
              <w:rPr>
                <w:rFonts w:asciiTheme="majorHAnsi" w:hAnsiTheme="majorHAnsi" w:cstheme="majorHAnsi"/>
                <w:sz w:val="26"/>
                <w:szCs w:val="26"/>
              </w:rPr>
            </w:pPr>
            <w:r>
              <w:rPr>
                <w:rFonts w:asciiTheme="majorHAnsi" w:hAnsiTheme="majorHAnsi" w:cstheme="majorHAnsi"/>
                <w:color w:val="000000"/>
                <w:sz w:val="26"/>
                <w:szCs w:val="26"/>
                <w:shd w:val="clear" w:color="auto" w:fill="FFFFFF"/>
              </w:rPr>
              <w:t xml:space="preserve">Đồng thời, thông thường chủ đầu tư có các diện tích thương mại dịch vụ và sẽ tự thực hiện hoạt động quản lý vận hành, bảo trì độc lập với khu vực nhà chung cư. Vì vậy, nếu yêu cầu chủ đầu tư đóng kinh phí bảo trì đối với </w:t>
            </w:r>
            <w:r w:rsidR="00451117">
              <w:rPr>
                <w:rFonts w:asciiTheme="majorHAnsi" w:hAnsiTheme="majorHAnsi" w:cstheme="majorHAnsi"/>
                <w:color w:val="000000"/>
                <w:sz w:val="26"/>
                <w:szCs w:val="26"/>
                <w:shd w:val="clear" w:color="auto" w:fill="FFFFFF"/>
              </w:rPr>
              <w:t xml:space="preserve">toàn bộ </w:t>
            </w:r>
            <w:r>
              <w:rPr>
                <w:rFonts w:asciiTheme="majorHAnsi" w:hAnsiTheme="majorHAnsi" w:cstheme="majorHAnsi"/>
                <w:color w:val="000000"/>
                <w:sz w:val="26"/>
                <w:szCs w:val="26"/>
                <w:shd w:val="clear" w:color="auto" w:fill="FFFFFF"/>
              </w:rPr>
              <w:t>các phần diện tích này cũng là không phù hợp.</w:t>
            </w:r>
          </w:p>
        </w:tc>
      </w:tr>
      <w:tr w:rsidR="00105768" w14:paraId="0E7E0D0F" w14:textId="77777777" w:rsidTr="00E945B9">
        <w:tc>
          <w:tcPr>
            <w:tcW w:w="704" w:type="dxa"/>
            <w:vAlign w:val="center"/>
          </w:tcPr>
          <w:p w14:paraId="23C9C000" w14:textId="77777777" w:rsidR="00105768" w:rsidRPr="006A6211" w:rsidRDefault="00390C01"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Pr>
                <w:rFonts w:asciiTheme="majorHAnsi" w:hAnsiTheme="majorHAnsi" w:cstheme="majorHAnsi"/>
                <w:bCs/>
                <w:spacing w:val="-2"/>
                <w:sz w:val="26"/>
                <w:szCs w:val="26"/>
              </w:rPr>
              <w:t>8</w:t>
            </w:r>
          </w:p>
        </w:tc>
        <w:tc>
          <w:tcPr>
            <w:tcW w:w="2977" w:type="dxa"/>
            <w:vAlign w:val="center"/>
          </w:tcPr>
          <w:p w14:paraId="0DD7920D" w14:textId="77777777" w:rsidR="00105768" w:rsidRPr="00BD469E" w:rsidRDefault="001646F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sz w:val="26"/>
                <w:szCs w:val="26"/>
                <w:shd w:val="clear" w:color="auto" w:fill="FFFFFF"/>
              </w:rPr>
            </w:pPr>
            <w:r>
              <w:rPr>
                <w:rFonts w:asciiTheme="majorHAnsi" w:hAnsiTheme="majorHAnsi" w:cstheme="majorHAnsi"/>
                <w:b/>
                <w:sz w:val="26"/>
                <w:szCs w:val="26"/>
                <w:shd w:val="clear" w:color="auto" w:fill="FFFFFF"/>
              </w:rPr>
              <w:t>Bất cập trong việc quản lý khu vực để xe ô tô trong nhà chung cư</w:t>
            </w:r>
          </w:p>
        </w:tc>
        <w:tc>
          <w:tcPr>
            <w:tcW w:w="6095" w:type="dxa"/>
          </w:tcPr>
          <w:p w14:paraId="220AAC3B" w14:textId="77777777" w:rsidR="00105768" w:rsidRPr="007D189B" w:rsidRDefault="007D189B" w:rsidP="00E945B9">
            <w:pPr>
              <w:spacing w:beforeLines="40" w:before="96" w:afterLines="60" w:after="144" w:line="300" w:lineRule="auto"/>
              <w:jc w:val="both"/>
              <w:rPr>
                <w:rFonts w:asciiTheme="majorHAnsi" w:hAnsiTheme="majorHAnsi" w:cstheme="majorHAnsi"/>
                <w:iCs/>
                <w:sz w:val="26"/>
                <w:szCs w:val="26"/>
              </w:rPr>
            </w:pPr>
            <w:r w:rsidRPr="00BD469E">
              <w:rPr>
                <w:rFonts w:asciiTheme="majorHAnsi" w:hAnsiTheme="majorHAnsi" w:cstheme="majorHAnsi"/>
                <w:bCs/>
                <w:sz w:val="26"/>
                <w:szCs w:val="26"/>
              </w:rPr>
              <w:t>Theo đ</w:t>
            </w:r>
            <w:r w:rsidR="009815DF">
              <w:rPr>
                <w:rFonts w:asciiTheme="majorHAnsi" w:hAnsiTheme="majorHAnsi" w:cstheme="majorHAnsi"/>
                <w:bCs/>
                <w:sz w:val="26"/>
                <w:szCs w:val="26"/>
              </w:rPr>
              <w:t>ó, Điều 101</w:t>
            </w:r>
            <w:r w:rsidR="00DF2EBF">
              <w:rPr>
                <w:rFonts w:asciiTheme="majorHAnsi" w:hAnsiTheme="majorHAnsi" w:cstheme="majorHAnsi"/>
                <w:bCs/>
                <w:sz w:val="26"/>
                <w:szCs w:val="26"/>
              </w:rPr>
              <w:t xml:space="preserve"> Luật Nhà ở cũng như</w:t>
            </w:r>
            <w:r w:rsidR="009815DF">
              <w:rPr>
                <w:rFonts w:asciiTheme="majorHAnsi" w:hAnsiTheme="majorHAnsi" w:cstheme="majorHAnsi"/>
                <w:bCs/>
                <w:sz w:val="26"/>
                <w:szCs w:val="26"/>
              </w:rPr>
              <w:t xml:space="preserve"> Thông tư 02/2016 chưa quy định thống nhất về việc </w:t>
            </w:r>
            <w:r w:rsidR="00CE1DD5">
              <w:rPr>
                <w:rFonts w:asciiTheme="majorHAnsi" w:hAnsiTheme="majorHAnsi" w:cstheme="majorHAnsi"/>
                <w:bCs/>
                <w:sz w:val="26"/>
                <w:szCs w:val="26"/>
              </w:rPr>
              <w:t xml:space="preserve">đơn vị nào thực hiện </w:t>
            </w:r>
            <w:r w:rsidR="009815DF">
              <w:rPr>
                <w:rFonts w:asciiTheme="majorHAnsi" w:hAnsiTheme="majorHAnsi" w:cstheme="majorHAnsi"/>
                <w:bCs/>
                <w:sz w:val="26"/>
                <w:szCs w:val="26"/>
              </w:rPr>
              <w:t xml:space="preserve">quản lý </w:t>
            </w:r>
            <w:r w:rsidR="004B3349">
              <w:rPr>
                <w:rFonts w:asciiTheme="majorHAnsi" w:hAnsiTheme="majorHAnsi" w:cstheme="majorHAnsi"/>
                <w:bCs/>
                <w:sz w:val="26"/>
                <w:szCs w:val="26"/>
              </w:rPr>
              <w:t xml:space="preserve">đối với khu vực </w:t>
            </w:r>
            <w:r w:rsidR="00B91227">
              <w:rPr>
                <w:rFonts w:asciiTheme="majorHAnsi" w:hAnsiTheme="majorHAnsi" w:cstheme="majorHAnsi"/>
                <w:bCs/>
                <w:sz w:val="26"/>
                <w:szCs w:val="26"/>
              </w:rPr>
              <w:t xml:space="preserve">chỗ để xe ô tô </w:t>
            </w:r>
            <w:r w:rsidR="00CE1DD5">
              <w:rPr>
                <w:rFonts w:asciiTheme="majorHAnsi" w:hAnsiTheme="majorHAnsi" w:cstheme="majorHAnsi"/>
                <w:bCs/>
                <w:sz w:val="26"/>
                <w:szCs w:val="26"/>
              </w:rPr>
              <w:t xml:space="preserve">tại nhà </w:t>
            </w:r>
            <w:r w:rsidR="00B91227">
              <w:rPr>
                <w:rFonts w:asciiTheme="majorHAnsi" w:hAnsiTheme="majorHAnsi" w:cstheme="majorHAnsi"/>
                <w:bCs/>
                <w:sz w:val="26"/>
                <w:szCs w:val="26"/>
              </w:rPr>
              <w:t xml:space="preserve">chung cư </w:t>
            </w:r>
            <w:r w:rsidR="004B3349">
              <w:rPr>
                <w:rFonts w:asciiTheme="majorHAnsi" w:hAnsiTheme="majorHAnsi" w:cstheme="majorHAnsi"/>
                <w:bCs/>
                <w:sz w:val="26"/>
                <w:szCs w:val="26"/>
              </w:rPr>
              <w:t>thuộc quyền sở hữu riêng của chủ đầu tư</w:t>
            </w:r>
            <w:r w:rsidR="00181F6C">
              <w:rPr>
                <w:rFonts w:asciiTheme="majorHAnsi" w:hAnsiTheme="majorHAnsi" w:cstheme="majorHAnsi"/>
                <w:bCs/>
                <w:sz w:val="26"/>
                <w:szCs w:val="26"/>
              </w:rPr>
              <w:t xml:space="preserve"> nhưng</w:t>
            </w:r>
            <w:r w:rsidR="004B3349">
              <w:rPr>
                <w:rFonts w:asciiTheme="majorHAnsi" w:hAnsiTheme="majorHAnsi" w:cstheme="majorHAnsi"/>
                <w:bCs/>
                <w:sz w:val="26"/>
                <w:szCs w:val="26"/>
              </w:rPr>
              <w:t xml:space="preserve"> đã bán cho cư dân </w:t>
            </w:r>
            <w:r w:rsidR="00CE1DD5">
              <w:rPr>
                <w:rFonts w:asciiTheme="majorHAnsi" w:hAnsiTheme="majorHAnsi" w:cstheme="majorHAnsi"/>
                <w:bCs/>
                <w:sz w:val="26"/>
                <w:szCs w:val="26"/>
              </w:rPr>
              <w:t>(Chủ đầu tư hay đơn vị quản lý vận hành</w:t>
            </w:r>
            <w:r w:rsidR="00181F6C">
              <w:rPr>
                <w:rFonts w:asciiTheme="majorHAnsi" w:hAnsiTheme="majorHAnsi" w:cstheme="majorHAnsi"/>
                <w:bCs/>
                <w:sz w:val="26"/>
                <w:szCs w:val="26"/>
              </w:rPr>
              <w:t xml:space="preserve"> hay cư dân tự quản lý</w:t>
            </w:r>
            <w:r w:rsidR="00CE1DD5">
              <w:rPr>
                <w:rFonts w:asciiTheme="majorHAnsi" w:hAnsiTheme="majorHAnsi" w:cstheme="majorHAnsi"/>
                <w:bCs/>
                <w:sz w:val="26"/>
                <w:szCs w:val="26"/>
              </w:rPr>
              <w:t xml:space="preserve">). Điều này </w:t>
            </w:r>
            <w:r w:rsidR="00B91227">
              <w:rPr>
                <w:rFonts w:asciiTheme="majorHAnsi" w:hAnsiTheme="majorHAnsi" w:cstheme="majorHAnsi"/>
                <w:bCs/>
                <w:sz w:val="26"/>
                <w:szCs w:val="26"/>
              </w:rPr>
              <w:t>gây ra khó khăn cho chủ đầu tư trong quá trình quản lý</w:t>
            </w:r>
            <w:r w:rsidR="00DF2EBF">
              <w:rPr>
                <w:rFonts w:asciiTheme="majorHAnsi" w:hAnsiTheme="majorHAnsi" w:cstheme="majorHAnsi"/>
                <w:bCs/>
                <w:sz w:val="26"/>
                <w:szCs w:val="26"/>
              </w:rPr>
              <w:t xml:space="preserve"> và</w:t>
            </w:r>
            <w:r w:rsidR="00CE1DD5">
              <w:rPr>
                <w:rFonts w:asciiTheme="majorHAnsi" w:hAnsiTheme="majorHAnsi" w:cstheme="majorHAnsi"/>
                <w:bCs/>
                <w:sz w:val="26"/>
                <w:szCs w:val="26"/>
              </w:rPr>
              <w:t xml:space="preserve"> dễ nảy sinh các tranh</w:t>
            </w:r>
            <w:r w:rsidR="00181F6C">
              <w:rPr>
                <w:rFonts w:asciiTheme="majorHAnsi" w:hAnsiTheme="majorHAnsi" w:cstheme="majorHAnsi"/>
                <w:bCs/>
                <w:sz w:val="26"/>
                <w:szCs w:val="26"/>
              </w:rPr>
              <w:t xml:space="preserve"> chấp giữa chủ đầu tư và cư dân,</w:t>
            </w:r>
            <w:r w:rsidR="004B3349">
              <w:rPr>
                <w:rFonts w:asciiTheme="majorHAnsi" w:hAnsiTheme="majorHAnsi" w:cstheme="majorHAnsi"/>
                <w:bCs/>
                <w:sz w:val="26"/>
                <w:szCs w:val="26"/>
              </w:rPr>
              <w:t xml:space="preserve"> </w:t>
            </w:r>
            <w:r w:rsidR="00181F6C">
              <w:rPr>
                <w:rFonts w:asciiTheme="majorHAnsi" w:hAnsiTheme="majorHAnsi" w:cstheme="majorHAnsi"/>
                <w:bCs/>
                <w:sz w:val="26"/>
                <w:szCs w:val="26"/>
              </w:rPr>
              <w:t>b</w:t>
            </w:r>
            <w:r w:rsidR="004B3349">
              <w:rPr>
                <w:rFonts w:asciiTheme="majorHAnsi" w:hAnsiTheme="majorHAnsi" w:cstheme="majorHAnsi"/>
                <w:bCs/>
                <w:sz w:val="26"/>
                <w:szCs w:val="26"/>
              </w:rPr>
              <w:t>ởi lẽ khu vực này rất khó phân chia quyền quản lý.</w:t>
            </w:r>
          </w:p>
        </w:tc>
      </w:tr>
      <w:tr w:rsidR="007D189B" w14:paraId="2B7191AB" w14:textId="77777777" w:rsidTr="00E945B9">
        <w:tc>
          <w:tcPr>
            <w:tcW w:w="704" w:type="dxa"/>
            <w:vAlign w:val="center"/>
          </w:tcPr>
          <w:p w14:paraId="14C79FB7" w14:textId="77777777" w:rsidR="007D189B" w:rsidRPr="006A6211" w:rsidRDefault="00390C01"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Pr>
                <w:rFonts w:asciiTheme="majorHAnsi" w:hAnsiTheme="majorHAnsi" w:cstheme="majorHAnsi"/>
                <w:bCs/>
                <w:spacing w:val="-2"/>
                <w:sz w:val="26"/>
                <w:szCs w:val="26"/>
              </w:rPr>
              <w:t>9</w:t>
            </w:r>
          </w:p>
        </w:tc>
        <w:tc>
          <w:tcPr>
            <w:tcW w:w="2977" w:type="dxa"/>
            <w:vAlign w:val="center"/>
          </w:tcPr>
          <w:p w14:paraId="4946E9D9" w14:textId="77777777" w:rsidR="007D189B" w:rsidRPr="00504453" w:rsidRDefault="001646F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sz w:val="26"/>
                <w:szCs w:val="26"/>
                <w:shd w:val="clear" w:color="auto" w:fill="FFFFFF"/>
              </w:rPr>
            </w:pPr>
            <w:r>
              <w:rPr>
                <w:rFonts w:asciiTheme="majorHAnsi" w:hAnsiTheme="majorHAnsi" w:cstheme="majorHAnsi"/>
                <w:b/>
                <w:sz w:val="26"/>
                <w:szCs w:val="26"/>
                <w:shd w:val="clear" w:color="auto" w:fill="FFFFFF"/>
              </w:rPr>
              <w:t xml:space="preserve">Bất cập trong việc quản lý, giám sát </w:t>
            </w:r>
            <w:r w:rsidR="00572657">
              <w:rPr>
                <w:rFonts w:asciiTheme="majorHAnsi" w:hAnsiTheme="majorHAnsi" w:cstheme="majorHAnsi"/>
                <w:b/>
                <w:sz w:val="26"/>
                <w:szCs w:val="26"/>
                <w:shd w:val="clear" w:color="auto" w:fill="FFFFFF"/>
              </w:rPr>
              <w:t>h</w:t>
            </w:r>
            <w:r>
              <w:rPr>
                <w:rFonts w:asciiTheme="majorHAnsi" w:hAnsiTheme="majorHAnsi" w:cstheme="majorHAnsi"/>
                <w:b/>
                <w:sz w:val="26"/>
                <w:szCs w:val="26"/>
                <w:shd w:val="clear" w:color="auto" w:fill="FFFFFF"/>
              </w:rPr>
              <w:t>oạt động</w:t>
            </w:r>
            <w:r w:rsidR="00572657">
              <w:rPr>
                <w:rFonts w:asciiTheme="majorHAnsi" w:hAnsiTheme="majorHAnsi" w:cstheme="majorHAnsi"/>
                <w:b/>
                <w:sz w:val="26"/>
                <w:szCs w:val="26"/>
                <w:shd w:val="clear" w:color="auto" w:fill="FFFFFF"/>
              </w:rPr>
              <w:t xml:space="preserve"> của</w:t>
            </w:r>
            <w:r>
              <w:rPr>
                <w:rFonts w:asciiTheme="majorHAnsi" w:hAnsiTheme="majorHAnsi" w:cstheme="majorHAnsi"/>
                <w:b/>
                <w:sz w:val="26"/>
                <w:szCs w:val="26"/>
                <w:shd w:val="clear" w:color="auto" w:fill="FFFFFF"/>
              </w:rPr>
              <w:t xml:space="preserve"> Ban quản trị</w:t>
            </w:r>
          </w:p>
        </w:tc>
        <w:tc>
          <w:tcPr>
            <w:tcW w:w="6095" w:type="dxa"/>
          </w:tcPr>
          <w:p w14:paraId="408616C7" w14:textId="77777777" w:rsidR="007D189B" w:rsidRPr="00504453" w:rsidRDefault="007D189B" w:rsidP="00E945B9">
            <w:pPr>
              <w:spacing w:beforeLines="40" w:before="96" w:afterLines="60" w:after="144" w:line="300" w:lineRule="auto"/>
              <w:jc w:val="both"/>
              <w:rPr>
                <w:rFonts w:asciiTheme="majorHAnsi" w:hAnsiTheme="majorHAnsi" w:cstheme="majorHAnsi"/>
                <w:iCs/>
                <w:sz w:val="26"/>
                <w:szCs w:val="26"/>
              </w:rPr>
            </w:pPr>
            <w:r w:rsidRPr="00504453">
              <w:rPr>
                <w:rFonts w:asciiTheme="majorHAnsi" w:hAnsiTheme="majorHAnsi" w:cstheme="majorHAnsi"/>
                <w:iCs/>
                <w:sz w:val="26"/>
                <w:szCs w:val="26"/>
              </w:rPr>
              <w:t>Hiện tại, tại Điều 104</w:t>
            </w:r>
            <w:r w:rsidRPr="00504453">
              <w:rPr>
                <w:rFonts w:asciiTheme="majorHAnsi" w:hAnsiTheme="majorHAnsi" w:cstheme="majorHAnsi"/>
                <w:b/>
                <w:iCs/>
                <w:sz w:val="26"/>
                <w:szCs w:val="26"/>
              </w:rPr>
              <w:t xml:space="preserve"> </w:t>
            </w:r>
            <w:r w:rsidRPr="00504453">
              <w:rPr>
                <w:rFonts w:asciiTheme="majorHAnsi" w:hAnsiTheme="majorHAnsi" w:cstheme="majorHAnsi"/>
                <w:iCs/>
                <w:sz w:val="26"/>
                <w:szCs w:val="26"/>
              </w:rPr>
              <w:t xml:space="preserve">Luật Nhà ở năm 2014 có quy định về quyền và nghĩa vụ của </w:t>
            </w:r>
            <w:r w:rsidR="00B173C3">
              <w:rPr>
                <w:rFonts w:asciiTheme="majorHAnsi" w:hAnsiTheme="majorHAnsi" w:cstheme="majorHAnsi"/>
                <w:iCs/>
                <w:sz w:val="26"/>
                <w:szCs w:val="26"/>
              </w:rPr>
              <w:t>B</w:t>
            </w:r>
            <w:r w:rsidRPr="00504453">
              <w:rPr>
                <w:rFonts w:asciiTheme="majorHAnsi" w:hAnsiTheme="majorHAnsi" w:cstheme="majorHAnsi"/>
                <w:iCs/>
                <w:sz w:val="26"/>
                <w:szCs w:val="26"/>
              </w:rPr>
              <w:t xml:space="preserve">an quản trị nhà chung </w:t>
            </w:r>
            <w:r w:rsidR="00B173C3">
              <w:rPr>
                <w:rFonts w:asciiTheme="majorHAnsi" w:hAnsiTheme="majorHAnsi" w:cstheme="majorHAnsi"/>
                <w:iCs/>
                <w:sz w:val="26"/>
                <w:szCs w:val="26"/>
              </w:rPr>
              <w:t>cư. N</w:t>
            </w:r>
            <w:r w:rsidRPr="00504453">
              <w:rPr>
                <w:rFonts w:asciiTheme="majorHAnsi" w:hAnsiTheme="majorHAnsi" w:cstheme="majorHAnsi"/>
                <w:iCs/>
                <w:sz w:val="26"/>
                <w:szCs w:val="26"/>
              </w:rPr>
              <w:t>goài ra</w:t>
            </w:r>
            <w:r w:rsidR="00B173C3">
              <w:rPr>
                <w:rFonts w:asciiTheme="majorHAnsi" w:hAnsiTheme="majorHAnsi" w:cstheme="majorHAnsi"/>
                <w:iCs/>
                <w:sz w:val="26"/>
                <w:szCs w:val="26"/>
              </w:rPr>
              <w:t>,</w:t>
            </w:r>
            <w:r w:rsidRPr="00504453">
              <w:rPr>
                <w:rFonts w:asciiTheme="majorHAnsi" w:hAnsiTheme="majorHAnsi" w:cstheme="majorHAnsi"/>
                <w:iCs/>
                <w:sz w:val="26"/>
                <w:szCs w:val="26"/>
              </w:rPr>
              <w:t xml:space="preserve"> trong các văn bản liên quan k</w:t>
            </w:r>
            <w:r w:rsidR="00B173C3">
              <w:rPr>
                <w:rFonts w:asciiTheme="majorHAnsi" w:hAnsiTheme="majorHAnsi" w:cstheme="majorHAnsi"/>
                <w:iCs/>
                <w:sz w:val="26"/>
                <w:szCs w:val="26"/>
              </w:rPr>
              <w:t xml:space="preserve">hác như Nghị định 99/2015/NĐ-CP, </w:t>
            </w:r>
            <w:r w:rsidRPr="00504453">
              <w:rPr>
                <w:rFonts w:asciiTheme="majorHAnsi" w:hAnsiTheme="majorHAnsi" w:cstheme="majorHAnsi"/>
                <w:iCs/>
                <w:sz w:val="26"/>
                <w:szCs w:val="26"/>
              </w:rPr>
              <w:t xml:space="preserve">Nghị định số 30/2021/NĐ-CP, hoặc thông tư 02/2016/TT-BXD được sửa đổi bổ sung bằng </w:t>
            </w:r>
            <w:r w:rsidRPr="00504453">
              <w:rPr>
                <w:rFonts w:asciiTheme="majorHAnsi" w:hAnsiTheme="majorHAnsi" w:cstheme="majorHAnsi"/>
                <w:iCs/>
                <w:sz w:val="26"/>
                <w:szCs w:val="26"/>
              </w:rPr>
              <w:lastRenderedPageBreak/>
              <w:t>thông tư 06/2019/TT-BXD của Bộ Xây dựng cũng có quy định về phạm vi quyền, nhiệm vụ của Ban quan trị trong vai trò đại diện của các chủ sở hữu</w:t>
            </w:r>
            <w:r w:rsidR="00B173C3">
              <w:rPr>
                <w:rFonts w:asciiTheme="majorHAnsi" w:hAnsiTheme="majorHAnsi" w:cstheme="majorHAnsi"/>
                <w:iCs/>
                <w:sz w:val="26"/>
                <w:szCs w:val="26"/>
              </w:rPr>
              <w:t>.</w:t>
            </w:r>
          </w:p>
          <w:p w14:paraId="7324AE2D" w14:textId="77777777" w:rsidR="007D189B" w:rsidRDefault="007D189B" w:rsidP="00E945B9">
            <w:pPr>
              <w:spacing w:beforeLines="40" w:before="96" w:afterLines="60" w:after="144" w:line="300" w:lineRule="auto"/>
              <w:jc w:val="both"/>
              <w:rPr>
                <w:rFonts w:asciiTheme="majorHAnsi" w:hAnsiTheme="majorHAnsi" w:cstheme="majorHAnsi"/>
                <w:iCs/>
                <w:sz w:val="26"/>
                <w:szCs w:val="26"/>
              </w:rPr>
            </w:pPr>
            <w:r w:rsidRPr="00504453">
              <w:rPr>
                <w:rFonts w:asciiTheme="majorHAnsi" w:hAnsiTheme="majorHAnsi" w:cstheme="majorHAnsi"/>
                <w:iCs/>
                <w:sz w:val="26"/>
                <w:szCs w:val="26"/>
              </w:rPr>
              <w:t>Tuy nhiên, cơ chế giám sát, xử lý các vi phạm của các ban quản trị trong quá trình thực hiện nhiệm vụ thì chưa có quy định một cách cụ thể, rõ ràng. Điều này dẫn đến trong thực tế không ít ban quản trị có nhiều vi phạm tron</w:t>
            </w:r>
            <w:r w:rsidR="000778AC">
              <w:rPr>
                <w:rFonts w:asciiTheme="majorHAnsi" w:hAnsiTheme="majorHAnsi" w:cstheme="majorHAnsi"/>
                <w:iCs/>
                <w:sz w:val="26"/>
                <w:szCs w:val="26"/>
              </w:rPr>
              <w:t>g quá trình thực hiện nhiệm vụ, gây ảnh hưởng đến lợi ích của chủ sở hữu.</w:t>
            </w:r>
          </w:p>
          <w:p w14:paraId="613AE50A" w14:textId="77777777" w:rsidR="00744189" w:rsidRPr="00504453" w:rsidRDefault="00744189" w:rsidP="00E945B9">
            <w:pPr>
              <w:spacing w:beforeLines="40" w:before="96" w:afterLines="60" w:after="144" w:line="300" w:lineRule="auto"/>
              <w:jc w:val="both"/>
              <w:rPr>
                <w:rFonts w:asciiTheme="majorHAnsi" w:hAnsiTheme="majorHAnsi" w:cstheme="majorHAnsi"/>
                <w:bCs/>
                <w:sz w:val="26"/>
                <w:szCs w:val="26"/>
              </w:rPr>
            </w:pPr>
            <w:r>
              <w:rPr>
                <w:rFonts w:asciiTheme="majorHAnsi" w:hAnsiTheme="majorHAnsi" w:cstheme="majorHAnsi"/>
                <w:iCs/>
                <w:sz w:val="26"/>
                <w:szCs w:val="26"/>
              </w:rPr>
              <w:t xml:space="preserve">Đồng thời, hiện tại Luật Nhà ở chỉ khuyến khích thành viên Ban quản trị </w:t>
            </w:r>
            <w:r w:rsidR="00572657">
              <w:rPr>
                <w:rFonts w:asciiTheme="majorHAnsi" w:hAnsiTheme="majorHAnsi" w:cstheme="majorHAnsi"/>
                <w:iCs/>
                <w:sz w:val="26"/>
                <w:szCs w:val="26"/>
              </w:rPr>
              <w:t>là</w:t>
            </w:r>
            <w:r>
              <w:rPr>
                <w:rFonts w:asciiTheme="majorHAnsi" w:hAnsiTheme="majorHAnsi" w:cstheme="majorHAnsi"/>
                <w:iCs/>
                <w:sz w:val="26"/>
                <w:szCs w:val="26"/>
              </w:rPr>
              <w:t xml:space="preserve"> người có kiến thức, kinh nghiệm trong lĩnh vực luật, tài chính, xây dựng. Tuy nhiên theo chúng tôi, nội dung này không nên chỉ dừng lại ở khuyến khích mà phải là tiêu chí bắt buộc mới đảm bảo Ban quản trị hoạt động đúng pháp luật, đảm bảo lợi ích cho cư dân.</w:t>
            </w:r>
          </w:p>
        </w:tc>
      </w:tr>
      <w:tr w:rsidR="005F19B7" w14:paraId="4CE45062" w14:textId="77777777" w:rsidTr="00E945B9">
        <w:tc>
          <w:tcPr>
            <w:tcW w:w="9776" w:type="dxa"/>
            <w:gridSpan w:val="3"/>
            <w:vAlign w:val="center"/>
          </w:tcPr>
          <w:p w14:paraId="3EEE0937" w14:textId="77777777" w:rsidR="005F19B7" w:rsidRPr="005F19B7" w:rsidRDefault="005F19B7" w:rsidP="00E945B9">
            <w:pPr>
              <w:spacing w:beforeLines="40" w:before="96" w:afterLines="60" w:after="144" w:line="300" w:lineRule="auto"/>
              <w:jc w:val="center"/>
              <w:rPr>
                <w:rFonts w:asciiTheme="majorHAnsi" w:hAnsiTheme="majorHAnsi" w:cstheme="majorHAnsi"/>
                <w:b/>
                <w:iCs/>
                <w:sz w:val="26"/>
                <w:szCs w:val="26"/>
              </w:rPr>
            </w:pPr>
            <w:r w:rsidRPr="005F19B7">
              <w:rPr>
                <w:rFonts w:asciiTheme="majorHAnsi" w:hAnsiTheme="majorHAnsi" w:cstheme="majorHAnsi"/>
                <w:b/>
                <w:iCs/>
                <w:sz w:val="26"/>
                <w:szCs w:val="26"/>
              </w:rPr>
              <w:lastRenderedPageBreak/>
              <w:t>Bất cập trong hoạt động xây dựng</w:t>
            </w:r>
          </w:p>
        </w:tc>
      </w:tr>
      <w:tr w:rsidR="00AB02AC" w14:paraId="2F13CCC3" w14:textId="77777777" w:rsidTr="00E945B9">
        <w:tc>
          <w:tcPr>
            <w:tcW w:w="704" w:type="dxa"/>
            <w:vAlign w:val="center"/>
          </w:tcPr>
          <w:p w14:paraId="6DEC8B6D" w14:textId="77777777" w:rsidR="00AB02AC" w:rsidRPr="006A6211" w:rsidRDefault="00390C01"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Pr>
                <w:rFonts w:asciiTheme="majorHAnsi" w:hAnsiTheme="majorHAnsi" w:cstheme="majorHAnsi"/>
                <w:bCs/>
                <w:spacing w:val="-2"/>
                <w:sz w:val="26"/>
                <w:szCs w:val="26"/>
              </w:rPr>
              <w:t>10</w:t>
            </w:r>
          </w:p>
        </w:tc>
        <w:tc>
          <w:tcPr>
            <w:tcW w:w="2977" w:type="dxa"/>
            <w:vAlign w:val="center"/>
          </w:tcPr>
          <w:p w14:paraId="26ADCDE9" w14:textId="77777777" w:rsidR="00AB02AC" w:rsidRPr="00504453" w:rsidRDefault="00D168D4"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sz w:val="26"/>
                <w:szCs w:val="26"/>
                <w:shd w:val="clear" w:color="auto" w:fill="FFFFFF"/>
              </w:rPr>
            </w:pPr>
            <w:r>
              <w:rPr>
                <w:rFonts w:asciiTheme="majorHAnsi" w:hAnsiTheme="majorHAnsi" w:cstheme="majorHAnsi"/>
                <w:b/>
                <w:sz w:val="26"/>
                <w:szCs w:val="26"/>
                <w:shd w:val="clear" w:color="auto" w:fill="FFFFFF"/>
              </w:rPr>
              <w:t>Bất cập trong hoạt động xây dựng</w:t>
            </w:r>
          </w:p>
        </w:tc>
        <w:tc>
          <w:tcPr>
            <w:tcW w:w="6095" w:type="dxa"/>
          </w:tcPr>
          <w:p w14:paraId="74C11A1D" w14:textId="77777777" w:rsidR="00AB02AC" w:rsidRPr="00504453" w:rsidRDefault="00D168D4" w:rsidP="00E945B9">
            <w:pPr>
              <w:spacing w:beforeLines="40" w:before="96" w:afterLines="60" w:after="144" w:line="300" w:lineRule="auto"/>
              <w:jc w:val="both"/>
              <w:rPr>
                <w:rFonts w:asciiTheme="majorHAnsi" w:hAnsiTheme="majorHAnsi" w:cstheme="majorHAnsi"/>
                <w:iCs/>
                <w:sz w:val="26"/>
                <w:szCs w:val="26"/>
              </w:rPr>
            </w:pPr>
            <w:r>
              <w:rPr>
                <w:rFonts w:asciiTheme="majorHAnsi" w:hAnsiTheme="majorHAnsi" w:cstheme="majorHAnsi"/>
                <w:sz w:val="26"/>
                <w:szCs w:val="26"/>
                <w:shd w:val="clear" w:color="auto" w:fill="FFFFFF"/>
              </w:rPr>
              <w:t xml:space="preserve">Hiện tại, trong quá trình đầu tư, xây dựng dự án, chủ đầu tư phải thực hiện rất nhiều thủ tục liên quan đến xây dựng theo trình tự luật định như: </w:t>
            </w:r>
            <w:r w:rsidR="00AB02AC" w:rsidRPr="00504453">
              <w:rPr>
                <w:rFonts w:asciiTheme="majorHAnsi" w:hAnsiTheme="majorHAnsi" w:cstheme="majorHAnsi"/>
                <w:sz w:val="26"/>
                <w:szCs w:val="26"/>
                <w:shd w:val="clear" w:color="auto" w:fill="FFFFFF"/>
              </w:rPr>
              <w:t>Thẩm định dự án, thẩm định thiết kế cơ sở, thẩm định thiết kế bản vẽ thi công, đánh giá tác động môi trường, thẩm duyệt thiết kế về phòng cháy chữa cháy, thẩm định về công nghệ dẫn đến thời gian chuẩn bị dự án, cấp giấy phép xây dựng còn kéo dài.</w:t>
            </w:r>
            <w:r>
              <w:rPr>
                <w:rFonts w:asciiTheme="majorHAnsi" w:hAnsiTheme="majorHAnsi" w:cstheme="majorHAnsi"/>
                <w:sz w:val="26"/>
                <w:szCs w:val="26"/>
                <w:shd w:val="clear" w:color="auto" w:fill="FFFFFF"/>
              </w:rPr>
              <w:t xml:space="preserve"> Theo đó, chủ đầu tư phải thực hiện xong thủ tục này mới đến thủ tục khác, trong khi đó, rất nhiều thủ tục có thể kết hợp làm cùng nhau.</w:t>
            </w:r>
            <w:r w:rsidR="005C76F8">
              <w:rPr>
                <w:rFonts w:asciiTheme="majorHAnsi" w:hAnsiTheme="majorHAnsi" w:cstheme="majorHAnsi"/>
                <w:sz w:val="26"/>
                <w:szCs w:val="26"/>
                <w:shd w:val="clear" w:color="auto" w:fill="FFFFFF"/>
              </w:rPr>
              <w:t xml:space="preserve"> Vì vậy, Luật Xây dựng cũng nên có cơ chế rút ngắn thời gian thực hiện thủ tục xây dựng cho chủ đầu tư</w:t>
            </w:r>
            <w:r w:rsidR="000B2561">
              <w:rPr>
                <w:rFonts w:asciiTheme="majorHAnsi" w:hAnsiTheme="majorHAnsi" w:cstheme="majorHAnsi"/>
                <w:sz w:val="26"/>
                <w:szCs w:val="26"/>
                <w:shd w:val="clear" w:color="auto" w:fill="FFFFFF"/>
              </w:rPr>
              <w:t xml:space="preserve"> để giúp chủ đầu tư rút ngắn thời gian, chi phí thực hiện các thủ tục xây dựng. </w:t>
            </w:r>
            <w:r>
              <w:rPr>
                <w:rFonts w:asciiTheme="majorHAnsi" w:hAnsiTheme="majorHAnsi" w:cstheme="majorHAnsi"/>
                <w:sz w:val="26"/>
                <w:szCs w:val="26"/>
                <w:shd w:val="clear" w:color="auto" w:fill="FFFFFF"/>
              </w:rPr>
              <w:t xml:space="preserve">Ví dụ, </w:t>
            </w:r>
            <w:r w:rsidR="00741112">
              <w:rPr>
                <w:rFonts w:asciiTheme="majorHAnsi" w:hAnsiTheme="majorHAnsi" w:cstheme="majorHAnsi"/>
                <w:sz w:val="26"/>
                <w:szCs w:val="26"/>
                <w:shd w:val="clear" w:color="auto" w:fill="FFFFFF"/>
              </w:rPr>
              <w:t xml:space="preserve">tại </w:t>
            </w:r>
            <w:proofErr w:type="gramStart"/>
            <w:r w:rsidR="00741112">
              <w:rPr>
                <w:rFonts w:asciiTheme="majorHAnsi" w:hAnsiTheme="majorHAnsi" w:cstheme="majorHAnsi"/>
                <w:sz w:val="26"/>
                <w:szCs w:val="26"/>
                <w:shd w:val="clear" w:color="auto" w:fill="FFFFFF"/>
              </w:rPr>
              <w:t>TP.</w:t>
            </w:r>
            <w:r>
              <w:rPr>
                <w:rFonts w:asciiTheme="majorHAnsi" w:hAnsiTheme="majorHAnsi" w:cstheme="majorHAnsi"/>
                <w:sz w:val="26"/>
                <w:szCs w:val="26"/>
                <w:shd w:val="clear" w:color="auto" w:fill="FFFFFF"/>
              </w:rPr>
              <w:t>Hồ</w:t>
            </w:r>
            <w:proofErr w:type="gramEnd"/>
            <w:r>
              <w:rPr>
                <w:rFonts w:asciiTheme="majorHAnsi" w:hAnsiTheme="majorHAnsi" w:cstheme="majorHAnsi"/>
                <w:sz w:val="26"/>
                <w:szCs w:val="26"/>
                <w:shd w:val="clear" w:color="auto" w:fill="FFFFFF"/>
              </w:rPr>
              <w:t xml:space="preserve"> Chí Minh</w:t>
            </w:r>
            <w:r w:rsidR="00E31B15">
              <w:rPr>
                <w:rFonts w:asciiTheme="majorHAnsi" w:hAnsiTheme="majorHAnsi" w:cstheme="majorHAnsi"/>
                <w:sz w:val="26"/>
                <w:szCs w:val="26"/>
                <w:shd w:val="clear" w:color="auto" w:fill="FFFFFF"/>
              </w:rPr>
              <w:t xml:space="preserve"> hiện</w:t>
            </w:r>
            <w:r w:rsidR="00741112">
              <w:rPr>
                <w:rFonts w:asciiTheme="majorHAnsi" w:hAnsiTheme="majorHAnsi" w:cstheme="majorHAnsi"/>
                <w:sz w:val="26"/>
                <w:szCs w:val="26"/>
                <w:shd w:val="clear" w:color="auto" w:fill="FFFFFF"/>
              </w:rPr>
              <w:t xml:space="preserve"> đang</w:t>
            </w:r>
            <w:r>
              <w:rPr>
                <w:rFonts w:asciiTheme="majorHAnsi" w:hAnsiTheme="majorHAnsi" w:cstheme="majorHAnsi"/>
                <w:sz w:val="26"/>
                <w:szCs w:val="26"/>
                <w:shd w:val="clear" w:color="auto" w:fill="FFFFFF"/>
              </w:rPr>
              <w:t xml:space="preserve"> </w:t>
            </w:r>
            <w:r w:rsidR="00741112" w:rsidRPr="00741112">
              <w:rPr>
                <w:rFonts w:asciiTheme="majorHAnsi" w:hAnsiTheme="majorHAnsi" w:cstheme="majorHAnsi"/>
                <w:sz w:val="26"/>
                <w:szCs w:val="26"/>
                <w:shd w:val="clear" w:color="auto" w:fill="FFFFFF"/>
              </w:rPr>
              <w:t xml:space="preserve">triển khai cơ chế “3 trong 1”. Cụ thể, cá nhân, tổ chức chỉ cần nộp hồ sơ đầy đủ theo quy định </w:t>
            </w:r>
            <w:r w:rsidR="00D71E46">
              <w:rPr>
                <w:rFonts w:asciiTheme="majorHAnsi" w:hAnsiTheme="majorHAnsi" w:cstheme="majorHAnsi"/>
                <w:sz w:val="26"/>
                <w:szCs w:val="26"/>
                <w:shd w:val="clear" w:color="auto" w:fill="FFFFFF"/>
              </w:rPr>
              <w:t xml:space="preserve">của cả </w:t>
            </w:r>
            <w:r w:rsidR="00741112" w:rsidRPr="00741112">
              <w:rPr>
                <w:rFonts w:asciiTheme="majorHAnsi" w:hAnsiTheme="majorHAnsi" w:cstheme="majorHAnsi"/>
                <w:sz w:val="26"/>
                <w:szCs w:val="26"/>
                <w:shd w:val="clear" w:color="auto" w:fill="FFFFFF"/>
              </w:rPr>
              <w:t>3 bước gồm thẩm định cấp phép cơ sở, thẩm định thiết kế kỹ thuật và cấp phép xây dựng sẽ được tiến hành cùng lúc.</w:t>
            </w:r>
            <w:r w:rsidR="00EA22D6">
              <w:rPr>
                <w:rFonts w:asciiTheme="majorHAnsi" w:hAnsiTheme="majorHAnsi" w:cstheme="majorHAnsi"/>
                <w:sz w:val="26"/>
                <w:szCs w:val="26"/>
                <w:shd w:val="clear" w:color="auto" w:fill="FFFFFF"/>
              </w:rPr>
              <w:t xml:space="preserve"> </w:t>
            </w:r>
            <w:r w:rsidR="00174FA5">
              <w:rPr>
                <w:rFonts w:asciiTheme="majorHAnsi" w:hAnsiTheme="majorHAnsi" w:cstheme="majorHAnsi"/>
                <w:sz w:val="26"/>
                <w:szCs w:val="26"/>
                <w:shd w:val="clear" w:color="auto" w:fill="FFFFFF"/>
              </w:rPr>
              <w:t>Giúp rút ngắn thời gian thực hiện thủ tục nói trên một cách đáng kể.</w:t>
            </w:r>
          </w:p>
        </w:tc>
      </w:tr>
      <w:tr w:rsidR="005F19B7" w14:paraId="7E822F0E" w14:textId="77777777" w:rsidTr="00E945B9">
        <w:tc>
          <w:tcPr>
            <w:tcW w:w="9776" w:type="dxa"/>
            <w:gridSpan w:val="3"/>
            <w:vAlign w:val="center"/>
          </w:tcPr>
          <w:p w14:paraId="25A322FE" w14:textId="77777777" w:rsidR="005F19B7" w:rsidRPr="005F19B7" w:rsidRDefault="005F19B7" w:rsidP="00E945B9">
            <w:pPr>
              <w:spacing w:beforeLines="40" w:before="96" w:afterLines="60" w:after="144" w:line="300" w:lineRule="auto"/>
              <w:jc w:val="center"/>
              <w:rPr>
                <w:rFonts w:asciiTheme="majorHAnsi" w:hAnsiTheme="majorHAnsi" w:cstheme="majorHAnsi"/>
                <w:b/>
                <w:sz w:val="26"/>
                <w:szCs w:val="26"/>
                <w:shd w:val="clear" w:color="auto" w:fill="FFFFFF"/>
              </w:rPr>
            </w:pPr>
            <w:r w:rsidRPr="005F19B7">
              <w:rPr>
                <w:rFonts w:asciiTheme="majorHAnsi" w:hAnsiTheme="majorHAnsi" w:cstheme="majorHAnsi"/>
                <w:b/>
                <w:sz w:val="26"/>
                <w:szCs w:val="26"/>
                <w:shd w:val="clear" w:color="auto" w:fill="FFFFFF"/>
              </w:rPr>
              <w:lastRenderedPageBreak/>
              <w:t>Bất cập trong vấn đề quy hoạch đô thị</w:t>
            </w:r>
          </w:p>
        </w:tc>
      </w:tr>
      <w:tr w:rsidR="005F19B7" w14:paraId="49D10AEA" w14:textId="77777777" w:rsidTr="00E945B9">
        <w:tc>
          <w:tcPr>
            <w:tcW w:w="704" w:type="dxa"/>
            <w:vAlign w:val="center"/>
          </w:tcPr>
          <w:p w14:paraId="6354228C" w14:textId="77777777" w:rsidR="005F19B7" w:rsidRPr="006A6211" w:rsidRDefault="00390C01" w:rsidP="00E945B9">
            <w:pPr>
              <w:pStyle w:val="NormalWeb"/>
              <w:tabs>
                <w:tab w:val="left" w:pos="3750"/>
                <w:tab w:val="right" w:pos="14399"/>
              </w:tabs>
              <w:spacing w:beforeLines="40" w:before="96" w:beforeAutospacing="0" w:afterLines="60" w:after="144" w:afterAutospacing="0" w:line="300" w:lineRule="auto"/>
              <w:contextualSpacing/>
              <w:jc w:val="center"/>
              <w:rPr>
                <w:rFonts w:asciiTheme="majorHAnsi" w:hAnsiTheme="majorHAnsi" w:cstheme="majorHAnsi"/>
                <w:bCs/>
                <w:spacing w:val="-2"/>
                <w:sz w:val="26"/>
                <w:szCs w:val="26"/>
              </w:rPr>
            </w:pPr>
            <w:r>
              <w:rPr>
                <w:rFonts w:asciiTheme="majorHAnsi" w:hAnsiTheme="majorHAnsi" w:cstheme="majorHAnsi"/>
                <w:bCs/>
                <w:spacing w:val="-2"/>
                <w:sz w:val="26"/>
                <w:szCs w:val="26"/>
              </w:rPr>
              <w:t>11</w:t>
            </w:r>
          </w:p>
        </w:tc>
        <w:tc>
          <w:tcPr>
            <w:tcW w:w="2977" w:type="dxa"/>
            <w:vAlign w:val="center"/>
          </w:tcPr>
          <w:p w14:paraId="2DBE3572" w14:textId="77777777" w:rsidR="005F19B7" w:rsidRDefault="00960C10"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sz w:val="26"/>
                <w:szCs w:val="26"/>
                <w:shd w:val="clear" w:color="auto" w:fill="FFFFFF"/>
              </w:rPr>
            </w:pPr>
            <w:r>
              <w:rPr>
                <w:rFonts w:asciiTheme="majorHAnsi" w:hAnsiTheme="majorHAnsi" w:cstheme="majorHAnsi"/>
                <w:b/>
                <w:sz w:val="26"/>
                <w:szCs w:val="26"/>
                <w:shd w:val="clear" w:color="auto" w:fill="FFFFFF"/>
              </w:rPr>
              <w:t>Bất cập trong việc tổ chức lập quy hoạch</w:t>
            </w:r>
          </w:p>
        </w:tc>
        <w:tc>
          <w:tcPr>
            <w:tcW w:w="6095" w:type="dxa"/>
          </w:tcPr>
          <w:p w14:paraId="75150F0F" w14:textId="77777777" w:rsidR="00960C10" w:rsidRPr="008731F1" w:rsidRDefault="00960C10" w:rsidP="00E945B9">
            <w:pPr>
              <w:pStyle w:val="ListParagraph"/>
              <w:numPr>
                <w:ilvl w:val="0"/>
                <w:numId w:val="16"/>
              </w:numPr>
              <w:shd w:val="clear" w:color="auto" w:fill="FFFFFF"/>
              <w:spacing w:beforeLines="40" w:before="96" w:afterLines="60" w:after="144" w:line="300" w:lineRule="auto"/>
              <w:ind w:left="317"/>
              <w:jc w:val="both"/>
              <w:rPr>
                <w:rFonts w:asciiTheme="majorHAnsi" w:hAnsiTheme="majorHAnsi" w:cstheme="majorHAnsi"/>
                <w:sz w:val="26"/>
                <w:szCs w:val="26"/>
              </w:rPr>
            </w:pPr>
            <w:r w:rsidRPr="008731F1">
              <w:rPr>
                <w:rFonts w:asciiTheme="majorHAnsi" w:hAnsiTheme="majorHAnsi" w:cstheme="majorHAnsi"/>
                <w:sz w:val="26"/>
                <w:szCs w:val="26"/>
              </w:rPr>
              <w:t xml:space="preserve">Khoản 7, Điều 19 Luật Quy hoạch đô thị quy định </w:t>
            </w:r>
            <w:r w:rsidRPr="008731F1">
              <w:rPr>
                <w:rFonts w:asciiTheme="majorHAnsi" w:hAnsiTheme="majorHAnsi" w:cstheme="majorHAnsi"/>
                <w:sz w:val="26"/>
                <w:szCs w:val="26"/>
                <w:shd w:val="clear" w:color="auto" w:fill="FFFFFF"/>
              </w:rPr>
              <w:t>dự án phải được cơ quan nhà nước có thẩm quyền chấp thuận chủ trương đầu tư, và doanh nghiệp thực hiện dự án phải được chấp thuận cho làm chủ đầu tư thì khi đó, chủ đầu tư dự án mới tiến hành lập và xin phê duyệt quy hoạch chi tiết cho dự án.</w:t>
            </w:r>
          </w:p>
          <w:p w14:paraId="43EF9894" w14:textId="77777777" w:rsidR="00960C10" w:rsidRPr="008731F1" w:rsidRDefault="00960C10" w:rsidP="00E945B9">
            <w:pPr>
              <w:pStyle w:val="ListParagraph"/>
              <w:numPr>
                <w:ilvl w:val="0"/>
                <w:numId w:val="16"/>
              </w:numPr>
              <w:shd w:val="clear" w:color="auto" w:fill="FFFFFF"/>
              <w:spacing w:beforeLines="40" w:before="96" w:afterLines="60" w:after="144" w:line="300" w:lineRule="auto"/>
              <w:ind w:left="317"/>
              <w:jc w:val="both"/>
              <w:rPr>
                <w:rFonts w:asciiTheme="majorHAnsi" w:hAnsiTheme="majorHAnsi" w:cstheme="majorHAnsi"/>
                <w:sz w:val="26"/>
                <w:szCs w:val="26"/>
              </w:rPr>
            </w:pPr>
            <w:r w:rsidRPr="008731F1">
              <w:rPr>
                <w:rFonts w:asciiTheme="majorHAnsi" w:hAnsiTheme="majorHAnsi" w:cstheme="majorHAnsi"/>
                <w:sz w:val="26"/>
                <w:szCs w:val="26"/>
                <w:shd w:val="clear" w:color="auto" w:fill="FFFFFF"/>
              </w:rPr>
              <w:t xml:space="preserve">Tuy nhiên, Điểm a, Khoản 3, Điều 33 Luật Đầu tư 2020 quy định </w:t>
            </w:r>
            <w:r w:rsidRPr="008731F1">
              <w:rPr>
                <w:rFonts w:asciiTheme="majorHAnsi" w:hAnsiTheme="majorHAnsi" w:cstheme="majorHAnsi"/>
                <w:sz w:val="26"/>
                <w:szCs w:val="26"/>
              </w:rPr>
              <w:t>dự án muốn được chấp thuận chủ trương đầu tư thì phải có quy hoạch chi tiết đã được phê duyệt để đánh giá quy hoạch của dự án đó có phù hợp với quy hoạch chung, quy hoạch phân khu đã ban hành hay không. Nếu phù hợp thì dự án mới được chấp thuận cho đầu tư.</w:t>
            </w:r>
          </w:p>
          <w:p w14:paraId="59BD2F6B" w14:textId="77777777" w:rsidR="005F19B7" w:rsidRPr="0077547C" w:rsidRDefault="00960C10" w:rsidP="00E945B9">
            <w:pPr>
              <w:shd w:val="clear" w:color="auto" w:fill="FFFFFF"/>
              <w:spacing w:beforeLines="40" w:before="96" w:afterLines="60" w:after="144" w:line="300" w:lineRule="auto"/>
              <w:ind w:left="317"/>
              <w:jc w:val="both"/>
              <w:rPr>
                <w:rFonts w:asciiTheme="majorHAnsi" w:hAnsiTheme="majorHAnsi" w:cstheme="majorHAnsi"/>
                <w:sz w:val="26"/>
                <w:szCs w:val="26"/>
              </w:rPr>
            </w:pPr>
            <w:r w:rsidRPr="008731F1">
              <w:rPr>
                <w:rFonts w:asciiTheme="majorHAnsi" w:hAnsiTheme="majorHAnsi" w:cstheme="majorHAnsi"/>
                <w:sz w:val="26"/>
                <w:szCs w:val="26"/>
              </w:rPr>
              <w:t>Hai quy định nói trên hiện đang có sự mâu thuẫn lẫn nhau khi cùng điều chỉnh về một vấn đề. Việc có sự mâu thuẫn giữa hai quy định nêu trên khiến doanh nghiệp gặp rất nhiều khó khăn, vướng mắc trong quá trình thực hiện các thủ tục về chấp thuận chủ trương đầu tư và lập quy hoạch dự án, vì không biết phải làm thủ tục nào trước.</w:t>
            </w:r>
          </w:p>
        </w:tc>
      </w:tr>
      <w:tr w:rsidR="00D262BD" w14:paraId="58EDE5D4" w14:textId="77777777" w:rsidTr="00E945B9">
        <w:tc>
          <w:tcPr>
            <w:tcW w:w="9776" w:type="dxa"/>
            <w:gridSpan w:val="3"/>
            <w:vAlign w:val="center"/>
          </w:tcPr>
          <w:p w14:paraId="739C9430" w14:textId="77777777" w:rsidR="00D262BD" w:rsidRPr="00D262BD" w:rsidRDefault="00D262BD" w:rsidP="00E945B9">
            <w:pPr>
              <w:shd w:val="clear" w:color="auto" w:fill="FFFFFF"/>
              <w:spacing w:beforeLines="40" w:before="96" w:afterLines="60" w:after="144" w:line="300" w:lineRule="auto"/>
              <w:jc w:val="center"/>
              <w:rPr>
                <w:rFonts w:asciiTheme="majorHAnsi" w:hAnsiTheme="majorHAnsi" w:cstheme="majorHAnsi"/>
                <w:b/>
                <w:sz w:val="26"/>
                <w:szCs w:val="26"/>
              </w:rPr>
            </w:pPr>
            <w:r w:rsidRPr="00D262BD">
              <w:rPr>
                <w:rFonts w:asciiTheme="majorHAnsi" w:hAnsiTheme="majorHAnsi" w:cstheme="majorHAnsi"/>
                <w:b/>
                <w:sz w:val="26"/>
                <w:szCs w:val="26"/>
              </w:rPr>
              <w:t>Bất cập trong việc sử dụng đất</w:t>
            </w:r>
          </w:p>
        </w:tc>
      </w:tr>
      <w:tr w:rsidR="00390C01" w14:paraId="685D52CE" w14:textId="77777777" w:rsidTr="00E945B9">
        <w:tc>
          <w:tcPr>
            <w:tcW w:w="704" w:type="dxa"/>
            <w:vAlign w:val="center"/>
          </w:tcPr>
          <w:p w14:paraId="3996E18A" w14:textId="77777777" w:rsidR="00390C01" w:rsidRDefault="003248E6" w:rsidP="00E945B9">
            <w:pPr>
              <w:pStyle w:val="NormalWeb"/>
              <w:tabs>
                <w:tab w:val="left" w:pos="3750"/>
                <w:tab w:val="right" w:pos="14399"/>
              </w:tabs>
              <w:spacing w:beforeLines="40" w:before="96" w:beforeAutospacing="0" w:afterLines="60" w:after="144" w:afterAutospacing="0" w:line="300" w:lineRule="auto"/>
              <w:ind w:right="34"/>
              <w:contextualSpacing/>
              <w:rPr>
                <w:rFonts w:asciiTheme="majorHAnsi" w:hAnsiTheme="majorHAnsi" w:cstheme="majorHAnsi"/>
                <w:bCs/>
                <w:spacing w:val="-2"/>
                <w:sz w:val="26"/>
                <w:szCs w:val="26"/>
              </w:rPr>
            </w:pPr>
            <w:r>
              <w:rPr>
                <w:rFonts w:asciiTheme="majorHAnsi" w:hAnsiTheme="majorHAnsi" w:cstheme="majorHAnsi"/>
                <w:bCs/>
                <w:spacing w:val="-2"/>
                <w:sz w:val="26"/>
                <w:szCs w:val="26"/>
              </w:rPr>
              <w:t>12</w:t>
            </w:r>
          </w:p>
        </w:tc>
        <w:tc>
          <w:tcPr>
            <w:tcW w:w="2977" w:type="dxa"/>
            <w:vAlign w:val="center"/>
          </w:tcPr>
          <w:p w14:paraId="6C5737B5" w14:textId="77777777" w:rsidR="00390C01" w:rsidRPr="00BD469E" w:rsidRDefault="00390C01"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iCs/>
                <w:sz w:val="26"/>
                <w:szCs w:val="26"/>
              </w:rPr>
            </w:pPr>
            <w:r w:rsidRPr="00BD469E">
              <w:rPr>
                <w:rFonts w:asciiTheme="majorHAnsi" w:hAnsiTheme="majorHAnsi" w:cstheme="majorHAnsi"/>
                <w:b/>
                <w:iCs/>
                <w:sz w:val="26"/>
                <w:szCs w:val="26"/>
              </w:rPr>
              <w:t>Bất cập về quyền sở hữu nhà, quyền sử dụng đất của người nước ngoài mua nhà ở tại Việt Nam</w:t>
            </w:r>
          </w:p>
        </w:tc>
        <w:tc>
          <w:tcPr>
            <w:tcW w:w="6095" w:type="dxa"/>
          </w:tcPr>
          <w:p w14:paraId="69010D04" w14:textId="77777777" w:rsidR="00390C01" w:rsidRPr="00BD469E" w:rsidRDefault="00390C01"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sz w:val="26"/>
                <w:szCs w:val="26"/>
                <w:shd w:val="clear" w:color="auto" w:fill="FFFFFF"/>
              </w:rPr>
            </w:pPr>
            <w:r w:rsidRPr="00BD469E">
              <w:rPr>
                <w:rFonts w:asciiTheme="majorHAnsi" w:hAnsiTheme="majorHAnsi" w:cstheme="majorHAnsi"/>
                <w:sz w:val="26"/>
                <w:szCs w:val="26"/>
                <w:shd w:val="clear" w:color="auto" w:fill="FFFFFF"/>
              </w:rPr>
              <w:t>Luật Nhà ở và Luật Đất đai hiện đang có quy định khác nhau về cấp giấy chứng nhận cho người nước ngoài sở hữu nhà ở. Luật Đất đai không công</w:t>
            </w:r>
            <w:r>
              <w:rPr>
                <w:rFonts w:asciiTheme="majorHAnsi" w:hAnsiTheme="majorHAnsi" w:cstheme="majorHAnsi"/>
                <w:sz w:val="26"/>
                <w:szCs w:val="26"/>
                <w:shd w:val="clear" w:color="auto" w:fill="FFFFFF"/>
              </w:rPr>
              <w:t xml:space="preserve"> nhận cho người nước ngoài được </w:t>
            </w:r>
            <w:r w:rsidRPr="00BD469E">
              <w:rPr>
                <w:rFonts w:asciiTheme="majorHAnsi" w:hAnsiTheme="majorHAnsi" w:cstheme="majorHAnsi"/>
                <w:sz w:val="26"/>
                <w:szCs w:val="26"/>
                <w:shd w:val="clear" w:color="auto" w:fill="FFFFFF"/>
              </w:rPr>
              <w:t>quyền sử dụng đất tại Việt Nam. Tuy nhiên, Luật Nhà ở thì quy định người nước ngoài được phép sở hữu nhà</w:t>
            </w:r>
            <w:r>
              <w:rPr>
                <w:rFonts w:asciiTheme="majorHAnsi" w:hAnsiTheme="majorHAnsi" w:cstheme="majorHAnsi"/>
                <w:sz w:val="26"/>
                <w:szCs w:val="26"/>
                <w:shd w:val="clear" w:color="auto" w:fill="FFFFFF"/>
              </w:rPr>
              <w:t xml:space="preserve"> ở</w:t>
            </w:r>
            <w:r w:rsidRPr="00BD469E">
              <w:rPr>
                <w:rFonts w:asciiTheme="majorHAnsi" w:hAnsiTheme="majorHAnsi" w:cstheme="majorHAnsi"/>
                <w:sz w:val="26"/>
                <w:szCs w:val="26"/>
                <w:shd w:val="clear" w:color="auto" w:fill="FFFFFF"/>
              </w:rPr>
              <w:t>. Việc công nhận người nước ngoài được sở hữu nhà ở tại Việt Nam nhưng không có quyền sử dụng đất là mâu thuẫn</w:t>
            </w:r>
            <w:r>
              <w:rPr>
                <w:rFonts w:asciiTheme="majorHAnsi" w:hAnsiTheme="majorHAnsi" w:cstheme="majorHAnsi"/>
                <w:sz w:val="26"/>
                <w:szCs w:val="26"/>
                <w:shd w:val="clear" w:color="auto" w:fill="FFFFFF"/>
              </w:rPr>
              <w:t>.</w:t>
            </w:r>
          </w:p>
        </w:tc>
      </w:tr>
      <w:tr w:rsidR="00390C01" w14:paraId="570810BE" w14:textId="77777777" w:rsidTr="00E945B9">
        <w:tc>
          <w:tcPr>
            <w:tcW w:w="704" w:type="dxa"/>
            <w:vAlign w:val="center"/>
          </w:tcPr>
          <w:p w14:paraId="5F3E8871" w14:textId="77777777" w:rsidR="00390C01" w:rsidRDefault="003248E6" w:rsidP="00E945B9">
            <w:pPr>
              <w:pStyle w:val="NormalWeb"/>
              <w:tabs>
                <w:tab w:val="left" w:pos="3750"/>
                <w:tab w:val="right" w:pos="14399"/>
              </w:tabs>
              <w:spacing w:beforeLines="40" w:before="96" w:beforeAutospacing="0" w:afterLines="60" w:after="144" w:afterAutospacing="0" w:line="300" w:lineRule="auto"/>
              <w:ind w:right="34"/>
              <w:contextualSpacing/>
              <w:rPr>
                <w:rFonts w:asciiTheme="majorHAnsi" w:hAnsiTheme="majorHAnsi" w:cstheme="majorHAnsi"/>
                <w:bCs/>
                <w:spacing w:val="-2"/>
                <w:sz w:val="26"/>
                <w:szCs w:val="26"/>
              </w:rPr>
            </w:pPr>
            <w:r>
              <w:rPr>
                <w:rFonts w:asciiTheme="majorHAnsi" w:hAnsiTheme="majorHAnsi" w:cstheme="majorHAnsi"/>
                <w:bCs/>
                <w:spacing w:val="-2"/>
                <w:sz w:val="26"/>
                <w:szCs w:val="26"/>
              </w:rPr>
              <w:t>13</w:t>
            </w:r>
          </w:p>
        </w:tc>
        <w:tc>
          <w:tcPr>
            <w:tcW w:w="2977" w:type="dxa"/>
            <w:vAlign w:val="center"/>
          </w:tcPr>
          <w:p w14:paraId="7D054E8F" w14:textId="77777777" w:rsidR="00390C01" w:rsidRPr="00BD469E" w:rsidRDefault="00390C01"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iCs/>
                <w:sz w:val="26"/>
                <w:szCs w:val="26"/>
              </w:rPr>
            </w:pPr>
            <w:r w:rsidRPr="00BD469E">
              <w:rPr>
                <w:rFonts w:asciiTheme="majorHAnsi" w:hAnsiTheme="majorHAnsi" w:cstheme="majorHAnsi"/>
                <w:b/>
                <w:sz w:val="26"/>
                <w:szCs w:val="26"/>
                <w:shd w:val="clear" w:color="auto" w:fill="FFFFFF"/>
              </w:rPr>
              <w:t>Bất cập về thời hạn có hiệu lực đối với giao dịch quyền sử dụng đất</w:t>
            </w:r>
          </w:p>
        </w:tc>
        <w:tc>
          <w:tcPr>
            <w:tcW w:w="6095" w:type="dxa"/>
          </w:tcPr>
          <w:p w14:paraId="4FA3B949" w14:textId="77777777" w:rsidR="00390C01" w:rsidRPr="00BD469E" w:rsidRDefault="00390C01"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sz w:val="26"/>
                <w:szCs w:val="26"/>
                <w:shd w:val="clear" w:color="auto" w:fill="FFFFFF"/>
              </w:rPr>
            </w:pPr>
            <w:r w:rsidRPr="00BD469E">
              <w:rPr>
                <w:rFonts w:asciiTheme="majorHAnsi" w:hAnsiTheme="majorHAnsi" w:cstheme="majorHAnsi"/>
                <w:sz w:val="26"/>
                <w:szCs w:val="26"/>
                <w:shd w:val="clear" w:color="auto" w:fill="FFFFFF"/>
              </w:rPr>
              <w:t>Luật Đất đai và Luật Nhà</w:t>
            </w:r>
            <w:r>
              <w:rPr>
                <w:rFonts w:asciiTheme="majorHAnsi" w:hAnsiTheme="majorHAnsi" w:cstheme="majorHAnsi"/>
                <w:sz w:val="26"/>
                <w:szCs w:val="26"/>
                <w:shd w:val="clear" w:color="auto" w:fill="FFFFFF"/>
              </w:rPr>
              <w:t xml:space="preserve"> ở</w:t>
            </w:r>
            <w:r w:rsidRPr="00BD469E">
              <w:rPr>
                <w:rFonts w:asciiTheme="majorHAnsi" w:hAnsiTheme="majorHAnsi" w:cstheme="majorHAnsi"/>
                <w:sz w:val="26"/>
                <w:szCs w:val="26"/>
                <w:shd w:val="clear" w:color="auto" w:fill="FFFFFF"/>
              </w:rPr>
              <w:t xml:space="preserve"> quy định không giống nhau. Việc chuyển quyền sử dụng đất trong Luật Đất đai có hiệu lực từ thời điểm đăng ký địa chính, nhưng theo Luật Nhà ở, thời điểm chuyển quyền sở hữu nhà ở là thời điểm bên mua thanh toán nghĩa vụ tài chính</w:t>
            </w:r>
            <w:r>
              <w:rPr>
                <w:rFonts w:asciiTheme="majorHAnsi" w:hAnsiTheme="majorHAnsi" w:cstheme="majorHAnsi"/>
                <w:sz w:val="26"/>
                <w:szCs w:val="26"/>
                <w:shd w:val="clear" w:color="auto" w:fill="FFFFFF"/>
              </w:rPr>
              <w:t>.</w:t>
            </w:r>
          </w:p>
        </w:tc>
      </w:tr>
      <w:tr w:rsidR="0049634E" w14:paraId="20DFDA49" w14:textId="77777777" w:rsidTr="00E945B9">
        <w:tc>
          <w:tcPr>
            <w:tcW w:w="704" w:type="dxa"/>
            <w:vAlign w:val="center"/>
          </w:tcPr>
          <w:p w14:paraId="6B772016" w14:textId="77777777" w:rsidR="0049634E" w:rsidRDefault="003248E6" w:rsidP="00E945B9">
            <w:pPr>
              <w:pStyle w:val="NormalWeb"/>
              <w:tabs>
                <w:tab w:val="left" w:pos="3750"/>
                <w:tab w:val="right" w:pos="14399"/>
              </w:tabs>
              <w:spacing w:beforeLines="40" w:before="96" w:beforeAutospacing="0" w:afterLines="60" w:after="144" w:afterAutospacing="0" w:line="300" w:lineRule="auto"/>
              <w:ind w:right="34"/>
              <w:contextualSpacing/>
              <w:jc w:val="center"/>
              <w:rPr>
                <w:rFonts w:asciiTheme="majorHAnsi" w:hAnsiTheme="majorHAnsi" w:cstheme="majorHAnsi"/>
                <w:bCs/>
                <w:spacing w:val="-2"/>
                <w:sz w:val="26"/>
                <w:szCs w:val="26"/>
              </w:rPr>
            </w:pPr>
            <w:r>
              <w:rPr>
                <w:rFonts w:asciiTheme="majorHAnsi" w:hAnsiTheme="majorHAnsi" w:cstheme="majorHAnsi"/>
                <w:bCs/>
                <w:spacing w:val="-2"/>
                <w:sz w:val="26"/>
                <w:szCs w:val="26"/>
              </w:rPr>
              <w:lastRenderedPageBreak/>
              <w:t>14</w:t>
            </w:r>
          </w:p>
        </w:tc>
        <w:tc>
          <w:tcPr>
            <w:tcW w:w="2977" w:type="dxa"/>
            <w:vAlign w:val="center"/>
          </w:tcPr>
          <w:p w14:paraId="5416EEBE" w14:textId="77777777" w:rsidR="0049634E" w:rsidRPr="00BD469E" w:rsidRDefault="0049634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b/>
                <w:iCs/>
                <w:sz w:val="26"/>
                <w:szCs w:val="26"/>
              </w:rPr>
            </w:pPr>
            <w:r>
              <w:rPr>
                <w:rFonts w:asciiTheme="majorHAnsi" w:hAnsiTheme="majorHAnsi" w:cstheme="majorHAnsi"/>
                <w:b/>
                <w:iCs/>
                <w:sz w:val="26"/>
                <w:szCs w:val="26"/>
              </w:rPr>
              <w:t xml:space="preserve">Bất cập trong việc xác định chủ thể sử dụng đất đối với khu vực thuộc sở hữu chung </w:t>
            </w:r>
          </w:p>
        </w:tc>
        <w:tc>
          <w:tcPr>
            <w:tcW w:w="6095" w:type="dxa"/>
          </w:tcPr>
          <w:p w14:paraId="0ED1C784" w14:textId="77777777" w:rsidR="0049634E" w:rsidRPr="00BD469E" w:rsidRDefault="0049634E" w:rsidP="00E945B9">
            <w:pPr>
              <w:pStyle w:val="NormalWeb"/>
              <w:tabs>
                <w:tab w:val="left" w:pos="3750"/>
                <w:tab w:val="right" w:pos="14399"/>
              </w:tabs>
              <w:spacing w:beforeLines="40" w:before="96" w:beforeAutospacing="0" w:afterLines="60" w:after="144" w:afterAutospacing="0" w:line="300" w:lineRule="auto"/>
              <w:contextualSpacing/>
              <w:jc w:val="both"/>
              <w:rPr>
                <w:rFonts w:asciiTheme="majorHAnsi" w:hAnsiTheme="majorHAnsi" w:cstheme="majorHAnsi"/>
                <w:sz w:val="26"/>
                <w:szCs w:val="26"/>
                <w:shd w:val="clear" w:color="auto" w:fill="FFFFFF"/>
              </w:rPr>
            </w:pPr>
            <w:r>
              <w:rPr>
                <w:rFonts w:asciiTheme="majorHAnsi" w:hAnsiTheme="majorHAnsi" w:cstheme="majorHAnsi"/>
                <w:sz w:val="26"/>
                <w:szCs w:val="26"/>
                <w:shd w:val="clear" w:color="auto" w:fill="FFFFFF"/>
              </w:rPr>
              <w:t>Th</w:t>
            </w:r>
            <w:r w:rsidRPr="00D262BD">
              <w:rPr>
                <w:rFonts w:asciiTheme="majorHAnsi" w:hAnsiTheme="majorHAnsi" w:cstheme="majorHAnsi"/>
                <w:sz w:val="26"/>
                <w:szCs w:val="26"/>
                <w:shd w:val="clear" w:color="auto" w:fill="FFFFFF"/>
              </w:rPr>
              <w:t>e</w:t>
            </w:r>
            <w:r>
              <w:rPr>
                <w:rFonts w:asciiTheme="majorHAnsi" w:hAnsiTheme="majorHAnsi" w:cstheme="majorHAnsi"/>
                <w:sz w:val="26"/>
                <w:szCs w:val="26"/>
                <w:shd w:val="clear" w:color="auto" w:fill="FFFFFF"/>
              </w:rPr>
              <w:t>o quy định Luật đất đai hiện hành, chủ đầu tư dự án được xác định là người sử dụng đất đối với đất được giao/cho thuê trong các dự án xây dựng nhà chung cư và chủ đầu có nghĩa vụ nộp tiền sử dụng đất/tiền thuê đất. Tuy nhiên, có một số dự án nhà chung cư, một số khu vực thuộc quyền sở hữu, sử dụng chung của nhà chung cư có hình thức sử dụng đất là đất thuê trả tiền thuê hàng năm. Từ đó nảy sinh bất cập là: Diện tích thuộc khu vực sở hữu, sử dụng chung của các nhà chung cư nhưng tiền thuê đất hàng năm thì chủ đầu tư chịu trách nhiệm nộp do người sử dụng đất xác định chỉ là chủ đầu tư. Vì vậy, Luật đất đai, Luật nhà ở cần có các quy định cụ thể hơn xác định trách nhiệm nộp tiền sử dụng đất, tiền thuê đất đối với các khu vực sở hữu chung của nhà chung cư để tránh nảy sinh các tranh chấp có liên quan.</w:t>
            </w:r>
          </w:p>
        </w:tc>
      </w:tr>
    </w:tbl>
    <w:p w14:paraId="46C5F95D" w14:textId="77777777" w:rsidR="00485930" w:rsidRPr="005A1B70" w:rsidRDefault="00485930" w:rsidP="00E945B9">
      <w:pPr>
        <w:tabs>
          <w:tab w:val="left" w:pos="992"/>
        </w:tabs>
        <w:spacing w:beforeLines="40" w:before="96" w:afterLines="40" w:after="96" w:line="300" w:lineRule="auto"/>
        <w:rPr>
          <w:rFonts w:asciiTheme="majorHAnsi" w:hAnsiTheme="majorHAnsi" w:cstheme="majorHAnsi"/>
          <w:sz w:val="26"/>
          <w:szCs w:val="26"/>
          <w:lang w:val="nl-NL"/>
        </w:rPr>
      </w:pPr>
    </w:p>
    <w:sectPr w:rsidR="00485930" w:rsidRPr="005A1B70" w:rsidSect="00E945B9">
      <w:footerReference w:type="default" r:id="rId8"/>
      <w:pgSz w:w="11907" w:h="16840" w:code="9"/>
      <w:pgMar w:top="1134" w:right="1134" w:bottom="1134" w:left="1134" w:header="113" w:footer="1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8DBFE" w14:textId="77777777" w:rsidR="00CA28EE" w:rsidRDefault="00CA28EE">
      <w:r>
        <w:separator/>
      </w:r>
    </w:p>
  </w:endnote>
  <w:endnote w:type="continuationSeparator" w:id="0">
    <w:p w14:paraId="15FC7540" w14:textId="77777777" w:rsidR="00CA28EE" w:rsidRDefault="00CA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192333"/>
      <w:docPartObj>
        <w:docPartGallery w:val="Page Numbers (Bottom of Page)"/>
        <w:docPartUnique/>
      </w:docPartObj>
    </w:sdtPr>
    <w:sdtEndPr>
      <w:rPr>
        <w:rFonts w:asciiTheme="majorHAnsi" w:hAnsiTheme="majorHAnsi" w:cstheme="majorHAnsi"/>
        <w:noProof/>
        <w:sz w:val="26"/>
        <w:szCs w:val="26"/>
      </w:rPr>
    </w:sdtEndPr>
    <w:sdtContent>
      <w:p w14:paraId="112AE4A3" w14:textId="77777777" w:rsidR="00CB667B" w:rsidRPr="00CB667B" w:rsidRDefault="00CB667B">
        <w:pPr>
          <w:pStyle w:val="Footer"/>
          <w:jc w:val="center"/>
          <w:rPr>
            <w:rFonts w:asciiTheme="majorHAnsi" w:hAnsiTheme="majorHAnsi" w:cstheme="majorHAnsi"/>
            <w:sz w:val="26"/>
            <w:szCs w:val="26"/>
          </w:rPr>
        </w:pPr>
        <w:r w:rsidRPr="00CB667B">
          <w:rPr>
            <w:rFonts w:asciiTheme="majorHAnsi" w:hAnsiTheme="majorHAnsi" w:cstheme="majorHAnsi"/>
            <w:sz w:val="26"/>
            <w:szCs w:val="26"/>
          </w:rPr>
          <w:fldChar w:fldCharType="begin"/>
        </w:r>
        <w:r w:rsidRPr="00CB667B">
          <w:rPr>
            <w:rFonts w:asciiTheme="majorHAnsi" w:hAnsiTheme="majorHAnsi" w:cstheme="majorHAnsi"/>
            <w:sz w:val="26"/>
            <w:szCs w:val="26"/>
          </w:rPr>
          <w:instrText xml:space="preserve"> PAGE   \* MERGEFORMAT </w:instrText>
        </w:r>
        <w:r w:rsidRPr="00CB667B">
          <w:rPr>
            <w:rFonts w:asciiTheme="majorHAnsi" w:hAnsiTheme="majorHAnsi" w:cstheme="majorHAnsi"/>
            <w:sz w:val="26"/>
            <w:szCs w:val="26"/>
          </w:rPr>
          <w:fldChar w:fldCharType="separate"/>
        </w:r>
        <w:r w:rsidR="00B728A1">
          <w:rPr>
            <w:rFonts w:asciiTheme="majorHAnsi" w:hAnsiTheme="majorHAnsi" w:cstheme="majorHAnsi"/>
            <w:noProof/>
            <w:sz w:val="26"/>
            <w:szCs w:val="26"/>
          </w:rPr>
          <w:t>2</w:t>
        </w:r>
        <w:r w:rsidRPr="00CB667B">
          <w:rPr>
            <w:rFonts w:asciiTheme="majorHAnsi" w:hAnsiTheme="majorHAnsi" w:cstheme="majorHAnsi"/>
            <w:noProof/>
            <w:sz w:val="26"/>
            <w:szCs w:val="26"/>
          </w:rPr>
          <w:fldChar w:fldCharType="end"/>
        </w:r>
      </w:p>
    </w:sdtContent>
  </w:sdt>
  <w:p w14:paraId="3591F464" w14:textId="77777777" w:rsidR="00CB667B" w:rsidRDefault="00CB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978E6" w14:textId="77777777" w:rsidR="00CA28EE" w:rsidRDefault="00CA28EE">
      <w:r>
        <w:separator/>
      </w:r>
    </w:p>
  </w:footnote>
  <w:footnote w:type="continuationSeparator" w:id="0">
    <w:p w14:paraId="2E1D4055" w14:textId="77777777" w:rsidR="00CA28EE" w:rsidRDefault="00CA2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59F"/>
    <w:multiLevelType w:val="hybridMultilevel"/>
    <w:tmpl w:val="A1C214FA"/>
    <w:lvl w:ilvl="0" w:tplc="429A89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04D39"/>
    <w:multiLevelType w:val="hybridMultilevel"/>
    <w:tmpl w:val="0C02EDB4"/>
    <w:lvl w:ilvl="0" w:tplc="DED2CC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E020D"/>
    <w:multiLevelType w:val="hybridMultilevel"/>
    <w:tmpl w:val="E2AC8120"/>
    <w:lvl w:ilvl="0" w:tplc="F61C4378">
      <w:start w:val="1"/>
      <w:numFmt w:val="lowerRoman"/>
      <w:lvlText w:val="(%1)"/>
      <w:lvlJc w:val="left"/>
      <w:pPr>
        <w:ind w:left="1179" w:hanging="72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 w15:restartNumberingAfterBreak="0">
    <w:nsid w:val="232C7761"/>
    <w:multiLevelType w:val="hybridMultilevel"/>
    <w:tmpl w:val="43462750"/>
    <w:lvl w:ilvl="0" w:tplc="927041F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0A443E"/>
    <w:multiLevelType w:val="hybridMultilevel"/>
    <w:tmpl w:val="2CD8B3DC"/>
    <w:lvl w:ilvl="0" w:tplc="9AF2B8AA">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07424B"/>
    <w:multiLevelType w:val="hybridMultilevel"/>
    <w:tmpl w:val="88801314"/>
    <w:lvl w:ilvl="0" w:tplc="22D6ED98">
      <w:numFmt w:val="bullet"/>
      <w:lvlText w:val="-"/>
      <w:lvlJc w:val="left"/>
      <w:pPr>
        <w:tabs>
          <w:tab w:val="num" w:pos="510"/>
        </w:tabs>
        <w:ind w:left="510" w:hanging="360"/>
      </w:pPr>
      <w:rPr>
        <w:rFonts w:ascii="Times New Roman" w:eastAsia="Times New Roman" w:hAnsi="Times New Roman"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6" w15:restartNumberingAfterBreak="0">
    <w:nsid w:val="2EC569B5"/>
    <w:multiLevelType w:val="hybridMultilevel"/>
    <w:tmpl w:val="98B0097A"/>
    <w:lvl w:ilvl="0" w:tplc="D802780A">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04FA8"/>
    <w:multiLevelType w:val="hybridMultilevel"/>
    <w:tmpl w:val="9746C120"/>
    <w:lvl w:ilvl="0" w:tplc="4B240D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3F6C60"/>
    <w:multiLevelType w:val="hybridMultilevel"/>
    <w:tmpl w:val="7F508222"/>
    <w:lvl w:ilvl="0" w:tplc="DCE0238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50E35"/>
    <w:multiLevelType w:val="hybridMultilevel"/>
    <w:tmpl w:val="098A5D74"/>
    <w:lvl w:ilvl="0" w:tplc="6C8227A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3D3C7034"/>
    <w:multiLevelType w:val="hybridMultilevel"/>
    <w:tmpl w:val="735E3918"/>
    <w:lvl w:ilvl="0" w:tplc="C938DF24">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F1765B"/>
    <w:multiLevelType w:val="hybridMultilevel"/>
    <w:tmpl w:val="5E6CF260"/>
    <w:lvl w:ilvl="0" w:tplc="DE12D48E">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F37AB5"/>
    <w:multiLevelType w:val="hybridMultilevel"/>
    <w:tmpl w:val="72EEA4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4D1FFE"/>
    <w:multiLevelType w:val="hybridMultilevel"/>
    <w:tmpl w:val="09E4D170"/>
    <w:lvl w:ilvl="0" w:tplc="E062AF5C">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B7C21"/>
    <w:multiLevelType w:val="hybridMultilevel"/>
    <w:tmpl w:val="CF265F74"/>
    <w:lvl w:ilvl="0" w:tplc="72CED4AE">
      <w:start w:val="1"/>
      <w:numFmt w:val="bullet"/>
      <w:lvlText w:val="-"/>
      <w:lvlJc w:val="left"/>
      <w:pPr>
        <w:ind w:left="677" w:hanging="360"/>
      </w:pPr>
      <w:rPr>
        <w:rFonts w:ascii="Times New Roman" w:eastAsiaTheme="minorHAnsi" w:hAnsi="Times New Roman" w:cs="Times New Roman" w:hint="default"/>
        <w:color w:val="auto"/>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5" w15:restartNumberingAfterBreak="0">
    <w:nsid w:val="5A4F4BBD"/>
    <w:multiLevelType w:val="hybridMultilevel"/>
    <w:tmpl w:val="F0126C00"/>
    <w:lvl w:ilvl="0" w:tplc="413AC05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15:restartNumberingAfterBreak="0">
    <w:nsid w:val="63D0721F"/>
    <w:multiLevelType w:val="hybridMultilevel"/>
    <w:tmpl w:val="79508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922F30"/>
    <w:multiLevelType w:val="hybridMultilevel"/>
    <w:tmpl w:val="BDEA56E8"/>
    <w:lvl w:ilvl="0" w:tplc="399EEC02">
      <w:numFmt w:val="bullet"/>
      <w:lvlText w:val="-"/>
      <w:lvlJc w:val="left"/>
      <w:pPr>
        <w:ind w:left="3207" w:hanging="360"/>
      </w:pPr>
      <w:rPr>
        <w:rFonts w:ascii="Times New Roman" w:eastAsia="Times New Roman" w:hAnsi="Times New Roman" w:cs="Times New Roman" w:hint="default"/>
      </w:rPr>
    </w:lvl>
    <w:lvl w:ilvl="1" w:tplc="04090003" w:tentative="1">
      <w:start w:val="1"/>
      <w:numFmt w:val="bullet"/>
      <w:lvlText w:val="o"/>
      <w:lvlJc w:val="left"/>
      <w:pPr>
        <w:ind w:left="3927" w:hanging="360"/>
      </w:pPr>
      <w:rPr>
        <w:rFonts w:ascii="Courier New" w:hAnsi="Courier New" w:cs="Courier New" w:hint="default"/>
      </w:rPr>
    </w:lvl>
    <w:lvl w:ilvl="2" w:tplc="04090005" w:tentative="1">
      <w:start w:val="1"/>
      <w:numFmt w:val="bullet"/>
      <w:lvlText w:val=""/>
      <w:lvlJc w:val="left"/>
      <w:pPr>
        <w:ind w:left="4647" w:hanging="360"/>
      </w:pPr>
      <w:rPr>
        <w:rFonts w:ascii="Wingdings" w:hAnsi="Wingdings" w:hint="default"/>
      </w:rPr>
    </w:lvl>
    <w:lvl w:ilvl="3" w:tplc="04090001" w:tentative="1">
      <w:start w:val="1"/>
      <w:numFmt w:val="bullet"/>
      <w:lvlText w:val=""/>
      <w:lvlJc w:val="left"/>
      <w:pPr>
        <w:ind w:left="5367" w:hanging="360"/>
      </w:pPr>
      <w:rPr>
        <w:rFonts w:ascii="Symbol" w:hAnsi="Symbol" w:hint="default"/>
      </w:rPr>
    </w:lvl>
    <w:lvl w:ilvl="4" w:tplc="04090003" w:tentative="1">
      <w:start w:val="1"/>
      <w:numFmt w:val="bullet"/>
      <w:lvlText w:val="o"/>
      <w:lvlJc w:val="left"/>
      <w:pPr>
        <w:ind w:left="6087" w:hanging="360"/>
      </w:pPr>
      <w:rPr>
        <w:rFonts w:ascii="Courier New" w:hAnsi="Courier New" w:cs="Courier New" w:hint="default"/>
      </w:rPr>
    </w:lvl>
    <w:lvl w:ilvl="5" w:tplc="04090005" w:tentative="1">
      <w:start w:val="1"/>
      <w:numFmt w:val="bullet"/>
      <w:lvlText w:val=""/>
      <w:lvlJc w:val="left"/>
      <w:pPr>
        <w:ind w:left="6807" w:hanging="360"/>
      </w:pPr>
      <w:rPr>
        <w:rFonts w:ascii="Wingdings" w:hAnsi="Wingdings" w:hint="default"/>
      </w:rPr>
    </w:lvl>
    <w:lvl w:ilvl="6" w:tplc="04090001" w:tentative="1">
      <w:start w:val="1"/>
      <w:numFmt w:val="bullet"/>
      <w:lvlText w:val=""/>
      <w:lvlJc w:val="left"/>
      <w:pPr>
        <w:ind w:left="7527" w:hanging="360"/>
      </w:pPr>
      <w:rPr>
        <w:rFonts w:ascii="Symbol" w:hAnsi="Symbol" w:hint="default"/>
      </w:rPr>
    </w:lvl>
    <w:lvl w:ilvl="7" w:tplc="04090003" w:tentative="1">
      <w:start w:val="1"/>
      <w:numFmt w:val="bullet"/>
      <w:lvlText w:val="o"/>
      <w:lvlJc w:val="left"/>
      <w:pPr>
        <w:ind w:left="8247" w:hanging="360"/>
      </w:pPr>
      <w:rPr>
        <w:rFonts w:ascii="Courier New" w:hAnsi="Courier New" w:cs="Courier New" w:hint="default"/>
      </w:rPr>
    </w:lvl>
    <w:lvl w:ilvl="8" w:tplc="04090005" w:tentative="1">
      <w:start w:val="1"/>
      <w:numFmt w:val="bullet"/>
      <w:lvlText w:val=""/>
      <w:lvlJc w:val="left"/>
      <w:pPr>
        <w:ind w:left="8967" w:hanging="360"/>
      </w:pPr>
      <w:rPr>
        <w:rFonts w:ascii="Wingdings" w:hAnsi="Wingdings" w:hint="default"/>
      </w:rPr>
    </w:lvl>
  </w:abstractNum>
  <w:abstractNum w:abstractNumId="18" w15:restartNumberingAfterBreak="0">
    <w:nsid w:val="673C26F6"/>
    <w:multiLevelType w:val="hybridMultilevel"/>
    <w:tmpl w:val="1A0ECCB2"/>
    <w:lvl w:ilvl="0" w:tplc="905451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87936AB"/>
    <w:multiLevelType w:val="hybridMultilevel"/>
    <w:tmpl w:val="4B3CB73C"/>
    <w:lvl w:ilvl="0" w:tplc="39608094">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0" w15:restartNumberingAfterBreak="0">
    <w:nsid w:val="6E7A17D3"/>
    <w:multiLevelType w:val="hybridMultilevel"/>
    <w:tmpl w:val="FBAEE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F1B8B"/>
    <w:multiLevelType w:val="hybridMultilevel"/>
    <w:tmpl w:val="6FE4E2A0"/>
    <w:lvl w:ilvl="0" w:tplc="A8BA678C">
      <w:start w:val="1"/>
      <w:numFmt w:val="lowerRoman"/>
      <w:lvlText w:val="(%1)"/>
      <w:lvlJc w:val="left"/>
      <w:pPr>
        <w:ind w:left="1037" w:hanging="720"/>
      </w:pPr>
      <w:rPr>
        <w:rFonts w:hint="default"/>
        <w:i w:val="0"/>
        <w:color w:val="FF000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2" w15:restartNumberingAfterBreak="0">
    <w:nsid w:val="773B5E8E"/>
    <w:multiLevelType w:val="hybridMultilevel"/>
    <w:tmpl w:val="8012B898"/>
    <w:lvl w:ilvl="0" w:tplc="7BD07C4A">
      <w:start w:val="1"/>
      <w:numFmt w:val="bullet"/>
      <w:lvlText w:val="-"/>
      <w:lvlJc w:val="left"/>
      <w:pPr>
        <w:ind w:left="2880" w:hanging="360"/>
      </w:pPr>
      <w:rPr>
        <w:rFonts w:ascii="Times New Roman" w:eastAsia="Batang"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78BC239A"/>
    <w:multiLevelType w:val="hybridMultilevel"/>
    <w:tmpl w:val="13643EF0"/>
    <w:lvl w:ilvl="0" w:tplc="CA2450B2">
      <w:numFmt w:val="bullet"/>
      <w:lvlText w:val="-"/>
      <w:lvlJc w:val="left"/>
      <w:pPr>
        <w:tabs>
          <w:tab w:val="num" w:pos="2310"/>
        </w:tabs>
        <w:ind w:left="2310" w:hanging="87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C5B1376"/>
    <w:multiLevelType w:val="hybridMultilevel"/>
    <w:tmpl w:val="2848A69E"/>
    <w:lvl w:ilvl="0" w:tplc="16C2648E">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5729AB"/>
    <w:multiLevelType w:val="hybridMultilevel"/>
    <w:tmpl w:val="8578D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202586">
    <w:abstractNumId w:val="18"/>
  </w:num>
  <w:num w:numId="2" w16cid:durableId="369186570">
    <w:abstractNumId w:val="7"/>
  </w:num>
  <w:num w:numId="3" w16cid:durableId="2099710787">
    <w:abstractNumId w:val="23"/>
  </w:num>
  <w:num w:numId="4" w16cid:durableId="1347441033">
    <w:abstractNumId w:val="5"/>
  </w:num>
  <w:num w:numId="5" w16cid:durableId="619721233">
    <w:abstractNumId w:val="10"/>
  </w:num>
  <w:num w:numId="6" w16cid:durableId="829755419">
    <w:abstractNumId w:val="1"/>
  </w:num>
  <w:num w:numId="7" w16cid:durableId="1662614584">
    <w:abstractNumId w:val="9"/>
  </w:num>
  <w:num w:numId="8" w16cid:durableId="653681507">
    <w:abstractNumId w:val="15"/>
  </w:num>
  <w:num w:numId="9" w16cid:durableId="1476868957">
    <w:abstractNumId w:val="19"/>
  </w:num>
  <w:num w:numId="10" w16cid:durableId="347370896">
    <w:abstractNumId w:val="3"/>
  </w:num>
  <w:num w:numId="11" w16cid:durableId="372315445">
    <w:abstractNumId w:val="11"/>
  </w:num>
  <w:num w:numId="12" w16cid:durableId="2125345517">
    <w:abstractNumId w:val="22"/>
  </w:num>
  <w:num w:numId="13" w16cid:durableId="1055078891">
    <w:abstractNumId w:val="12"/>
  </w:num>
  <w:num w:numId="14" w16cid:durableId="1273174521">
    <w:abstractNumId w:val="24"/>
  </w:num>
  <w:num w:numId="15" w16cid:durableId="1427537409">
    <w:abstractNumId w:val="17"/>
  </w:num>
  <w:num w:numId="16" w16cid:durableId="295140818">
    <w:abstractNumId w:val="0"/>
  </w:num>
  <w:num w:numId="17" w16cid:durableId="228927655">
    <w:abstractNumId w:val="16"/>
  </w:num>
  <w:num w:numId="18" w16cid:durableId="1535118564">
    <w:abstractNumId w:val="14"/>
  </w:num>
  <w:num w:numId="19" w16cid:durableId="12146699">
    <w:abstractNumId w:val="4"/>
  </w:num>
  <w:num w:numId="20" w16cid:durableId="2034964170">
    <w:abstractNumId w:val="6"/>
  </w:num>
  <w:num w:numId="21" w16cid:durableId="231089124">
    <w:abstractNumId w:val="20"/>
  </w:num>
  <w:num w:numId="22" w16cid:durableId="1543908958">
    <w:abstractNumId w:val="2"/>
  </w:num>
  <w:num w:numId="23" w16cid:durableId="143352986">
    <w:abstractNumId w:val="25"/>
  </w:num>
  <w:num w:numId="24" w16cid:durableId="1104888558">
    <w:abstractNumId w:val="21"/>
  </w:num>
  <w:num w:numId="25" w16cid:durableId="1498182300">
    <w:abstractNumId w:val="13"/>
  </w:num>
  <w:num w:numId="26" w16cid:durableId="8538835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EB"/>
    <w:rsid w:val="0000319B"/>
    <w:rsid w:val="000046E6"/>
    <w:rsid w:val="00004E24"/>
    <w:rsid w:val="00005252"/>
    <w:rsid w:val="000102CA"/>
    <w:rsid w:val="00011D24"/>
    <w:rsid w:val="00012D34"/>
    <w:rsid w:val="000135C6"/>
    <w:rsid w:val="00013621"/>
    <w:rsid w:val="00020BC7"/>
    <w:rsid w:val="000227A3"/>
    <w:rsid w:val="00023AA3"/>
    <w:rsid w:val="00024070"/>
    <w:rsid w:val="00025272"/>
    <w:rsid w:val="00025E8D"/>
    <w:rsid w:val="000273AD"/>
    <w:rsid w:val="0002787F"/>
    <w:rsid w:val="00030610"/>
    <w:rsid w:val="00032C48"/>
    <w:rsid w:val="000354F7"/>
    <w:rsid w:val="00040462"/>
    <w:rsid w:val="00042735"/>
    <w:rsid w:val="00045614"/>
    <w:rsid w:val="00047B71"/>
    <w:rsid w:val="000522CC"/>
    <w:rsid w:val="000528DD"/>
    <w:rsid w:val="00053A48"/>
    <w:rsid w:val="0005483F"/>
    <w:rsid w:val="00055B20"/>
    <w:rsid w:val="000575F4"/>
    <w:rsid w:val="00064059"/>
    <w:rsid w:val="000645A7"/>
    <w:rsid w:val="000660DC"/>
    <w:rsid w:val="000672BA"/>
    <w:rsid w:val="00074610"/>
    <w:rsid w:val="000763FC"/>
    <w:rsid w:val="000772EB"/>
    <w:rsid w:val="000778AC"/>
    <w:rsid w:val="000817E2"/>
    <w:rsid w:val="0008191B"/>
    <w:rsid w:val="00083ED6"/>
    <w:rsid w:val="000841A0"/>
    <w:rsid w:val="000865FD"/>
    <w:rsid w:val="00086E98"/>
    <w:rsid w:val="000915E7"/>
    <w:rsid w:val="00097BC1"/>
    <w:rsid w:val="000A01E2"/>
    <w:rsid w:val="000A14FA"/>
    <w:rsid w:val="000A20F7"/>
    <w:rsid w:val="000A25ED"/>
    <w:rsid w:val="000A273B"/>
    <w:rsid w:val="000A768A"/>
    <w:rsid w:val="000B2561"/>
    <w:rsid w:val="000B404A"/>
    <w:rsid w:val="000B6809"/>
    <w:rsid w:val="000C1AAD"/>
    <w:rsid w:val="000C217C"/>
    <w:rsid w:val="000C6C40"/>
    <w:rsid w:val="000C7341"/>
    <w:rsid w:val="000C760B"/>
    <w:rsid w:val="000D2007"/>
    <w:rsid w:val="000D2DD1"/>
    <w:rsid w:val="000D3D9E"/>
    <w:rsid w:val="000E0A6A"/>
    <w:rsid w:val="000E1643"/>
    <w:rsid w:val="000E196C"/>
    <w:rsid w:val="000E492F"/>
    <w:rsid w:val="000E6A09"/>
    <w:rsid w:val="000E7F9E"/>
    <w:rsid w:val="000F1CB2"/>
    <w:rsid w:val="000F1E74"/>
    <w:rsid w:val="000F30B0"/>
    <w:rsid w:val="000F4681"/>
    <w:rsid w:val="000F64B7"/>
    <w:rsid w:val="000F750F"/>
    <w:rsid w:val="00102DD8"/>
    <w:rsid w:val="00105768"/>
    <w:rsid w:val="0011006B"/>
    <w:rsid w:val="00114C3A"/>
    <w:rsid w:val="00114EBB"/>
    <w:rsid w:val="00117F32"/>
    <w:rsid w:val="00122054"/>
    <w:rsid w:val="00123F1C"/>
    <w:rsid w:val="00125347"/>
    <w:rsid w:val="00125A0A"/>
    <w:rsid w:val="00131A8A"/>
    <w:rsid w:val="00132341"/>
    <w:rsid w:val="001360F5"/>
    <w:rsid w:val="00141BC8"/>
    <w:rsid w:val="001422C2"/>
    <w:rsid w:val="0014410B"/>
    <w:rsid w:val="00144CCB"/>
    <w:rsid w:val="001501FD"/>
    <w:rsid w:val="00152E0B"/>
    <w:rsid w:val="001532A4"/>
    <w:rsid w:val="0015444C"/>
    <w:rsid w:val="00157346"/>
    <w:rsid w:val="001639D3"/>
    <w:rsid w:val="001646FE"/>
    <w:rsid w:val="001660EC"/>
    <w:rsid w:val="001665B2"/>
    <w:rsid w:val="00170C00"/>
    <w:rsid w:val="0017107F"/>
    <w:rsid w:val="00173E4C"/>
    <w:rsid w:val="00174BEF"/>
    <w:rsid w:val="00174FA5"/>
    <w:rsid w:val="00181F6C"/>
    <w:rsid w:val="001827BE"/>
    <w:rsid w:val="00182CE2"/>
    <w:rsid w:val="001856E1"/>
    <w:rsid w:val="001857BB"/>
    <w:rsid w:val="001858FF"/>
    <w:rsid w:val="00185D89"/>
    <w:rsid w:val="00186EF7"/>
    <w:rsid w:val="00190031"/>
    <w:rsid w:val="00192DBD"/>
    <w:rsid w:val="0019365C"/>
    <w:rsid w:val="00197A7E"/>
    <w:rsid w:val="001A2A38"/>
    <w:rsid w:val="001A5646"/>
    <w:rsid w:val="001B192F"/>
    <w:rsid w:val="001B59F0"/>
    <w:rsid w:val="001C088F"/>
    <w:rsid w:val="001C312E"/>
    <w:rsid w:val="001C4587"/>
    <w:rsid w:val="001C5D57"/>
    <w:rsid w:val="001D08D7"/>
    <w:rsid w:val="001D1456"/>
    <w:rsid w:val="001D5D9A"/>
    <w:rsid w:val="001D6286"/>
    <w:rsid w:val="001E1EF0"/>
    <w:rsid w:val="001E26B6"/>
    <w:rsid w:val="001E2914"/>
    <w:rsid w:val="001E6A20"/>
    <w:rsid w:val="001F09FD"/>
    <w:rsid w:val="001F30D5"/>
    <w:rsid w:val="001F4328"/>
    <w:rsid w:val="001F73A2"/>
    <w:rsid w:val="00204E69"/>
    <w:rsid w:val="0020695E"/>
    <w:rsid w:val="00210A52"/>
    <w:rsid w:val="002136A0"/>
    <w:rsid w:val="0021449C"/>
    <w:rsid w:val="0021597E"/>
    <w:rsid w:val="00215FEA"/>
    <w:rsid w:val="002161E1"/>
    <w:rsid w:val="00225FC6"/>
    <w:rsid w:val="002276ED"/>
    <w:rsid w:val="00234109"/>
    <w:rsid w:val="00234A54"/>
    <w:rsid w:val="00234BA2"/>
    <w:rsid w:val="002358B5"/>
    <w:rsid w:val="0024408F"/>
    <w:rsid w:val="00247946"/>
    <w:rsid w:val="002506F9"/>
    <w:rsid w:val="00250FEF"/>
    <w:rsid w:val="00253E40"/>
    <w:rsid w:val="00257419"/>
    <w:rsid w:val="0025772A"/>
    <w:rsid w:val="00257D9F"/>
    <w:rsid w:val="002774A4"/>
    <w:rsid w:val="00277531"/>
    <w:rsid w:val="002816AD"/>
    <w:rsid w:val="0028305B"/>
    <w:rsid w:val="00284CDE"/>
    <w:rsid w:val="00291549"/>
    <w:rsid w:val="00295A94"/>
    <w:rsid w:val="002968D3"/>
    <w:rsid w:val="00296BF8"/>
    <w:rsid w:val="0029715F"/>
    <w:rsid w:val="0029727C"/>
    <w:rsid w:val="002A17BB"/>
    <w:rsid w:val="002A72EE"/>
    <w:rsid w:val="002A7FE4"/>
    <w:rsid w:val="002B43E7"/>
    <w:rsid w:val="002B478B"/>
    <w:rsid w:val="002B69D4"/>
    <w:rsid w:val="002C1201"/>
    <w:rsid w:val="002C7E5F"/>
    <w:rsid w:val="002D01D6"/>
    <w:rsid w:val="002D059A"/>
    <w:rsid w:val="002D18CF"/>
    <w:rsid w:val="002D1D74"/>
    <w:rsid w:val="002D211C"/>
    <w:rsid w:val="002D2AE9"/>
    <w:rsid w:val="002D3D21"/>
    <w:rsid w:val="002D5F8D"/>
    <w:rsid w:val="002D6F23"/>
    <w:rsid w:val="002E63F6"/>
    <w:rsid w:val="002E7278"/>
    <w:rsid w:val="002F4BB1"/>
    <w:rsid w:val="002F789B"/>
    <w:rsid w:val="00305964"/>
    <w:rsid w:val="00306361"/>
    <w:rsid w:val="00320559"/>
    <w:rsid w:val="00320DA1"/>
    <w:rsid w:val="0032312D"/>
    <w:rsid w:val="00323306"/>
    <w:rsid w:val="003248E6"/>
    <w:rsid w:val="003370A5"/>
    <w:rsid w:val="00337958"/>
    <w:rsid w:val="00340BCE"/>
    <w:rsid w:val="0034151A"/>
    <w:rsid w:val="003420DC"/>
    <w:rsid w:val="00343C81"/>
    <w:rsid w:val="00345112"/>
    <w:rsid w:val="00345D13"/>
    <w:rsid w:val="00346FD8"/>
    <w:rsid w:val="00352D72"/>
    <w:rsid w:val="003560CE"/>
    <w:rsid w:val="003573FA"/>
    <w:rsid w:val="00357E68"/>
    <w:rsid w:val="00360FFA"/>
    <w:rsid w:val="003623F4"/>
    <w:rsid w:val="003665AC"/>
    <w:rsid w:val="003671A7"/>
    <w:rsid w:val="00373088"/>
    <w:rsid w:val="00374701"/>
    <w:rsid w:val="003760AA"/>
    <w:rsid w:val="0037646C"/>
    <w:rsid w:val="00377E5D"/>
    <w:rsid w:val="0038656B"/>
    <w:rsid w:val="00390C01"/>
    <w:rsid w:val="00391F66"/>
    <w:rsid w:val="00392791"/>
    <w:rsid w:val="00395626"/>
    <w:rsid w:val="0039617D"/>
    <w:rsid w:val="003A22E0"/>
    <w:rsid w:val="003A2748"/>
    <w:rsid w:val="003A5468"/>
    <w:rsid w:val="003A6DFF"/>
    <w:rsid w:val="003B25FE"/>
    <w:rsid w:val="003B6358"/>
    <w:rsid w:val="003C15C2"/>
    <w:rsid w:val="003C717E"/>
    <w:rsid w:val="003C7A16"/>
    <w:rsid w:val="003D0276"/>
    <w:rsid w:val="003D1098"/>
    <w:rsid w:val="003D5197"/>
    <w:rsid w:val="003E685F"/>
    <w:rsid w:val="003F1237"/>
    <w:rsid w:val="003F3246"/>
    <w:rsid w:val="003F67A6"/>
    <w:rsid w:val="003F6872"/>
    <w:rsid w:val="00400691"/>
    <w:rsid w:val="00402119"/>
    <w:rsid w:val="004042F8"/>
    <w:rsid w:val="0040448E"/>
    <w:rsid w:val="00404620"/>
    <w:rsid w:val="00412237"/>
    <w:rsid w:val="00413B09"/>
    <w:rsid w:val="00416635"/>
    <w:rsid w:val="004208E7"/>
    <w:rsid w:val="00420C3D"/>
    <w:rsid w:val="00431EDD"/>
    <w:rsid w:val="00432637"/>
    <w:rsid w:val="004337D6"/>
    <w:rsid w:val="00433D90"/>
    <w:rsid w:val="0043498E"/>
    <w:rsid w:val="00437B10"/>
    <w:rsid w:val="00440491"/>
    <w:rsid w:val="004404FD"/>
    <w:rsid w:val="00441156"/>
    <w:rsid w:val="0044434B"/>
    <w:rsid w:val="00446098"/>
    <w:rsid w:val="004461DE"/>
    <w:rsid w:val="00447732"/>
    <w:rsid w:val="00451117"/>
    <w:rsid w:val="004529A0"/>
    <w:rsid w:val="00453104"/>
    <w:rsid w:val="0045310D"/>
    <w:rsid w:val="004537EA"/>
    <w:rsid w:val="00453D9A"/>
    <w:rsid w:val="004541C8"/>
    <w:rsid w:val="0045612C"/>
    <w:rsid w:val="004575D2"/>
    <w:rsid w:val="00461B12"/>
    <w:rsid w:val="00461BF4"/>
    <w:rsid w:val="00462071"/>
    <w:rsid w:val="00463946"/>
    <w:rsid w:val="00463ABE"/>
    <w:rsid w:val="00464773"/>
    <w:rsid w:val="00464CDC"/>
    <w:rsid w:val="004701B8"/>
    <w:rsid w:val="00470A3E"/>
    <w:rsid w:val="00473580"/>
    <w:rsid w:val="004750C4"/>
    <w:rsid w:val="004754A6"/>
    <w:rsid w:val="004811B3"/>
    <w:rsid w:val="0048176B"/>
    <w:rsid w:val="00481D1E"/>
    <w:rsid w:val="004831E8"/>
    <w:rsid w:val="00484A42"/>
    <w:rsid w:val="00485930"/>
    <w:rsid w:val="004861B1"/>
    <w:rsid w:val="0048734F"/>
    <w:rsid w:val="004901F5"/>
    <w:rsid w:val="00490B91"/>
    <w:rsid w:val="004916F1"/>
    <w:rsid w:val="00491788"/>
    <w:rsid w:val="00492CCC"/>
    <w:rsid w:val="00493415"/>
    <w:rsid w:val="00495590"/>
    <w:rsid w:val="00496135"/>
    <w:rsid w:val="0049634E"/>
    <w:rsid w:val="00497C38"/>
    <w:rsid w:val="004A0CDC"/>
    <w:rsid w:val="004A25F2"/>
    <w:rsid w:val="004A2672"/>
    <w:rsid w:val="004A769E"/>
    <w:rsid w:val="004B1182"/>
    <w:rsid w:val="004B22EE"/>
    <w:rsid w:val="004B3349"/>
    <w:rsid w:val="004C27B4"/>
    <w:rsid w:val="004C57CF"/>
    <w:rsid w:val="004D0158"/>
    <w:rsid w:val="004D2716"/>
    <w:rsid w:val="004D69DD"/>
    <w:rsid w:val="004D7F78"/>
    <w:rsid w:val="004E152E"/>
    <w:rsid w:val="004E1EEB"/>
    <w:rsid w:val="004E3152"/>
    <w:rsid w:val="004E476B"/>
    <w:rsid w:val="004E4F59"/>
    <w:rsid w:val="004E6945"/>
    <w:rsid w:val="004E6D27"/>
    <w:rsid w:val="004F0E91"/>
    <w:rsid w:val="004F7ED2"/>
    <w:rsid w:val="00501B08"/>
    <w:rsid w:val="00504453"/>
    <w:rsid w:val="0050651C"/>
    <w:rsid w:val="00512367"/>
    <w:rsid w:val="00512974"/>
    <w:rsid w:val="00513A30"/>
    <w:rsid w:val="00514076"/>
    <w:rsid w:val="00516B98"/>
    <w:rsid w:val="00517799"/>
    <w:rsid w:val="00521726"/>
    <w:rsid w:val="00525CD6"/>
    <w:rsid w:val="00526D7C"/>
    <w:rsid w:val="005318CA"/>
    <w:rsid w:val="00532A56"/>
    <w:rsid w:val="00540E79"/>
    <w:rsid w:val="0054203F"/>
    <w:rsid w:val="00543277"/>
    <w:rsid w:val="0054437D"/>
    <w:rsid w:val="00551424"/>
    <w:rsid w:val="00552AAD"/>
    <w:rsid w:val="0055393F"/>
    <w:rsid w:val="00554BA2"/>
    <w:rsid w:val="00554E0A"/>
    <w:rsid w:val="005560E0"/>
    <w:rsid w:val="0056030A"/>
    <w:rsid w:val="00560E90"/>
    <w:rsid w:val="00563426"/>
    <w:rsid w:val="00572657"/>
    <w:rsid w:val="00574260"/>
    <w:rsid w:val="00580B9B"/>
    <w:rsid w:val="00581D40"/>
    <w:rsid w:val="00582135"/>
    <w:rsid w:val="005867CD"/>
    <w:rsid w:val="005868E3"/>
    <w:rsid w:val="00592CA1"/>
    <w:rsid w:val="00596835"/>
    <w:rsid w:val="005974A0"/>
    <w:rsid w:val="005A1B70"/>
    <w:rsid w:val="005A3193"/>
    <w:rsid w:val="005A42F9"/>
    <w:rsid w:val="005A6050"/>
    <w:rsid w:val="005A72F0"/>
    <w:rsid w:val="005B3CC7"/>
    <w:rsid w:val="005B4E11"/>
    <w:rsid w:val="005B5355"/>
    <w:rsid w:val="005B72EE"/>
    <w:rsid w:val="005C19C9"/>
    <w:rsid w:val="005C3C58"/>
    <w:rsid w:val="005C67E1"/>
    <w:rsid w:val="005C76F8"/>
    <w:rsid w:val="005D00D6"/>
    <w:rsid w:val="005D1E91"/>
    <w:rsid w:val="005D411F"/>
    <w:rsid w:val="005E3C05"/>
    <w:rsid w:val="005F05D8"/>
    <w:rsid w:val="005F093D"/>
    <w:rsid w:val="005F19B7"/>
    <w:rsid w:val="005F1B83"/>
    <w:rsid w:val="005F5157"/>
    <w:rsid w:val="005F65AC"/>
    <w:rsid w:val="005F785A"/>
    <w:rsid w:val="006009CE"/>
    <w:rsid w:val="0060266D"/>
    <w:rsid w:val="00602C87"/>
    <w:rsid w:val="0060469C"/>
    <w:rsid w:val="00611ECC"/>
    <w:rsid w:val="006144E6"/>
    <w:rsid w:val="00621419"/>
    <w:rsid w:val="00635846"/>
    <w:rsid w:val="00636C9A"/>
    <w:rsid w:val="006461C5"/>
    <w:rsid w:val="006475F2"/>
    <w:rsid w:val="00647731"/>
    <w:rsid w:val="00651023"/>
    <w:rsid w:val="006517AF"/>
    <w:rsid w:val="00651C12"/>
    <w:rsid w:val="006529D2"/>
    <w:rsid w:val="00652E36"/>
    <w:rsid w:val="00654229"/>
    <w:rsid w:val="00654525"/>
    <w:rsid w:val="00654FB6"/>
    <w:rsid w:val="006557F5"/>
    <w:rsid w:val="006558AA"/>
    <w:rsid w:val="00656A48"/>
    <w:rsid w:val="0066292F"/>
    <w:rsid w:val="006635C2"/>
    <w:rsid w:val="00665F18"/>
    <w:rsid w:val="0066739A"/>
    <w:rsid w:val="0066775D"/>
    <w:rsid w:val="00674E8E"/>
    <w:rsid w:val="00675188"/>
    <w:rsid w:val="00675694"/>
    <w:rsid w:val="0068288E"/>
    <w:rsid w:val="00683B95"/>
    <w:rsid w:val="006854C5"/>
    <w:rsid w:val="006860D2"/>
    <w:rsid w:val="00691D06"/>
    <w:rsid w:val="00691F20"/>
    <w:rsid w:val="0069319B"/>
    <w:rsid w:val="00695907"/>
    <w:rsid w:val="0069618A"/>
    <w:rsid w:val="006A3156"/>
    <w:rsid w:val="006A4268"/>
    <w:rsid w:val="006A6211"/>
    <w:rsid w:val="006B1217"/>
    <w:rsid w:val="006B1CEB"/>
    <w:rsid w:val="006B30D7"/>
    <w:rsid w:val="006B3EC4"/>
    <w:rsid w:val="006B6A64"/>
    <w:rsid w:val="006C12A3"/>
    <w:rsid w:val="006C1EB3"/>
    <w:rsid w:val="006C525E"/>
    <w:rsid w:val="006C7FA5"/>
    <w:rsid w:val="006D08BE"/>
    <w:rsid w:val="006D1AE7"/>
    <w:rsid w:val="006D4759"/>
    <w:rsid w:val="006D4DEC"/>
    <w:rsid w:val="006E351D"/>
    <w:rsid w:val="006E5265"/>
    <w:rsid w:val="006E52BA"/>
    <w:rsid w:val="006E53CA"/>
    <w:rsid w:val="006F03F6"/>
    <w:rsid w:val="006F2A25"/>
    <w:rsid w:val="006F3BC6"/>
    <w:rsid w:val="006F582E"/>
    <w:rsid w:val="006F5BCF"/>
    <w:rsid w:val="007040B0"/>
    <w:rsid w:val="00707E76"/>
    <w:rsid w:val="0071087A"/>
    <w:rsid w:val="007112EF"/>
    <w:rsid w:val="00715F1D"/>
    <w:rsid w:val="0072260E"/>
    <w:rsid w:val="00723D32"/>
    <w:rsid w:val="00725CB3"/>
    <w:rsid w:val="00725E29"/>
    <w:rsid w:val="00725F19"/>
    <w:rsid w:val="00731E15"/>
    <w:rsid w:val="007325FA"/>
    <w:rsid w:val="007340A3"/>
    <w:rsid w:val="00735370"/>
    <w:rsid w:val="00735AC8"/>
    <w:rsid w:val="00737DAE"/>
    <w:rsid w:val="007406BA"/>
    <w:rsid w:val="00740958"/>
    <w:rsid w:val="00741112"/>
    <w:rsid w:val="00743818"/>
    <w:rsid w:val="00744189"/>
    <w:rsid w:val="00751FCC"/>
    <w:rsid w:val="00753ED4"/>
    <w:rsid w:val="007575CD"/>
    <w:rsid w:val="00757CE7"/>
    <w:rsid w:val="0076174E"/>
    <w:rsid w:val="0076193E"/>
    <w:rsid w:val="00762A05"/>
    <w:rsid w:val="007711E3"/>
    <w:rsid w:val="00773F83"/>
    <w:rsid w:val="0077547C"/>
    <w:rsid w:val="00777429"/>
    <w:rsid w:val="0078025A"/>
    <w:rsid w:val="00780E8E"/>
    <w:rsid w:val="0078248C"/>
    <w:rsid w:val="00786957"/>
    <w:rsid w:val="00786A84"/>
    <w:rsid w:val="0078783D"/>
    <w:rsid w:val="00787F0C"/>
    <w:rsid w:val="00790CB0"/>
    <w:rsid w:val="00791243"/>
    <w:rsid w:val="0079199D"/>
    <w:rsid w:val="0079461C"/>
    <w:rsid w:val="00794A3E"/>
    <w:rsid w:val="00795098"/>
    <w:rsid w:val="007A3C83"/>
    <w:rsid w:val="007A67BD"/>
    <w:rsid w:val="007B28AF"/>
    <w:rsid w:val="007B3451"/>
    <w:rsid w:val="007B4B33"/>
    <w:rsid w:val="007B77B1"/>
    <w:rsid w:val="007C16B7"/>
    <w:rsid w:val="007C4012"/>
    <w:rsid w:val="007C4F23"/>
    <w:rsid w:val="007D189B"/>
    <w:rsid w:val="007D2BE6"/>
    <w:rsid w:val="007D6D32"/>
    <w:rsid w:val="007D6FA7"/>
    <w:rsid w:val="007E1090"/>
    <w:rsid w:val="007E473F"/>
    <w:rsid w:val="007F0C26"/>
    <w:rsid w:val="007F0E16"/>
    <w:rsid w:val="007F190C"/>
    <w:rsid w:val="007F2915"/>
    <w:rsid w:val="007F4E17"/>
    <w:rsid w:val="007F55A1"/>
    <w:rsid w:val="00800738"/>
    <w:rsid w:val="008032C7"/>
    <w:rsid w:val="00804127"/>
    <w:rsid w:val="00804B36"/>
    <w:rsid w:val="008050C7"/>
    <w:rsid w:val="00812D02"/>
    <w:rsid w:val="008153ED"/>
    <w:rsid w:val="00816622"/>
    <w:rsid w:val="00840305"/>
    <w:rsid w:val="008419BF"/>
    <w:rsid w:val="00842280"/>
    <w:rsid w:val="00843FE5"/>
    <w:rsid w:val="00845860"/>
    <w:rsid w:val="00847BFA"/>
    <w:rsid w:val="00850719"/>
    <w:rsid w:val="00851AE3"/>
    <w:rsid w:val="0085639D"/>
    <w:rsid w:val="008617E8"/>
    <w:rsid w:val="008618F2"/>
    <w:rsid w:val="00861FDD"/>
    <w:rsid w:val="00864809"/>
    <w:rsid w:val="00866AE1"/>
    <w:rsid w:val="00874FCC"/>
    <w:rsid w:val="00874FD8"/>
    <w:rsid w:val="0088037C"/>
    <w:rsid w:val="00881D72"/>
    <w:rsid w:val="00882276"/>
    <w:rsid w:val="00884463"/>
    <w:rsid w:val="00886B1F"/>
    <w:rsid w:val="00890430"/>
    <w:rsid w:val="00892348"/>
    <w:rsid w:val="00893135"/>
    <w:rsid w:val="00893BA2"/>
    <w:rsid w:val="00896E27"/>
    <w:rsid w:val="008A06B1"/>
    <w:rsid w:val="008A0B94"/>
    <w:rsid w:val="008A1D74"/>
    <w:rsid w:val="008A38CF"/>
    <w:rsid w:val="008A4C62"/>
    <w:rsid w:val="008A542C"/>
    <w:rsid w:val="008A7B05"/>
    <w:rsid w:val="008B1869"/>
    <w:rsid w:val="008B5671"/>
    <w:rsid w:val="008C1B7B"/>
    <w:rsid w:val="008C51F3"/>
    <w:rsid w:val="008C59E0"/>
    <w:rsid w:val="008C617D"/>
    <w:rsid w:val="008C7C1D"/>
    <w:rsid w:val="008C7CAB"/>
    <w:rsid w:val="008D1AF7"/>
    <w:rsid w:val="008D435C"/>
    <w:rsid w:val="008D7E41"/>
    <w:rsid w:val="008E136A"/>
    <w:rsid w:val="008F1B90"/>
    <w:rsid w:val="008F23A1"/>
    <w:rsid w:val="008F257A"/>
    <w:rsid w:val="008F3E23"/>
    <w:rsid w:val="008F61FC"/>
    <w:rsid w:val="008F638B"/>
    <w:rsid w:val="0090013D"/>
    <w:rsid w:val="00901971"/>
    <w:rsid w:val="009037F3"/>
    <w:rsid w:val="00904188"/>
    <w:rsid w:val="0090430C"/>
    <w:rsid w:val="00904AF6"/>
    <w:rsid w:val="009122F0"/>
    <w:rsid w:val="00912728"/>
    <w:rsid w:val="00914116"/>
    <w:rsid w:val="0091485D"/>
    <w:rsid w:val="00915013"/>
    <w:rsid w:val="009151F8"/>
    <w:rsid w:val="00915C0D"/>
    <w:rsid w:val="009178AF"/>
    <w:rsid w:val="00921404"/>
    <w:rsid w:val="00921918"/>
    <w:rsid w:val="00921C83"/>
    <w:rsid w:val="00922E9F"/>
    <w:rsid w:val="00926F9B"/>
    <w:rsid w:val="00931CCF"/>
    <w:rsid w:val="00932D18"/>
    <w:rsid w:val="00932D2D"/>
    <w:rsid w:val="00933F35"/>
    <w:rsid w:val="009341C0"/>
    <w:rsid w:val="009366C3"/>
    <w:rsid w:val="0093750E"/>
    <w:rsid w:val="00941099"/>
    <w:rsid w:val="00941A67"/>
    <w:rsid w:val="00942404"/>
    <w:rsid w:val="009428CB"/>
    <w:rsid w:val="009437B1"/>
    <w:rsid w:val="00947056"/>
    <w:rsid w:val="0094728C"/>
    <w:rsid w:val="009479EC"/>
    <w:rsid w:val="0095160B"/>
    <w:rsid w:val="00951EF1"/>
    <w:rsid w:val="00960385"/>
    <w:rsid w:val="00960C10"/>
    <w:rsid w:val="00962805"/>
    <w:rsid w:val="009715A8"/>
    <w:rsid w:val="009745C9"/>
    <w:rsid w:val="00977BD0"/>
    <w:rsid w:val="00980426"/>
    <w:rsid w:val="00980DE4"/>
    <w:rsid w:val="009811F5"/>
    <w:rsid w:val="009815DF"/>
    <w:rsid w:val="00983BFA"/>
    <w:rsid w:val="00985CE4"/>
    <w:rsid w:val="00987020"/>
    <w:rsid w:val="00987307"/>
    <w:rsid w:val="00995389"/>
    <w:rsid w:val="00996A16"/>
    <w:rsid w:val="00996C56"/>
    <w:rsid w:val="00997D7F"/>
    <w:rsid w:val="009A4911"/>
    <w:rsid w:val="009A4CE9"/>
    <w:rsid w:val="009B6563"/>
    <w:rsid w:val="009D2721"/>
    <w:rsid w:val="009E2005"/>
    <w:rsid w:val="009E279F"/>
    <w:rsid w:val="009F05B6"/>
    <w:rsid w:val="009F10CB"/>
    <w:rsid w:val="009F1C74"/>
    <w:rsid w:val="009F1DD6"/>
    <w:rsid w:val="009F288C"/>
    <w:rsid w:val="009F47A9"/>
    <w:rsid w:val="009F6F48"/>
    <w:rsid w:val="009F7E98"/>
    <w:rsid w:val="00A00371"/>
    <w:rsid w:val="00A1219B"/>
    <w:rsid w:val="00A153AA"/>
    <w:rsid w:val="00A1614F"/>
    <w:rsid w:val="00A16930"/>
    <w:rsid w:val="00A246BC"/>
    <w:rsid w:val="00A2694B"/>
    <w:rsid w:val="00A275FE"/>
    <w:rsid w:val="00A3180D"/>
    <w:rsid w:val="00A31B76"/>
    <w:rsid w:val="00A32228"/>
    <w:rsid w:val="00A33507"/>
    <w:rsid w:val="00A40406"/>
    <w:rsid w:val="00A41C8E"/>
    <w:rsid w:val="00A539B5"/>
    <w:rsid w:val="00A55A1C"/>
    <w:rsid w:val="00A5650D"/>
    <w:rsid w:val="00A57A38"/>
    <w:rsid w:val="00A64048"/>
    <w:rsid w:val="00A70939"/>
    <w:rsid w:val="00A725BF"/>
    <w:rsid w:val="00A728C4"/>
    <w:rsid w:val="00A73BDA"/>
    <w:rsid w:val="00A77BD8"/>
    <w:rsid w:val="00A80662"/>
    <w:rsid w:val="00A80F13"/>
    <w:rsid w:val="00A91185"/>
    <w:rsid w:val="00A925EA"/>
    <w:rsid w:val="00A9330F"/>
    <w:rsid w:val="00A96311"/>
    <w:rsid w:val="00A964AA"/>
    <w:rsid w:val="00AA09CC"/>
    <w:rsid w:val="00AA1534"/>
    <w:rsid w:val="00AA452E"/>
    <w:rsid w:val="00AA77F3"/>
    <w:rsid w:val="00AA7BB0"/>
    <w:rsid w:val="00AB02AC"/>
    <w:rsid w:val="00AB0985"/>
    <w:rsid w:val="00AB45A3"/>
    <w:rsid w:val="00AB5E3B"/>
    <w:rsid w:val="00AB6517"/>
    <w:rsid w:val="00AC0AAF"/>
    <w:rsid w:val="00AC7268"/>
    <w:rsid w:val="00AD2D1F"/>
    <w:rsid w:val="00AD3CA4"/>
    <w:rsid w:val="00AD6CBC"/>
    <w:rsid w:val="00AD6D02"/>
    <w:rsid w:val="00AD74C8"/>
    <w:rsid w:val="00AE1E0B"/>
    <w:rsid w:val="00AE2DB2"/>
    <w:rsid w:val="00AE30E7"/>
    <w:rsid w:val="00AE34ED"/>
    <w:rsid w:val="00AF1C0B"/>
    <w:rsid w:val="00AF2342"/>
    <w:rsid w:val="00AF6ED4"/>
    <w:rsid w:val="00B111E4"/>
    <w:rsid w:val="00B11359"/>
    <w:rsid w:val="00B122DA"/>
    <w:rsid w:val="00B13463"/>
    <w:rsid w:val="00B138EE"/>
    <w:rsid w:val="00B173C3"/>
    <w:rsid w:val="00B2198F"/>
    <w:rsid w:val="00B21E75"/>
    <w:rsid w:val="00B24553"/>
    <w:rsid w:val="00B31318"/>
    <w:rsid w:val="00B34A8E"/>
    <w:rsid w:val="00B403C8"/>
    <w:rsid w:val="00B410E7"/>
    <w:rsid w:val="00B41579"/>
    <w:rsid w:val="00B42379"/>
    <w:rsid w:val="00B51685"/>
    <w:rsid w:val="00B54B82"/>
    <w:rsid w:val="00B5648E"/>
    <w:rsid w:val="00B61DD2"/>
    <w:rsid w:val="00B63181"/>
    <w:rsid w:val="00B6418A"/>
    <w:rsid w:val="00B66340"/>
    <w:rsid w:val="00B67D98"/>
    <w:rsid w:val="00B7062E"/>
    <w:rsid w:val="00B728A1"/>
    <w:rsid w:val="00B72D5B"/>
    <w:rsid w:val="00B76701"/>
    <w:rsid w:val="00B82979"/>
    <w:rsid w:val="00B82DDA"/>
    <w:rsid w:val="00B84844"/>
    <w:rsid w:val="00B852BC"/>
    <w:rsid w:val="00B91227"/>
    <w:rsid w:val="00B934CF"/>
    <w:rsid w:val="00B93C0B"/>
    <w:rsid w:val="00B94B44"/>
    <w:rsid w:val="00BA44FE"/>
    <w:rsid w:val="00BA54A2"/>
    <w:rsid w:val="00BA6166"/>
    <w:rsid w:val="00BA6932"/>
    <w:rsid w:val="00BB05DF"/>
    <w:rsid w:val="00BB1B38"/>
    <w:rsid w:val="00BC045C"/>
    <w:rsid w:val="00BC1C27"/>
    <w:rsid w:val="00BC22B7"/>
    <w:rsid w:val="00BC2BF1"/>
    <w:rsid w:val="00BD1F06"/>
    <w:rsid w:val="00BD4541"/>
    <w:rsid w:val="00BD469E"/>
    <w:rsid w:val="00BD4767"/>
    <w:rsid w:val="00BD5B75"/>
    <w:rsid w:val="00BD64BE"/>
    <w:rsid w:val="00BD6853"/>
    <w:rsid w:val="00BE03E1"/>
    <w:rsid w:val="00BE4582"/>
    <w:rsid w:val="00BE5B71"/>
    <w:rsid w:val="00BF2685"/>
    <w:rsid w:val="00C01659"/>
    <w:rsid w:val="00C100B7"/>
    <w:rsid w:val="00C140A1"/>
    <w:rsid w:val="00C15902"/>
    <w:rsid w:val="00C20A37"/>
    <w:rsid w:val="00C22751"/>
    <w:rsid w:val="00C27FA5"/>
    <w:rsid w:val="00C34648"/>
    <w:rsid w:val="00C35427"/>
    <w:rsid w:val="00C36A0C"/>
    <w:rsid w:val="00C418D1"/>
    <w:rsid w:val="00C51C5F"/>
    <w:rsid w:val="00C54AC2"/>
    <w:rsid w:val="00C55F72"/>
    <w:rsid w:val="00C61B4C"/>
    <w:rsid w:val="00C62281"/>
    <w:rsid w:val="00C62349"/>
    <w:rsid w:val="00C738E5"/>
    <w:rsid w:val="00C771C7"/>
    <w:rsid w:val="00C80B09"/>
    <w:rsid w:val="00C81FF9"/>
    <w:rsid w:val="00C83AC3"/>
    <w:rsid w:val="00C85AE0"/>
    <w:rsid w:val="00C86A49"/>
    <w:rsid w:val="00C90369"/>
    <w:rsid w:val="00C932EA"/>
    <w:rsid w:val="00C93C88"/>
    <w:rsid w:val="00C95347"/>
    <w:rsid w:val="00C95639"/>
    <w:rsid w:val="00CA17FC"/>
    <w:rsid w:val="00CA1C31"/>
    <w:rsid w:val="00CA28EE"/>
    <w:rsid w:val="00CA384F"/>
    <w:rsid w:val="00CA4055"/>
    <w:rsid w:val="00CA4E58"/>
    <w:rsid w:val="00CA512C"/>
    <w:rsid w:val="00CB667B"/>
    <w:rsid w:val="00CB6C25"/>
    <w:rsid w:val="00CC11CC"/>
    <w:rsid w:val="00CC6DF4"/>
    <w:rsid w:val="00CD0C8E"/>
    <w:rsid w:val="00CD51F9"/>
    <w:rsid w:val="00CE01D1"/>
    <w:rsid w:val="00CE1DD5"/>
    <w:rsid w:val="00CE2D2C"/>
    <w:rsid w:val="00CE2EE1"/>
    <w:rsid w:val="00CE623C"/>
    <w:rsid w:val="00CF0D41"/>
    <w:rsid w:val="00CF2719"/>
    <w:rsid w:val="00CF3845"/>
    <w:rsid w:val="00CF4AE1"/>
    <w:rsid w:val="00CF4DFC"/>
    <w:rsid w:val="00CF5B29"/>
    <w:rsid w:val="00CF65E1"/>
    <w:rsid w:val="00D01F8F"/>
    <w:rsid w:val="00D11078"/>
    <w:rsid w:val="00D115DD"/>
    <w:rsid w:val="00D13274"/>
    <w:rsid w:val="00D15310"/>
    <w:rsid w:val="00D15854"/>
    <w:rsid w:val="00D161EB"/>
    <w:rsid w:val="00D16797"/>
    <w:rsid w:val="00D168D4"/>
    <w:rsid w:val="00D16F95"/>
    <w:rsid w:val="00D2161F"/>
    <w:rsid w:val="00D23D25"/>
    <w:rsid w:val="00D262BD"/>
    <w:rsid w:val="00D30EE6"/>
    <w:rsid w:val="00D32F68"/>
    <w:rsid w:val="00D43F0F"/>
    <w:rsid w:val="00D5108D"/>
    <w:rsid w:val="00D524C8"/>
    <w:rsid w:val="00D52575"/>
    <w:rsid w:val="00D56ABD"/>
    <w:rsid w:val="00D641D2"/>
    <w:rsid w:val="00D64E9B"/>
    <w:rsid w:val="00D6635C"/>
    <w:rsid w:val="00D71E46"/>
    <w:rsid w:val="00D725EF"/>
    <w:rsid w:val="00D72E1E"/>
    <w:rsid w:val="00D72E50"/>
    <w:rsid w:val="00D76B61"/>
    <w:rsid w:val="00D83692"/>
    <w:rsid w:val="00D85BDF"/>
    <w:rsid w:val="00D86091"/>
    <w:rsid w:val="00D870D1"/>
    <w:rsid w:val="00D87D78"/>
    <w:rsid w:val="00D9467B"/>
    <w:rsid w:val="00D95A4B"/>
    <w:rsid w:val="00DA379D"/>
    <w:rsid w:val="00DA5200"/>
    <w:rsid w:val="00DA6E1F"/>
    <w:rsid w:val="00DA77CE"/>
    <w:rsid w:val="00DB0B84"/>
    <w:rsid w:val="00DB1652"/>
    <w:rsid w:val="00DB3D2A"/>
    <w:rsid w:val="00DB7338"/>
    <w:rsid w:val="00DC316F"/>
    <w:rsid w:val="00DC4E8D"/>
    <w:rsid w:val="00DC5006"/>
    <w:rsid w:val="00DD1BD4"/>
    <w:rsid w:val="00DE0B1E"/>
    <w:rsid w:val="00DE4CED"/>
    <w:rsid w:val="00DF1406"/>
    <w:rsid w:val="00DF2A2D"/>
    <w:rsid w:val="00DF2EBF"/>
    <w:rsid w:val="00DF331E"/>
    <w:rsid w:val="00DF50E5"/>
    <w:rsid w:val="00DF7747"/>
    <w:rsid w:val="00E01F05"/>
    <w:rsid w:val="00E02493"/>
    <w:rsid w:val="00E0370F"/>
    <w:rsid w:val="00E05A0F"/>
    <w:rsid w:val="00E11F5A"/>
    <w:rsid w:val="00E15A58"/>
    <w:rsid w:val="00E17C4D"/>
    <w:rsid w:val="00E20340"/>
    <w:rsid w:val="00E2121E"/>
    <w:rsid w:val="00E214B7"/>
    <w:rsid w:val="00E21EEE"/>
    <w:rsid w:val="00E2313E"/>
    <w:rsid w:val="00E25ADA"/>
    <w:rsid w:val="00E25D6D"/>
    <w:rsid w:val="00E279B1"/>
    <w:rsid w:val="00E31B15"/>
    <w:rsid w:val="00E35EDC"/>
    <w:rsid w:val="00E40779"/>
    <w:rsid w:val="00E45B23"/>
    <w:rsid w:val="00E4704C"/>
    <w:rsid w:val="00E52738"/>
    <w:rsid w:val="00E54478"/>
    <w:rsid w:val="00E54D1D"/>
    <w:rsid w:val="00E568A6"/>
    <w:rsid w:val="00E57FC7"/>
    <w:rsid w:val="00E60E87"/>
    <w:rsid w:val="00E65484"/>
    <w:rsid w:val="00E67FFD"/>
    <w:rsid w:val="00E8295E"/>
    <w:rsid w:val="00E83F1E"/>
    <w:rsid w:val="00E84416"/>
    <w:rsid w:val="00E85E6F"/>
    <w:rsid w:val="00E91126"/>
    <w:rsid w:val="00E9124B"/>
    <w:rsid w:val="00E92C1E"/>
    <w:rsid w:val="00E945B9"/>
    <w:rsid w:val="00E95324"/>
    <w:rsid w:val="00E96582"/>
    <w:rsid w:val="00E96BD2"/>
    <w:rsid w:val="00EA22D6"/>
    <w:rsid w:val="00EA663C"/>
    <w:rsid w:val="00EA6F00"/>
    <w:rsid w:val="00EB02A7"/>
    <w:rsid w:val="00EB2DD8"/>
    <w:rsid w:val="00EB6F0E"/>
    <w:rsid w:val="00EC0056"/>
    <w:rsid w:val="00EC5221"/>
    <w:rsid w:val="00EC67CD"/>
    <w:rsid w:val="00ED0D69"/>
    <w:rsid w:val="00ED0F8E"/>
    <w:rsid w:val="00ED1B54"/>
    <w:rsid w:val="00ED2016"/>
    <w:rsid w:val="00ED38BC"/>
    <w:rsid w:val="00EE1646"/>
    <w:rsid w:val="00EE50FC"/>
    <w:rsid w:val="00EF00F6"/>
    <w:rsid w:val="00EF12BF"/>
    <w:rsid w:val="00EF1901"/>
    <w:rsid w:val="00EF2CA7"/>
    <w:rsid w:val="00EF504D"/>
    <w:rsid w:val="00F033F4"/>
    <w:rsid w:val="00F0743A"/>
    <w:rsid w:val="00F10462"/>
    <w:rsid w:val="00F12EC1"/>
    <w:rsid w:val="00F131BE"/>
    <w:rsid w:val="00F16953"/>
    <w:rsid w:val="00F20426"/>
    <w:rsid w:val="00F214A0"/>
    <w:rsid w:val="00F23CB3"/>
    <w:rsid w:val="00F27106"/>
    <w:rsid w:val="00F3202E"/>
    <w:rsid w:val="00F33752"/>
    <w:rsid w:val="00F3585B"/>
    <w:rsid w:val="00F36A63"/>
    <w:rsid w:val="00F378AA"/>
    <w:rsid w:val="00F416C0"/>
    <w:rsid w:val="00F4246D"/>
    <w:rsid w:val="00F428B0"/>
    <w:rsid w:val="00F44BAF"/>
    <w:rsid w:val="00F44D4D"/>
    <w:rsid w:val="00F52FA6"/>
    <w:rsid w:val="00F57047"/>
    <w:rsid w:val="00F57DAD"/>
    <w:rsid w:val="00F611B0"/>
    <w:rsid w:val="00F612E7"/>
    <w:rsid w:val="00F62039"/>
    <w:rsid w:val="00F62C37"/>
    <w:rsid w:val="00F65C91"/>
    <w:rsid w:val="00F733B6"/>
    <w:rsid w:val="00F759CB"/>
    <w:rsid w:val="00F81A0A"/>
    <w:rsid w:val="00F8245A"/>
    <w:rsid w:val="00F909D9"/>
    <w:rsid w:val="00F92C20"/>
    <w:rsid w:val="00F92FA7"/>
    <w:rsid w:val="00F9720B"/>
    <w:rsid w:val="00F97F56"/>
    <w:rsid w:val="00FA365F"/>
    <w:rsid w:val="00FB3707"/>
    <w:rsid w:val="00FB55C1"/>
    <w:rsid w:val="00FC0540"/>
    <w:rsid w:val="00FC25CB"/>
    <w:rsid w:val="00FC2DC9"/>
    <w:rsid w:val="00FD21C0"/>
    <w:rsid w:val="00FD2587"/>
    <w:rsid w:val="00FD3062"/>
    <w:rsid w:val="00FD3D78"/>
    <w:rsid w:val="00FD5706"/>
    <w:rsid w:val="00FD68B8"/>
    <w:rsid w:val="00FD6CCF"/>
    <w:rsid w:val="00FE287C"/>
    <w:rsid w:val="00FE46EC"/>
    <w:rsid w:val="00FE512E"/>
    <w:rsid w:val="00FE5399"/>
    <w:rsid w:val="00FF1E77"/>
    <w:rsid w:val="00FF46DA"/>
    <w:rsid w:val="00FF708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E30A3F"/>
  <w15:docId w15:val="{DF759819-A75A-4332-A438-8026351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paragraph" w:styleId="Heading1">
    <w:name w:val="heading 1"/>
    <w:basedOn w:val="Normal"/>
    <w:next w:val="Normal"/>
    <w:qFormat/>
    <w:pPr>
      <w:keepNext/>
      <w:jc w:val="center"/>
      <w:outlineLvl w:val="0"/>
    </w:pPr>
    <w:rPr>
      <w:rFonts w:ascii="Times New Roman" w:hAnsi="Times New Roman"/>
      <w:i/>
      <w:sz w:val="26"/>
      <w:lang w:val="nl-NL"/>
    </w:rPr>
  </w:style>
  <w:style w:type="paragraph" w:styleId="Heading2">
    <w:name w:val="heading 2"/>
    <w:basedOn w:val="Normal"/>
    <w:next w:val="Normal"/>
    <w:qFormat/>
    <w:rsid w:val="00F36A63"/>
    <w:pPr>
      <w:keepNext/>
      <w:spacing w:before="240" w:after="60"/>
      <w:outlineLvl w:val="1"/>
    </w:pPr>
    <w:rPr>
      <w:rFonts w:ascii="Arial" w:hAnsi="Arial" w:cs="Arial"/>
      <w:b/>
      <w:bCs/>
      <w:i/>
      <w:iCs/>
    </w:rPr>
  </w:style>
  <w:style w:type="paragraph" w:styleId="Heading5">
    <w:name w:val="heading 5"/>
    <w:basedOn w:val="Normal"/>
    <w:next w:val="Normal"/>
    <w:qFormat/>
    <w:rsid w:val="00F36A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pPr>
      <w:jc w:val="both"/>
    </w:pPr>
  </w:style>
  <w:style w:type="paragraph" w:styleId="BalloonText">
    <w:name w:val="Balloon Text"/>
    <w:basedOn w:val="Normal"/>
    <w:link w:val="BalloonTextChar"/>
    <w:rsid w:val="004C57CF"/>
    <w:rPr>
      <w:rFonts w:ascii="Tahoma" w:hAnsi="Tahoma" w:cs="Tahoma"/>
      <w:sz w:val="16"/>
      <w:szCs w:val="16"/>
    </w:rPr>
  </w:style>
  <w:style w:type="character" w:customStyle="1" w:styleId="BalloonTextChar">
    <w:name w:val="Balloon Text Char"/>
    <w:link w:val="BalloonText"/>
    <w:rsid w:val="004C57CF"/>
    <w:rPr>
      <w:rFonts w:ascii="Tahoma" w:hAnsi="Tahoma" w:cs="Tahoma"/>
      <w:sz w:val="16"/>
      <w:szCs w:val="16"/>
    </w:rPr>
  </w:style>
  <w:style w:type="paragraph" w:styleId="NormalWeb">
    <w:name w:val="Normal (Web)"/>
    <w:aliases w:val="Char Char,Normal (Web) Char1,Char8 Char,Char8,webb, Char Char, Char8 Char, Char8,Char Char Char Char Char Char Char Char Char Char Char Char Char Char Char,Char Char Char Char Char Char Char Char Char Char Char Char,Char Char Cha"/>
    <w:basedOn w:val="Normal"/>
    <w:link w:val="NormalWebChar"/>
    <w:uiPriority w:val="99"/>
    <w:unhideWhenUsed/>
    <w:qFormat/>
    <w:rsid w:val="00786A84"/>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rsid w:val="00EF12BF"/>
    <w:rPr>
      <w:rFonts w:ascii=".VnTime" w:hAnsi=".VnTime"/>
      <w:sz w:val="28"/>
      <w:szCs w:val="28"/>
    </w:rPr>
  </w:style>
  <w:style w:type="table" w:styleId="TableGrid">
    <w:name w:val="Table Grid"/>
    <w:basedOn w:val="TableNormal"/>
    <w:uiPriority w:val="39"/>
    <w:rsid w:val="00185D8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34109"/>
    <w:pPr>
      <w:ind w:left="720"/>
      <w:contextualSpacing/>
    </w:pPr>
  </w:style>
  <w:style w:type="character" w:styleId="Hyperlink">
    <w:name w:val="Hyperlink"/>
    <w:basedOn w:val="DefaultParagraphFont"/>
    <w:uiPriority w:val="99"/>
    <w:semiHidden/>
    <w:unhideWhenUsed/>
    <w:rsid w:val="0079199D"/>
    <w:rPr>
      <w:color w:val="0000FF"/>
      <w:u w:val="single"/>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
    <w:uiPriority w:val="99"/>
    <w:qFormat/>
    <w:rsid w:val="0079199D"/>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basedOn w:val="DefaultParagraphFont"/>
    <w:link w:val="FootnoteText"/>
    <w:uiPriority w:val="99"/>
    <w:qFormat/>
    <w:rsid w:val="0079199D"/>
    <w:rPr>
      <w:rFonts w:ascii=".VnTime" w:hAnsi=".VnTime"/>
      <w:lang w:val="x-none" w:eastAsia="x-none"/>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10 "/>
    <w:link w:val="RefChar"/>
    <w:qFormat/>
    <w:rsid w:val="0079199D"/>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rsid w:val="0079199D"/>
    <w:pPr>
      <w:spacing w:after="160" w:line="240" w:lineRule="exact"/>
    </w:pPr>
    <w:rPr>
      <w:rFonts w:ascii="Times New Roman" w:hAnsi="Times New Roman"/>
      <w:sz w:val="20"/>
      <w:szCs w:val="20"/>
      <w:vertAlign w:val="superscript"/>
    </w:rPr>
  </w:style>
  <w:style w:type="character" w:customStyle="1" w:styleId="NormalWebChar">
    <w:name w:val="Normal (Web) Char"/>
    <w:aliases w:val="Char Char Char,Normal (Web) Char1 Char,Char8 Char Char,Char8 Char1,webb Char, Char Char Char, Char8 Char Char, Char8 Char1,Char Char Char Char Char Char Char Char Char Char Char Char Char Char Char Char,Char Char Cha Char"/>
    <w:link w:val="NormalWeb"/>
    <w:uiPriority w:val="99"/>
    <w:locked/>
    <w:rsid w:val="0079199D"/>
    <w:rPr>
      <w:sz w:val="24"/>
      <w:szCs w:val="24"/>
    </w:rPr>
  </w:style>
  <w:style w:type="character" w:customStyle="1" w:styleId="Bodytext2">
    <w:name w:val="Body text (2)_"/>
    <w:link w:val="Bodytext20"/>
    <w:rsid w:val="0079199D"/>
    <w:rPr>
      <w:sz w:val="26"/>
      <w:szCs w:val="26"/>
      <w:shd w:val="clear" w:color="auto" w:fill="FFFFFF"/>
    </w:rPr>
  </w:style>
  <w:style w:type="paragraph" w:customStyle="1" w:styleId="Bodytext20">
    <w:name w:val="Body text (2)"/>
    <w:basedOn w:val="Normal"/>
    <w:link w:val="Bodytext2"/>
    <w:rsid w:val="0079199D"/>
    <w:pPr>
      <w:widowControl w:val="0"/>
      <w:shd w:val="clear" w:color="auto" w:fill="FFFFFF"/>
      <w:spacing w:after="360" w:line="312" w:lineRule="exact"/>
      <w:jc w:val="both"/>
    </w:pPr>
    <w:rPr>
      <w:rFonts w:ascii="Times New Roman" w:hAnsi="Times New Roman"/>
      <w:sz w:val="26"/>
      <w:szCs w:val="26"/>
    </w:rPr>
  </w:style>
  <w:style w:type="character" w:customStyle="1" w:styleId="Bodytext2Bold">
    <w:name w:val="Body text (2) + Bold"/>
    <w:aliases w:val="Italic,Body text (6) + Georgia,6 pt,Table of contents (5) + Times New Roman,5 pt,Spacing 3 pt,Scale 100%,Table of contents (6) + Times New Roman,Table of contents (10) + Palatino Linotype,4.5 pt,Spacing -1 pt,Body text (6) + Bold"/>
    <w:rsid w:val="0079199D"/>
    <w:rPr>
      <w:b/>
      <w:bCs/>
      <w:i/>
      <w:iCs/>
      <w:color w:val="000000"/>
      <w:spacing w:val="0"/>
      <w:w w:val="100"/>
      <w:position w:val="0"/>
      <w:sz w:val="26"/>
      <w:szCs w:val="26"/>
      <w:shd w:val="clear" w:color="auto" w:fill="FFFFFF"/>
      <w:lang w:val="vi-VN" w:eastAsia="vi-VN" w:bidi="vi-VN"/>
    </w:rPr>
  </w:style>
  <w:style w:type="character" w:customStyle="1" w:styleId="Bodytext2Italic">
    <w:name w:val="Body text (2) + Italic"/>
    <w:aliases w:val="Spacing -2 pt"/>
    <w:rsid w:val="0079199D"/>
    <w:rPr>
      <w:rFonts w:ascii="MS Gothic" w:eastAsia="MS Gothic" w:hAnsi="MS Gothic" w:cs="MS Gothic"/>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Tableofcontents">
    <w:name w:val="Table of contents_"/>
    <w:link w:val="Tableofcontents0"/>
    <w:rsid w:val="0079199D"/>
    <w:rPr>
      <w:rFonts w:eastAsia="MS Gothic"/>
      <w:sz w:val="26"/>
      <w:szCs w:val="26"/>
      <w:shd w:val="clear" w:color="auto" w:fill="FFFFFF"/>
    </w:rPr>
  </w:style>
  <w:style w:type="paragraph" w:customStyle="1" w:styleId="Tableofcontents0">
    <w:name w:val="Table of contents"/>
    <w:basedOn w:val="Normal"/>
    <w:link w:val="Tableofcontents"/>
    <w:rsid w:val="0079199D"/>
    <w:pPr>
      <w:widowControl w:val="0"/>
      <w:shd w:val="clear" w:color="auto" w:fill="FFFFFF"/>
      <w:spacing w:after="240" w:line="0" w:lineRule="atLeast"/>
      <w:jc w:val="both"/>
    </w:pPr>
    <w:rPr>
      <w:rFonts w:ascii="Times New Roman" w:eastAsia="MS Gothic" w:hAnsi="Times New Roman"/>
      <w:sz w:val="26"/>
      <w:szCs w:val="26"/>
    </w:rPr>
  </w:style>
  <w:style w:type="character" w:customStyle="1" w:styleId="TableofcontentsItalic">
    <w:name w:val="Table of contents + Italic"/>
    <w:rsid w:val="0079199D"/>
    <w:rPr>
      <w:rFonts w:ascii="MS Gothic" w:eastAsia="MS Gothic" w:hAnsi="MS Gothic" w:cs="MS Gothic"/>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5">
    <w:name w:val="Body text (5)_"/>
    <w:link w:val="Bodytext50"/>
    <w:rsid w:val="0079199D"/>
    <w:rPr>
      <w:rFonts w:eastAsia="MS Gothic"/>
      <w:i/>
      <w:iCs/>
      <w:sz w:val="26"/>
      <w:szCs w:val="26"/>
      <w:shd w:val="clear" w:color="auto" w:fill="FFFFFF"/>
    </w:rPr>
  </w:style>
  <w:style w:type="character" w:customStyle="1" w:styleId="Bodytext5NotItalic">
    <w:name w:val="Body text (5) + Not Italic"/>
    <w:rsid w:val="0079199D"/>
    <w:rPr>
      <w:rFonts w:eastAsia="MS Gothic" w:cs="MS Gothic"/>
      <w:i/>
      <w:iCs/>
      <w:color w:val="000000"/>
      <w:spacing w:val="0"/>
      <w:w w:val="100"/>
      <w:position w:val="0"/>
      <w:sz w:val="26"/>
      <w:szCs w:val="26"/>
      <w:shd w:val="clear" w:color="auto" w:fill="FFFFFF"/>
      <w:lang w:val="vi-VN" w:eastAsia="vi-VN" w:bidi="vi-VN"/>
    </w:rPr>
  </w:style>
  <w:style w:type="character" w:customStyle="1" w:styleId="Tableofcontents6NotItalic">
    <w:name w:val="Table of contents (6) + Not Italic"/>
    <w:rsid w:val="0079199D"/>
    <w:rPr>
      <w:rFonts w:ascii="MS Gothic" w:eastAsia="MS Gothic" w:hAnsi="MS Gothic" w:cs="MS Gothic"/>
      <w:i/>
      <w:iCs/>
      <w:color w:val="000000"/>
      <w:spacing w:val="0"/>
      <w:w w:val="100"/>
      <w:position w:val="0"/>
      <w:sz w:val="26"/>
      <w:szCs w:val="26"/>
      <w:shd w:val="clear" w:color="auto" w:fill="FFFFFF"/>
      <w:lang w:val="vi-VN" w:eastAsia="vi-VN" w:bidi="vi-VN"/>
    </w:rPr>
  </w:style>
  <w:style w:type="paragraph" w:customStyle="1" w:styleId="Bodytext50">
    <w:name w:val="Body text (5)"/>
    <w:basedOn w:val="Normal"/>
    <w:link w:val="Bodytext5"/>
    <w:rsid w:val="0079199D"/>
    <w:pPr>
      <w:widowControl w:val="0"/>
      <w:shd w:val="clear" w:color="auto" w:fill="FFFFFF"/>
      <w:spacing w:before="300" w:line="302" w:lineRule="exact"/>
      <w:ind w:hanging="1200"/>
      <w:jc w:val="both"/>
    </w:pPr>
    <w:rPr>
      <w:rFonts w:ascii="Times New Roman" w:eastAsia="MS Gothic" w:hAnsi="Times New Roman"/>
      <w:i/>
      <w:iCs/>
      <w:sz w:val="26"/>
      <w:szCs w:val="26"/>
    </w:rPr>
  </w:style>
  <w:style w:type="character" w:customStyle="1" w:styleId="Bodytext11NotItalic">
    <w:name w:val="Body text (11) + Not Italic"/>
    <w:rsid w:val="0079199D"/>
    <w:rPr>
      <w:rFonts w:ascii="MS Gothic" w:eastAsia="MS Gothic" w:hAnsi="MS Gothic" w:cs="MS Gothic"/>
      <w:b w:val="0"/>
      <w:bCs w:val="0"/>
      <w:i/>
      <w:iCs/>
      <w:smallCaps w:val="0"/>
      <w:strike w:val="0"/>
      <w:color w:val="000000"/>
      <w:spacing w:val="0"/>
      <w:w w:val="100"/>
      <w:position w:val="0"/>
      <w:sz w:val="26"/>
      <w:szCs w:val="26"/>
      <w:u w:val="none"/>
      <w:lang w:val="vi-VN" w:eastAsia="vi-VN" w:bidi="vi-VN"/>
    </w:rPr>
  </w:style>
  <w:style w:type="character" w:customStyle="1" w:styleId="FooterChar">
    <w:name w:val="Footer Char"/>
    <w:basedOn w:val="DefaultParagraphFont"/>
    <w:link w:val="Footer"/>
    <w:uiPriority w:val="99"/>
    <w:rsid w:val="00C418D1"/>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46886">
      <w:bodyDiv w:val="1"/>
      <w:marLeft w:val="0"/>
      <w:marRight w:val="0"/>
      <w:marTop w:val="0"/>
      <w:marBottom w:val="0"/>
      <w:divBdr>
        <w:top w:val="none" w:sz="0" w:space="0" w:color="auto"/>
        <w:left w:val="none" w:sz="0" w:space="0" w:color="auto"/>
        <w:bottom w:val="none" w:sz="0" w:space="0" w:color="auto"/>
        <w:right w:val="none" w:sz="0" w:space="0" w:color="auto"/>
      </w:divBdr>
    </w:div>
    <w:div w:id="464079282">
      <w:bodyDiv w:val="1"/>
      <w:marLeft w:val="0"/>
      <w:marRight w:val="0"/>
      <w:marTop w:val="0"/>
      <w:marBottom w:val="0"/>
      <w:divBdr>
        <w:top w:val="none" w:sz="0" w:space="0" w:color="auto"/>
        <w:left w:val="none" w:sz="0" w:space="0" w:color="auto"/>
        <w:bottom w:val="none" w:sz="0" w:space="0" w:color="auto"/>
        <w:right w:val="none" w:sz="0" w:space="0" w:color="auto"/>
      </w:divBdr>
    </w:div>
    <w:div w:id="464737286">
      <w:bodyDiv w:val="1"/>
      <w:marLeft w:val="0"/>
      <w:marRight w:val="0"/>
      <w:marTop w:val="0"/>
      <w:marBottom w:val="0"/>
      <w:divBdr>
        <w:top w:val="none" w:sz="0" w:space="0" w:color="auto"/>
        <w:left w:val="none" w:sz="0" w:space="0" w:color="auto"/>
        <w:bottom w:val="none" w:sz="0" w:space="0" w:color="auto"/>
        <w:right w:val="none" w:sz="0" w:space="0" w:color="auto"/>
      </w:divBdr>
    </w:div>
    <w:div w:id="863446473">
      <w:bodyDiv w:val="1"/>
      <w:marLeft w:val="0"/>
      <w:marRight w:val="0"/>
      <w:marTop w:val="0"/>
      <w:marBottom w:val="0"/>
      <w:divBdr>
        <w:top w:val="none" w:sz="0" w:space="0" w:color="auto"/>
        <w:left w:val="none" w:sz="0" w:space="0" w:color="auto"/>
        <w:bottom w:val="none" w:sz="0" w:space="0" w:color="auto"/>
        <w:right w:val="none" w:sz="0" w:space="0" w:color="auto"/>
      </w:divBdr>
    </w:div>
    <w:div w:id="930233712">
      <w:bodyDiv w:val="1"/>
      <w:marLeft w:val="0"/>
      <w:marRight w:val="0"/>
      <w:marTop w:val="0"/>
      <w:marBottom w:val="0"/>
      <w:divBdr>
        <w:top w:val="none" w:sz="0" w:space="0" w:color="auto"/>
        <w:left w:val="none" w:sz="0" w:space="0" w:color="auto"/>
        <w:bottom w:val="none" w:sz="0" w:space="0" w:color="auto"/>
        <w:right w:val="none" w:sz="0" w:space="0" w:color="auto"/>
      </w:divBdr>
    </w:div>
    <w:div w:id="1013919567">
      <w:bodyDiv w:val="1"/>
      <w:marLeft w:val="0"/>
      <w:marRight w:val="0"/>
      <w:marTop w:val="0"/>
      <w:marBottom w:val="0"/>
      <w:divBdr>
        <w:top w:val="none" w:sz="0" w:space="0" w:color="auto"/>
        <w:left w:val="none" w:sz="0" w:space="0" w:color="auto"/>
        <w:bottom w:val="none" w:sz="0" w:space="0" w:color="auto"/>
        <w:right w:val="none" w:sz="0" w:space="0" w:color="auto"/>
      </w:divBdr>
    </w:div>
    <w:div w:id="1227493902">
      <w:bodyDiv w:val="1"/>
      <w:marLeft w:val="0"/>
      <w:marRight w:val="0"/>
      <w:marTop w:val="0"/>
      <w:marBottom w:val="0"/>
      <w:divBdr>
        <w:top w:val="none" w:sz="0" w:space="0" w:color="auto"/>
        <w:left w:val="none" w:sz="0" w:space="0" w:color="auto"/>
        <w:bottom w:val="none" w:sz="0" w:space="0" w:color="auto"/>
        <w:right w:val="none" w:sz="0" w:space="0" w:color="auto"/>
      </w:divBdr>
    </w:div>
    <w:div w:id="1318606103">
      <w:bodyDiv w:val="1"/>
      <w:marLeft w:val="0"/>
      <w:marRight w:val="0"/>
      <w:marTop w:val="0"/>
      <w:marBottom w:val="0"/>
      <w:divBdr>
        <w:top w:val="none" w:sz="0" w:space="0" w:color="auto"/>
        <w:left w:val="none" w:sz="0" w:space="0" w:color="auto"/>
        <w:bottom w:val="none" w:sz="0" w:space="0" w:color="auto"/>
        <w:right w:val="none" w:sz="0" w:space="0" w:color="auto"/>
      </w:divBdr>
    </w:div>
    <w:div w:id="1347253085">
      <w:bodyDiv w:val="1"/>
      <w:marLeft w:val="0"/>
      <w:marRight w:val="0"/>
      <w:marTop w:val="0"/>
      <w:marBottom w:val="0"/>
      <w:divBdr>
        <w:top w:val="none" w:sz="0" w:space="0" w:color="auto"/>
        <w:left w:val="none" w:sz="0" w:space="0" w:color="auto"/>
        <w:bottom w:val="none" w:sz="0" w:space="0" w:color="auto"/>
        <w:right w:val="none" w:sz="0" w:space="0" w:color="auto"/>
      </w:divBdr>
    </w:div>
    <w:div w:id="1441871324">
      <w:bodyDiv w:val="1"/>
      <w:marLeft w:val="0"/>
      <w:marRight w:val="0"/>
      <w:marTop w:val="0"/>
      <w:marBottom w:val="0"/>
      <w:divBdr>
        <w:top w:val="none" w:sz="0" w:space="0" w:color="auto"/>
        <w:left w:val="none" w:sz="0" w:space="0" w:color="auto"/>
        <w:bottom w:val="none" w:sz="0" w:space="0" w:color="auto"/>
        <w:right w:val="none" w:sz="0" w:space="0" w:color="auto"/>
      </w:divBdr>
    </w:div>
    <w:div w:id="18431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1139B85-C87F-454B-9EEF-C6DD47B023F8}">
  <ds:schemaRefs>
    <ds:schemaRef ds:uri="http://schemas.openxmlformats.org/officeDocument/2006/bibliography"/>
  </ds:schemaRefs>
</ds:datastoreItem>
</file>

<file path=customXml/itemProps2.xml><?xml version="1.0" encoding="utf-8"?>
<ds:datastoreItem xmlns:ds="http://schemas.openxmlformats.org/officeDocument/2006/customXml" ds:itemID="{4E73840F-E773-4690-84EB-D3F30B3D7D5F}"/>
</file>

<file path=customXml/itemProps3.xml><?xml version="1.0" encoding="utf-8"?>
<ds:datastoreItem xmlns:ds="http://schemas.openxmlformats.org/officeDocument/2006/customXml" ds:itemID="{92EE4DF7-67C7-4411-AEE3-09B67ACCDE86}"/>
</file>

<file path=customXml/itemProps4.xml><?xml version="1.0" encoding="utf-8"?>
<ds:datastoreItem xmlns:ds="http://schemas.openxmlformats.org/officeDocument/2006/customXml" ds:itemID="{E768654A-1C2A-4AD6-A816-204B25B8E8D4}"/>
</file>

<file path=docProps/app.xml><?xml version="1.0" encoding="utf-8"?>
<Properties xmlns="http://schemas.openxmlformats.org/officeDocument/2006/extended-properties" xmlns:vt="http://schemas.openxmlformats.org/officeDocument/2006/docPropsVTypes">
  <Template>Normal.dotm</Template>
  <TotalTime>0</TotalTime>
  <Pages>6</Pages>
  <Words>1498</Words>
  <Characters>9439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CONG TY DU LICH QUOC TE DONG THAI</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Vũ Thu Trang</cp:lastModifiedBy>
  <cp:revision>146</cp:revision>
  <cp:lastPrinted>2022-11-09T02:05:00Z</cp:lastPrinted>
  <dcterms:created xsi:type="dcterms:W3CDTF">2020-03-20T06:33:00Z</dcterms:created>
  <dcterms:modified xsi:type="dcterms:W3CDTF">2022-11-10T05:49:00Z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