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D2" w:rsidRPr="008A4B7C" w:rsidRDefault="00770D30" w:rsidP="008A4B7C">
      <w:pPr>
        <w:jc w:val="center"/>
        <w:rPr>
          <w:b/>
          <w:sz w:val="24"/>
          <w:szCs w:val="24"/>
        </w:rPr>
      </w:pPr>
      <w:r>
        <w:rPr>
          <w:b/>
          <w:sz w:val="24"/>
          <w:szCs w:val="24"/>
        </w:rPr>
        <w:t>BẢNG GIẢI TRÌNH</w:t>
      </w:r>
      <w:r w:rsidR="00D468A9" w:rsidRPr="008A4B7C">
        <w:rPr>
          <w:b/>
          <w:sz w:val="24"/>
          <w:szCs w:val="24"/>
        </w:rPr>
        <w:t xml:space="preserve"> THÔNG </w:t>
      </w:r>
      <w:bookmarkStart w:id="0" w:name="_GoBack"/>
      <w:bookmarkEnd w:id="0"/>
      <w:r w:rsidR="00D468A9" w:rsidRPr="008A4B7C">
        <w:rPr>
          <w:b/>
          <w:sz w:val="24"/>
          <w:szCs w:val="24"/>
        </w:rPr>
        <w:t>TƯ BÃI BỎ</w:t>
      </w:r>
      <w:r w:rsidR="00F63DE9">
        <w:rPr>
          <w:b/>
          <w:sz w:val="24"/>
          <w:szCs w:val="24"/>
        </w:rPr>
        <w:t xml:space="preserve"> VÀ NỘI DUNG BÃI BỎ</w:t>
      </w:r>
    </w:p>
    <w:p w:rsidR="00D468A9" w:rsidRPr="008A4B7C" w:rsidRDefault="00D468A9" w:rsidP="008A4B7C">
      <w:pPr>
        <w:jc w:val="center"/>
        <w:rPr>
          <w:b/>
          <w:sz w:val="24"/>
          <w:szCs w:val="24"/>
        </w:rPr>
      </w:pPr>
      <w:r w:rsidRPr="008A4B7C">
        <w:rPr>
          <w:b/>
          <w:sz w:val="24"/>
          <w:szCs w:val="24"/>
        </w:rPr>
        <w:t>I. DANH MỤC THÔNG TƯ BÃI BỎ</w:t>
      </w:r>
      <w:r w:rsidR="008A4B7C">
        <w:rPr>
          <w:b/>
          <w:sz w:val="24"/>
          <w:szCs w:val="24"/>
        </w:rPr>
        <w:t xml:space="preserve"> TOÀN BỘ</w:t>
      </w:r>
    </w:p>
    <w:tbl>
      <w:tblPr>
        <w:tblStyle w:val="TableGrid"/>
        <w:tblW w:w="13291" w:type="dxa"/>
        <w:tblLook w:val="04A0" w:firstRow="1" w:lastRow="0" w:firstColumn="1" w:lastColumn="0" w:noHBand="0" w:noVBand="1"/>
      </w:tblPr>
      <w:tblGrid>
        <w:gridCol w:w="708"/>
        <w:gridCol w:w="4929"/>
        <w:gridCol w:w="7654"/>
      </w:tblGrid>
      <w:tr w:rsidR="004B2776" w:rsidRPr="008A4B7C" w:rsidTr="004B2776">
        <w:tc>
          <w:tcPr>
            <w:tcW w:w="708" w:type="dxa"/>
          </w:tcPr>
          <w:p w:rsidR="004B2776" w:rsidRPr="008A4B7C" w:rsidRDefault="004B2776" w:rsidP="008A4B7C">
            <w:pPr>
              <w:jc w:val="both"/>
              <w:rPr>
                <w:b/>
                <w:sz w:val="24"/>
                <w:szCs w:val="24"/>
              </w:rPr>
            </w:pPr>
            <w:r w:rsidRPr="008A4B7C">
              <w:rPr>
                <w:b/>
                <w:sz w:val="24"/>
                <w:szCs w:val="24"/>
              </w:rPr>
              <w:t>STT</w:t>
            </w:r>
          </w:p>
        </w:tc>
        <w:tc>
          <w:tcPr>
            <w:tcW w:w="4929" w:type="dxa"/>
          </w:tcPr>
          <w:p w:rsidR="004B2776" w:rsidRPr="008A4B7C" w:rsidRDefault="004B2776" w:rsidP="008A4B7C">
            <w:pPr>
              <w:jc w:val="both"/>
              <w:rPr>
                <w:b/>
                <w:sz w:val="24"/>
                <w:szCs w:val="24"/>
              </w:rPr>
            </w:pPr>
            <w:r w:rsidRPr="008A4B7C">
              <w:rPr>
                <w:b/>
                <w:sz w:val="24"/>
                <w:szCs w:val="24"/>
              </w:rPr>
              <w:t>Tên Thông tư</w:t>
            </w:r>
          </w:p>
        </w:tc>
        <w:tc>
          <w:tcPr>
            <w:tcW w:w="7654" w:type="dxa"/>
          </w:tcPr>
          <w:p w:rsidR="004B2776" w:rsidRPr="008A4B7C" w:rsidRDefault="004B2776" w:rsidP="008A4B7C">
            <w:pPr>
              <w:jc w:val="both"/>
              <w:rPr>
                <w:b/>
                <w:sz w:val="24"/>
                <w:szCs w:val="24"/>
              </w:rPr>
            </w:pPr>
            <w:r w:rsidRPr="008A4B7C">
              <w:rPr>
                <w:b/>
                <w:sz w:val="24"/>
                <w:szCs w:val="24"/>
              </w:rPr>
              <w:t>Lý do bãi bỏ</w:t>
            </w:r>
          </w:p>
        </w:tc>
      </w:tr>
      <w:tr w:rsidR="004B2776" w:rsidRPr="008A4B7C" w:rsidTr="004B2776">
        <w:tc>
          <w:tcPr>
            <w:tcW w:w="708" w:type="dxa"/>
          </w:tcPr>
          <w:p w:rsidR="004B2776" w:rsidRDefault="004B2776" w:rsidP="009D22EB">
            <w:pPr>
              <w:jc w:val="both"/>
              <w:rPr>
                <w:b/>
                <w:sz w:val="24"/>
                <w:szCs w:val="24"/>
              </w:rPr>
            </w:pPr>
            <w:r>
              <w:rPr>
                <w:b/>
                <w:sz w:val="24"/>
                <w:szCs w:val="24"/>
              </w:rPr>
              <w:t>01</w:t>
            </w:r>
          </w:p>
        </w:tc>
        <w:tc>
          <w:tcPr>
            <w:tcW w:w="4929" w:type="dxa"/>
          </w:tcPr>
          <w:p w:rsidR="004B2776" w:rsidRPr="00307E4B" w:rsidRDefault="004B2776" w:rsidP="009D22EB">
            <w:pPr>
              <w:spacing w:line="340" w:lineRule="exact"/>
              <w:jc w:val="both"/>
              <w:rPr>
                <w:color w:val="C00000"/>
                <w:sz w:val="24"/>
                <w:szCs w:val="24"/>
              </w:rPr>
            </w:pPr>
            <w:r w:rsidRPr="00770D30">
              <w:rPr>
                <w:color w:val="C00000"/>
                <w:sz w:val="24"/>
                <w:szCs w:val="24"/>
              </w:rPr>
              <w:t>Thông tư số 31/2012/TT- BGTVT ngày 01/8/2012 của Bộ trưởng Bộ GTVT quy định trách nhiệm và xử lý vi phạm trong quản lý, bảo trì kết cấu hạ tầng giao thông đường bộ.</w:t>
            </w:r>
          </w:p>
        </w:tc>
        <w:tc>
          <w:tcPr>
            <w:tcW w:w="7654" w:type="dxa"/>
          </w:tcPr>
          <w:p w:rsidR="004B2776" w:rsidRDefault="004B2776" w:rsidP="009D22EB">
            <w:pPr>
              <w:jc w:val="both"/>
              <w:rPr>
                <w:sz w:val="24"/>
                <w:szCs w:val="24"/>
              </w:rPr>
            </w:pPr>
            <w:r>
              <w:rPr>
                <w:sz w:val="24"/>
                <w:szCs w:val="24"/>
              </w:rPr>
              <w:t xml:space="preserve">- </w:t>
            </w:r>
            <w:r w:rsidRPr="00770D30">
              <w:rPr>
                <w:sz w:val="24"/>
                <w:szCs w:val="24"/>
              </w:rPr>
              <w:t>Các văn bản là căn cứ đã hết hiệu lực thi hành, được thay thế bằng các văn bản mới như: Luật Xây dựng ngày 26 tháng 11 năm 2003 và Luật sửa đổi, bổ sung một số điều liên quan đến đầu tư xây dựng cơ bản ngày 29 tháng 6 năm 2009; Căn cứ Nghị định số 11/2010/NĐ-CP ngày 24 tháng 02 năm 2010 của Chính phủ quy định về quản lý và bảo vệ kết cấu hạ tầng giao thông đường bộ; Căn cứ Nghị định số 114/2010/NĐ-CP ngày 06 tháng 12 năm 2010 về bảo trì công trình xây dựng; Căn cứ Nghị định số 34/2011/NĐ-CP ngày 17 tháng 5 năm 2011 của Chính phủ quy định về xử lý kỷ luật đối với công chức; Căn cứ Nghị định số 27/2012/NĐ-CP ngày 06 tháng 4 năm 2012 của Chính phủ Quy định về xử lý kỷ luật viên chức và trách nhiệm bồi thường, hoàn trả của viên chức</w:t>
            </w:r>
            <w:r>
              <w:rPr>
                <w:sz w:val="24"/>
                <w:szCs w:val="24"/>
              </w:rPr>
              <w:t>;</w:t>
            </w:r>
          </w:p>
          <w:p w:rsidR="004B2776" w:rsidRDefault="004B2776" w:rsidP="009D22EB">
            <w:pPr>
              <w:jc w:val="both"/>
              <w:rPr>
                <w:sz w:val="24"/>
                <w:szCs w:val="24"/>
              </w:rPr>
            </w:pPr>
            <w:r>
              <w:rPr>
                <w:sz w:val="24"/>
                <w:szCs w:val="24"/>
              </w:rPr>
              <w:t xml:space="preserve">-  </w:t>
            </w:r>
            <w:r w:rsidRPr="00770D30">
              <w:rPr>
                <w:sz w:val="24"/>
                <w:szCs w:val="24"/>
              </w:rPr>
              <w:t>Các quy định của Thông tư không phù hợp với thực tế quản lý; các quy định về trách nhiệm đối với công tác quản lý, bảo trì kết cấu hạ tầng được quy định trong các Thông tư quản lý chuyên ngành, không chỉ quy định trách nhiệm đối với công chức, viên chức mà còn quy định trách nhiệm đối với các đơn vị, nhà thầu thực hiện bảo dưỡng thường xuyên, quản lý, bảo trì đường bộ.</w:t>
            </w:r>
          </w:p>
          <w:p w:rsidR="004B2776" w:rsidRPr="003B5437" w:rsidRDefault="004B2776" w:rsidP="009D22EB">
            <w:pPr>
              <w:jc w:val="both"/>
              <w:rPr>
                <w:sz w:val="24"/>
                <w:szCs w:val="24"/>
              </w:rPr>
            </w:pPr>
            <w:r>
              <w:rPr>
                <w:sz w:val="24"/>
                <w:szCs w:val="24"/>
              </w:rPr>
              <w:t xml:space="preserve">- </w:t>
            </w:r>
            <w:r w:rsidRPr="00770D30">
              <w:rPr>
                <w:sz w:val="24"/>
                <w:szCs w:val="24"/>
              </w:rPr>
              <w:t>Trong 10 năm qua, các cơ quan có liên quan không áp dụng Thông tư trong thực tế để xử lý vi phạm trong công tác quản lý, bảo trì kết cấu hạ tầng giao thông đường bộ.</w:t>
            </w:r>
          </w:p>
        </w:tc>
      </w:tr>
      <w:tr w:rsidR="004B2776" w:rsidRPr="008A4B7C" w:rsidTr="004B2776">
        <w:tc>
          <w:tcPr>
            <w:tcW w:w="708" w:type="dxa"/>
          </w:tcPr>
          <w:p w:rsidR="004B2776" w:rsidRPr="008A4B7C" w:rsidRDefault="004B2776" w:rsidP="009D22EB">
            <w:pPr>
              <w:jc w:val="both"/>
              <w:rPr>
                <w:b/>
                <w:sz w:val="24"/>
                <w:szCs w:val="24"/>
              </w:rPr>
            </w:pPr>
            <w:r>
              <w:rPr>
                <w:b/>
                <w:sz w:val="24"/>
                <w:szCs w:val="24"/>
              </w:rPr>
              <w:t>02</w:t>
            </w:r>
          </w:p>
        </w:tc>
        <w:tc>
          <w:tcPr>
            <w:tcW w:w="4929" w:type="dxa"/>
          </w:tcPr>
          <w:p w:rsidR="004B2776" w:rsidRPr="008A4B7C" w:rsidRDefault="004B2776" w:rsidP="009D22EB">
            <w:pPr>
              <w:spacing w:line="340" w:lineRule="exact"/>
              <w:jc w:val="both"/>
              <w:rPr>
                <w:sz w:val="24"/>
                <w:szCs w:val="24"/>
              </w:rPr>
            </w:pPr>
            <w:r w:rsidRPr="00307E4B">
              <w:rPr>
                <w:color w:val="FF0000"/>
                <w:sz w:val="24"/>
                <w:szCs w:val="24"/>
              </w:rPr>
              <w:t xml:space="preserve"> Thông tư số 65/2014/TT-BGTVT ngày 10/11/2014 của Bộ trưởng Bộ Giao thông vận tải về ban hành định mức khung kinh tế - kỹ thuật áp dụng cho vận tải hành khách công cộng bằng xe buýt</w:t>
            </w:r>
          </w:p>
        </w:tc>
        <w:tc>
          <w:tcPr>
            <w:tcW w:w="7654" w:type="dxa"/>
          </w:tcPr>
          <w:p w:rsidR="004B2776" w:rsidRDefault="004B2776" w:rsidP="009D22EB">
            <w:pPr>
              <w:jc w:val="both"/>
              <w:rPr>
                <w:sz w:val="24"/>
                <w:szCs w:val="24"/>
              </w:rPr>
            </w:pPr>
            <w:r w:rsidRPr="008A4B7C">
              <w:rPr>
                <w:sz w:val="24"/>
                <w:szCs w:val="24"/>
              </w:rPr>
              <w:t>1. Việc ứng dụng khoa học công nghệ trong bảo dưỡng, sửa chữa hiện nay đã có nhiều thay đổi, trang thiết bị vật tư phụ tùng cũng được thay đổi nhiều, tác động tích cực đến công tác bảo dưỡng, sửa chữa phương tiện nên các định mức, định ngạch có thay đổi so với thời điểm năm 2014.</w:t>
            </w:r>
          </w:p>
          <w:p w:rsidR="004B2776" w:rsidRDefault="004B2776" w:rsidP="009D22EB">
            <w:pPr>
              <w:jc w:val="both"/>
              <w:rPr>
                <w:sz w:val="24"/>
                <w:szCs w:val="24"/>
              </w:rPr>
            </w:pPr>
            <w:r w:rsidRPr="008A4B7C">
              <w:rPr>
                <w:sz w:val="24"/>
                <w:szCs w:val="24"/>
              </w:rPr>
              <w:t xml:space="preserve"> 2. Một số loại phương tiện mới (xe điện, xe sử dụng khí CLG, LPG, xe sử dụng bán vé tự động, xe buýt BRT….) chưa được đề cập trong định mức. </w:t>
            </w:r>
          </w:p>
          <w:p w:rsidR="004B2776" w:rsidRPr="008A4B7C" w:rsidRDefault="004B2776" w:rsidP="009D22EB">
            <w:pPr>
              <w:jc w:val="both"/>
              <w:rPr>
                <w:sz w:val="24"/>
                <w:szCs w:val="24"/>
              </w:rPr>
            </w:pPr>
            <w:r w:rsidRPr="008A4B7C">
              <w:rPr>
                <w:sz w:val="24"/>
                <w:szCs w:val="24"/>
              </w:rPr>
              <w:t>3. Ngày 10/4/2019, Chính phủ đã ban hành Nghị định số 32/2019/NĐ-CP quy định giao nhiệm vụ, đặt hàng hoặc đấu thầu cung cấp sản phẩm, dịch vụ công sử dụng ngân sách nhà nước từ nguồn kinh phí chi thường xuyên</w:t>
            </w:r>
            <w:r>
              <w:rPr>
                <w:sz w:val="24"/>
                <w:szCs w:val="24"/>
              </w:rPr>
              <w:t xml:space="preserve"> (thay </w:t>
            </w:r>
            <w:r>
              <w:rPr>
                <w:sz w:val="24"/>
                <w:szCs w:val="24"/>
              </w:rPr>
              <w:lastRenderedPageBreak/>
              <w:t>thế Nghị định 130/2013/NĐ-CP – là căn cứ ban hành Thông tư 64/2014/TT-BGTVT)</w:t>
            </w:r>
            <w:r w:rsidRPr="008A4B7C">
              <w:rPr>
                <w:sz w:val="24"/>
                <w:szCs w:val="24"/>
              </w:rPr>
              <w:t xml:space="preserve">; Trong Nghị định đã giao thẩm quyền ban hành định mức kinh tế - kỹ thuật, đơn giá, mức trợ giá sản phẩm, dịch vụ công ích áp dụng cho vận tải hành khách công cộng bằng xe buýt thuộc trách nhiệm và thẩm quyền của Ủy ban nhân dân cấp tỉnh, thành phố. 4. Theo Luật Ban hành văn bản quy phạm pháp luật năm 2015, việc ban hành Thông tư hướng dẫn của Bộ Giao thông vận tải như đã giao tại Quyết định 280/QĐ-TTg không còn phù hợp. Mặt khác, Bộ Giao thông vận tải đã ban hành Quyết định 511/QĐ-BGTVT ngày 18/4/2022 của Bộ trưởng Bộ Giao thông vận tải về hướng dẫn phương pháp xây dựng một số định mức kinh tế - kỹ thuật áp dụng cho hoạt động vận tải hành khách công cộng bằng xe buýt để các địa phương tham khảo, căn cứ xây dựng bảo đảm phù hợp với từng địa phương. </w:t>
            </w:r>
          </w:p>
        </w:tc>
      </w:tr>
      <w:tr w:rsidR="004B2776" w:rsidRPr="008A4B7C" w:rsidTr="004B2776">
        <w:tc>
          <w:tcPr>
            <w:tcW w:w="708" w:type="dxa"/>
          </w:tcPr>
          <w:p w:rsidR="004B2776" w:rsidRPr="008A4B7C" w:rsidRDefault="004B2776" w:rsidP="008A4B7C">
            <w:pPr>
              <w:jc w:val="both"/>
              <w:rPr>
                <w:b/>
                <w:sz w:val="24"/>
                <w:szCs w:val="24"/>
              </w:rPr>
            </w:pPr>
            <w:r>
              <w:rPr>
                <w:b/>
                <w:sz w:val="24"/>
                <w:szCs w:val="24"/>
              </w:rPr>
              <w:lastRenderedPageBreak/>
              <w:t>03</w:t>
            </w:r>
          </w:p>
        </w:tc>
        <w:tc>
          <w:tcPr>
            <w:tcW w:w="4929" w:type="dxa"/>
          </w:tcPr>
          <w:p w:rsidR="004B2776" w:rsidRPr="00447B13" w:rsidRDefault="004B2776" w:rsidP="00447B13">
            <w:pPr>
              <w:jc w:val="both"/>
              <w:rPr>
                <w:sz w:val="24"/>
                <w:szCs w:val="24"/>
              </w:rPr>
            </w:pPr>
            <w:r w:rsidRPr="00447B13">
              <w:rPr>
                <w:sz w:val="24"/>
                <w:szCs w:val="24"/>
              </w:rPr>
              <w:t>Thông tư số 13/2015/TT-BGTVT ngày 21/4/2015 của Bộ trưởng Bộ GTVT công bố danh mục hàng hóa nhập khẩu thuộc diện quản lý chuyên ngành của Bộ GTVT theo quy định tại Nghị định số 187/2013/NĐ-CP ngày 20/11/2013 của Chính phủ.</w:t>
            </w:r>
          </w:p>
        </w:tc>
        <w:tc>
          <w:tcPr>
            <w:tcW w:w="7654" w:type="dxa"/>
          </w:tcPr>
          <w:p w:rsidR="004B2776" w:rsidRPr="00447B13" w:rsidRDefault="004B2776" w:rsidP="00447B13">
            <w:pPr>
              <w:spacing w:before="120" w:after="120"/>
              <w:jc w:val="both"/>
              <w:rPr>
                <w:sz w:val="24"/>
                <w:szCs w:val="24"/>
              </w:rPr>
            </w:pPr>
            <w:r w:rsidRPr="00447B13">
              <w:rPr>
                <w:sz w:val="24"/>
                <w:szCs w:val="24"/>
              </w:rPr>
              <w:t xml:space="preserve">Ngày 15/5/2018, Chính phủ ban hành Nghị định số 69/2018/NĐ-CP quy định chi tiết một số điều của Luật Quản lý ngoại thương, có hiệu lực từ ngày 15/5/2018 (thay thế Nghị định số 187/2013/NĐ-CP ngày 20/11/2013 của Chính phủ quy định chi tiết thi hành luật thương mại về hoạt động mua bán hàng hóa quốc tế và các hoạt động đại lý mua, bán, gia công và quá cảnh hàng hóa với nước ngoài). </w:t>
            </w:r>
          </w:p>
          <w:p w:rsidR="004B2776" w:rsidRPr="008A4B7C" w:rsidRDefault="004B2776" w:rsidP="00447B13">
            <w:pPr>
              <w:spacing w:before="120" w:after="120"/>
              <w:jc w:val="both"/>
              <w:rPr>
                <w:sz w:val="24"/>
                <w:szCs w:val="24"/>
              </w:rPr>
            </w:pPr>
            <w:r w:rsidRPr="00447B13">
              <w:rPr>
                <w:sz w:val="24"/>
                <w:szCs w:val="24"/>
              </w:rPr>
              <w:t xml:space="preserve">Theo quy định tại Khoản 7 Điều 72 Nghị định số 69/2018/NĐ-CP, cụ thể: “Các văn bản quy phạm pháp luật của các bộ, cơ quan ngang bộ hướng dẫn thi hành Nghị định số 187/2013/NĐ-CP ngày 20 tháng 11 năm 2013 của Chính phủ được tiếp tục thực hiện đến hết ngày 31 tháng 12 năm 2018”. Do đó, Thông tư số 13/2015/TT-BGTVT ngày 21/4/2015 sẽ hết hiệu lực toàn bộ (theo quy định tại Điều 154 Luật ban hành văn bản quy phạm pháp luật năm 2015) từ ngày 01 tháng 01 năm 2019. Tuy nhiên văn bản này hiện chưa được bãi bỏ bằng văn bản quy phạm pháp luật cùng cấp. </w:t>
            </w:r>
          </w:p>
        </w:tc>
      </w:tr>
      <w:tr w:rsidR="004B2776" w:rsidRPr="008A4B7C" w:rsidTr="004B2776">
        <w:tc>
          <w:tcPr>
            <w:tcW w:w="708" w:type="dxa"/>
          </w:tcPr>
          <w:p w:rsidR="004B2776" w:rsidRPr="008A4B7C" w:rsidRDefault="004B2776" w:rsidP="008A4B7C">
            <w:pPr>
              <w:jc w:val="both"/>
              <w:rPr>
                <w:b/>
                <w:sz w:val="24"/>
                <w:szCs w:val="24"/>
              </w:rPr>
            </w:pPr>
            <w:r>
              <w:rPr>
                <w:b/>
                <w:sz w:val="24"/>
                <w:szCs w:val="24"/>
              </w:rPr>
              <w:t>04</w:t>
            </w:r>
          </w:p>
        </w:tc>
        <w:tc>
          <w:tcPr>
            <w:tcW w:w="4929" w:type="dxa"/>
          </w:tcPr>
          <w:p w:rsidR="004B2776" w:rsidRPr="00307E4B" w:rsidRDefault="004B2776" w:rsidP="008A4B7C">
            <w:pPr>
              <w:spacing w:line="340" w:lineRule="exact"/>
              <w:jc w:val="both"/>
              <w:rPr>
                <w:color w:val="FF0000"/>
                <w:sz w:val="24"/>
                <w:szCs w:val="24"/>
              </w:rPr>
            </w:pPr>
            <w:r w:rsidRPr="00307E4B">
              <w:rPr>
                <w:color w:val="FF0000"/>
                <w:sz w:val="24"/>
                <w:szCs w:val="24"/>
              </w:rPr>
              <w:t xml:space="preserve">Thông tư số 12/2016/TT-BGTVT ngày 09/6/2016 của Bộ trưởng Bộ GTVT hướng dẫn thi hành một số điều của Nghị định số 132/2015/NĐ-CP ngày 25 tháng 12 năm 2015 của Chính phủ quy định xử phạt vi phạm hành </w:t>
            </w:r>
            <w:r w:rsidRPr="00307E4B">
              <w:rPr>
                <w:color w:val="FF0000"/>
                <w:sz w:val="24"/>
                <w:szCs w:val="24"/>
              </w:rPr>
              <w:lastRenderedPageBreak/>
              <w:t>chính trong lĩnh vực giao thông đường thủy nội địa.</w:t>
            </w:r>
          </w:p>
          <w:p w:rsidR="004B2776" w:rsidRPr="008A4B7C" w:rsidRDefault="004B2776" w:rsidP="008A4B7C">
            <w:pPr>
              <w:spacing w:line="340" w:lineRule="exact"/>
              <w:jc w:val="both"/>
              <w:rPr>
                <w:b/>
                <w:sz w:val="24"/>
                <w:szCs w:val="24"/>
              </w:rPr>
            </w:pPr>
            <w:r w:rsidRPr="00307E4B">
              <w:rPr>
                <w:color w:val="FF0000"/>
                <w:sz w:val="24"/>
                <w:szCs w:val="24"/>
              </w:rPr>
              <w:tab/>
            </w:r>
          </w:p>
        </w:tc>
        <w:tc>
          <w:tcPr>
            <w:tcW w:w="7654" w:type="dxa"/>
          </w:tcPr>
          <w:p w:rsidR="004B2776" w:rsidRPr="008A4B7C" w:rsidRDefault="004B2776" w:rsidP="008A4B7C">
            <w:pPr>
              <w:jc w:val="both"/>
              <w:rPr>
                <w:sz w:val="24"/>
                <w:szCs w:val="24"/>
              </w:rPr>
            </w:pPr>
            <w:r w:rsidRPr="008A4B7C">
              <w:rPr>
                <w:sz w:val="24"/>
                <w:szCs w:val="24"/>
              </w:rPr>
              <w:lastRenderedPageBreak/>
              <w:t xml:space="preserve">Ngày 31/12/2021 Chính phủ đã ban hành Nghị định số 139/2021/NĐ-CP quy định xử phạt vi phạm hành chính trong lĩnh vực giao thông ĐTNĐ, có hiệu lực từ ngày 01/01/2022 (thay thế Nghị định số 132/2015/NĐ-CP ngày 25/12/2015). Do đó, Thông tư hướng dẫn thực hiện Nghị định số 132/2015/NĐ-CP ngày 25/12/2015 cũng hết hiệu lực toàn bộ, nhưng chưa được bãi bỏ bằng văn bản QPPL cùng cấp. </w:t>
            </w:r>
          </w:p>
          <w:p w:rsidR="004B2776" w:rsidRPr="008A4B7C" w:rsidRDefault="004B2776" w:rsidP="008A4B7C">
            <w:pPr>
              <w:jc w:val="both"/>
              <w:rPr>
                <w:b/>
                <w:sz w:val="24"/>
                <w:szCs w:val="24"/>
              </w:rPr>
            </w:pPr>
            <w:r w:rsidRPr="008A4B7C">
              <w:rPr>
                <w:sz w:val="24"/>
                <w:szCs w:val="24"/>
              </w:rPr>
              <w:lastRenderedPageBreak/>
              <w:t xml:space="preserve">Bên cạnh đó, Chính phủ cũng ban hành Nghị định số 118/2021/NĐ-CP ngày 23/12/2021 quy định chi tiết một số điều và biện pháp thi hành Luật Xử lý vi phạm hành chính, trong đó ban hành các biểu mẫu sử dụng trong xử lý vi phạm hành chính, có hiệu lực từ 01/01/2022. </w:t>
            </w:r>
          </w:p>
        </w:tc>
      </w:tr>
      <w:tr w:rsidR="004B2776" w:rsidRPr="008A4B7C" w:rsidTr="004B2776">
        <w:tc>
          <w:tcPr>
            <w:tcW w:w="708" w:type="dxa"/>
          </w:tcPr>
          <w:p w:rsidR="004B2776" w:rsidRPr="008A4B7C" w:rsidRDefault="004B2776" w:rsidP="008A4B7C">
            <w:pPr>
              <w:jc w:val="both"/>
              <w:rPr>
                <w:b/>
                <w:sz w:val="24"/>
                <w:szCs w:val="24"/>
              </w:rPr>
            </w:pPr>
            <w:r>
              <w:rPr>
                <w:b/>
                <w:sz w:val="24"/>
                <w:szCs w:val="24"/>
              </w:rPr>
              <w:lastRenderedPageBreak/>
              <w:t>05</w:t>
            </w:r>
          </w:p>
        </w:tc>
        <w:tc>
          <w:tcPr>
            <w:tcW w:w="4929" w:type="dxa"/>
          </w:tcPr>
          <w:p w:rsidR="004B2776" w:rsidRPr="00E264B9" w:rsidRDefault="004B2776" w:rsidP="009D22EB">
            <w:pPr>
              <w:spacing w:line="340" w:lineRule="exact"/>
              <w:jc w:val="both"/>
              <w:rPr>
                <w:sz w:val="24"/>
                <w:szCs w:val="24"/>
              </w:rPr>
            </w:pPr>
            <w:r w:rsidRPr="00307E4B">
              <w:rPr>
                <w:color w:val="C00000"/>
                <w:sz w:val="24"/>
                <w:szCs w:val="24"/>
              </w:rPr>
              <w:t>Thông tư số 06/2017/TT-BGTVT ngày 28/02/2017 của Bộ trưởng Bộ GTVT quy định quy trình sử dụng phương tiện, thiết bị kỹ thuật nghiệp vụ và sử dụng kết quả thu được từ phương tiện, thiết bị kỹ thuật nghiệp vụ làm căn cứ để xác định vi phạm hành chính và xử phạt vi phạm hành chính trong lĩnh vực giao thông đường bộ</w:t>
            </w:r>
          </w:p>
        </w:tc>
        <w:tc>
          <w:tcPr>
            <w:tcW w:w="7654" w:type="dxa"/>
          </w:tcPr>
          <w:p w:rsidR="004B2776" w:rsidRPr="008A4B7C" w:rsidRDefault="004B2776" w:rsidP="009D22EB">
            <w:pPr>
              <w:jc w:val="both"/>
              <w:rPr>
                <w:sz w:val="24"/>
                <w:szCs w:val="24"/>
              </w:rPr>
            </w:pPr>
            <w:r w:rsidRPr="003B5437">
              <w:rPr>
                <w:sz w:val="24"/>
                <w:szCs w:val="24"/>
              </w:rPr>
              <w:t xml:space="preserve">Thông tư số 06/2017/TT-BGTVT có căn cứ pháp lý để ban hành là các Nghị định hiện đã hết hiệu lực, cụ thể: - Nghị định số 165/2013/NĐ-CP ngày 12/11/2013 của Chính phủ quy định việc quản lý, sử dụng và danh mục các phương tiện, thiết bị kỹ thuật nghiệp vụ được sử dụng để phát hiện vi phạm hành chính về trật tự, an toàn giao thông và bảo vệ môi trường (được thay thế bởi Nghị định số 135/2021/NĐ-CP ngày 31/12/2021 của Chính phủ quy định về danh mục, việc quản lý, sử dụng phương tiện, thiết bị kỹ thuật nghiệp vụ và quy trình thu nhập, sử dụng dữ liệu thu được từ phương tiện, thiết bị kỹ thuật cá nhân, tổ chức cung cấp để phát hiện vi phạm hành chính trong lĩnh vực GTVT); - Nghị định số 46/2016/NĐ-CP ngày 26/5/2016 của Chính phủ quy định xử phạt vi phạm hành chính trong lĩnh vực giao thông đường bộ và đường sắt (được thay thế bởi Nghị định số 110/2019/NĐ-CP ngày 30/12/2019 của Chính phủ quy định xử phạt vi phạm hành chính trong lĩnh vực giao thông đường bộ và đường sắt, và được sửa đổi, bổ sung tại Nghị định số 123/2021/NĐ-CP ngày 28/12/2021 của Chính phủ). </w:t>
            </w:r>
          </w:p>
        </w:tc>
      </w:tr>
      <w:tr w:rsidR="004B2776" w:rsidRPr="008A4B7C" w:rsidTr="004B2776">
        <w:tc>
          <w:tcPr>
            <w:tcW w:w="708" w:type="dxa"/>
          </w:tcPr>
          <w:p w:rsidR="004B2776" w:rsidRPr="008A4B7C" w:rsidRDefault="004B2776" w:rsidP="008A4B7C">
            <w:pPr>
              <w:jc w:val="both"/>
              <w:rPr>
                <w:b/>
                <w:sz w:val="24"/>
                <w:szCs w:val="24"/>
              </w:rPr>
            </w:pPr>
            <w:r>
              <w:rPr>
                <w:b/>
                <w:sz w:val="24"/>
                <w:szCs w:val="24"/>
              </w:rPr>
              <w:t>06</w:t>
            </w:r>
          </w:p>
        </w:tc>
        <w:tc>
          <w:tcPr>
            <w:tcW w:w="4929" w:type="dxa"/>
          </w:tcPr>
          <w:p w:rsidR="004B2776" w:rsidRPr="00307E4B" w:rsidRDefault="004B2776" w:rsidP="009D22EB">
            <w:pPr>
              <w:spacing w:line="340" w:lineRule="exact"/>
              <w:jc w:val="both"/>
              <w:rPr>
                <w:color w:val="C00000"/>
                <w:sz w:val="24"/>
                <w:szCs w:val="24"/>
              </w:rPr>
            </w:pPr>
            <w:r w:rsidRPr="00E264B9">
              <w:rPr>
                <w:sz w:val="24"/>
                <w:szCs w:val="24"/>
              </w:rPr>
              <w:t xml:space="preserve">- </w:t>
            </w:r>
            <w:r w:rsidRPr="00307E4B">
              <w:rPr>
                <w:color w:val="C00000"/>
                <w:sz w:val="24"/>
                <w:szCs w:val="24"/>
              </w:rPr>
              <w:t xml:space="preserve">Thông tư số 37/2017/TT-BGTVT ngày 09/10/2017 của Bộ trưởng Bộ GTVT quy định mẫu biên bản, mẫu quyết định sử dụng trong xử phạt vi phạm hành chính lĩnh vực giao thông đường bộ, đường sắt; </w:t>
            </w:r>
          </w:p>
        </w:tc>
        <w:tc>
          <w:tcPr>
            <w:tcW w:w="7654" w:type="dxa"/>
            <w:vMerge w:val="restart"/>
          </w:tcPr>
          <w:p w:rsidR="004B2776" w:rsidRPr="003B5437" w:rsidRDefault="004B2776" w:rsidP="009D22EB">
            <w:pPr>
              <w:jc w:val="both"/>
              <w:rPr>
                <w:sz w:val="24"/>
                <w:szCs w:val="24"/>
              </w:rPr>
            </w:pPr>
            <w:r w:rsidRPr="003B5437">
              <w:rPr>
                <w:sz w:val="24"/>
                <w:szCs w:val="24"/>
              </w:rPr>
              <w:t xml:space="preserve">Nghị định số 81/2013/NĐ-CP ngày 19/7/2013 của Chính phủ quy định chi tiết một số điều và biện pháp thi hành Luật Xử lý vi phạm hành chính và Nghị định số 97/2017/NĐ-CP ngày 18/8/2017 của Chính phủ sửa đổi, bổ sung một số điều của Nghị định số 81/2013/NĐ-CP. Hiện nay, Nghị định số 81/2013/NĐ-CP và Nghị định số 97/2017/NĐ-CP đã hết hiệu lực thi hành (được thay thế bởi Nghị định số 118/2021/NĐ-CP ngày 23/12/2021 của Chính phủ ban hành quy định chi tiết một số điều và biện pháp thi hành Luật Xử lý vi phạm hành chính). </w:t>
            </w:r>
          </w:p>
        </w:tc>
      </w:tr>
      <w:tr w:rsidR="004B2776" w:rsidRPr="008A4B7C" w:rsidTr="004B2776">
        <w:tc>
          <w:tcPr>
            <w:tcW w:w="708" w:type="dxa"/>
          </w:tcPr>
          <w:p w:rsidR="004B2776" w:rsidRPr="008A4B7C" w:rsidRDefault="004B2776" w:rsidP="008A4B7C">
            <w:pPr>
              <w:jc w:val="both"/>
              <w:rPr>
                <w:b/>
                <w:sz w:val="24"/>
                <w:szCs w:val="24"/>
              </w:rPr>
            </w:pPr>
            <w:r>
              <w:rPr>
                <w:b/>
                <w:sz w:val="24"/>
                <w:szCs w:val="24"/>
              </w:rPr>
              <w:t>07</w:t>
            </w:r>
          </w:p>
        </w:tc>
        <w:tc>
          <w:tcPr>
            <w:tcW w:w="4929" w:type="dxa"/>
          </w:tcPr>
          <w:p w:rsidR="004B2776" w:rsidRPr="00E264B9" w:rsidRDefault="004B2776" w:rsidP="009D22EB">
            <w:pPr>
              <w:spacing w:line="340" w:lineRule="exact"/>
              <w:jc w:val="both"/>
              <w:rPr>
                <w:sz w:val="24"/>
                <w:szCs w:val="24"/>
              </w:rPr>
            </w:pPr>
            <w:r w:rsidRPr="00307E4B">
              <w:rPr>
                <w:color w:val="C00000"/>
                <w:sz w:val="24"/>
                <w:szCs w:val="24"/>
              </w:rPr>
              <w:t>Thông tư số 08/2018/TT-BGTVT ngày 22/02/2018 của Bộ trưởng Bộ GTVT quy định mẫu biên bản, mẫu quyết định sử dụng trong xử phạt vi phạm hành chính lĩnh vực hàng hả</w:t>
            </w:r>
            <w:r w:rsidRPr="00E264B9">
              <w:rPr>
                <w:sz w:val="24"/>
                <w:szCs w:val="24"/>
              </w:rPr>
              <w:t>i</w:t>
            </w:r>
          </w:p>
        </w:tc>
        <w:tc>
          <w:tcPr>
            <w:tcW w:w="7654" w:type="dxa"/>
            <w:vMerge/>
          </w:tcPr>
          <w:p w:rsidR="004B2776" w:rsidRPr="003B5437" w:rsidRDefault="004B2776" w:rsidP="009D22EB">
            <w:pPr>
              <w:jc w:val="both"/>
              <w:rPr>
                <w:sz w:val="24"/>
                <w:szCs w:val="24"/>
              </w:rPr>
            </w:pPr>
          </w:p>
        </w:tc>
      </w:tr>
      <w:tr w:rsidR="004B2776" w:rsidRPr="008A4B7C" w:rsidTr="004B2776">
        <w:tc>
          <w:tcPr>
            <w:tcW w:w="708" w:type="dxa"/>
          </w:tcPr>
          <w:p w:rsidR="004B2776" w:rsidRPr="008A4B7C" w:rsidRDefault="004B2776" w:rsidP="008A4B7C">
            <w:pPr>
              <w:jc w:val="both"/>
              <w:rPr>
                <w:b/>
                <w:sz w:val="24"/>
                <w:szCs w:val="24"/>
              </w:rPr>
            </w:pPr>
            <w:r>
              <w:rPr>
                <w:b/>
                <w:sz w:val="24"/>
                <w:szCs w:val="24"/>
              </w:rPr>
              <w:t>08</w:t>
            </w:r>
          </w:p>
        </w:tc>
        <w:tc>
          <w:tcPr>
            <w:tcW w:w="4929" w:type="dxa"/>
          </w:tcPr>
          <w:p w:rsidR="004B2776" w:rsidRPr="00307E4B" w:rsidRDefault="004B2776" w:rsidP="00496F6D">
            <w:pPr>
              <w:spacing w:line="340" w:lineRule="exact"/>
              <w:jc w:val="both"/>
              <w:rPr>
                <w:color w:val="FF0000"/>
                <w:sz w:val="24"/>
                <w:szCs w:val="24"/>
              </w:rPr>
            </w:pPr>
            <w:r w:rsidRPr="00307E4B">
              <w:rPr>
                <w:color w:val="FF0000"/>
                <w:sz w:val="24"/>
                <w:szCs w:val="24"/>
              </w:rPr>
              <w:t xml:space="preserve">Thông tư số 18/2018/TT-BGTVT ngày 11/4/2018 sửa đổi, bổ sung một số điều của </w:t>
            </w:r>
            <w:r w:rsidRPr="00307E4B">
              <w:rPr>
                <w:color w:val="FF0000"/>
                <w:sz w:val="24"/>
                <w:szCs w:val="24"/>
              </w:rPr>
              <w:lastRenderedPageBreak/>
              <w:t>Thông tư số 12/2016/TT-BGTVT ngày 09/6/2016 của Bộ trưởng Bộ GTVT hướng dẫn thi hành một số điều của Nghị định số 132/2015/NĐ-CP ngày 25 tháng 12 năm 2015 của Chính phủ quy định xử phạt vi phạm hành chính trong lĩnh vực giao thông đường thủy nội địa.</w:t>
            </w:r>
          </w:p>
          <w:p w:rsidR="004B2776" w:rsidRPr="008A4B7C" w:rsidRDefault="004B2776" w:rsidP="008A4B7C">
            <w:pPr>
              <w:spacing w:line="340" w:lineRule="exact"/>
              <w:jc w:val="both"/>
              <w:rPr>
                <w:sz w:val="24"/>
                <w:szCs w:val="24"/>
              </w:rPr>
            </w:pPr>
          </w:p>
          <w:p w:rsidR="004B2776" w:rsidRPr="008A4B7C" w:rsidRDefault="004B2776" w:rsidP="008A4B7C">
            <w:pPr>
              <w:spacing w:line="340" w:lineRule="exact"/>
              <w:jc w:val="both"/>
              <w:rPr>
                <w:sz w:val="24"/>
                <w:szCs w:val="24"/>
              </w:rPr>
            </w:pPr>
          </w:p>
        </w:tc>
        <w:tc>
          <w:tcPr>
            <w:tcW w:w="7654" w:type="dxa"/>
          </w:tcPr>
          <w:p w:rsidR="004B2776" w:rsidRPr="008A4B7C" w:rsidRDefault="004B2776" w:rsidP="008A4B7C">
            <w:pPr>
              <w:jc w:val="both"/>
              <w:rPr>
                <w:sz w:val="24"/>
                <w:szCs w:val="24"/>
              </w:rPr>
            </w:pPr>
            <w:r w:rsidRPr="008A4B7C">
              <w:rPr>
                <w:sz w:val="24"/>
                <w:szCs w:val="24"/>
              </w:rPr>
              <w:lastRenderedPageBreak/>
              <w:t xml:space="preserve">Ngày 31/12/2021 Chính phủ đã ban hành Nghị định số 139/2021/NĐ-CP quy định xử phạt vi phạm hành chính trong lĩnh vực giao thông ĐTNĐ, có hiệu lực từ ngày 01/01/2022 (thay thế Nghị định số 132/2015/NĐ-CP ngày </w:t>
            </w:r>
            <w:r w:rsidRPr="008A4B7C">
              <w:rPr>
                <w:sz w:val="24"/>
                <w:szCs w:val="24"/>
              </w:rPr>
              <w:lastRenderedPageBreak/>
              <w:t>25/12/2015). Do đó, Thông tư hướng dẫn thực hiện Nghị định số 132/2015/NĐ-CP ngày 25/12/2015 cũng hết hiệu lực toàn bộ, nhưng chưa được bãi bỏ bằng văn bản QPPL cùng cấp.</w:t>
            </w:r>
          </w:p>
          <w:p w:rsidR="004B2776" w:rsidRPr="008A4B7C" w:rsidRDefault="004B2776" w:rsidP="008A4B7C">
            <w:pPr>
              <w:jc w:val="both"/>
              <w:rPr>
                <w:b/>
                <w:sz w:val="24"/>
                <w:szCs w:val="24"/>
              </w:rPr>
            </w:pPr>
            <w:r w:rsidRPr="008A4B7C">
              <w:rPr>
                <w:sz w:val="24"/>
                <w:szCs w:val="24"/>
              </w:rPr>
              <w:t xml:space="preserve">Bên cạnh đó, Chính phủ cũng ban hành Nghị định số 118/2021/NĐ-CP ngày 23/12/2021 quy định chi tiết một số điều và biện pháp thi hành Luật Xử lý vi phạm hành chính, trong đó ban hành các biểu mẫu sử dụng trong xử lý vi phạm hành chính, có hiệu lực từ 01/01/2022. </w:t>
            </w:r>
          </w:p>
        </w:tc>
      </w:tr>
      <w:tr w:rsidR="004B2776" w:rsidRPr="008A4B7C" w:rsidTr="004B2776">
        <w:tc>
          <w:tcPr>
            <w:tcW w:w="708" w:type="dxa"/>
          </w:tcPr>
          <w:p w:rsidR="004B2776" w:rsidRPr="008A4B7C" w:rsidRDefault="004B2776" w:rsidP="008A4B7C">
            <w:pPr>
              <w:jc w:val="both"/>
              <w:rPr>
                <w:b/>
                <w:sz w:val="24"/>
                <w:szCs w:val="24"/>
              </w:rPr>
            </w:pPr>
            <w:r>
              <w:rPr>
                <w:b/>
                <w:sz w:val="24"/>
                <w:szCs w:val="24"/>
              </w:rPr>
              <w:lastRenderedPageBreak/>
              <w:t>09</w:t>
            </w:r>
          </w:p>
        </w:tc>
        <w:tc>
          <w:tcPr>
            <w:tcW w:w="4929" w:type="dxa"/>
          </w:tcPr>
          <w:p w:rsidR="004B2776" w:rsidRPr="008A4B7C" w:rsidRDefault="004B2776" w:rsidP="003A65EE">
            <w:pPr>
              <w:spacing w:line="340" w:lineRule="exact"/>
              <w:jc w:val="both"/>
              <w:rPr>
                <w:sz w:val="24"/>
                <w:szCs w:val="24"/>
              </w:rPr>
            </w:pPr>
            <w:r w:rsidRPr="00E264B9">
              <w:rPr>
                <w:sz w:val="24"/>
                <w:szCs w:val="24"/>
              </w:rPr>
              <w:t>Thông tư số 34/2018/TT-BGTVT ngày 28/5/2018 của Bộ trưởng Bộ GTVT quy định mẫu biên bản, mẫu quyết định sử dụng để xử phạt vi phạm hành chính trong lĩnh vực hàng không dân dụng</w:t>
            </w:r>
          </w:p>
        </w:tc>
        <w:tc>
          <w:tcPr>
            <w:tcW w:w="7654" w:type="dxa"/>
          </w:tcPr>
          <w:p w:rsidR="004B2776" w:rsidRPr="008A4B7C" w:rsidRDefault="004B2776" w:rsidP="003A65EE">
            <w:pPr>
              <w:jc w:val="both"/>
              <w:rPr>
                <w:sz w:val="24"/>
                <w:szCs w:val="24"/>
              </w:rPr>
            </w:pPr>
            <w:r w:rsidRPr="003B5437">
              <w:rPr>
                <w:sz w:val="24"/>
                <w:szCs w:val="24"/>
              </w:rPr>
              <w:t xml:space="preserve">Nghị định số 81/2013/NĐ-CP ngày 19/7/2013 của Chính phủ quy định chi tiết một số điều và biện pháp thi hành Luật Xử lý vi phạm hành chính và Nghị định số 97/2017/NĐ-CP ngày 18/8/2017 của Chính phủ sửa đổi, bổ sung một số điều của Nghị định số 81/2013/NĐ-CP. Hiện nay, Nghị định số 81/2013/NĐ-CP và Nghị định số 97/2017/NĐ-CP đã hết hiệu lực thi hành (được thay thế bởi Nghị định số 118/2021/NĐ-CP ngày 23/12/2021 của Chính phủ ban hành quy định chi tiết một số điều và biện pháp thi hành Luật Xử lý vi phạm hành chính). </w:t>
            </w:r>
          </w:p>
        </w:tc>
      </w:tr>
    </w:tbl>
    <w:p w:rsidR="00D468A9" w:rsidRPr="008A4B7C" w:rsidRDefault="00D468A9" w:rsidP="008A4B7C">
      <w:pPr>
        <w:jc w:val="both"/>
        <w:rPr>
          <w:sz w:val="24"/>
          <w:szCs w:val="24"/>
        </w:rPr>
      </w:pPr>
    </w:p>
    <w:p w:rsidR="00D468A9" w:rsidRPr="008A4B7C" w:rsidRDefault="00D468A9" w:rsidP="008A4B7C">
      <w:pPr>
        <w:jc w:val="center"/>
        <w:rPr>
          <w:b/>
          <w:sz w:val="24"/>
          <w:szCs w:val="24"/>
        </w:rPr>
      </w:pPr>
      <w:r w:rsidRPr="008A4B7C">
        <w:rPr>
          <w:b/>
          <w:sz w:val="24"/>
          <w:szCs w:val="24"/>
        </w:rPr>
        <w:t xml:space="preserve">II. DANH MỤC THÔNG TƯ CÓ NỘI DUNG </w:t>
      </w:r>
      <w:r w:rsidR="004E4260" w:rsidRPr="008A4B7C">
        <w:rPr>
          <w:b/>
          <w:sz w:val="24"/>
          <w:szCs w:val="24"/>
        </w:rPr>
        <w:t>BÃI BỎ</w:t>
      </w:r>
    </w:p>
    <w:tbl>
      <w:tblPr>
        <w:tblStyle w:val="TableGrid"/>
        <w:tblW w:w="0" w:type="auto"/>
        <w:tblLook w:val="04A0" w:firstRow="1" w:lastRow="0" w:firstColumn="1" w:lastColumn="0" w:noHBand="0" w:noVBand="1"/>
      </w:tblPr>
      <w:tblGrid>
        <w:gridCol w:w="675"/>
        <w:gridCol w:w="2552"/>
        <w:gridCol w:w="3969"/>
        <w:gridCol w:w="3118"/>
        <w:gridCol w:w="2862"/>
      </w:tblGrid>
      <w:tr w:rsidR="004E4260" w:rsidRPr="008A4B7C" w:rsidTr="004E4260">
        <w:tc>
          <w:tcPr>
            <w:tcW w:w="675" w:type="dxa"/>
          </w:tcPr>
          <w:p w:rsidR="004E4260" w:rsidRPr="008A4B7C" w:rsidRDefault="004E4260" w:rsidP="008A4B7C">
            <w:pPr>
              <w:jc w:val="both"/>
              <w:rPr>
                <w:b/>
                <w:sz w:val="24"/>
                <w:szCs w:val="24"/>
              </w:rPr>
            </w:pPr>
            <w:r w:rsidRPr="008A4B7C">
              <w:rPr>
                <w:b/>
                <w:sz w:val="24"/>
                <w:szCs w:val="24"/>
              </w:rPr>
              <w:t>STT</w:t>
            </w:r>
          </w:p>
        </w:tc>
        <w:tc>
          <w:tcPr>
            <w:tcW w:w="2552" w:type="dxa"/>
          </w:tcPr>
          <w:p w:rsidR="004E4260" w:rsidRPr="008A4B7C" w:rsidRDefault="004E4260" w:rsidP="008A4B7C">
            <w:pPr>
              <w:jc w:val="both"/>
              <w:rPr>
                <w:b/>
                <w:sz w:val="24"/>
                <w:szCs w:val="24"/>
              </w:rPr>
            </w:pPr>
            <w:r w:rsidRPr="008A4B7C">
              <w:rPr>
                <w:b/>
                <w:sz w:val="24"/>
                <w:szCs w:val="24"/>
              </w:rPr>
              <w:t>Nội dung bãi bỏ</w:t>
            </w:r>
          </w:p>
        </w:tc>
        <w:tc>
          <w:tcPr>
            <w:tcW w:w="3969" w:type="dxa"/>
          </w:tcPr>
          <w:p w:rsidR="004E4260" w:rsidRPr="008A4B7C" w:rsidRDefault="004E4260" w:rsidP="008A4B7C">
            <w:pPr>
              <w:jc w:val="both"/>
              <w:rPr>
                <w:b/>
                <w:sz w:val="24"/>
                <w:szCs w:val="24"/>
              </w:rPr>
            </w:pPr>
            <w:r w:rsidRPr="008A4B7C">
              <w:rPr>
                <w:b/>
                <w:sz w:val="24"/>
                <w:szCs w:val="24"/>
              </w:rPr>
              <w:t>Tên Thông tư</w:t>
            </w:r>
          </w:p>
        </w:tc>
        <w:tc>
          <w:tcPr>
            <w:tcW w:w="3118" w:type="dxa"/>
          </w:tcPr>
          <w:p w:rsidR="004E4260" w:rsidRPr="008A4B7C" w:rsidRDefault="004E4260" w:rsidP="008A4B7C">
            <w:pPr>
              <w:jc w:val="both"/>
              <w:rPr>
                <w:b/>
                <w:sz w:val="24"/>
                <w:szCs w:val="24"/>
              </w:rPr>
            </w:pPr>
            <w:r w:rsidRPr="008A4B7C">
              <w:rPr>
                <w:b/>
                <w:sz w:val="24"/>
                <w:szCs w:val="24"/>
              </w:rPr>
              <w:t>Cơ quan đề xuất</w:t>
            </w:r>
          </w:p>
        </w:tc>
        <w:tc>
          <w:tcPr>
            <w:tcW w:w="2862" w:type="dxa"/>
          </w:tcPr>
          <w:p w:rsidR="004E4260" w:rsidRPr="008A4B7C" w:rsidRDefault="004E4260" w:rsidP="008A4B7C">
            <w:pPr>
              <w:jc w:val="both"/>
              <w:rPr>
                <w:b/>
                <w:sz w:val="24"/>
                <w:szCs w:val="24"/>
              </w:rPr>
            </w:pPr>
            <w:r w:rsidRPr="008A4B7C">
              <w:rPr>
                <w:b/>
                <w:sz w:val="24"/>
                <w:szCs w:val="24"/>
              </w:rPr>
              <w:t>Lý do bãi bỏ</w:t>
            </w:r>
          </w:p>
        </w:tc>
      </w:tr>
      <w:tr w:rsidR="00A1382A" w:rsidRPr="008A4B7C" w:rsidTr="004E4260">
        <w:tc>
          <w:tcPr>
            <w:tcW w:w="675" w:type="dxa"/>
          </w:tcPr>
          <w:p w:rsidR="00A1382A" w:rsidRPr="008A4B7C" w:rsidRDefault="00A1382A" w:rsidP="008A4B7C">
            <w:pPr>
              <w:jc w:val="both"/>
              <w:rPr>
                <w:sz w:val="24"/>
                <w:szCs w:val="24"/>
              </w:rPr>
            </w:pPr>
            <w:r w:rsidRPr="008A4B7C">
              <w:rPr>
                <w:sz w:val="24"/>
                <w:szCs w:val="24"/>
              </w:rPr>
              <w:t>01</w:t>
            </w:r>
          </w:p>
        </w:tc>
        <w:tc>
          <w:tcPr>
            <w:tcW w:w="2552" w:type="dxa"/>
          </w:tcPr>
          <w:p w:rsidR="00A1382A" w:rsidRPr="008A4B7C" w:rsidRDefault="00A1382A" w:rsidP="00A1382A">
            <w:pPr>
              <w:jc w:val="both"/>
              <w:rPr>
                <w:sz w:val="24"/>
                <w:szCs w:val="24"/>
              </w:rPr>
            </w:pPr>
            <w:r w:rsidRPr="008A4B7C">
              <w:rPr>
                <w:sz w:val="24"/>
                <w:szCs w:val="24"/>
              </w:rPr>
              <w:t>Mục II của Phụ lục Thông tư số 08/2015/TT-BGTVT quy định định mức dự toán công tác cứu hộ trên đường cao tốc bao gồm 8 mục chia thành 17 mã hiệu từ CTCH.01 đế</w:t>
            </w:r>
            <w:r>
              <w:rPr>
                <w:sz w:val="24"/>
                <w:szCs w:val="24"/>
              </w:rPr>
              <w:t>n CTCH.17 (</w:t>
            </w:r>
            <w:r w:rsidRPr="008A4B7C">
              <w:rPr>
                <w:color w:val="000000"/>
                <w:sz w:val="24"/>
                <w:szCs w:val="24"/>
              </w:rPr>
              <w:t xml:space="preserve">Bãi bỏ </w:t>
            </w:r>
            <w:r w:rsidRPr="008A4B7C">
              <w:rPr>
                <w:color w:val="000000"/>
                <w:sz w:val="24"/>
                <w:szCs w:val="24"/>
              </w:rPr>
              <w:lastRenderedPageBreak/>
              <w:t>Điều 8</w:t>
            </w:r>
            <w:r>
              <w:rPr>
                <w:color w:val="000000"/>
                <w:sz w:val="24"/>
                <w:szCs w:val="24"/>
              </w:rPr>
              <w:t>)</w:t>
            </w:r>
          </w:p>
        </w:tc>
        <w:tc>
          <w:tcPr>
            <w:tcW w:w="3969" w:type="dxa"/>
          </w:tcPr>
          <w:p w:rsidR="00A1382A" w:rsidRPr="008A4B7C" w:rsidRDefault="00A1382A" w:rsidP="008A4B7C">
            <w:pPr>
              <w:jc w:val="both"/>
              <w:rPr>
                <w:sz w:val="24"/>
                <w:szCs w:val="24"/>
              </w:rPr>
            </w:pPr>
            <w:r w:rsidRPr="008A4B7C">
              <w:rPr>
                <w:sz w:val="24"/>
                <w:szCs w:val="24"/>
              </w:rPr>
              <w:lastRenderedPageBreak/>
              <w:t xml:space="preserve">Thông tư số 08/2015/TT-BGTVT ngày 14/4/2015 của Bộ trưởng Bộ GTVT quy định về công tác cứu hộ và định mức dự toán công tác cứu hộ trên đường cao tốc:  </w:t>
            </w:r>
          </w:p>
          <w:p w:rsidR="00A1382A" w:rsidRPr="008A4B7C" w:rsidRDefault="00A1382A" w:rsidP="008A4B7C">
            <w:pPr>
              <w:jc w:val="both"/>
              <w:rPr>
                <w:sz w:val="24"/>
                <w:szCs w:val="24"/>
              </w:rPr>
            </w:pPr>
          </w:p>
        </w:tc>
        <w:tc>
          <w:tcPr>
            <w:tcW w:w="3118" w:type="dxa"/>
          </w:tcPr>
          <w:p w:rsidR="00A1382A" w:rsidRPr="008A4B7C" w:rsidRDefault="00A1382A" w:rsidP="008A4B7C">
            <w:pPr>
              <w:jc w:val="both"/>
              <w:rPr>
                <w:sz w:val="24"/>
                <w:szCs w:val="24"/>
              </w:rPr>
            </w:pPr>
            <w:r w:rsidRPr="008A4B7C">
              <w:rPr>
                <w:sz w:val="24"/>
                <w:szCs w:val="24"/>
              </w:rPr>
              <w:t>Vụ KCHT</w:t>
            </w:r>
            <w:r>
              <w:rPr>
                <w:sz w:val="24"/>
                <w:szCs w:val="24"/>
              </w:rPr>
              <w:t>, Tổng cục ĐBVN</w:t>
            </w:r>
          </w:p>
        </w:tc>
        <w:tc>
          <w:tcPr>
            <w:tcW w:w="2862" w:type="dxa"/>
          </w:tcPr>
          <w:p w:rsidR="00A1382A" w:rsidRPr="008A4B7C" w:rsidRDefault="00A1382A" w:rsidP="008A4B7C">
            <w:pPr>
              <w:jc w:val="both"/>
              <w:rPr>
                <w:sz w:val="24"/>
                <w:szCs w:val="24"/>
              </w:rPr>
            </w:pPr>
            <w:r w:rsidRPr="008A4B7C">
              <w:rPr>
                <w:sz w:val="24"/>
                <w:szCs w:val="24"/>
              </w:rPr>
              <w:t xml:space="preserve"> Các nội dung này đã được cập nhật trong 08 mã hiệu từ CHCT.10100 đến CHCT.10800 quy định tại Phụ lục II. Định mức quản lý, bảo dưỡng thường xuyên đường cao tốc của Thông tư số 44/2021/TT-BGTVT ngày 31/12/2021 </w:t>
            </w:r>
            <w:r w:rsidRPr="008A4B7C">
              <w:rPr>
                <w:sz w:val="24"/>
                <w:szCs w:val="24"/>
              </w:rPr>
              <w:lastRenderedPageBreak/>
              <w:t>của Bộ trưởng Bộ GTVT an hành định mức quản lý, bảo dưỡng thường xuyên đường bộ.</w:t>
            </w:r>
          </w:p>
        </w:tc>
      </w:tr>
    </w:tbl>
    <w:p w:rsidR="004E4260" w:rsidRPr="008A4B7C" w:rsidRDefault="004E4260" w:rsidP="008A4B7C">
      <w:pPr>
        <w:jc w:val="both"/>
        <w:rPr>
          <w:sz w:val="24"/>
          <w:szCs w:val="24"/>
        </w:rPr>
      </w:pPr>
    </w:p>
    <w:sectPr w:rsidR="004E4260" w:rsidRPr="008A4B7C" w:rsidSect="006C71DD">
      <w:headerReference w:type="default" r:id="rId8"/>
      <w:pgSz w:w="15840" w:h="12240" w:orient="landscape"/>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20" w:rsidRDefault="00A00220" w:rsidP="006C71DD">
      <w:pPr>
        <w:spacing w:after="0" w:line="240" w:lineRule="auto"/>
      </w:pPr>
      <w:r>
        <w:separator/>
      </w:r>
    </w:p>
  </w:endnote>
  <w:endnote w:type="continuationSeparator" w:id="0">
    <w:p w:rsidR="00A00220" w:rsidRDefault="00A00220" w:rsidP="006C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20" w:rsidRDefault="00A00220" w:rsidP="006C71DD">
      <w:pPr>
        <w:spacing w:after="0" w:line="240" w:lineRule="auto"/>
      </w:pPr>
      <w:r>
        <w:separator/>
      </w:r>
    </w:p>
  </w:footnote>
  <w:footnote w:type="continuationSeparator" w:id="0">
    <w:p w:rsidR="00A00220" w:rsidRDefault="00A00220" w:rsidP="006C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288708"/>
      <w:docPartObj>
        <w:docPartGallery w:val="Page Numbers (Top of Page)"/>
        <w:docPartUnique/>
      </w:docPartObj>
    </w:sdtPr>
    <w:sdtEndPr>
      <w:rPr>
        <w:noProof/>
      </w:rPr>
    </w:sdtEndPr>
    <w:sdtContent>
      <w:p w:rsidR="006C71DD" w:rsidRDefault="006C71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C71DD" w:rsidRDefault="006C7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A9"/>
    <w:rsid w:val="00307E4B"/>
    <w:rsid w:val="003A65EE"/>
    <w:rsid w:val="003B5437"/>
    <w:rsid w:val="00447B13"/>
    <w:rsid w:val="00496F6D"/>
    <w:rsid w:val="004B2776"/>
    <w:rsid w:val="004E4260"/>
    <w:rsid w:val="005D01F8"/>
    <w:rsid w:val="00697CD2"/>
    <w:rsid w:val="006C71DD"/>
    <w:rsid w:val="00770D30"/>
    <w:rsid w:val="00836D95"/>
    <w:rsid w:val="008A4B7C"/>
    <w:rsid w:val="00A00220"/>
    <w:rsid w:val="00A1382A"/>
    <w:rsid w:val="00BB5A4E"/>
    <w:rsid w:val="00C53D89"/>
    <w:rsid w:val="00D468A9"/>
    <w:rsid w:val="00DF307D"/>
    <w:rsid w:val="00DF69B8"/>
    <w:rsid w:val="00E201D3"/>
    <w:rsid w:val="00E264B9"/>
    <w:rsid w:val="00F6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7C"/>
    <w:rPr>
      <w:rFonts w:ascii="Tahoma" w:hAnsi="Tahoma" w:cs="Tahoma"/>
      <w:sz w:val="16"/>
      <w:szCs w:val="16"/>
    </w:rPr>
  </w:style>
  <w:style w:type="paragraph" w:styleId="Header">
    <w:name w:val="header"/>
    <w:basedOn w:val="Normal"/>
    <w:link w:val="HeaderChar"/>
    <w:uiPriority w:val="99"/>
    <w:unhideWhenUsed/>
    <w:rsid w:val="006C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DD"/>
  </w:style>
  <w:style w:type="paragraph" w:styleId="Footer">
    <w:name w:val="footer"/>
    <w:basedOn w:val="Normal"/>
    <w:link w:val="FooterChar"/>
    <w:uiPriority w:val="99"/>
    <w:unhideWhenUsed/>
    <w:rsid w:val="006C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7C"/>
    <w:rPr>
      <w:rFonts w:ascii="Tahoma" w:hAnsi="Tahoma" w:cs="Tahoma"/>
      <w:sz w:val="16"/>
      <w:szCs w:val="16"/>
    </w:rPr>
  </w:style>
  <w:style w:type="paragraph" w:styleId="Header">
    <w:name w:val="header"/>
    <w:basedOn w:val="Normal"/>
    <w:link w:val="HeaderChar"/>
    <w:uiPriority w:val="99"/>
    <w:unhideWhenUsed/>
    <w:rsid w:val="006C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DD"/>
  </w:style>
  <w:style w:type="paragraph" w:styleId="Footer">
    <w:name w:val="footer"/>
    <w:basedOn w:val="Normal"/>
    <w:link w:val="FooterChar"/>
    <w:uiPriority w:val="99"/>
    <w:unhideWhenUsed/>
    <w:rsid w:val="006C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52A414-211A-499B-8D59-8F124AD5E5F9}">
  <ds:schemaRefs>
    <ds:schemaRef ds:uri="http://schemas.openxmlformats.org/officeDocument/2006/bibliography"/>
  </ds:schemaRefs>
</ds:datastoreItem>
</file>

<file path=customXml/itemProps2.xml><?xml version="1.0" encoding="utf-8"?>
<ds:datastoreItem xmlns:ds="http://schemas.openxmlformats.org/officeDocument/2006/customXml" ds:itemID="{446239E8-C72F-4059-9FBA-B924E6C4F27B}"/>
</file>

<file path=customXml/itemProps3.xml><?xml version="1.0" encoding="utf-8"?>
<ds:datastoreItem xmlns:ds="http://schemas.openxmlformats.org/officeDocument/2006/customXml" ds:itemID="{65219805-79DF-476F-A500-8B160435CF0F}"/>
</file>

<file path=customXml/itemProps4.xml><?xml version="1.0" encoding="utf-8"?>
<ds:datastoreItem xmlns:ds="http://schemas.openxmlformats.org/officeDocument/2006/customXml" ds:itemID="{E20B62D3-D4C4-4956-9CCE-4BE95E5C942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2022-09-19T03:28:00Z</cp:lastPrinted>
  <dcterms:created xsi:type="dcterms:W3CDTF">2022-10-17T08:35:00Z</dcterms:created>
  <dcterms:modified xsi:type="dcterms:W3CDTF">2022-10-17T08:36:00Z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