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848"/>
        <w:gridCol w:w="522"/>
        <w:gridCol w:w="5744"/>
      </w:tblGrid>
      <w:tr w:rsidR="000944D4" w:rsidRPr="00EA4B6A" w:rsidTr="002049AA">
        <w:trPr>
          <w:tblCellSpacing w:w="15" w:type="dxa"/>
        </w:trPr>
        <w:tc>
          <w:tcPr>
            <w:tcW w:w="1538" w:type="pct"/>
          </w:tcPr>
          <w:p w:rsidR="000944D4" w:rsidRPr="00815440" w:rsidRDefault="004469A9" w:rsidP="00E10489">
            <w:pPr>
              <w:spacing w:after="0" w:line="240" w:lineRule="auto"/>
              <w:rPr>
                <w:rFonts w:ascii="Times New Roman" w:hAnsi="Times New Roman"/>
                <w:b/>
                <w:sz w:val="24"/>
                <w:szCs w:val="24"/>
              </w:rPr>
            </w:pPr>
            <w:r w:rsidRPr="004469A9">
              <w:rPr>
                <w:rFonts w:ascii="Times New Roman" w:hAnsi="Times New Roman"/>
                <w:b/>
                <w:noProof/>
                <w:sz w:val="26"/>
                <w:szCs w:val="24"/>
              </w:rPr>
              <w:pict>
                <v:shapetype id="_x0000_t32" coordsize="21600,21600" o:spt="32" o:oned="t" path="m,l21600,21600e" filled="f">
                  <v:path arrowok="t" fillok="f" o:connecttype="none"/>
                  <o:lock v:ext="edit" shapetype="t"/>
                </v:shapetype>
                <v:shape id="_x0000_s1026" type="#_x0000_t32" style="position:absolute;margin-left:55.75pt;margin-top:22.35pt;width:28.15pt;height:0;z-index:251658240" o:connectortype="straight"/>
              </w:pict>
            </w:r>
            <w:r w:rsidR="000944D4" w:rsidRPr="00815440">
              <w:rPr>
                <w:rFonts w:ascii="Times New Roman" w:hAnsi="Times New Roman"/>
                <w:b/>
                <w:sz w:val="26"/>
                <w:szCs w:val="24"/>
              </w:rPr>
              <w:t>BỘ TÀI CHÍNH</w:t>
            </w:r>
          </w:p>
          <w:p w:rsidR="000944D4" w:rsidRPr="006C2439" w:rsidRDefault="000944D4" w:rsidP="00815440">
            <w:pPr>
              <w:spacing w:after="0" w:line="240" w:lineRule="auto"/>
              <w:jc w:val="center"/>
              <w:rPr>
                <w:rFonts w:ascii=".VnFree" w:hAnsi=".VnFree"/>
                <w:b/>
                <w:i/>
                <w:sz w:val="24"/>
                <w:szCs w:val="24"/>
              </w:rPr>
            </w:pP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6C2439">
            <w:pPr>
              <w:spacing w:before="120" w:after="0" w:line="240" w:lineRule="auto"/>
              <w:jc w:val="center"/>
              <w:rPr>
                <w:rFonts w:ascii="Times New Roman" w:eastAsia="Times New Roman" w:hAnsi="Times New Roman"/>
                <w:sz w:val="26"/>
                <w:szCs w:val="26"/>
              </w:rPr>
            </w:pPr>
            <w:proofErr w:type="spellStart"/>
            <w:r w:rsidRPr="00EA4B6A">
              <w:rPr>
                <w:rFonts w:ascii="Times New Roman" w:eastAsia="Times New Roman" w:hAnsi="Times New Roman"/>
                <w:sz w:val="26"/>
                <w:szCs w:val="26"/>
              </w:rPr>
              <w:t>Số</w:t>
            </w:r>
            <w:proofErr w:type="spellEnd"/>
            <w:r w:rsidRPr="00EA4B6A">
              <w:rPr>
                <w:rFonts w:ascii="Times New Roman" w:eastAsia="Times New Roman" w:hAnsi="Times New Roman"/>
                <w:sz w:val="26"/>
                <w:szCs w:val="26"/>
              </w:rPr>
              <w:t>:</w:t>
            </w:r>
            <w:r w:rsidR="00CE7C92">
              <w:rPr>
                <w:rFonts w:ascii="Times New Roman" w:eastAsia="Times New Roman" w:hAnsi="Times New Roman"/>
                <w:sz w:val="26"/>
                <w:szCs w:val="26"/>
              </w:rPr>
              <w:t xml:space="preserve"> </w:t>
            </w:r>
            <w:r w:rsidR="003204F8">
              <w:rPr>
                <w:rFonts w:ascii="Times New Roman" w:eastAsia="Times New Roman" w:hAnsi="Times New Roman"/>
                <w:sz w:val="26"/>
                <w:szCs w:val="26"/>
              </w:rPr>
              <w:t xml:space="preserve">       </w:t>
            </w:r>
            <w:r>
              <w:rPr>
                <w:rFonts w:ascii="Times New Roman" w:eastAsia="Times New Roman" w:hAnsi="Times New Roman"/>
                <w:sz w:val="26"/>
                <w:szCs w:val="26"/>
              </w:rPr>
              <w:t>/202</w:t>
            </w:r>
            <w:r w:rsidR="003204F8">
              <w:rPr>
                <w:rFonts w:ascii="Times New Roman" w:eastAsia="Times New Roman" w:hAnsi="Times New Roman"/>
                <w:sz w:val="26"/>
                <w:szCs w:val="26"/>
              </w:rPr>
              <w:t>2</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proofErr w:type="spellStart"/>
            <w:r w:rsidRPr="00EA4B6A">
              <w:rPr>
                <w:rFonts w:ascii="Times New Roman" w:eastAsia="Times New Roman" w:hAnsi="Times New Roman"/>
                <w:b/>
                <w:sz w:val="28"/>
                <w:szCs w:val="28"/>
              </w:rPr>
              <w:t>Độc</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lập</w:t>
            </w:r>
            <w:proofErr w:type="spellEnd"/>
            <w:r w:rsidRPr="00EA4B6A">
              <w:rPr>
                <w:rFonts w:ascii="Times New Roman" w:eastAsia="Times New Roman" w:hAnsi="Times New Roman"/>
                <w:b/>
                <w:sz w:val="28"/>
                <w:szCs w:val="28"/>
              </w:rPr>
              <w:t xml:space="preserve"> - </w:t>
            </w:r>
            <w:proofErr w:type="spellStart"/>
            <w:r w:rsidRPr="00EA4B6A">
              <w:rPr>
                <w:rFonts w:ascii="Times New Roman" w:eastAsia="Times New Roman" w:hAnsi="Times New Roman"/>
                <w:b/>
                <w:sz w:val="28"/>
                <w:szCs w:val="28"/>
              </w:rPr>
              <w:t>Tự</w:t>
            </w:r>
            <w:proofErr w:type="spellEnd"/>
            <w:r w:rsidRPr="00EA4B6A">
              <w:rPr>
                <w:rFonts w:ascii="Times New Roman" w:eastAsia="Times New Roman" w:hAnsi="Times New Roman"/>
                <w:b/>
                <w:sz w:val="28"/>
                <w:szCs w:val="28"/>
              </w:rPr>
              <w:t xml:space="preserve"> do - </w:t>
            </w:r>
            <w:proofErr w:type="spellStart"/>
            <w:r w:rsidRPr="00EA4B6A">
              <w:rPr>
                <w:rFonts w:ascii="Times New Roman" w:eastAsia="Times New Roman" w:hAnsi="Times New Roman"/>
                <w:b/>
                <w:sz w:val="28"/>
                <w:szCs w:val="28"/>
              </w:rPr>
              <w:t>Hạnh</w:t>
            </w:r>
            <w:proofErr w:type="spellEnd"/>
            <w:r w:rsidRPr="00EA4B6A">
              <w:rPr>
                <w:rFonts w:ascii="Times New Roman" w:eastAsia="Times New Roman" w:hAnsi="Times New Roman"/>
                <w:b/>
                <w:sz w:val="28"/>
                <w:szCs w:val="28"/>
              </w:rPr>
              <w:t xml:space="preserve"> </w:t>
            </w:r>
            <w:proofErr w:type="spellStart"/>
            <w:r w:rsidRPr="00EA4B6A">
              <w:rPr>
                <w:rFonts w:ascii="Times New Roman" w:eastAsia="Times New Roman" w:hAnsi="Times New Roman"/>
                <w:b/>
                <w:sz w:val="28"/>
                <w:szCs w:val="28"/>
              </w:rPr>
              <w:t>phúc</w:t>
            </w:r>
            <w:proofErr w:type="spellEnd"/>
          </w:p>
          <w:p w:rsidR="000944D4" w:rsidRPr="00A232E6" w:rsidRDefault="004469A9" w:rsidP="002049AA">
            <w:pPr>
              <w:spacing w:after="0" w:line="240" w:lineRule="auto"/>
              <w:jc w:val="center"/>
              <w:rPr>
                <w:rFonts w:ascii=".VnFree" w:hAnsi=".VnFree"/>
                <w:i/>
                <w:sz w:val="28"/>
                <w:szCs w:val="28"/>
              </w:rPr>
            </w:pPr>
            <w:r w:rsidRPr="004469A9">
              <w:rPr>
                <w:rFonts w:ascii="Times New Roman" w:eastAsia="Times New Roman" w:hAnsi="Times New Roman"/>
                <w:b/>
                <w:noProof/>
                <w:sz w:val="26"/>
                <w:szCs w:val="24"/>
              </w:rPr>
              <w:pict>
                <v:shape id="_x0000_s1028" type="#_x0000_t32" style="position:absolute;left:0;text-align:left;margin-left:57.05pt;margin-top:8.85pt;width:168.85pt;height:0;z-index:251659264" o:connectortype="straight"/>
              </w:pict>
            </w:r>
          </w:p>
          <w:p w:rsidR="00B365A4" w:rsidRPr="00EA4B6A" w:rsidRDefault="00DE2305" w:rsidP="00DA0F4E">
            <w:pPr>
              <w:spacing w:before="60" w:after="0" w:line="240" w:lineRule="auto"/>
              <w:jc w:val="center"/>
              <w:rPr>
                <w:rFonts w:ascii="Times New Roman" w:eastAsia="Times New Roman" w:hAnsi="Times New Roman"/>
                <w:i/>
                <w:sz w:val="28"/>
                <w:szCs w:val="28"/>
              </w:rPr>
            </w:pPr>
            <w:proofErr w:type="spellStart"/>
            <w:r>
              <w:rPr>
                <w:rFonts w:ascii="Times New Roman" w:eastAsia="Times New Roman" w:hAnsi="Times New Roman"/>
                <w:i/>
                <w:iCs/>
                <w:sz w:val="28"/>
                <w:szCs w:val="28"/>
              </w:rPr>
              <w:t>Hà</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Nội</w:t>
            </w:r>
            <w:proofErr w:type="spellEnd"/>
            <w:r>
              <w:rPr>
                <w:rFonts w:ascii="Times New Roman" w:eastAsia="Times New Roman" w:hAnsi="Times New Roman"/>
                <w:i/>
                <w:iCs/>
                <w:sz w:val="28"/>
                <w:szCs w:val="28"/>
              </w:rPr>
              <w:t xml:space="preserve">, </w:t>
            </w:r>
            <w:proofErr w:type="spellStart"/>
            <w:r>
              <w:rPr>
                <w:rFonts w:ascii="Times New Roman" w:eastAsia="Times New Roman" w:hAnsi="Times New Roman"/>
                <w:i/>
                <w:iCs/>
                <w:sz w:val="28"/>
                <w:szCs w:val="28"/>
              </w:rPr>
              <w:t>ngày</w:t>
            </w:r>
            <w:proofErr w:type="spellEnd"/>
            <w:r w:rsidR="00CE7C92">
              <w:rPr>
                <w:rFonts w:ascii="Times New Roman" w:eastAsia="Times New Roman" w:hAnsi="Times New Roman"/>
                <w:i/>
                <w:iCs/>
                <w:sz w:val="28"/>
                <w:szCs w:val="28"/>
              </w:rPr>
              <w:t xml:space="preserve"> </w:t>
            </w:r>
            <w:r w:rsidR="003204F8">
              <w:rPr>
                <w:rFonts w:ascii="Times New Roman" w:eastAsia="Times New Roman" w:hAnsi="Times New Roman"/>
                <w:i/>
                <w:iCs/>
                <w:sz w:val="28"/>
                <w:szCs w:val="28"/>
              </w:rPr>
              <w:t xml:space="preserve">     </w:t>
            </w:r>
            <w:r w:rsidR="0006035C">
              <w:rPr>
                <w:rFonts w:ascii="Times New Roman" w:eastAsia="Times New Roman" w:hAnsi="Times New Roman"/>
                <w:i/>
                <w:iCs/>
                <w:sz w:val="28"/>
                <w:szCs w:val="28"/>
              </w:rPr>
              <w:t xml:space="preserve"> </w:t>
            </w:r>
            <w:proofErr w:type="spellStart"/>
            <w:r w:rsidR="0006035C">
              <w:rPr>
                <w:rFonts w:ascii="Times New Roman" w:eastAsia="Times New Roman" w:hAnsi="Times New Roman"/>
                <w:i/>
                <w:iCs/>
                <w:sz w:val="28"/>
                <w:szCs w:val="28"/>
              </w:rPr>
              <w:t>tháng</w:t>
            </w:r>
            <w:proofErr w:type="spellEnd"/>
            <w:r w:rsidR="0006035C">
              <w:rPr>
                <w:rFonts w:ascii="Times New Roman" w:eastAsia="Times New Roman" w:hAnsi="Times New Roman"/>
                <w:i/>
                <w:iCs/>
                <w:sz w:val="28"/>
                <w:szCs w:val="28"/>
              </w:rPr>
              <w:t xml:space="preserve"> </w:t>
            </w:r>
            <w:r w:rsidR="003204F8">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proofErr w:type="spellStart"/>
            <w:r w:rsidR="000944D4" w:rsidRPr="00EA4B6A">
              <w:rPr>
                <w:rFonts w:ascii="Times New Roman" w:eastAsia="Times New Roman" w:hAnsi="Times New Roman"/>
                <w:i/>
                <w:iCs/>
                <w:sz w:val="28"/>
                <w:szCs w:val="28"/>
              </w:rPr>
              <w:t>năm</w:t>
            </w:r>
            <w:proofErr w:type="spellEnd"/>
            <w:r w:rsidR="000944D4" w:rsidRPr="00EA4B6A">
              <w:rPr>
                <w:rFonts w:ascii="Times New Roman" w:eastAsia="Times New Roman" w:hAnsi="Times New Roman"/>
                <w:i/>
                <w:iCs/>
                <w:sz w:val="28"/>
                <w:szCs w:val="28"/>
              </w:rPr>
              <w:t xml:space="preserve"> 20</w:t>
            </w:r>
            <w:r w:rsidR="000944D4">
              <w:rPr>
                <w:rFonts w:ascii="Times New Roman" w:eastAsia="Times New Roman" w:hAnsi="Times New Roman"/>
                <w:i/>
                <w:iCs/>
                <w:sz w:val="28"/>
                <w:szCs w:val="28"/>
              </w:rPr>
              <w:t>2</w:t>
            </w:r>
            <w:r w:rsidR="003204F8">
              <w:rPr>
                <w:rFonts w:ascii="Times New Roman" w:eastAsia="Times New Roman" w:hAnsi="Times New Roman"/>
                <w:i/>
                <w:iCs/>
                <w:sz w:val="28"/>
                <w:szCs w:val="28"/>
              </w:rPr>
              <w:t>2</w:t>
            </w:r>
          </w:p>
        </w:tc>
      </w:tr>
    </w:tbl>
    <w:p w:rsidR="00FE51EB" w:rsidRPr="00604552" w:rsidRDefault="00FE51EB" w:rsidP="00D70AB8">
      <w:pPr>
        <w:spacing w:before="120" w:after="0" w:line="240" w:lineRule="auto"/>
        <w:jc w:val="center"/>
        <w:rPr>
          <w:rFonts w:ascii="Times New Roman" w:eastAsia="Times New Roman" w:hAnsi="Times New Roman"/>
          <w:b/>
          <w:bCs/>
          <w:sz w:val="28"/>
          <w:szCs w:val="28"/>
        </w:rPr>
      </w:pPr>
      <w:r w:rsidRPr="00604552">
        <w:rPr>
          <w:rFonts w:ascii="Times New Roman" w:eastAsia="Times New Roman" w:hAnsi="Times New Roman"/>
          <w:b/>
          <w:bCs/>
          <w:sz w:val="28"/>
          <w:szCs w:val="28"/>
        </w:rPr>
        <w:t>THÔNG TƯ</w:t>
      </w:r>
    </w:p>
    <w:p w:rsidR="00E24BDE" w:rsidRPr="00E93D04" w:rsidRDefault="00661AB8" w:rsidP="00DA0F4E">
      <w:pPr>
        <w:widowControl w:val="0"/>
        <w:spacing w:after="0" w:line="240" w:lineRule="auto"/>
        <w:jc w:val="center"/>
        <w:rPr>
          <w:rFonts w:ascii="Times New Roman" w:eastAsia="Times New Roman" w:hAnsi="Times New Roman"/>
          <w:b/>
          <w:spacing w:val="-2"/>
          <w:sz w:val="28"/>
          <w:szCs w:val="28"/>
          <w:lang w:val="nl-NL"/>
        </w:rPr>
      </w:pPr>
      <w:r w:rsidRPr="00E93D04">
        <w:rPr>
          <w:rFonts w:ascii="Times New Roman" w:eastAsia="Times New Roman" w:hAnsi="Times New Roman"/>
          <w:b/>
          <w:spacing w:val="-2"/>
          <w:sz w:val="28"/>
          <w:szCs w:val="28"/>
          <w:lang w:val="nl-NL"/>
        </w:rPr>
        <w:t>Q</w:t>
      </w:r>
      <w:r w:rsidR="00371C65" w:rsidRPr="00E93D04">
        <w:rPr>
          <w:rFonts w:ascii="Times New Roman" w:eastAsia="Times New Roman" w:hAnsi="Times New Roman"/>
          <w:b/>
          <w:spacing w:val="-2"/>
          <w:sz w:val="28"/>
          <w:szCs w:val="28"/>
          <w:lang w:val="nl-NL"/>
        </w:rPr>
        <w:t>uy định</w:t>
      </w:r>
      <w:r w:rsidRPr="00E93D04">
        <w:rPr>
          <w:rFonts w:ascii="Times New Roman" w:eastAsia="Times New Roman" w:hAnsi="Times New Roman"/>
          <w:b/>
          <w:spacing w:val="-2"/>
          <w:sz w:val="28"/>
          <w:szCs w:val="28"/>
          <w:lang w:val="nl-NL"/>
        </w:rPr>
        <w:t xml:space="preserve"> </w:t>
      </w:r>
      <w:r w:rsidR="00580F9B" w:rsidRPr="00E93D04">
        <w:rPr>
          <w:rFonts w:ascii="Times New Roman" w:eastAsia="Times New Roman" w:hAnsi="Times New Roman"/>
          <w:b/>
          <w:spacing w:val="-2"/>
          <w:sz w:val="28"/>
          <w:szCs w:val="28"/>
          <w:lang w:val="nl-NL"/>
        </w:rPr>
        <w:t>mức thu một số khoản phí, lệ phí</w:t>
      </w:r>
      <w:r w:rsidR="00305F28" w:rsidRPr="00E93D04">
        <w:rPr>
          <w:rFonts w:ascii="Times New Roman" w:eastAsia="Times New Roman" w:hAnsi="Times New Roman"/>
          <w:b/>
          <w:spacing w:val="-2"/>
          <w:sz w:val="28"/>
          <w:szCs w:val="28"/>
          <w:lang w:val="nl-NL"/>
        </w:rPr>
        <w:t xml:space="preserve"> </w:t>
      </w:r>
      <w:r w:rsidR="003204F8" w:rsidRPr="00E93D04">
        <w:rPr>
          <w:rFonts w:ascii="Times New Roman" w:eastAsia="Times New Roman" w:hAnsi="Times New Roman"/>
          <w:b/>
          <w:spacing w:val="-2"/>
          <w:sz w:val="28"/>
          <w:szCs w:val="28"/>
          <w:lang w:val="nl-NL"/>
        </w:rPr>
        <w:t>trong lĩnh vực giao thông vận tải</w:t>
      </w:r>
    </w:p>
    <w:p w:rsidR="00707B4F" w:rsidRPr="00604552" w:rsidRDefault="004469A9" w:rsidP="00293370">
      <w:pPr>
        <w:widowControl w:val="0"/>
        <w:spacing w:after="0" w:line="240" w:lineRule="auto"/>
        <w:jc w:val="center"/>
        <w:rPr>
          <w:rFonts w:ascii=".VnFree" w:eastAsia="Times New Roman" w:hAnsi=".VnFree"/>
          <w:sz w:val="28"/>
          <w:szCs w:val="28"/>
          <w:lang w:val="nl-NL"/>
        </w:rPr>
      </w:pPr>
      <w:r>
        <w:rPr>
          <w:rFonts w:ascii=".VnFree" w:eastAsia="Times New Roman" w:hAnsi=".VnFree"/>
          <w:noProof/>
          <w:sz w:val="28"/>
          <w:szCs w:val="28"/>
        </w:rPr>
        <w:pict>
          <v:shape id="_x0000_s1029" type="#_x0000_t32" style="position:absolute;left:0;text-align:left;margin-left:163.2pt;margin-top:12.85pt;width:131.4pt;height:0;z-index:251660288" o:connectortype="straight"/>
        </w:pict>
      </w:r>
    </w:p>
    <w:p w:rsidR="00DA0F4E" w:rsidRDefault="00DA0F4E" w:rsidP="00B51DA7">
      <w:pPr>
        <w:spacing w:before="80" w:after="80" w:line="240" w:lineRule="auto"/>
        <w:ind w:firstLine="720"/>
        <w:jc w:val="both"/>
        <w:rPr>
          <w:rFonts w:ascii="Times New Roman" w:eastAsia="Times New Roman" w:hAnsi="Times New Roman"/>
          <w:i/>
          <w:sz w:val="28"/>
          <w:szCs w:val="28"/>
          <w:lang w:val="nl-NL"/>
        </w:rPr>
      </w:pPr>
    </w:p>
    <w:p w:rsidR="005C5E2E" w:rsidRPr="00604552" w:rsidRDefault="005C5E2E" w:rsidP="00DA0F4E">
      <w:pPr>
        <w:spacing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nl-NL"/>
        </w:rPr>
        <w:t xml:space="preserve">Căn cứ Luật </w:t>
      </w:r>
      <w:r w:rsidR="00371C65" w:rsidRPr="00604552">
        <w:rPr>
          <w:rFonts w:ascii="Times New Roman" w:eastAsia="Times New Roman" w:hAnsi="Times New Roman"/>
          <w:i/>
          <w:sz w:val="28"/>
          <w:szCs w:val="28"/>
          <w:lang w:val="nl-NL"/>
        </w:rPr>
        <w:t>P</w:t>
      </w:r>
      <w:r w:rsidRPr="00604552">
        <w:rPr>
          <w:rFonts w:ascii="Times New Roman" w:eastAsia="Times New Roman" w:hAnsi="Times New Roman"/>
          <w:i/>
          <w:sz w:val="28"/>
          <w:szCs w:val="28"/>
          <w:lang w:val="nl-NL"/>
        </w:rPr>
        <w:t>hí và lệ phí ngày 25 tháng 11 năm 2015;</w:t>
      </w:r>
    </w:p>
    <w:p w:rsidR="00D165FA" w:rsidRPr="00D460A3" w:rsidRDefault="00D07A93" w:rsidP="00B51DA7">
      <w:pPr>
        <w:spacing w:before="80" w:after="80" w:line="240" w:lineRule="auto"/>
        <w:ind w:firstLine="720"/>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vi-VN"/>
        </w:rPr>
        <w:t xml:space="preserve">Căn cứ Nghị định số </w:t>
      </w:r>
      <w:r w:rsidR="003F43F0" w:rsidRPr="00604552">
        <w:rPr>
          <w:rFonts w:ascii="Times New Roman" w:eastAsia="Times New Roman" w:hAnsi="Times New Roman"/>
          <w:i/>
          <w:sz w:val="28"/>
          <w:szCs w:val="28"/>
          <w:lang w:val="nl-NL"/>
        </w:rPr>
        <w:t>8</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/NĐ-CP ngày </w:t>
      </w:r>
      <w:r w:rsidRPr="00604552">
        <w:rPr>
          <w:rFonts w:ascii="Times New Roman" w:eastAsia="Times New Roman" w:hAnsi="Times New Roman"/>
          <w:i/>
          <w:sz w:val="28"/>
          <w:szCs w:val="28"/>
          <w:lang w:val="nl-NL"/>
        </w:rPr>
        <w:t>2</w:t>
      </w:r>
      <w:r w:rsidR="005A3814" w:rsidRPr="00604552">
        <w:rPr>
          <w:rFonts w:ascii="Times New Roman" w:eastAsia="Times New Roman" w:hAnsi="Times New Roman"/>
          <w:i/>
          <w:sz w:val="28"/>
          <w:szCs w:val="28"/>
          <w:lang w:val="nl-NL"/>
        </w:rPr>
        <w:t>6</w:t>
      </w:r>
      <w:r w:rsidR="00707B4F" w:rsidRPr="00604552">
        <w:rPr>
          <w:rFonts w:ascii="Times New Roman" w:eastAsia="Times New Roman" w:hAnsi="Times New Roman"/>
          <w:i/>
          <w:sz w:val="28"/>
          <w:szCs w:val="28"/>
          <w:lang w:val="nl-NL"/>
        </w:rPr>
        <w:t xml:space="preserve"> tháng </w:t>
      </w:r>
      <w:r w:rsidR="005A3814" w:rsidRPr="00604552">
        <w:rPr>
          <w:rFonts w:ascii="Times New Roman" w:eastAsia="Times New Roman" w:hAnsi="Times New Roman"/>
          <w:i/>
          <w:sz w:val="28"/>
          <w:szCs w:val="28"/>
          <w:lang w:val="nl-NL"/>
        </w:rPr>
        <w:t>7</w:t>
      </w:r>
      <w:r w:rsidR="00707B4F" w:rsidRPr="00604552">
        <w:rPr>
          <w:rFonts w:ascii="Times New Roman" w:eastAsia="Times New Roman" w:hAnsi="Times New Roman"/>
          <w:i/>
          <w:sz w:val="28"/>
          <w:szCs w:val="28"/>
          <w:lang w:val="nl-NL"/>
        </w:rPr>
        <w:t xml:space="preserve"> năm </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E24BDE" w:rsidRPr="00604552" w:rsidRDefault="00EF013E" w:rsidP="00B51DA7">
      <w:pPr>
        <w:tabs>
          <w:tab w:val="left" w:pos="851"/>
        </w:tabs>
        <w:spacing w:before="80" w:after="80" w:line="240" w:lineRule="auto"/>
        <w:ind w:firstLine="720"/>
        <w:jc w:val="both"/>
        <w:rPr>
          <w:rFonts w:ascii="Times New Roman" w:eastAsia="Times New Roman" w:hAnsi="Times New Roman"/>
          <w:i/>
          <w:sz w:val="28"/>
          <w:szCs w:val="28"/>
          <w:lang w:val="vi-VN"/>
        </w:rPr>
      </w:pPr>
      <w:r w:rsidRPr="00604552">
        <w:rPr>
          <w:rFonts w:ascii="Times New Roman" w:eastAsia="Times New Roman" w:hAnsi="Times New Roman"/>
          <w:i/>
          <w:sz w:val="28"/>
          <w:szCs w:val="28"/>
          <w:lang w:val="vi-VN"/>
        </w:rPr>
        <w:t>Theo</w:t>
      </w:r>
      <w:r w:rsidR="00497DBD" w:rsidRPr="00604552">
        <w:rPr>
          <w:rFonts w:ascii="Times New Roman" w:eastAsia="Times New Roman" w:hAnsi="Times New Roman"/>
          <w:i/>
          <w:sz w:val="28"/>
          <w:szCs w:val="28"/>
          <w:lang w:val="vi-VN"/>
        </w:rPr>
        <w:t xml:space="preserve"> đề ng</w:t>
      </w:r>
      <w:r w:rsidR="00E02843" w:rsidRPr="00604552">
        <w:rPr>
          <w:rFonts w:ascii="Times New Roman" w:eastAsia="Times New Roman" w:hAnsi="Times New Roman"/>
          <w:i/>
          <w:sz w:val="28"/>
          <w:szCs w:val="28"/>
          <w:lang w:val="vi-VN"/>
        </w:rPr>
        <w:t>hị của Vụ trưởng Vụ Chính sách t</w:t>
      </w:r>
      <w:r w:rsidR="00497DBD" w:rsidRPr="00604552">
        <w:rPr>
          <w:rFonts w:ascii="Times New Roman" w:eastAsia="Times New Roman" w:hAnsi="Times New Roman"/>
          <w:i/>
          <w:sz w:val="28"/>
          <w:szCs w:val="28"/>
          <w:lang w:val="vi-VN"/>
        </w:rPr>
        <w:t>huế</w:t>
      </w:r>
      <w:r w:rsidR="00371C65" w:rsidRPr="00604552">
        <w:rPr>
          <w:rFonts w:ascii="Times New Roman" w:eastAsia="Times New Roman" w:hAnsi="Times New Roman"/>
          <w:i/>
          <w:sz w:val="28"/>
          <w:szCs w:val="28"/>
          <w:lang w:val="vi-VN"/>
        </w:rPr>
        <w:t>;</w:t>
      </w:r>
    </w:p>
    <w:p w:rsidR="002F0894" w:rsidRPr="00604552" w:rsidRDefault="00371C65" w:rsidP="00B51DA7">
      <w:pPr>
        <w:spacing w:before="80" w:after="80" w:line="240" w:lineRule="auto"/>
        <w:ind w:firstLine="720"/>
        <w:jc w:val="both"/>
        <w:rPr>
          <w:rFonts w:ascii="Times New Roman" w:eastAsia="Times New Roman" w:hAnsi="Times New Roman"/>
          <w:i/>
          <w:iCs/>
          <w:sz w:val="28"/>
          <w:szCs w:val="28"/>
          <w:lang w:val="nl-NL"/>
        </w:rPr>
      </w:pPr>
      <w:r w:rsidRPr="00604552">
        <w:rPr>
          <w:rFonts w:ascii="Times New Roman" w:eastAsia="Times New Roman" w:hAnsi="Times New Roman"/>
          <w:i/>
          <w:iCs/>
          <w:sz w:val="28"/>
          <w:szCs w:val="28"/>
          <w:lang w:val="nl-NL"/>
        </w:rPr>
        <w:t xml:space="preserve">Bộ trưởng Bộ Tài </w:t>
      </w:r>
      <w:r w:rsidR="00E24BDE" w:rsidRPr="00604552">
        <w:rPr>
          <w:rFonts w:ascii="Times New Roman" w:eastAsia="Times New Roman" w:hAnsi="Times New Roman"/>
          <w:i/>
          <w:iCs/>
          <w:sz w:val="28"/>
          <w:szCs w:val="28"/>
          <w:lang w:val="nl-NL"/>
        </w:rPr>
        <w:t xml:space="preserve">chính ban hành Thông tư </w:t>
      </w:r>
      <w:r w:rsidR="00E93068" w:rsidRPr="00604552">
        <w:rPr>
          <w:rFonts w:ascii="Times New Roman" w:eastAsia="Times New Roman" w:hAnsi="Times New Roman"/>
          <w:i/>
          <w:iCs/>
          <w:sz w:val="28"/>
          <w:szCs w:val="28"/>
          <w:lang w:val="nl-NL"/>
        </w:rPr>
        <w:t>quy định</w:t>
      </w:r>
      <w:r w:rsidR="00305F28" w:rsidRPr="00604552">
        <w:rPr>
          <w:rFonts w:ascii="Times New Roman" w:eastAsia="Times New Roman" w:hAnsi="Times New Roman"/>
          <w:i/>
          <w:iCs/>
          <w:sz w:val="28"/>
          <w:szCs w:val="28"/>
          <w:lang w:val="nl-NL"/>
        </w:rPr>
        <w:t xml:space="preserve"> </w:t>
      </w:r>
      <w:r w:rsidR="00295CAE" w:rsidRPr="00295CAE">
        <w:rPr>
          <w:rFonts w:ascii="Times New Roman" w:eastAsia="Times New Roman" w:hAnsi="Times New Roman"/>
          <w:i/>
          <w:iCs/>
          <w:sz w:val="28"/>
          <w:szCs w:val="28"/>
          <w:lang w:val="nl-NL"/>
        </w:rPr>
        <w:t>mức thu một số khoản phí, lệ phí trong lĩnh vực giao thông vận tải</w:t>
      </w:r>
      <w:r w:rsidR="005064AC" w:rsidRPr="00604552">
        <w:rPr>
          <w:rFonts w:ascii="Times New Roman" w:eastAsia="Times New Roman" w:hAnsi="Times New Roman"/>
          <w:i/>
          <w:iCs/>
          <w:sz w:val="28"/>
          <w:szCs w:val="28"/>
          <w:lang w:val="nl-NL"/>
        </w:rPr>
        <w:t xml:space="preserve">. </w:t>
      </w:r>
    </w:p>
    <w:p w:rsidR="00305F28" w:rsidRPr="00604552" w:rsidRDefault="00AD171B" w:rsidP="00B51DA7">
      <w:pPr>
        <w:pStyle w:val="BodyTextIndent"/>
        <w:spacing w:before="240" w:after="0" w:line="240" w:lineRule="auto"/>
        <w:ind w:left="0" w:firstLine="720"/>
        <w:jc w:val="both"/>
        <w:rPr>
          <w:rFonts w:ascii="Times New Roman" w:eastAsia="Times New Roman" w:hAnsi="Times New Roman"/>
          <w:b/>
          <w:sz w:val="28"/>
          <w:szCs w:val="28"/>
          <w:lang w:val="nl-NL"/>
        </w:rPr>
      </w:pPr>
      <w:r w:rsidRPr="00604552">
        <w:rPr>
          <w:rFonts w:ascii="Times New Roman" w:hAnsi="Times New Roman"/>
          <w:b/>
          <w:bCs/>
          <w:sz w:val="28"/>
          <w:szCs w:val="28"/>
          <w:lang w:val="vi-VN"/>
        </w:rPr>
        <w:t xml:space="preserve">Điều 1. </w:t>
      </w:r>
      <w:r w:rsidR="008A606A" w:rsidRPr="00604552">
        <w:rPr>
          <w:rFonts w:ascii="Times New Roman" w:hAnsi="Times New Roman"/>
          <w:b/>
          <w:bCs/>
          <w:sz w:val="28"/>
          <w:szCs w:val="28"/>
          <w:lang w:val="vi-VN"/>
        </w:rPr>
        <w:t>M</w:t>
      </w:r>
      <w:r w:rsidR="00E93068" w:rsidRPr="00604552">
        <w:rPr>
          <w:rFonts w:ascii="Times New Roman" w:hAnsi="Times New Roman"/>
          <w:b/>
          <w:bCs/>
          <w:sz w:val="28"/>
          <w:szCs w:val="28"/>
          <w:lang w:val="vi-VN"/>
        </w:rPr>
        <w:t>ứ</w:t>
      </w:r>
      <w:r w:rsidR="00305F28" w:rsidRPr="00604552">
        <w:rPr>
          <w:rFonts w:ascii="Times New Roman" w:hAnsi="Times New Roman"/>
          <w:b/>
          <w:bCs/>
          <w:sz w:val="28"/>
          <w:szCs w:val="28"/>
          <w:lang w:val="vi-VN"/>
        </w:rPr>
        <w:t xml:space="preserve">c </w:t>
      </w:r>
      <w:r w:rsidR="00305F28" w:rsidRPr="00604552">
        <w:rPr>
          <w:rFonts w:ascii="Times New Roman" w:eastAsia="Times New Roman" w:hAnsi="Times New Roman"/>
          <w:b/>
          <w:sz w:val="28"/>
          <w:szCs w:val="28"/>
          <w:lang w:val="nl-NL"/>
        </w:rPr>
        <w:t xml:space="preserve">thu một số khoản phí, lệ phí </w:t>
      </w:r>
      <w:r w:rsidR="003204F8">
        <w:rPr>
          <w:rFonts w:ascii="Times New Roman" w:eastAsia="Times New Roman" w:hAnsi="Times New Roman"/>
          <w:b/>
          <w:sz w:val="28"/>
          <w:szCs w:val="28"/>
          <w:lang w:val="nl-NL"/>
        </w:rPr>
        <w:t>trong lĩnh vực giao thông vận tải</w:t>
      </w:r>
    </w:p>
    <w:p w:rsidR="00305F28" w:rsidRPr="00604552" w:rsidRDefault="00305F28" w:rsidP="00B51DA7">
      <w:pPr>
        <w:pStyle w:val="BodyTextIndent"/>
        <w:spacing w:before="120" w:after="240" w:line="240" w:lineRule="auto"/>
        <w:ind w:left="0" w:firstLine="720"/>
        <w:jc w:val="both"/>
        <w:rPr>
          <w:rFonts w:ascii="Times New Roman" w:hAnsi="Times New Roman"/>
          <w:sz w:val="28"/>
          <w:szCs w:val="28"/>
          <w:lang w:val="nl-NL"/>
        </w:rPr>
      </w:pPr>
      <w:r w:rsidRPr="00604552">
        <w:rPr>
          <w:rFonts w:ascii="Times New Roman" w:hAnsi="Times New Roman"/>
          <w:sz w:val="28"/>
          <w:szCs w:val="28"/>
          <w:lang w:val="nl-NL"/>
        </w:rPr>
        <w:t xml:space="preserve">1. Kể từ ngày </w:t>
      </w:r>
      <w:r w:rsidR="003204F8">
        <w:rPr>
          <w:rFonts w:ascii="Times New Roman" w:hAnsi="Times New Roman"/>
          <w:sz w:val="28"/>
          <w:szCs w:val="28"/>
          <w:lang w:val="nl-NL"/>
        </w:rPr>
        <w:t xml:space="preserve">   </w:t>
      </w:r>
      <w:r w:rsidRPr="00235D6F">
        <w:rPr>
          <w:rFonts w:ascii="Times New Roman" w:hAnsi="Times New Roman"/>
          <w:sz w:val="28"/>
          <w:szCs w:val="28"/>
          <w:lang w:val="nl-NL"/>
        </w:rPr>
        <w:t xml:space="preserve"> tháng </w:t>
      </w:r>
      <w:r w:rsidR="003204F8">
        <w:rPr>
          <w:rFonts w:ascii="Times New Roman" w:hAnsi="Times New Roman"/>
          <w:sz w:val="28"/>
          <w:szCs w:val="28"/>
          <w:lang w:val="nl-NL"/>
        </w:rPr>
        <w:t xml:space="preserve">   </w:t>
      </w:r>
      <w:r w:rsidRPr="00235D6F">
        <w:rPr>
          <w:rFonts w:ascii="Times New Roman" w:hAnsi="Times New Roman"/>
          <w:sz w:val="28"/>
          <w:szCs w:val="28"/>
          <w:lang w:val="nl-NL"/>
        </w:rPr>
        <w:t xml:space="preserve"> năm 202</w:t>
      </w:r>
      <w:r w:rsidR="00235D6F" w:rsidRPr="00235D6F">
        <w:rPr>
          <w:rFonts w:ascii="Times New Roman" w:hAnsi="Times New Roman"/>
          <w:sz w:val="28"/>
          <w:szCs w:val="28"/>
          <w:lang w:val="nl-NL"/>
        </w:rPr>
        <w:t>2</w:t>
      </w:r>
      <w:r w:rsidRPr="00235D6F">
        <w:rPr>
          <w:rFonts w:ascii="Times New Roman" w:hAnsi="Times New Roman"/>
          <w:sz w:val="28"/>
          <w:szCs w:val="28"/>
          <w:lang w:val="nl-NL"/>
        </w:rPr>
        <w:t xml:space="preserve"> đến hết ngày 3</w:t>
      </w:r>
      <w:r w:rsidR="003204F8">
        <w:rPr>
          <w:rFonts w:ascii="Times New Roman" w:hAnsi="Times New Roman"/>
          <w:sz w:val="28"/>
          <w:szCs w:val="28"/>
          <w:lang w:val="nl-NL"/>
        </w:rPr>
        <w:t>1</w:t>
      </w:r>
      <w:r w:rsidRPr="00235D6F">
        <w:rPr>
          <w:rFonts w:ascii="Times New Roman" w:hAnsi="Times New Roman"/>
          <w:sz w:val="28"/>
          <w:szCs w:val="28"/>
          <w:lang w:val="nl-NL"/>
        </w:rPr>
        <w:t xml:space="preserve"> tháng </w:t>
      </w:r>
      <w:r w:rsidR="003204F8">
        <w:rPr>
          <w:rFonts w:ascii="Times New Roman" w:hAnsi="Times New Roman"/>
          <w:sz w:val="28"/>
          <w:szCs w:val="28"/>
          <w:lang w:val="nl-NL"/>
        </w:rPr>
        <w:t>12</w:t>
      </w:r>
      <w:r w:rsidR="00D75B1D" w:rsidRPr="00235D6F">
        <w:rPr>
          <w:rFonts w:ascii="Times New Roman" w:hAnsi="Times New Roman"/>
          <w:sz w:val="28"/>
          <w:szCs w:val="28"/>
          <w:lang w:val="nl-NL"/>
        </w:rPr>
        <w:t xml:space="preserve"> </w:t>
      </w:r>
      <w:r w:rsidRPr="00235D6F">
        <w:rPr>
          <w:rFonts w:ascii="Times New Roman" w:hAnsi="Times New Roman"/>
          <w:sz w:val="28"/>
          <w:szCs w:val="28"/>
          <w:lang w:val="nl-NL"/>
        </w:rPr>
        <w:t>năm 202</w:t>
      </w:r>
      <w:r w:rsidR="00235D6F">
        <w:rPr>
          <w:rFonts w:ascii="Times New Roman" w:hAnsi="Times New Roman"/>
          <w:sz w:val="28"/>
          <w:szCs w:val="28"/>
          <w:lang w:val="nl-NL"/>
        </w:rPr>
        <w:t>2</w:t>
      </w:r>
      <w:r w:rsidRPr="00604552">
        <w:rPr>
          <w:rFonts w:ascii="Times New Roman" w:hAnsi="Times New Roman"/>
          <w:sz w:val="28"/>
          <w:szCs w:val="28"/>
          <w:lang w:val="nl-NL"/>
        </w:rPr>
        <w:t xml:space="preserve">, mức thu một số khoản phí, lệ phí </w:t>
      </w:r>
      <w:r w:rsidR="003204F8">
        <w:rPr>
          <w:rFonts w:ascii="Times New Roman" w:hAnsi="Times New Roman"/>
          <w:sz w:val="28"/>
          <w:szCs w:val="28"/>
          <w:lang w:val="nl-NL"/>
        </w:rPr>
        <w:t xml:space="preserve">trong lĩnh vực giao thông vận tải </w:t>
      </w:r>
      <w:r w:rsidRPr="00604552">
        <w:rPr>
          <w:rFonts w:ascii="Times New Roman" w:hAnsi="Times New Roman"/>
          <w:sz w:val="28"/>
          <w:szCs w:val="28"/>
          <w:lang w:val="nl-NL"/>
        </w:rPr>
        <w:t xml:space="preserve">được quy định như sau:  </w:t>
      </w:r>
    </w:p>
    <w:tbl>
      <w:tblPr>
        <w:tblStyle w:val="TableGrid"/>
        <w:tblW w:w="9644" w:type="dxa"/>
        <w:tblInd w:w="-176" w:type="dxa"/>
        <w:tblLook w:val="04A0"/>
      </w:tblPr>
      <w:tblGrid>
        <w:gridCol w:w="710"/>
        <w:gridCol w:w="3624"/>
        <w:gridCol w:w="5310"/>
      </w:tblGrid>
      <w:tr w:rsidR="00305F28" w:rsidRPr="00DA0F4E" w:rsidTr="00DA0F4E">
        <w:trPr>
          <w:tblHeader/>
        </w:trPr>
        <w:tc>
          <w:tcPr>
            <w:tcW w:w="710" w:type="dxa"/>
          </w:tcPr>
          <w:p w:rsidR="00305F28" w:rsidRPr="00DA0F4E" w:rsidRDefault="00305F28" w:rsidP="00DA0F4E">
            <w:pPr>
              <w:pStyle w:val="BodyTextIndent"/>
              <w:widowControl w:val="0"/>
              <w:spacing w:after="0" w:line="240" w:lineRule="auto"/>
              <w:ind w:left="-108" w:right="-108"/>
              <w:jc w:val="center"/>
              <w:rPr>
                <w:rFonts w:ascii="Times New Roman" w:hAnsi="Times New Roman"/>
                <w:b/>
                <w:sz w:val="28"/>
                <w:szCs w:val="28"/>
                <w:lang w:val="nl-NL"/>
              </w:rPr>
            </w:pPr>
            <w:r w:rsidRPr="00DA0F4E">
              <w:rPr>
                <w:rFonts w:ascii="Times New Roman" w:hAnsi="Times New Roman"/>
                <w:b/>
                <w:sz w:val="28"/>
                <w:szCs w:val="28"/>
                <w:lang w:val="nl-NL"/>
              </w:rPr>
              <w:t>Số tt</w:t>
            </w:r>
          </w:p>
        </w:tc>
        <w:tc>
          <w:tcPr>
            <w:tcW w:w="3624" w:type="dxa"/>
          </w:tcPr>
          <w:p w:rsidR="00305F28" w:rsidRPr="00DA0F4E" w:rsidRDefault="00305F28" w:rsidP="00DA0F4E">
            <w:pPr>
              <w:pStyle w:val="BodyTextIndent"/>
              <w:widowControl w:val="0"/>
              <w:spacing w:after="0" w:line="240" w:lineRule="auto"/>
              <w:ind w:left="0"/>
              <w:jc w:val="center"/>
              <w:rPr>
                <w:rFonts w:ascii="Times New Roman" w:hAnsi="Times New Roman"/>
                <w:b/>
                <w:sz w:val="28"/>
                <w:szCs w:val="28"/>
                <w:lang w:val="nl-NL"/>
              </w:rPr>
            </w:pPr>
            <w:r w:rsidRPr="00DA0F4E">
              <w:rPr>
                <w:rFonts w:ascii="Times New Roman" w:hAnsi="Times New Roman"/>
                <w:b/>
                <w:sz w:val="28"/>
                <w:szCs w:val="28"/>
                <w:lang w:val="nl-NL"/>
              </w:rPr>
              <w:t>Tên phí, lệ phí</w:t>
            </w:r>
          </w:p>
        </w:tc>
        <w:tc>
          <w:tcPr>
            <w:tcW w:w="5310" w:type="dxa"/>
          </w:tcPr>
          <w:p w:rsidR="00305F28" w:rsidRPr="00DA0F4E" w:rsidRDefault="00305F28" w:rsidP="00DA0F4E">
            <w:pPr>
              <w:pStyle w:val="BodyTextIndent"/>
              <w:widowControl w:val="0"/>
              <w:spacing w:after="0" w:line="240" w:lineRule="auto"/>
              <w:ind w:left="0"/>
              <w:jc w:val="center"/>
              <w:rPr>
                <w:rFonts w:ascii="Times New Roman" w:hAnsi="Times New Roman"/>
                <w:b/>
                <w:sz w:val="28"/>
                <w:szCs w:val="28"/>
                <w:lang w:val="nl-NL"/>
              </w:rPr>
            </w:pPr>
            <w:r w:rsidRPr="00DA0F4E">
              <w:rPr>
                <w:rFonts w:ascii="Times New Roman" w:hAnsi="Times New Roman"/>
                <w:b/>
                <w:sz w:val="28"/>
                <w:szCs w:val="28"/>
                <w:lang w:val="nl-NL"/>
              </w:rPr>
              <w:t>Mức thu</w:t>
            </w:r>
          </w:p>
        </w:tc>
      </w:tr>
      <w:tr w:rsidR="00A5300A" w:rsidRPr="00DA0F4E" w:rsidTr="00DA0F4E">
        <w:tc>
          <w:tcPr>
            <w:tcW w:w="710" w:type="dxa"/>
            <w:vMerge w:val="restart"/>
            <w:vAlign w:val="center"/>
          </w:tcPr>
          <w:p w:rsidR="00A5300A" w:rsidRPr="00DA0F4E" w:rsidRDefault="00A5300A" w:rsidP="0042772A">
            <w:pPr>
              <w:pStyle w:val="BodyTextIndent"/>
              <w:widowControl w:val="0"/>
              <w:spacing w:before="120"/>
              <w:ind w:left="0"/>
              <w:jc w:val="center"/>
              <w:rPr>
                <w:rFonts w:ascii="Times New Roman" w:hAnsi="Times New Roman"/>
                <w:sz w:val="28"/>
                <w:szCs w:val="28"/>
                <w:lang w:val="nl-NL"/>
              </w:rPr>
            </w:pPr>
            <w:r w:rsidRPr="00DA0F4E">
              <w:rPr>
                <w:rFonts w:ascii="Times New Roman" w:hAnsi="Times New Roman"/>
                <w:sz w:val="28"/>
                <w:szCs w:val="28"/>
                <w:lang w:val="nl-NL"/>
              </w:rPr>
              <w:t>1</w:t>
            </w:r>
          </w:p>
        </w:tc>
        <w:tc>
          <w:tcPr>
            <w:tcW w:w="3624" w:type="dxa"/>
          </w:tcPr>
          <w:p w:rsidR="00A5300A" w:rsidRPr="00DA0F4E" w:rsidRDefault="00A5300A" w:rsidP="00B15DB2">
            <w:pPr>
              <w:pStyle w:val="BodyTextIndent"/>
              <w:widowControl w:val="0"/>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a) Phí trọng tải tàu, thuyền đối với hoạt động hàng hải nội địa</w:t>
            </w:r>
          </w:p>
        </w:tc>
        <w:tc>
          <w:tcPr>
            <w:tcW w:w="5310" w:type="dxa"/>
          </w:tcPr>
          <w:p w:rsidR="00A5300A" w:rsidRPr="00DA0F4E" w:rsidRDefault="00A5300A" w:rsidP="00194299">
            <w:pPr>
              <w:widowControl w:val="0"/>
              <w:spacing w:before="120" w:after="120" w:line="240" w:lineRule="auto"/>
              <w:jc w:val="both"/>
              <w:rPr>
                <w:rFonts w:ascii="Times New Roman" w:hAnsi="Times New Roman"/>
                <w:sz w:val="28"/>
                <w:szCs w:val="28"/>
                <w:lang w:val="nl-NL"/>
              </w:rPr>
            </w:pPr>
            <w:r w:rsidRPr="00DA0F4E">
              <w:rPr>
                <w:rFonts w:ascii="Times New Roman" w:hAnsi="Times New Roman"/>
                <w:sz w:val="28"/>
                <w:szCs w:val="28"/>
                <w:lang w:val="nl-NL"/>
              </w:rPr>
              <w:t>Bằng 80% mức thu phí quy định tại khoản 1 Điều 12 Chương III Biểu mức thu phí, lệ phí hàng hải đối với hoạt động hàng hải nội địa ban hành kèm theo Thông tư số 261/2016/TT-BTC ngày 14 tháng 11 năm 2016 của Bộ trưởng Bộ Tài chính quy định về phí, lệ phí hàng hải và biểu mức thu phí, lệ phí hàng hải.</w:t>
            </w:r>
          </w:p>
        </w:tc>
      </w:tr>
      <w:tr w:rsidR="00A5300A" w:rsidRPr="00DA0F4E" w:rsidTr="00DA0F4E">
        <w:tc>
          <w:tcPr>
            <w:tcW w:w="710" w:type="dxa"/>
            <w:vMerge/>
            <w:vAlign w:val="center"/>
          </w:tcPr>
          <w:p w:rsidR="00A5300A" w:rsidRPr="00DA0F4E" w:rsidRDefault="00A5300A" w:rsidP="0042772A">
            <w:pPr>
              <w:pStyle w:val="BodyTextIndent"/>
              <w:widowControl w:val="0"/>
              <w:spacing w:before="120" w:line="240" w:lineRule="auto"/>
              <w:ind w:left="0"/>
              <w:jc w:val="center"/>
              <w:rPr>
                <w:rFonts w:ascii="Times New Roman" w:hAnsi="Times New Roman"/>
                <w:sz w:val="28"/>
                <w:szCs w:val="28"/>
                <w:lang w:val="nl-NL"/>
              </w:rPr>
            </w:pPr>
          </w:p>
        </w:tc>
        <w:tc>
          <w:tcPr>
            <w:tcW w:w="3624" w:type="dxa"/>
          </w:tcPr>
          <w:p w:rsidR="00A5300A" w:rsidRPr="00DA0F4E" w:rsidRDefault="00A5300A" w:rsidP="00B15DB2">
            <w:pPr>
              <w:pStyle w:val="BodyTextIndent"/>
              <w:widowControl w:val="0"/>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b) Phí bảo đảm hàng hải đối với hoạt động hàng hải nội địa</w:t>
            </w:r>
          </w:p>
        </w:tc>
        <w:tc>
          <w:tcPr>
            <w:tcW w:w="5310" w:type="dxa"/>
          </w:tcPr>
          <w:p w:rsidR="00A5300A" w:rsidRPr="00DA0F4E" w:rsidRDefault="00A5300A" w:rsidP="00006A83">
            <w:pPr>
              <w:widowControl w:val="0"/>
              <w:spacing w:before="120" w:after="120" w:line="240" w:lineRule="auto"/>
              <w:jc w:val="both"/>
              <w:rPr>
                <w:rFonts w:ascii="Times New Roman" w:hAnsi="Times New Roman"/>
                <w:sz w:val="28"/>
                <w:szCs w:val="28"/>
                <w:lang w:val="nl-NL"/>
              </w:rPr>
            </w:pPr>
            <w:r w:rsidRPr="00DA0F4E">
              <w:rPr>
                <w:rFonts w:ascii="Times New Roman" w:hAnsi="Times New Roman"/>
                <w:sz w:val="28"/>
                <w:szCs w:val="28"/>
                <w:lang w:val="nl-NL"/>
              </w:rPr>
              <w:t>Bằng 80% mức thu phí quy định tại khoản 1 Điều 13 Chương III Biểu mức thu phí, lệ phí hàng hải đối với hoạt động hàng hải nội địa ban hành kèm theo Thông tư số 261/2016/TT-BTC.</w:t>
            </w:r>
          </w:p>
        </w:tc>
      </w:tr>
      <w:tr w:rsidR="00A5300A" w:rsidRPr="00DA0F4E" w:rsidTr="00DA0F4E">
        <w:tc>
          <w:tcPr>
            <w:tcW w:w="710" w:type="dxa"/>
            <w:vMerge/>
            <w:vAlign w:val="center"/>
          </w:tcPr>
          <w:p w:rsidR="00A5300A" w:rsidRPr="00DA0F4E" w:rsidRDefault="00A5300A" w:rsidP="0042772A">
            <w:pPr>
              <w:pStyle w:val="BodyTextIndent"/>
              <w:widowControl w:val="0"/>
              <w:spacing w:before="120" w:line="240" w:lineRule="auto"/>
              <w:ind w:left="0"/>
              <w:jc w:val="center"/>
              <w:rPr>
                <w:rFonts w:ascii="Times New Roman" w:hAnsi="Times New Roman"/>
                <w:sz w:val="28"/>
                <w:szCs w:val="28"/>
                <w:lang w:val="nl-NL"/>
              </w:rPr>
            </w:pPr>
          </w:p>
        </w:tc>
        <w:tc>
          <w:tcPr>
            <w:tcW w:w="3624" w:type="dxa"/>
          </w:tcPr>
          <w:p w:rsidR="00A5300A" w:rsidRPr="00DA0F4E" w:rsidRDefault="00A5300A" w:rsidP="00B15DB2">
            <w:pPr>
              <w:pStyle w:val="BodyTextIndent"/>
              <w:widowControl w:val="0"/>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c) Lệ phí ra, vào cảng biển đối với hoạt động hàng hải nội địa</w:t>
            </w:r>
          </w:p>
        </w:tc>
        <w:tc>
          <w:tcPr>
            <w:tcW w:w="5310" w:type="dxa"/>
          </w:tcPr>
          <w:p w:rsidR="00A5300A" w:rsidRPr="00DA0F4E" w:rsidRDefault="00A5300A" w:rsidP="00006A83">
            <w:pPr>
              <w:widowControl w:val="0"/>
              <w:spacing w:before="120" w:after="120" w:line="240" w:lineRule="auto"/>
              <w:jc w:val="both"/>
              <w:rPr>
                <w:rFonts w:ascii="Times New Roman" w:hAnsi="Times New Roman"/>
                <w:sz w:val="28"/>
                <w:szCs w:val="28"/>
                <w:lang w:val="nl-NL"/>
              </w:rPr>
            </w:pPr>
            <w:r w:rsidRPr="00DA0F4E">
              <w:rPr>
                <w:rFonts w:ascii="Times New Roman" w:hAnsi="Times New Roman"/>
                <w:sz w:val="28"/>
                <w:szCs w:val="28"/>
                <w:lang w:val="nl-NL"/>
              </w:rPr>
              <w:t xml:space="preserve">Bằng 80% mức thu lệ phí quy định tại Điều 16 Chương III Biểu mức thu phí, lệ phí hàng hải đối với hoạt động hàng hải nội địa ban </w:t>
            </w:r>
            <w:r w:rsidRPr="00DA0F4E">
              <w:rPr>
                <w:rFonts w:ascii="Times New Roman" w:hAnsi="Times New Roman"/>
                <w:spacing w:val="-6"/>
                <w:sz w:val="28"/>
                <w:szCs w:val="28"/>
                <w:lang w:val="nl-NL"/>
              </w:rPr>
              <w:t>hành kèm theo Thông tư số 261/2016/TT-BTC.</w:t>
            </w:r>
          </w:p>
        </w:tc>
      </w:tr>
      <w:tr w:rsidR="00A5300A" w:rsidRPr="00DA0F4E" w:rsidTr="00DA0F4E">
        <w:trPr>
          <w:trHeight w:val="4754"/>
        </w:trPr>
        <w:tc>
          <w:tcPr>
            <w:tcW w:w="710" w:type="dxa"/>
            <w:vMerge w:val="restart"/>
            <w:vAlign w:val="center"/>
          </w:tcPr>
          <w:p w:rsidR="00A5300A" w:rsidRPr="00DA0F4E" w:rsidRDefault="00A5300A" w:rsidP="0042772A">
            <w:pPr>
              <w:pStyle w:val="BodyTextIndent"/>
              <w:spacing w:before="120" w:line="240" w:lineRule="auto"/>
              <w:ind w:left="0"/>
              <w:jc w:val="center"/>
              <w:rPr>
                <w:rFonts w:ascii="Times New Roman" w:hAnsi="Times New Roman"/>
                <w:sz w:val="28"/>
                <w:szCs w:val="28"/>
                <w:lang w:val="nl-NL"/>
              </w:rPr>
            </w:pPr>
            <w:r w:rsidRPr="00DA0F4E">
              <w:rPr>
                <w:rFonts w:ascii="Times New Roman" w:hAnsi="Times New Roman"/>
                <w:sz w:val="28"/>
                <w:szCs w:val="28"/>
                <w:lang w:val="nl-NL"/>
              </w:rPr>
              <w:lastRenderedPageBreak/>
              <w:t>2</w:t>
            </w:r>
          </w:p>
        </w:tc>
        <w:tc>
          <w:tcPr>
            <w:tcW w:w="3624" w:type="dxa"/>
          </w:tcPr>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r w:rsidRPr="00DA0F4E">
              <w:rPr>
                <w:rFonts w:ascii="Times New Roman" w:eastAsia="Times New Roman" w:hAnsi="Times New Roman"/>
                <w:sz w:val="28"/>
                <w:szCs w:val="28"/>
                <w:lang w:val="nl-NL"/>
              </w:rPr>
              <w:t xml:space="preserve">a) Phí thẩm định cấp chứng chỉ, giấy phép, giấy chứng nhận trong hoạt động hàng không dân dụng; cấp giấy phép ra vào khu vực hạn chế tại cảng hàng không, sân bay (trừ </w:t>
            </w:r>
            <w:r w:rsidRPr="00DA0F4E">
              <w:rPr>
                <w:rFonts w:ascii="Times New Roman" w:hAnsi="Times New Roman"/>
                <w:sz w:val="28"/>
                <w:szCs w:val="28"/>
                <w:lang w:val="nl-NL"/>
              </w:rPr>
              <w:t xml:space="preserve">nội dung thu tại các số thứ tự: 4.1, 4.2, 4.3, 4.4, 4.5.1, 5, 6 Mục VI Phần A Biểu mức thu phí, lệ phí áp dụng mức thu phí tương ứng quy định tại Mục VI Phần A Biểu mức thu phí, lệ phí trong lĩnh vực hàng không ban hành kèm theo </w:t>
            </w:r>
            <w:r w:rsidRPr="00DA0F4E">
              <w:rPr>
                <w:rFonts w:ascii="Times New Roman" w:hAnsi="Times New Roman"/>
                <w:spacing w:val="-8"/>
                <w:sz w:val="28"/>
                <w:szCs w:val="28"/>
                <w:lang w:val="nl-NL"/>
              </w:rPr>
              <w:t>Thông tư số 193/2016/TT-BTC)</w:t>
            </w:r>
          </w:p>
        </w:tc>
        <w:tc>
          <w:tcPr>
            <w:tcW w:w="5310" w:type="dxa"/>
          </w:tcPr>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Bằng 80% mức thu phí quy định tại Mục VI Phần A Biểu mức thu phí, lệ phí trong lĩnh vực hàng không ban hành kèm theo Thông tư số 193/2016/TT-BTC ngày 08 tháng 11 năm 2016 của Bộ trưởng Bộ Tài chính quy định mức thu, chế độ thu, nộp, quản lý và sử dụng phí, lệ phí trong lĩnh vực hàng không.</w:t>
            </w:r>
          </w:p>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p>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p>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p>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p>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p>
        </w:tc>
      </w:tr>
      <w:tr w:rsidR="00A5300A" w:rsidRPr="00DA0F4E" w:rsidTr="00DA0F4E">
        <w:trPr>
          <w:trHeight w:val="1433"/>
        </w:trPr>
        <w:tc>
          <w:tcPr>
            <w:tcW w:w="710" w:type="dxa"/>
            <w:vMerge/>
            <w:vAlign w:val="center"/>
          </w:tcPr>
          <w:p w:rsidR="00A5300A" w:rsidRPr="00DA0F4E" w:rsidRDefault="00A5300A" w:rsidP="0042772A">
            <w:pPr>
              <w:pStyle w:val="BodyTextIndent"/>
              <w:spacing w:before="120" w:line="240" w:lineRule="auto"/>
              <w:ind w:left="0"/>
              <w:jc w:val="center"/>
              <w:rPr>
                <w:rFonts w:ascii="Times New Roman" w:hAnsi="Times New Roman"/>
                <w:sz w:val="28"/>
                <w:szCs w:val="28"/>
                <w:lang w:val="nl-NL"/>
              </w:rPr>
            </w:pPr>
          </w:p>
        </w:tc>
        <w:tc>
          <w:tcPr>
            <w:tcW w:w="3624" w:type="dxa"/>
          </w:tcPr>
          <w:p w:rsidR="00A5300A" w:rsidRPr="00DA0F4E" w:rsidRDefault="00A5300A" w:rsidP="00D12A7A">
            <w:pPr>
              <w:pStyle w:val="BodyTextIndent"/>
              <w:spacing w:before="120" w:line="240" w:lineRule="auto"/>
              <w:ind w:left="0"/>
              <w:jc w:val="both"/>
              <w:rPr>
                <w:rFonts w:ascii="Times New Roman" w:eastAsia="Times New Roman" w:hAnsi="Times New Roman"/>
                <w:sz w:val="28"/>
                <w:szCs w:val="28"/>
                <w:lang w:val="nl-NL"/>
              </w:rPr>
            </w:pPr>
            <w:r w:rsidRPr="00DA0F4E">
              <w:rPr>
                <w:rFonts w:ascii="Times New Roman" w:eastAsia="Times New Roman" w:hAnsi="Times New Roman"/>
                <w:sz w:val="28"/>
                <w:szCs w:val="28"/>
                <w:lang w:val="nl-NL"/>
              </w:rPr>
              <w:t xml:space="preserve">b) Phí đăng ký giao dịch bảo đảm đối với tàu bay (trừ </w:t>
            </w:r>
            <w:r w:rsidRPr="00DA0F4E">
              <w:rPr>
                <w:rFonts w:ascii="Times New Roman" w:hAnsi="Times New Roman"/>
                <w:sz w:val="28"/>
                <w:szCs w:val="28"/>
                <w:lang w:val="nl-NL"/>
              </w:rPr>
              <w:t>nội dung thu tại số thứ tự 4 Mục VIII Phần A Biểu mức thu phí, lệ phí áp dụng mức thu phí quy định tại Mục VIII Phần A Biểu mức thu phí, lệ phí trong lĩnh vực hàng không ban hành kèm theo Thông tư số 193/2016/TT-BTC)</w:t>
            </w:r>
          </w:p>
        </w:tc>
        <w:tc>
          <w:tcPr>
            <w:tcW w:w="5310" w:type="dxa"/>
          </w:tcPr>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Bằng 80% mức thu phí quy định tại Mục VIII Phần A Biểu mức thu phí, lệ phí trong lĩnh vực hàng không ban hành kèm theo Thông tư số 193/2016/TT-BTC.</w:t>
            </w:r>
          </w:p>
          <w:p w:rsidR="00A5300A" w:rsidRPr="00DA0F4E" w:rsidRDefault="00A5300A" w:rsidP="00D12A7A">
            <w:pPr>
              <w:pStyle w:val="BodyTextIndent"/>
              <w:spacing w:before="120" w:line="240" w:lineRule="auto"/>
              <w:ind w:left="0"/>
              <w:jc w:val="both"/>
              <w:rPr>
                <w:rFonts w:ascii="Times New Roman" w:hAnsi="Times New Roman"/>
                <w:sz w:val="28"/>
                <w:szCs w:val="28"/>
                <w:lang w:val="nl-NL"/>
              </w:rPr>
            </w:pPr>
          </w:p>
        </w:tc>
      </w:tr>
      <w:tr w:rsidR="00F77BB4" w:rsidRPr="00DA0F4E" w:rsidTr="00DA0F4E">
        <w:tc>
          <w:tcPr>
            <w:tcW w:w="710" w:type="dxa"/>
            <w:vAlign w:val="center"/>
          </w:tcPr>
          <w:p w:rsidR="00F77BB4" w:rsidRPr="00DA0F4E" w:rsidRDefault="00E93D04" w:rsidP="0042772A">
            <w:pPr>
              <w:pStyle w:val="BodyTextIndent"/>
              <w:widowControl w:val="0"/>
              <w:spacing w:before="120" w:line="240" w:lineRule="auto"/>
              <w:ind w:left="0"/>
              <w:jc w:val="center"/>
              <w:rPr>
                <w:rFonts w:ascii="Times New Roman" w:hAnsi="Times New Roman"/>
                <w:sz w:val="28"/>
                <w:szCs w:val="28"/>
                <w:lang w:val="nl-NL"/>
              </w:rPr>
            </w:pPr>
            <w:r w:rsidRPr="00DA0F4E">
              <w:rPr>
                <w:rFonts w:ascii="Times New Roman" w:hAnsi="Times New Roman"/>
                <w:sz w:val="28"/>
                <w:szCs w:val="28"/>
                <w:lang w:val="nl-NL"/>
              </w:rPr>
              <w:t>3</w:t>
            </w:r>
          </w:p>
        </w:tc>
        <w:tc>
          <w:tcPr>
            <w:tcW w:w="3624" w:type="dxa"/>
          </w:tcPr>
          <w:p w:rsidR="00F77BB4" w:rsidRPr="00DA0F4E" w:rsidRDefault="00F77BB4" w:rsidP="00C85443">
            <w:pPr>
              <w:pStyle w:val="BodyTextIndent"/>
              <w:widowControl w:val="0"/>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Phí sử dụng kết cấu hạ tầng đường sắt</w:t>
            </w:r>
          </w:p>
        </w:tc>
        <w:tc>
          <w:tcPr>
            <w:tcW w:w="5310" w:type="dxa"/>
          </w:tcPr>
          <w:p w:rsidR="00F77BB4" w:rsidRPr="00DA0F4E" w:rsidRDefault="00F77BB4" w:rsidP="00C85443">
            <w:pPr>
              <w:widowControl w:val="0"/>
              <w:spacing w:before="120" w:after="120" w:line="240" w:lineRule="auto"/>
              <w:jc w:val="both"/>
              <w:rPr>
                <w:rFonts w:ascii="Times New Roman" w:hAnsi="Times New Roman"/>
                <w:sz w:val="28"/>
                <w:szCs w:val="28"/>
                <w:lang w:val="nl-NL"/>
              </w:rPr>
            </w:pPr>
            <w:r w:rsidRPr="00DA0F4E">
              <w:rPr>
                <w:rFonts w:ascii="Times New Roman" w:hAnsi="Times New Roman"/>
                <w:sz w:val="28"/>
                <w:szCs w:val="28"/>
                <w:lang w:val="nl-NL"/>
              </w:rPr>
              <w:t xml:space="preserve">Bằng </w:t>
            </w:r>
            <w:r w:rsidR="007013A1" w:rsidRPr="00DA0F4E">
              <w:rPr>
                <w:rFonts w:ascii="Times New Roman" w:hAnsi="Times New Roman"/>
                <w:sz w:val="28"/>
                <w:szCs w:val="28"/>
                <w:lang w:val="nl-NL"/>
              </w:rPr>
              <w:t>50</w:t>
            </w:r>
            <w:r w:rsidRPr="00DA0F4E">
              <w:rPr>
                <w:rFonts w:ascii="Times New Roman" w:hAnsi="Times New Roman"/>
                <w:sz w:val="28"/>
                <w:szCs w:val="28"/>
                <w:lang w:val="nl-NL"/>
              </w:rPr>
              <w:t xml:space="preserve">% </w:t>
            </w:r>
            <w:r w:rsidR="007013A1" w:rsidRPr="00DA0F4E">
              <w:rPr>
                <w:rFonts w:ascii="Times New Roman" w:hAnsi="Times New Roman"/>
                <w:sz w:val="28"/>
                <w:szCs w:val="28"/>
                <w:lang w:val="nl-NL"/>
              </w:rPr>
              <w:t xml:space="preserve">mức </w:t>
            </w:r>
            <w:r w:rsidR="001C7AD6" w:rsidRPr="00DA0F4E">
              <w:rPr>
                <w:rFonts w:ascii="Times New Roman" w:hAnsi="Times New Roman"/>
                <w:sz w:val="28"/>
                <w:szCs w:val="28"/>
                <w:lang w:val="nl-NL"/>
              </w:rPr>
              <w:t xml:space="preserve">thu </w:t>
            </w:r>
            <w:r w:rsidR="007013A1" w:rsidRPr="00DA0F4E">
              <w:rPr>
                <w:rFonts w:ascii="Times New Roman" w:hAnsi="Times New Roman"/>
                <w:sz w:val="28"/>
                <w:szCs w:val="28"/>
                <w:lang w:val="nl-NL"/>
              </w:rPr>
              <w:t xml:space="preserve">phí quy định tại Điều 3 </w:t>
            </w:r>
            <w:r w:rsidR="007013A1" w:rsidRPr="00DA0F4E">
              <w:rPr>
                <w:rFonts w:ascii="Times New Roman" w:hAnsi="Times New Roman"/>
                <w:bCs/>
                <w:sz w:val="28"/>
                <w:szCs w:val="28"/>
                <w:lang w:val="nl-NL"/>
              </w:rPr>
              <w:t>Thông tư số 295/2016/TT-BTC ngày 15 tháng 11 năm 2016 của Bộ trưởng Bộ Tài chính quy định mức thu, chế độ thu, nộp phí sử dụng kết cấu hạ tầng đường sắt.</w:t>
            </w:r>
          </w:p>
        </w:tc>
      </w:tr>
      <w:tr w:rsidR="00A5300A" w:rsidRPr="00DA0F4E" w:rsidTr="00DA0F4E">
        <w:tc>
          <w:tcPr>
            <w:tcW w:w="710" w:type="dxa"/>
            <w:vMerge w:val="restart"/>
            <w:vAlign w:val="center"/>
          </w:tcPr>
          <w:p w:rsidR="00A5300A" w:rsidRPr="00DA0F4E" w:rsidRDefault="00A5300A" w:rsidP="00C85443">
            <w:pPr>
              <w:pStyle w:val="BodyTextIndent"/>
              <w:widowControl w:val="0"/>
              <w:spacing w:before="120"/>
              <w:ind w:left="0"/>
              <w:jc w:val="center"/>
              <w:rPr>
                <w:rFonts w:ascii="Times New Roman" w:hAnsi="Times New Roman"/>
                <w:sz w:val="28"/>
                <w:szCs w:val="28"/>
                <w:lang w:val="nl-NL"/>
              </w:rPr>
            </w:pPr>
            <w:r w:rsidRPr="00DA0F4E">
              <w:rPr>
                <w:rFonts w:ascii="Times New Roman" w:hAnsi="Times New Roman"/>
                <w:sz w:val="28"/>
                <w:szCs w:val="28"/>
                <w:lang w:val="nl-NL"/>
              </w:rPr>
              <w:t>4</w:t>
            </w:r>
          </w:p>
        </w:tc>
        <w:tc>
          <w:tcPr>
            <w:tcW w:w="3624" w:type="dxa"/>
          </w:tcPr>
          <w:p w:rsidR="00A5300A" w:rsidRPr="00DA0F4E" w:rsidRDefault="00A5300A" w:rsidP="005D2BE9">
            <w:pPr>
              <w:pStyle w:val="BodyTextIndent"/>
              <w:widowControl w:val="0"/>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a) Lệ phí ra, vào cảng, bến thủy nội địa</w:t>
            </w:r>
          </w:p>
        </w:tc>
        <w:tc>
          <w:tcPr>
            <w:tcW w:w="5310" w:type="dxa"/>
          </w:tcPr>
          <w:p w:rsidR="00A5300A" w:rsidRPr="00DA0F4E" w:rsidRDefault="00A5300A" w:rsidP="005D2BE9">
            <w:pPr>
              <w:widowControl w:val="0"/>
              <w:spacing w:before="120" w:after="120" w:line="240" w:lineRule="auto"/>
              <w:jc w:val="both"/>
              <w:rPr>
                <w:rFonts w:ascii="Times New Roman" w:hAnsi="Times New Roman"/>
                <w:sz w:val="28"/>
                <w:szCs w:val="28"/>
                <w:lang w:val="nl-NL"/>
              </w:rPr>
            </w:pPr>
            <w:r w:rsidRPr="00DA0F4E">
              <w:rPr>
                <w:rFonts w:ascii="Times New Roman" w:hAnsi="Times New Roman"/>
                <w:sz w:val="28"/>
                <w:szCs w:val="28"/>
                <w:lang w:val="nl-NL"/>
              </w:rPr>
              <w:t>Bằng 50% mức thu lệ phí quy định tại điểm 2 khoản 1 Điều 4 Thông tư số 248/2016/TT-BTC ngày 11 tháng 11 năm 2016 của Bộ trưởng Bộ Tài chính quy định mức thu, chế độ thu, nộp, quản lý và sử dụng phí, lệ phí áp dụng tại cảng, bến thuỷ nội địa.</w:t>
            </w:r>
          </w:p>
        </w:tc>
      </w:tr>
      <w:tr w:rsidR="00A5300A" w:rsidRPr="00DA0F4E" w:rsidTr="00DA0F4E">
        <w:tc>
          <w:tcPr>
            <w:tcW w:w="710" w:type="dxa"/>
            <w:vMerge/>
            <w:vAlign w:val="center"/>
          </w:tcPr>
          <w:p w:rsidR="00A5300A" w:rsidRPr="00DA0F4E" w:rsidRDefault="00A5300A" w:rsidP="00C85443">
            <w:pPr>
              <w:pStyle w:val="BodyTextIndent"/>
              <w:widowControl w:val="0"/>
              <w:spacing w:before="120" w:line="240" w:lineRule="auto"/>
              <w:ind w:left="0"/>
              <w:jc w:val="center"/>
              <w:rPr>
                <w:rFonts w:ascii="Times New Roman" w:hAnsi="Times New Roman"/>
                <w:sz w:val="28"/>
                <w:szCs w:val="28"/>
                <w:lang w:val="nl-NL"/>
              </w:rPr>
            </w:pPr>
          </w:p>
        </w:tc>
        <w:tc>
          <w:tcPr>
            <w:tcW w:w="3624" w:type="dxa"/>
          </w:tcPr>
          <w:p w:rsidR="00A5300A" w:rsidRPr="00DA0F4E" w:rsidRDefault="00A5300A" w:rsidP="00C85443">
            <w:pPr>
              <w:pStyle w:val="BodyTextIndent"/>
              <w:widowControl w:val="0"/>
              <w:spacing w:before="120" w:line="240" w:lineRule="auto"/>
              <w:ind w:left="0"/>
              <w:jc w:val="both"/>
              <w:rPr>
                <w:rFonts w:ascii="Times New Roman" w:hAnsi="Times New Roman"/>
                <w:sz w:val="28"/>
                <w:szCs w:val="28"/>
                <w:lang w:val="nl-NL"/>
              </w:rPr>
            </w:pPr>
            <w:r w:rsidRPr="00DA0F4E">
              <w:rPr>
                <w:rFonts w:ascii="Times New Roman" w:hAnsi="Times New Roman"/>
                <w:sz w:val="28"/>
                <w:szCs w:val="28"/>
                <w:lang w:val="nl-NL"/>
              </w:rPr>
              <w:t>b) Phí trình báo đường thủy nội địa</w:t>
            </w:r>
          </w:p>
        </w:tc>
        <w:tc>
          <w:tcPr>
            <w:tcW w:w="5310" w:type="dxa"/>
          </w:tcPr>
          <w:p w:rsidR="00A5300A" w:rsidRPr="00DA0F4E" w:rsidRDefault="00A5300A" w:rsidP="00B15DB2">
            <w:pPr>
              <w:widowControl w:val="0"/>
              <w:spacing w:before="120" w:after="120" w:line="240" w:lineRule="auto"/>
              <w:jc w:val="both"/>
              <w:rPr>
                <w:rFonts w:ascii="Times New Roman" w:hAnsi="Times New Roman"/>
                <w:sz w:val="28"/>
                <w:szCs w:val="28"/>
                <w:lang w:val="nl-NL"/>
              </w:rPr>
            </w:pPr>
            <w:r w:rsidRPr="00DA0F4E">
              <w:rPr>
                <w:rFonts w:ascii="Times New Roman" w:hAnsi="Times New Roman"/>
                <w:sz w:val="28"/>
                <w:szCs w:val="28"/>
                <w:lang w:val="nl-NL"/>
              </w:rPr>
              <w:t xml:space="preserve">Bằng 50% mức thu phí quy định tại điểm 3 </w:t>
            </w:r>
            <w:r w:rsidRPr="00DA0F4E">
              <w:rPr>
                <w:rFonts w:ascii="Times New Roman" w:hAnsi="Times New Roman"/>
                <w:spacing w:val="-6"/>
                <w:sz w:val="28"/>
                <w:szCs w:val="28"/>
                <w:lang w:val="nl-NL"/>
              </w:rPr>
              <w:t>khoản 1 Điều 4 Thông tư số 248/2016/TT-BTC.</w:t>
            </w:r>
          </w:p>
        </w:tc>
      </w:tr>
    </w:tbl>
    <w:p w:rsidR="00690690" w:rsidRPr="00DA0F4E" w:rsidRDefault="00405B6B" w:rsidP="00B51DA7">
      <w:pPr>
        <w:pStyle w:val="BodyTextIndent"/>
        <w:spacing w:before="120" w:line="240" w:lineRule="auto"/>
        <w:ind w:left="0" w:firstLine="720"/>
        <w:jc w:val="both"/>
        <w:rPr>
          <w:rFonts w:ascii="Times New Roman" w:hAnsi="Times New Roman"/>
          <w:color w:val="FF0000"/>
          <w:sz w:val="28"/>
          <w:szCs w:val="28"/>
          <w:lang w:val="nl-NL"/>
        </w:rPr>
      </w:pPr>
      <w:r w:rsidRPr="00DA0F4E">
        <w:rPr>
          <w:rFonts w:ascii="Times New Roman" w:hAnsi="Times New Roman"/>
          <w:sz w:val="28"/>
          <w:szCs w:val="28"/>
          <w:lang w:val="nl-NL"/>
        </w:rPr>
        <w:lastRenderedPageBreak/>
        <w:t>2</w:t>
      </w:r>
      <w:r w:rsidR="00690690" w:rsidRPr="00DA0F4E">
        <w:rPr>
          <w:rFonts w:ascii="Times New Roman" w:eastAsia="Times New Roman" w:hAnsi="Times New Roman"/>
          <w:sz w:val="28"/>
          <w:szCs w:val="28"/>
          <w:lang w:val="nl-NL"/>
        </w:rPr>
        <w:t xml:space="preserve">. </w:t>
      </w:r>
      <w:r w:rsidR="00690690" w:rsidRPr="00DA0F4E">
        <w:rPr>
          <w:rFonts w:ascii="Times New Roman" w:hAnsi="Times New Roman"/>
          <w:sz w:val="28"/>
          <w:szCs w:val="28"/>
          <w:lang w:val="nl-NL"/>
        </w:rPr>
        <w:t xml:space="preserve">Kể từ ngày </w:t>
      </w:r>
      <w:r w:rsidR="00690690" w:rsidRPr="00DA0F4E">
        <w:rPr>
          <w:rFonts w:ascii="Times New Roman" w:hAnsi="Times New Roman"/>
          <w:bCs/>
          <w:sz w:val="28"/>
          <w:szCs w:val="28"/>
          <w:lang w:val="nl-NL"/>
        </w:rPr>
        <w:t xml:space="preserve">01 tháng </w:t>
      </w:r>
      <w:r w:rsidR="005D2BE9" w:rsidRPr="00DA0F4E">
        <w:rPr>
          <w:rFonts w:ascii="Times New Roman" w:hAnsi="Times New Roman"/>
          <w:bCs/>
          <w:sz w:val="28"/>
          <w:szCs w:val="28"/>
          <w:lang w:val="nl-NL"/>
        </w:rPr>
        <w:t>01</w:t>
      </w:r>
      <w:r w:rsidR="00690690" w:rsidRPr="00DA0F4E">
        <w:rPr>
          <w:rFonts w:ascii="Times New Roman" w:hAnsi="Times New Roman"/>
          <w:bCs/>
          <w:sz w:val="28"/>
          <w:szCs w:val="28"/>
          <w:lang w:val="nl-NL"/>
        </w:rPr>
        <w:t xml:space="preserve"> năm </w:t>
      </w:r>
      <w:r w:rsidR="00D75B1D" w:rsidRPr="00DA0F4E">
        <w:rPr>
          <w:rFonts w:ascii="Times New Roman" w:hAnsi="Times New Roman"/>
          <w:bCs/>
          <w:sz w:val="28"/>
          <w:szCs w:val="28"/>
          <w:lang w:val="nl-NL"/>
        </w:rPr>
        <w:t>202</w:t>
      </w:r>
      <w:r w:rsidR="005D2BE9" w:rsidRPr="00DA0F4E">
        <w:rPr>
          <w:rFonts w:ascii="Times New Roman" w:hAnsi="Times New Roman"/>
          <w:bCs/>
          <w:sz w:val="28"/>
          <w:szCs w:val="28"/>
          <w:lang w:val="nl-NL"/>
        </w:rPr>
        <w:t>3</w:t>
      </w:r>
      <w:r w:rsidR="00D75B1D" w:rsidRPr="00DA0F4E">
        <w:rPr>
          <w:rFonts w:ascii="Times New Roman" w:hAnsi="Times New Roman"/>
          <w:sz w:val="28"/>
          <w:szCs w:val="28"/>
          <w:lang w:val="nl-NL"/>
        </w:rPr>
        <w:t xml:space="preserve"> </w:t>
      </w:r>
      <w:r w:rsidR="00690690" w:rsidRPr="00DA0F4E">
        <w:rPr>
          <w:rFonts w:ascii="Times New Roman" w:hAnsi="Times New Roman"/>
          <w:sz w:val="28"/>
          <w:szCs w:val="28"/>
          <w:lang w:val="nl-NL"/>
        </w:rPr>
        <w:t xml:space="preserve">trở đi, mức thu các khoản </w:t>
      </w:r>
      <w:r w:rsidR="00690690" w:rsidRPr="00DA0F4E">
        <w:rPr>
          <w:rFonts w:ascii="Times New Roman" w:hAnsi="Times New Roman"/>
          <w:bCs/>
          <w:sz w:val="28"/>
          <w:szCs w:val="28"/>
          <w:lang w:val="nl-NL"/>
        </w:rPr>
        <w:t>phí, lệ phí</w:t>
      </w:r>
      <w:r w:rsidR="005D7C2C" w:rsidRPr="00DA0F4E">
        <w:rPr>
          <w:rFonts w:ascii="Times New Roman" w:hAnsi="Times New Roman"/>
          <w:bCs/>
          <w:sz w:val="28"/>
          <w:szCs w:val="28"/>
          <w:lang w:val="nl-NL"/>
        </w:rPr>
        <w:t xml:space="preserve"> </w:t>
      </w:r>
      <w:r w:rsidR="00690690" w:rsidRPr="00DA0F4E">
        <w:rPr>
          <w:rFonts w:ascii="Times New Roman" w:hAnsi="Times New Roman"/>
          <w:bCs/>
          <w:spacing w:val="-6"/>
          <w:sz w:val="28"/>
          <w:szCs w:val="28"/>
          <w:lang w:val="nl-NL"/>
        </w:rPr>
        <w:t xml:space="preserve">quy định tại Biểu nêu trên thực hiện theo quy định tại </w:t>
      </w:r>
      <w:r w:rsidR="00AD7C68" w:rsidRPr="00DA0F4E">
        <w:rPr>
          <w:rFonts w:ascii="Times New Roman" w:hAnsi="Times New Roman"/>
          <w:spacing w:val="-6"/>
          <w:sz w:val="28"/>
          <w:szCs w:val="28"/>
          <w:lang w:val="nl-NL"/>
        </w:rPr>
        <w:t xml:space="preserve">Thông tư số </w:t>
      </w:r>
      <w:r w:rsidR="005E2935" w:rsidRPr="00DA0F4E">
        <w:rPr>
          <w:rFonts w:ascii="Times New Roman" w:hAnsi="Times New Roman"/>
          <w:spacing w:val="-6"/>
          <w:sz w:val="28"/>
          <w:szCs w:val="28"/>
          <w:lang w:val="nl-NL"/>
        </w:rPr>
        <w:t>193</w:t>
      </w:r>
      <w:r w:rsidR="00AD7C68" w:rsidRPr="00DA0F4E">
        <w:rPr>
          <w:rFonts w:ascii="Times New Roman" w:hAnsi="Times New Roman"/>
          <w:spacing w:val="-6"/>
          <w:sz w:val="28"/>
          <w:szCs w:val="28"/>
          <w:lang w:val="nl-NL"/>
        </w:rPr>
        <w:t>/2016/TT-BTC</w:t>
      </w:r>
      <w:r w:rsidR="005E2935" w:rsidRPr="00DA0F4E">
        <w:rPr>
          <w:rFonts w:ascii="Times New Roman" w:hAnsi="Times New Roman"/>
          <w:sz w:val="28"/>
          <w:szCs w:val="28"/>
          <w:lang w:val="nl-NL"/>
        </w:rPr>
        <w:t>, Thông tư số 248/2016/TT-BTC, Thông tư số 261/2016/TT-BTC và Thông tư số 295/2016/TT-BTC</w:t>
      </w:r>
      <w:r w:rsidR="003344E8" w:rsidRPr="00DA0F4E">
        <w:rPr>
          <w:rFonts w:ascii="Times New Roman" w:hAnsi="Times New Roman"/>
          <w:bCs/>
          <w:sz w:val="28"/>
          <w:szCs w:val="28"/>
          <w:lang w:val="nl-NL"/>
        </w:rPr>
        <w:t>.</w:t>
      </w:r>
      <w:r w:rsidR="00690690" w:rsidRPr="00DA0F4E">
        <w:rPr>
          <w:rFonts w:ascii="Times New Roman" w:hAnsi="Times New Roman"/>
          <w:bCs/>
          <w:sz w:val="28"/>
          <w:szCs w:val="28"/>
          <w:lang w:val="nl-NL"/>
        </w:rPr>
        <w:t xml:space="preserve"> </w:t>
      </w:r>
    </w:p>
    <w:p w:rsidR="00305F28" w:rsidRPr="00DA0F4E" w:rsidRDefault="00405B6B" w:rsidP="00B51DA7">
      <w:pPr>
        <w:pStyle w:val="BodyTextIndent"/>
        <w:spacing w:before="120" w:line="240" w:lineRule="auto"/>
        <w:ind w:left="0" w:firstLine="720"/>
        <w:jc w:val="both"/>
        <w:rPr>
          <w:rFonts w:ascii="Times New Roman" w:eastAsia="Times New Roman" w:hAnsi="Times New Roman"/>
          <w:sz w:val="28"/>
          <w:szCs w:val="28"/>
          <w:lang w:val="nl-NL"/>
        </w:rPr>
      </w:pPr>
      <w:r w:rsidRPr="00DA0F4E">
        <w:rPr>
          <w:rFonts w:ascii="Times New Roman" w:hAnsi="Times New Roman"/>
          <w:sz w:val="28"/>
          <w:szCs w:val="28"/>
          <w:lang w:val="nl-NL"/>
        </w:rPr>
        <w:t>3</w:t>
      </w:r>
      <w:r w:rsidR="00305F28" w:rsidRPr="00DA0F4E">
        <w:rPr>
          <w:rFonts w:ascii="Times New Roman" w:eastAsia="Times New Roman" w:hAnsi="Times New Roman"/>
          <w:sz w:val="28"/>
          <w:szCs w:val="28"/>
          <w:lang w:val="nl-NL"/>
        </w:rPr>
        <w:t xml:space="preserve">. </w:t>
      </w:r>
      <w:r w:rsidR="0006035C" w:rsidRPr="00DA0F4E">
        <w:rPr>
          <w:rFonts w:ascii="Times New Roman" w:eastAsia="Times New Roman" w:hAnsi="Times New Roman"/>
          <w:sz w:val="28"/>
          <w:szCs w:val="28"/>
          <w:lang w:val="nl-NL"/>
        </w:rPr>
        <w:t>Ngoài mức thu các khoản phí, lệ phí quy định trong Biểu trên, c</w:t>
      </w:r>
      <w:r w:rsidR="00305F28" w:rsidRPr="00DA0F4E">
        <w:rPr>
          <w:rFonts w:ascii="Times New Roman" w:eastAsia="Times New Roman" w:hAnsi="Times New Roman"/>
          <w:sz w:val="28"/>
          <w:szCs w:val="28"/>
          <w:lang w:val="nl-NL"/>
        </w:rPr>
        <w:t>ác nội dung về</w:t>
      </w:r>
      <w:r w:rsidR="0006035C" w:rsidRPr="00DA0F4E">
        <w:rPr>
          <w:rFonts w:ascii="Times New Roman" w:eastAsia="Times New Roman" w:hAnsi="Times New Roman"/>
          <w:sz w:val="28"/>
          <w:szCs w:val="28"/>
          <w:lang w:val="nl-NL"/>
        </w:rPr>
        <w:t>:</w:t>
      </w:r>
      <w:r w:rsidR="00305F28" w:rsidRPr="00DA0F4E">
        <w:rPr>
          <w:rFonts w:ascii="Times New Roman" w:eastAsia="Times New Roman" w:hAnsi="Times New Roman"/>
          <w:sz w:val="28"/>
          <w:szCs w:val="28"/>
          <w:lang w:val="nl-NL"/>
        </w:rPr>
        <w:t xml:space="preserve"> </w:t>
      </w:r>
      <w:r w:rsidR="0055191D" w:rsidRPr="00DA0F4E">
        <w:rPr>
          <w:rFonts w:ascii="Times New Roman" w:eastAsia="Times New Roman" w:hAnsi="Times New Roman"/>
          <w:sz w:val="28"/>
          <w:szCs w:val="28"/>
          <w:lang w:val="nl-NL"/>
        </w:rPr>
        <w:t>P</w:t>
      </w:r>
      <w:r w:rsidR="00305F28" w:rsidRPr="00DA0F4E">
        <w:rPr>
          <w:rFonts w:ascii="Times New Roman" w:eastAsia="Times New Roman" w:hAnsi="Times New Roman"/>
          <w:sz w:val="28"/>
          <w:szCs w:val="28"/>
          <w:lang w:val="nl-NL"/>
        </w:rPr>
        <w:t>hạm vi điều chỉnh, đối tượng áp dụng; tổ chức thu phí, lệ phí;</w:t>
      </w:r>
      <w:r w:rsidR="0086440C" w:rsidRPr="00DA0F4E">
        <w:rPr>
          <w:rFonts w:ascii="Times New Roman" w:eastAsia="Times New Roman" w:hAnsi="Times New Roman"/>
          <w:sz w:val="28"/>
          <w:szCs w:val="28"/>
          <w:lang w:val="nl-NL"/>
        </w:rPr>
        <w:t xml:space="preserve"> </w:t>
      </w:r>
      <w:r w:rsidR="0086440C" w:rsidRPr="00DA0F4E">
        <w:rPr>
          <w:rFonts w:ascii="Times New Roman" w:hAnsi="Times New Roman"/>
          <w:sz w:val="28"/>
          <w:szCs w:val="28"/>
          <w:lang w:val="nl-NL"/>
        </w:rPr>
        <w:t>người nộp phí, lệ phí</w:t>
      </w:r>
      <w:r w:rsidR="0086440C" w:rsidRPr="00DA0F4E">
        <w:rPr>
          <w:rFonts w:ascii="Times New Roman" w:eastAsia="Times New Roman" w:hAnsi="Times New Roman"/>
          <w:sz w:val="28"/>
          <w:szCs w:val="28"/>
          <w:lang w:val="nl-NL"/>
        </w:rPr>
        <w:t>;</w:t>
      </w:r>
      <w:r w:rsidR="00305F28" w:rsidRPr="00DA0F4E">
        <w:rPr>
          <w:rFonts w:ascii="Times New Roman" w:eastAsia="Times New Roman" w:hAnsi="Times New Roman"/>
          <w:sz w:val="28"/>
          <w:szCs w:val="28"/>
          <w:lang w:val="nl-NL"/>
        </w:rPr>
        <w:t xml:space="preserve"> các trường hợp miễn, không phải nộp phí, lệ phí; kê khai, nộp phí, lệ phí; mức thu các khoản phí, lệ phí; quản lý, sử dụng phí, lệ phí; chứng từ thu, công khai chế độ thu phí, lệ phí và các nội dung khác liên quan không quy định tại Thông tư này thực hiện theo quy định tại </w:t>
      </w:r>
      <w:r w:rsidR="00BD7DF3" w:rsidRPr="00DA0F4E">
        <w:rPr>
          <w:rFonts w:ascii="Times New Roman" w:hAnsi="Times New Roman"/>
          <w:bCs/>
          <w:sz w:val="28"/>
          <w:szCs w:val="28"/>
          <w:lang w:val="nl-NL"/>
        </w:rPr>
        <w:t xml:space="preserve">Luật Quản lý thuế và Nghị định số 126/2020/NĐ-CP ngày 19 tháng 10 năm 2020 của Chính phủ quy định </w:t>
      </w:r>
      <w:r w:rsidR="00BD7DF3" w:rsidRPr="00DA0F4E">
        <w:rPr>
          <w:rFonts w:ascii="Times New Roman" w:hAnsi="Times New Roman"/>
          <w:bCs/>
          <w:spacing w:val="-4"/>
          <w:sz w:val="28"/>
          <w:szCs w:val="28"/>
          <w:lang w:val="nl-NL"/>
        </w:rPr>
        <w:t>chi tiết thi hành một số điều của Luật Quản lý thuế</w:t>
      </w:r>
      <w:r w:rsidR="005E2935" w:rsidRPr="00DA0F4E">
        <w:rPr>
          <w:rFonts w:ascii="Times New Roman" w:hAnsi="Times New Roman"/>
          <w:bCs/>
          <w:spacing w:val="-4"/>
          <w:sz w:val="28"/>
          <w:szCs w:val="28"/>
          <w:lang w:val="nl-NL"/>
        </w:rPr>
        <w:t>,</w:t>
      </w:r>
      <w:r w:rsidR="005E2935" w:rsidRPr="00DA0F4E">
        <w:rPr>
          <w:rFonts w:ascii="Times New Roman" w:hAnsi="Times New Roman"/>
          <w:spacing w:val="-4"/>
          <w:sz w:val="28"/>
          <w:szCs w:val="28"/>
          <w:lang w:val="nl-NL"/>
        </w:rPr>
        <w:t xml:space="preserve"> Thông tư số 193/2016/TT-BTC</w:t>
      </w:r>
      <w:r w:rsidR="005E2935" w:rsidRPr="00DA0F4E">
        <w:rPr>
          <w:rFonts w:ascii="Times New Roman" w:hAnsi="Times New Roman"/>
          <w:sz w:val="28"/>
          <w:szCs w:val="28"/>
          <w:lang w:val="nl-NL"/>
        </w:rPr>
        <w:t>, Thông tư số 248/2016/TT-BTC, Thông tư số 261/2016/TT-BTC và Thông tư số 295/2016/TT-BTC</w:t>
      </w:r>
      <w:r w:rsidR="00305F28" w:rsidRPr="00DA0F4E">
        <w:rPr>
          <w:rFonts w:ascii="Times New Roman" w:eastAsia="Times New Roman" w:hAnsi="Times New Roman"/>
          <w:sz w:val="28"/>
          <w:szCs w:val="28"/>
          <w:lang w:val="nl-NL"/>
        </w:rPr>
        <w:t>.</w:t>
      </w:r>
    </w:p>
    <w:p w:rsidR="008454AA" w:rsidRPr="00A80409" w:rsidRDefault="008454AA" w:rsidP="00B51DA7">
      <w:pPr>
        <w:widowControl w:val="0"/>
        <w:spacing w:before="240" w:after="120" w:line="240" w:lineRule="auto"/>
        <w:ind w:firstLine="720"/>
        <w:jc w:val="both"/>
        <w:rPr>
          <w:rFonts w:ascii="Times New Roman" w:eastAsia="Times New Roman" w:hAnsi="Times New Roman"/>
          <w:b/>
          <w:sz w:val="28"/>
          <w:szCs w:val="28"/>
          <w:lang w:val="nl-NL"/>
        </w:rPr>
      </w:pPr>
      <w:r w:rsidRPr="00A80409">
        <w:rPr>
          <w:rFonts w:ascii="Times New Roman" w:eastAsia="Times New Roman" w:hAnsi="Times New Roman"/>
          <w:b/>
          <w:sz w:val="28"/>
          <w:szCs w:val="28"/>
          <w:lang w:val="nl-NL"/>
        </w:rPr>
        <w:t xml:space="preserve">Điều </w:t>
      </w:r>
      <w:r w:rsidR="00BD7DF3" w:rsidRPr="00A80409">
        <w:rPr>
          <w:rFonts w:ascii="Times New Roman" w:eastAsia="Times New Roman" w:hAnsi="Times New Roman"/>
          <w:b/>
          <w:sz w:val="28"/>
          <w:szCs w:val="28"/>
          <w:lang w:val="nl-NL"/>
        </w:rPr>
        <w:t>2</w:t>
      </w:r>
      <w:r w:rsidRPr="00A80409">
        <w:rPr>
          <w:rFonts w:ascii="Times New Roman" w:eastAsia="Times New Roman" w:hAnsi="Times New Roman"/>
          <w:b/>
          <w:sz w:val="28"/>
          <w:szCs w:val="28"/>
          <w:lang w:val="nl-NL"/>
        </w:rPr>
        <w:t>. Hiệu lực thi hành</w:t>
      </w:r>
    </w:p>
    <w:p w:rsidR="008454AA" w:rsidRPr="00422A1E" w:rsidRDefault="008454AA" w:rsidP="00B51DA7">
      <w:pPr>
        <w:widowControl w:val="0"/>
        <w:spacing w:before="120" w:after="12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1. Thông tư này có hiệu lực thi hành</w:t>
      </w:r>
      <w:r w:rsidR="00DE2305" w:rsidRPr="00A80409">
        <w:rPr>
          <w:rFonts w:ascii="Times New Roman" w:eastAsia="Times New Roman" w:hAnsi="Times New Roman"/>
          <w:sz w:val="28"/>
          <w:szCs w:val="28"/>
          <w:lang w:val="nl-NL"/>
        </w:rPr>
        <w:t xml:space="preserve"> kể từ ngày </w:t>
      </w:r>
      <w:r w:rsidR="005D2BE9">
        <w:rPr>
          <w:rFonts w:ascii="Times New Roman" w:eastAsia="Times New Roman" w:hAnsi="Times New Roman"/>
          <w:sz w:val="28"/>
          <w:szCs w:val="28"/>
          <w:lang w:val="nl-NL"/>
        </w:rPr>
        <w:t xml:space="preserve">     </w:t>
      </w:r>
      <w:r w:rsidR="00D75B1D" w:rsidRPr="00422A1E">
        <w:rPr>
          <w:rFonts w:ascii="Times New Roman" w:eastAsia="Times New Roman" w:hAnsi="Times New Roman"/>
          <w:sz w:val="28"/>
          <w:szCs w:val="28"/>
          <w:lang w:val="nl-NL"/>
        </w:rPr>
        <w:t xml:space="preserve">tháng </w:t>
      </w:r>
      <w:r w:rsidR="005D2BE9">
        <w:rPr>
          <w:rFonts w:ascii="Times New Roman" w:eastAsia="Times New Roman" w:hAnsi="Times New Roman"/>
          <w:sz w:val="28"/>
          <w:szCs w:val="28"/>
          <w:lang w:val="nl-NL"/>
        </w:rPr>
        <w:t xml:space="preserve">    </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00D75B1D" w:rsidRPr="00422A1E">
        <w:rPr>
          <w:rFonts w:ascii="Times New Roman" w:eastAsia="Times New Roman" w:hAnsi="Times New Roman"/>
          <w:sz w:val="28"/>
          <w:szCs w:val="28"/>
          <w:lang w:val="nl-NL"/>
        </w:rPr>
        <w:t xml:space="preserve"> đến hết ngày </w:t>
      </w:r>
      <w:r w:rsidR="00422A1E" w:rsidRPr="00422A1E">
        <w:rPr>
          <w:rFonts w:ascii="Times New Roman" w:eastAsia="Times New Roman" w:hAnsi="Times New Roman"/>
          <w:sz w:val="28"/>
          <w:szCs w:val="28"/>
          <w:lang w:val="nl-NL"/>
        </w:rPr>
        <w:t>3</w:t>
      </w:r>
      <w:r w:rsidR="005D2BE9">
        <w:rPr>
          <w:rFonts w:ascii="Times New Roman" w:eastAsia="Times New Roman" w:hAnsi="Times New Roman"/>
          <w:sz w:val="28"/>
          <w:szCs w:val="28"/>
          <w:lang w:val="nl-NL"/>
        </w:rPr>
        <w:t>1</w:t>
      </w:r>
      <w:r w:rsidR="00D75B1D" w:rsidRPr="00422A1E">
        <w:rPr>
          <w:rFonts w:ascii="Times New Roman" w:eastAsia="Times New Roman" w:hAnsi="Times New Roman"/>
          <w:sz w:val="28"/>
          <w:szCs w:val="28"/>
          <w:lang w:val="nl-NL"/>
        </w:rPr>
        <w:t xml:space="preserve"> tháng </w:t>
      </w:r>
      <w:r w:rsidR="005D2BE9">
        <w:rPr>
          <w:rFonts w:ascii="Times New Roman" w:eastAsia="Times New Roman" w:hAnsi="Times New Roman"/>
          <w:sz w:val="28"/>
          <w:szCs w:val="28"/>
          <w:lang w:val="nl-NL"/>
        </w:rPr>
        <w:t>12</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Pr="00422A1E">
        <w:rPr>
          <w:rFonts w:ascii="Times New Roman" w:eastAsia="Times New Roman" w:hAnsi="Times New Roman"/>
          <w:sz w:val="28"/>
          <w:szCs w:val="28"/>
          <w:lang w:val="nl-NL"/>
        </w:rPr>
        <w:t>.</w:t>
      </w:r>
    </w:p>
    <w:p w:rsidR="0073427A" w:rsidRPr="00A80409" w:rsidRDefault="0073427A" w:rsidP="00B51DA7">
      <w:pPr>
        <w:pStyle w:val="BodyTextIndent"/>
        <w:spacing w:before="120" w:line="240" w:lineRule="auto"/>
        <w:ind w:left="0"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 xml:space="preserve">2. Trường hợp các văn bản quy phạm pháp luật quy định </w:t>
      </w:r>
      <w:r w:rsidR="005D7C2C" w:rsidRPr="004B137B">
        <w:rPr>
          <w:rFonts w:ascii="Times New Roman" w:eastAsia="Times New Roman" w:hAnsi="Times New Roman"/>
          <w:sz w:val="28"/>
          <w:szCs w:val="28"/>
          <w:lang w:val="nl-NL"/>
        </w:rPr>
        <w:t xml:space="preserve">viện </w:t>
      </w:r>
      <w:r w:rsidRPr="004B137B">
        <w:rPr>
          <w:rFonts w:ascii="Times New Roman" w:eastAsia="Times New Roman" w:hAnsi="Times New Roman"/>
          <w:sz w:val="28"/>
          <w:szCs w:val="28"/>
          <w:lang w:val="nl-NL"/>
        </w:rPr>
        <w:t>dẫn</w:t>
      </w:r>
      <w:r w:rsidRPr="00A80409">
        <w:rPr>
          <w:rFonts w:ascii="Times New Roman" w:eastAsia="Times New Roman" w:hAnsi="Times New Roman"/>
          <w:sz w:val="28"/>
          <w:szCs w:val="28"/>
          <w:lang w:val="nl-NL"/>
        </w:rPr>
        <w:t xml:space="preserve"> tại Thông tư này được sửa đổi, bổ sung hoặc thay thế thì thực hiện theo văn bản mới được sửa đổi, bổ sung hoặc thay thế.</w:t>
      </w:r>
    </w:p>
    <w:p w:rsidR="008454AA" w:rsidRPr="00A80409" w:rsidRDefault="0073427A" w:rsidP="00B51DA7">
      <w:pPr>
        <w:widowControl w:val="0"/>
        <w:spacing w:before="120" w:after="240" w:line="240" w:lineRule="auto"/>
        <w:ind w:firstLine="720"/>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3</w:t>
      </w:r>
      <w:r w:rsidR="008454AA" w:rsidRPr="00A80409">
        <w:rPr>
          <w:rFonts w:ascii="Times New Roman" w:eastAsia="Times New Roman" w:hAnsi="Times New Roman"/>
          <w:sz w:val="28"/>
          <w:szCs w:val="28"/>
          <w:lang w:val="nl-NL"/>
        </w:rPr>
        <w:t>. Trong quá trình thực hiện,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8454AA" w:rsidRPr="000D4E30"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BE03F8" w:rsidRPr="002A7DEA" w:rsidRDefault="00BE03F8"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BE03F8">
              <w:rPr>
                <w:rFonts w:ascii="Times New Roman" w:hAnsi="Times New Roman"/>
                <w:lang w:val="nl-NL"/>
              </w:rPr>
              <w:t>Ủy</w:t>
            </w:r>
            <w:r>
              <w:rPr>
                <w:rFonts w:ascii="Times New Roman" w:hAnsi="Times New Roman"/>
                <w:lang w:val="nl-NL"/>
              </w:rPr>
              <w:t xml:space="preserve"> ban Trung </w:t>
            </w:r>
            <w:r w:rsidRPr="00BE03F8">
              <w:rPr>
                <w:rFonts w:ascii="Times New Roman" w:hAnsi="Times New Roman"/>
                <w:lang w:val="nl-NL"/>
              </w:rPr>
              <w:t>ươ</w:t>
            </w:r>
            <w:r>
              <w:rPr>
                <w:rFonts w:ascii="Times New Roman" w:hAnsi="Times New Roman"/>
                <w:lang w:val="nl-NL"/>
              </w:rPr>
              <w:t>ng M</w:t>
            </w:r>
            <w:r w:rsidRPr="00BE03F8">
              <w:rPr>
                <w:rFonts w:ascii="Times New Roman" w:hAnsi="Times New Roman"/>
                <w:lang w:val="nl-NL"/>
              </w:rPr>
              <w:t>ặt</w:t>
            </w:r>
            <w:r>
              <w:rPr>
                <w:rFonts w:ascii="Times New Roman" w:hAnsi="Times New Roman"/>
                <w:lang w:val="nl-NL"/>
              </w:rPr>
              <w:t xml:space="preserve"> tr</w:t>
            </w:r>
            <w:r w:rsidRPr="00BE03F8">
              <w:rPr>
                <w:rFonts w:ascii="Times New Roman" w:hAnsi="Times New Roman"/>
                <w:lang w:val="nl-NL"/>
              </w:rPr>
              <w:t>ận</w:t>
            </w:r>
            <w:r>
              <w:rPr>
                <w:rFonts w:ascii="Times New Roman" w:hAnsi="Times New Roman"/>
                <w:lang w:val="nl-NL"/>
              </w:rPr>
              <w:t xml:space="preserve"> T</w:t>
            </w:r>
            <w:r w:rsidRPr="00BE03F8">
              <w:rPr>
                <w:rFonts w:ascii="Times New Roman" w:hAnsi="Times New Roman"/>
                <w:lang w:val="nl-NL"/>
              </w:rPr>
              <w:t>ổ</w:t>
            </w:r>
            <w:r>
              <w:rPr>
                <w:rFonts w:ascii="Times New Roman" w:hAnsi="Times New Roman"/>
                <w:lang w:val="nl-NL"/>
              </w:rPr>
              <w:t xml:space="preserve"> qu</w:t>
            </w:r>
            <w:r w:rsidRPr="00BE03F8">
              <w:rPr>
                <w:rFonts w:ascii="Times New Roman" w:hAnsi="Times New Roman"/>
                <w:lang w:val="nl-NL"/>
              </w:rPr>
              <w:t>ốc</w:t>
            </w:r>
            <w:r>
              <w:rPr>
                <w:rFonts w:ascii="Times New Roman" w:hAnsi="Times New Roman"/>
                <w:lang w:val="nl-NL"/>
              </w:rPr>
              <w:t xml:space="preserve"> Vi</w:t>
            </w:r>
            <w:r w:rsidRPr="00BE03F8">
              <w:rPr>
                <w:rFonts w:ascii="Times New Roman" w:hAnsi="Times New Roman"/>
                <w:lang w:val="nl-NL"/>
              </w:rPr>
              <w:t>ệ</w:t>
            </w:r>
            <w:r>
              <w:rPr>
                <w:rFonts w:ascii="Times New Roman" w:hAnsi="Times New Roman"/>
                <w:lang w:val="nl-NL"/>
              </w:rPr>
              <w:t>t Nam;</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Cục Kiểm tra văn bản </w:t>
            </w:r>
            <w:r w:rsidR="00940033">
              <w:rPr>
                <w:rFonts w:ascii="Times New Roman" w:hAnsi="Times New Roman"/>
                <w:lang w:val="nl-NL"/>
              </w:rPr>
              <w:t xml:space="preserve">quy phạm pháp luật </w:t>
            </w:r>
            <w:r w:rsidRPr="002A7DEA">
              <w:rPr>
                <w:rFonts w:ascii="Times New Roman" w:hAnsi="Times New Roman"/>
                <w:lang w:val="nl-NL"/>
              </w:rPr>
              <w:t>(Bộ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xml:space="preserve">- </w:t>
            </w:r>
            <w:proofErr w:type="spellStart"/>
            <w:r w:rsidRPr="002A7DEA">
              <w:rPr>
                <w:rFonts w:ascii="Times New Roman" w:hAnsi="Times New Roman"/>
              </w:rPr>
              <w:t>Lưu</w:t>
            </w:r>
            <w:proofErr w:type="spellEnd"/>
            <w:r w:rsidRPr="002A7DEA">
              <w:rPr>
                <w:rFonts w:ascii="Times New Roman" w:hAnsi="Times New Roman"/>
              </w:rPr>
              <w:t>: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E10489" w:rsidP="00E9713F">
            <w:pPr>
              <w:spacing w:after="0" w:line="240" w:lineRule="auto"/>
              <w:jc w:val="center"/>
              <w:rPr>
                <w:rFonts w:ascii="Times New Roman" w:hAnsi="Times New Roman"/>
                <w:b/>
                <w:sz w:val="28"/>
                <w:szCs w:val="28"/>
                <w:lang w:val="nl-NL"/>
              </w:rPr>
            </w:pPr>
            <w:r>
              <w:rPr>
                <w:rFonts w:ascii="Times New Roman" w:hAnsi="Times New Roman"/>
                <w:b/>
                <w:sz w:val="28"/>
                <w:szCs w:val="28"/>
                <w:lang w:val="nl-NL"/>
              </w:rPr>
              <w:t>Tạ Anh Tuấn</w:t>
            </w:r>
          </w:p>
        </w:tc>
      </w:tr>
    </w:tbl>
    <w:p w:rsidR="008454AA" w:rsidRDefault="008454AA" w:rsidP="00BD7973">
      <w:pPr>
        <w:pStyle w:val="BodyTextIndent"/>
        <w:spacing w:before="120" w:after="0" w:line="240" w:lineRule="auto"/>
        <w:ind w:left="0"/>
        <w:jc w:val="both"/>
        <w:rPr>
          <w:rFonts w:ascii="Times New Roman" w:hAnsi="Times New Roman"/>
          <w:bCs/>
          <w:sz w:val="28"/>
          <w:szCs w:val="28"/>
          <w:lang w:val="nl-NL"/>
        </w:rPr>
      </w:pPr>
    </w:p>
    <w:sectPr w:rsidR="008454AA" w:rsidSect="005E2935">
      <w:headerReference w:type="default" r:id="rId8"/>
      <w:headerReference w:type="first" r:id="rId9"/>
      <w:footerReference w:type="first" r:id="rId10"/>
      <w:pgSz w:w="11907" w:h="16840" w:code="9"/>
      <w:pgMar w:top="864" w:right="1138" w:bottom="864" w:left="1699" w:header="562"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2C" w:rsidRDefault="0090272C" w:rsidP="000A154E">
      <w:pPr>
        <w:spacing w:after="0" w:line="240" w:lineRule="auto"/>
      </w:pPr>
      <w:r>
        <w:separator/>
      </w:r>
    </w:p>
  </w:endnote>
  <w:endnote w:type="continuationSeparator" w:id="0">
    <w:p w:rsidR="0090272C" w:rsidRDefault="0090272C"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ourier New"/>
    <w:charset w:val="00"/>
    <w:family w:val="swiss"/>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Free">
    <w:altName w:val="Courier"/>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95"/>
      <w:docPartObj>
        <w:docPartGallery w:val="Page Numbers (Bottom of Page)"/>
        <w:docPartUnique/>
      </w:docPartObj>
    </w:sdtPr>
    <w:sdtContent>
      <w:p w:rsidR="0090272C" w:rsidRDefault="004469A9">
        <w:pPr>
          <w:pStyle w:val="Footer"/>
          <w:jc w:val="center"/>
        </w:pPr>
      </w:p>
    </w:sdtContent>
  </w:sdt>
  <w:p w:rsidR="0090272C" w:rsidRDefault="00902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2C" w:rsidRDefault="0090272C" w:rsidP="000A154E">
      <w:pPr>
        <w:spacing w:after="0" w:line="240" w:lineRule="auto"/>
      </w:pPr>
      <w:r>
        <w:separator/>
      </w:r>
    </w:p>
  </w:footnote>
  <w:footnote w:type="continuationSeparator" w:id="0">
    <w:p w:rsidR="0090272C" w:rsidRDefault="0090272C"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1967094"/>
      <w:docPartObj>
        <w:docPartGallery w:val="Page Numbers (Top of Page)"/>
        <w:docPartUnique/>
      </w:docPartObj>
    </w:sdtPr>
    <w:sdtContent>
      <w:p w:rsidR="0090272C" w:rsidRPr="006477A9" w:rsidRDefault="004469A9">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90272C"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DA0F4E">
          <w:rPr>
            <w:rFonts w:ascii="Times New Roman" w:hAnsi="Times New Roman"/>
            <w:noProof/>
            <w:sz w:val="24"/>
            <w:szCs w:val="24"/>
          </w:rPr>
          <w:t>3</w:t>
        </w:r>
        <w:r w:rsidRPr="00C87B3E">
          <w:rPr>
            <w:rFonts w:ascii="Times New Roman" w:hAnsi="Times New Roman"/>
            <w:sz w:val="24"/>
            <w:szCs w:val="24"/>
          </w:rPr>
          <w:fldChar w:fldCharType="end"/>
        </w:r>
      </w:p>
    </w:sdtContent>
  </w:sdt>
  <w:p w:rsidR="0090272C" w:rsidRDefault="00902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2C" w:rsidRDefault="0090272C">
    <w:pPr>
      <w:pStyle w:val="Header"/>
      <w:jc w:val="center"/>
    </w:pPr>
  </w:p>
  <w:p w:rsidR="0090272C" w:rsidRDefault="00902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42539"/>
    <w:multiLevelType w:val="hybridMultilevel"/>
    <w:tmpl w:val="3D4E59CA"/>
    <w:lvl w:ilvl="0" w:tplc="8FAE6C4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3E6BF9"/>
    <w:multiLevelType w:val="multilevel"/>
    <w:tmpl w:val="0409001F"/>
    <w:numStyleLink w:val="Style2"/>
  </w:abstractNum>
  <w:abstractNum w:abstractNumId="22">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5">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FEB388E"/>
    <w:multiLevelType w:val="hybridMultilevel"/>
    <w:tmpl w:val="9F24B596"/>
    <w:lvl w:ilvl="0" w:tplc="E3E206F8">
      <w:start w:val="1"/>
      <w:numFmt w:val="bullet"/>
      <w:lvlText w:val="-"/>
      <w:lvlJc w:val="left"/>
      <w:pPr>
        <w:ind w:left="643" w:hanging="360"/>
      </w:pPr>
      <w:rPr>
        <w:rFonts w:ascii="Calibri" w:eastAsia="Calibri" w:hAnsi="Calibri" w:cs="Times New Roman" w:hint="default"/>
        <w:color w:val="00000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2"/>
  </w:num>
  <w:num w:numId="2">
    <w:abstractNumId w:val="10"/>
  </w:num>
  <w:num w:numId="3">
    <w:abstractNumId w:val="14"/>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3"/>
  </w:num>
  <w:num w:numId="19">
    <w:abstractNumId w:val="20"/>
  </w:num>
  <w:num w:numId="20">
    <w:abstractNumId w:val="11"/>
  </w:num>
  <w:num w:numId="21">
    <w:abstractNumId w:val="26"/>
  </w:num>
  <w:num w:numId="22">
    <w:abstractNumId w:val="25"/>
  </w:num>
  <w:num w:numId="23">
    <w:abstractNumId w:val="18"/>
  </w:num>
  <w:num w:numId="24">
    <w:abstractNumId w:val="21"/>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7"/>
  </w:num>
  <w:num w:numId="26">
    <w:abstractNumId w:val="15"/>
  </w:num>
  <w:num w:numId="27">
    <w:abstractNumId w:val="1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159C"/>
    <w:rsid w:val="000033C2"/>
    <w:rsid w:val="000035C5"/>
    <w:rsid w:val="000038F3"/>
    <w:rsid w:val="0000451E"/>
    <w:rsid w:val="00006487"/>
    <w:rsid w:val="0000665F"/>
    <w:rsid w:val="00006A83"/>
    <w:rsid w:val="00007860"/>
    <w:rsid w:val="00010145"/>
    <w:rsid w:val="00010B30"/>
    <w:rsid w:val="0001139F"/>
    <w:rsid w:val="0001161B"/>
    <w:rsid w:val="00011CCA"/>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AF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348"/>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244C"/>
    <w:rsid w:val="00053DFC"/>
    <w:rsid w:val="00053ED8"/>
    <w:rsid w:val="00055854"/>
    <w:rsid w:val="00055CD0"/>
    <w:rsid w:val="00055E8D"/>
    <w:rsid w:val="00056EBD"/>
    <w:rsid w:val="00056FE0"/>
    <w:rsid w:val="000575AA"/>
    <w:rsid w:val="00057BAA"/>
    <w:rsid w:val="0006035C"/>
    <w:rsid w:val="000609D9"/>
    <w:rsid w:val="0006181F"/>
    <w:rsid w:val="0006183F"/>
    <w:rsid w:val="00061A6D"/>
    <w:rsid w:val="00062CB4"/>
    <w:rsid w:val="00063E29"/>
    <w:rsid w:val="00063F6F"/>
    <w:rsid w:val="00064646"/>
    <w:rsid w:val="0006507F"/>
    <w:rsid w:val="00065443"/>
    <w:rsid w:val="0006580F"/>
    <w:rsid w:val="000660A1"/>
    <w:rsid w:val="000664F2"/>
    <w:rsid w:val="00066E47"/>
    <w:rsid w:val="00067E39"/>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0E9"/>
    <w:rsid w:val="00082FA2"/>
    <w:rsid w:val="00083B8B"/>
    <w:rsid w:val="00083DAD"/>
    <w:rsid w:val="00083DD9"/>
    <w:rsid w:val="000843B3"/>
    <w:rsid w:val="00084D34"/>
    <w:rsid w:val="00084F81"/>
    <w:rsid w:val="00085622"/>
    <w:rsid w:val="00085E00"/>
    <w:rsid w:val="000863D5"/>
    <w:rsid w:val="00086DCC"/>
    <w:rsid w:val="00086E17"/>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05"/>
    <w:rsid w:val="000A7F3C"/>
    <w:rsid w:val="000B022E"/>
    <w:rsid w:val="000B0AA6"/>
    <w:rsid w:val="000B16AC"/>
    <w:rsid w:val="000B205A"/>
    <w:rsid w:val="000B2794"/>
    <w:rsid w:val="000B3689"/>
    <w:rsid w:val="000B381D"/>
    <w:rsid w:val="000B4110"/>
    <w:rsid w:val="000B449B"/>
    <w:rsid w:val="000B4904"/>
    <w:rsid w:val="000B4A1C"/>
    <w:rsid w:val="000B53C5"/>
    <w:rsid w:val="000B6204"/>
    <w:rsid w:val="000B65A4"/>
    <w:rsid w:val="000B6F77"/>
    <w:rsid w:val="000B70D6"/>
    <w:rsid w:val="000B7263"/>
    <w:rsid w:val="000B7ABB"/>
    <w:rsid w:val="000C0603"/>
    <w:rsid w:val="000C06C2"/>
    <w:rsid w:val="000C2290"/>
    <w:rsid w:val="000C231C"/>
    <w:rsid w:val="000C24A4"/>
    <w:rsid w:val="000C4234"/>
    <w:rsid w:val="000C472E"/>
    <w:rsid w:val="000C632A"/>
    <w:rsid w:val="000C63C7"/>
    <w:rsid w:val="000C762A"/>
    <w:rsid w:val="000D0010"/>
    <w:rsid w:val="000D0F03"/>
    <w:rsid w:val="000D1CC7"/>
    <w:rsid w:val="000D2753"/>
    <w:rsid w:val="000D2A53"/>
    <w:rsid w:val="000D39EF"/>
    <w:rsid w:val="000D4BA7"/>
    <w:rsid w:val="000D4DD1"/>
    <w:rsid w:val="000D4E30"/>
    <w:rsid w:val="000D5539"/>
    <w:rsid w:val="000D59F4"/>
    <w:rsid w:val="000D5B56"/>
    <w:rsid w:val="000D702F"/>
    <w:rsid w:val="000D77EA"/>
    <w:rsid w:val="000D79AD"/>
    <w:rsid w:val="000D7CAE"/>
    <w:rsid w:val="000D7F0E"/>
    <w:rsid w:val="000E048B"/>
    <w:rsid w:val="000E09AC"/>
    <w:rsid w:val="000E0B87"/>
    <w:rsid w:val="000E0C57"/>
    <w:rsid w:val="000E0D92"/>
    <w:rsid w:val="000E165E"/>
    <w:rsid w:val="000E202B"/>
    <w:rsid w:val="000E2F7F"/>
    <w:rsid w:val="000E4485"/>
    <w:rsid w:val="000E45A7"/>
    <w:rsid w:val="000E4FE9"/>
    <w:rsid w:val="000E6BEE"/>
    <w:rsid w:val="000F049B"/>
    <w:rsid w:val="000F0D78"/>
    <w:rsid w:val="000F189F"/>
    <w:rsid w:val="000F1C68"/>
    <w:rsid w:val="000F1F1D"/>
    <w:rsid w:val="000F236F"/>
    <w:rsid w:val="000F237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1D7"/>
    <w:rsid w:val="00135824"/>
    <w:rsid w:val="00135C0B"/>
    <w:rsid w:val="00135EC5"/>
    <w:rsid w:val="001367F4"/>
    <w:rsid w:val="001367FE"/>
    <w:rsid w:val="00136C3F"/>
    <w:rsid w:val="00136F8F"/>
    <w:rsid w:val="0013756E"/>
    <w:rsid w:val="001375D6"/>
    <w:rsid w:val="00137E74"/>
    <w:rsid w:val="00143560"/>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036"/>
    <w:rsid w:val="0015744A"/>
    <w:rsid w:val="001606FB"/>
    <w:rsid w:val="001608AF"/>
    <w:rsid w:val="00160C00"/>
    <w:rsid w:val="00160C7C"/>
    <w:rsid w:val="00161639"/>
    <w:rsid w:val="001623BB"/>
    <w:rsid w:val="001629D0"/>
    <w:rsid w:val="001650E3"/>
    <w:rsid w:val="00165BC4"/>
    <w:rsid w:val="00166E40"/>
    <w:rsid w:val="001672ED"/>
    <w:rsid w:val="0016744B"/>
    <w:rsid w:val="00167C4D"/>
    <w:rsid w:val="0017072F"/>
    <w:rsid w:val="00170BB5"/>
    <w:rsid w:val="00172C55"/>
    <w:rsid w:val="00173F9C"/>
    <w:rsid w:val="00175205"/>
    <w:rsid w:val="00175B29"/>
    <w:rsid w:val="00176465"/>
    <w:rsid w:val="00177E22"/>
    <w:rsid w:val="00177F79"/>
    <w:rsid w:val="0018021E"/>
    <w:rsid w:val="001804A1"/>
    <w:rsid w:val="00180F00"/>
    <w:rsid w:val="00181DC6"/>
    <w:rsid w:val="00181FA0"/>
    <w:rsid w:val="00182A27"/>
    <w:rsid w:val="00183C0C"/>
    <w:rsid w:val="001841B7"/>
    <w:rsid w:val="00186328"/>
    <w:rsid w:val="00186736"/>
    <w:rsid w:val="0018686C"/>
    <w:rsid w:val="00187664"/>
    <w:rsid w:val="00187F81"/>
    <w:rsid w:val="00190337"/>
    <w:rsid w:val="00191069"/>
    <w:rsid w:val="00191871"/>
    <w:rsid w:val="00191E0A"/>
    <w:rsid w:val="00193C40"/>
    <w:rsid w:val="00194299"/>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E76"/>
    <w:rsid w:val="001A5F3C"/>
    <w:rsid w:val="001A6B37"/>
    <w:rsid w:val="001A754C"/>
    <w:rsid w:val="001A76F8"/>
    <w:rsid w:val="001B0E0A"/>
    <w:rsid w:val="001B129E"/>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4BC"/>
    <w:rsid w:val="001C1528"/>
    <w:rsid w:val="001C4BB1"/>
    <w:rsid w:val="001C4F60"/>
    <w:rsid w:val="001C516A"/>
    <w:rsid w:val="001C58C4"/>
    <w:rsid w:val="001C6258"/>
    <w:rsid w:val="001C6A4A"/>
    <w:rsid w:val="001C76C7"/>
    <w:rsid w:val="001C77D3"/>
    <w:rsid w:val="001C7A82"/>
    <w:rsid w:val="001C7AD6"/>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4939"/>
    <w:rsid w:val="001E69CA"/>
    <w:rsid w:val="001E6F84"/>
    <w:rsid w:val="001E728B"/>
    <w:rsid w:val="001F055D"/>
    <w:rsid w:val="001F06FB"/>
    <w:rsid w:val="001F17D3"/>
    <w:rsid w:val="001F2ACB"/>
    <w:rsid w:val="001F35AC"/>
    <w:rsid w:val="001F3719"/>
    <w:rsid w:val="001F392E"/>
    <w:rsid w:val="001F3C5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30B"/>
    <w:rsid w:val="00203513"/>
    <w:rsid w:val="0020355E"/>
    <w:rsid w:val="002049AA"/>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3CC5"/>
    <w:rsid w:val="00214116"/>
    <w:rsid w:val="0021491A"/>
    <w:rsid w:val="00214C0D"/>
    <w:rsid w:val="00215AC0"/>
    <w:rsid w:val="00216FA6"/>
    <w:rsid w:val="00217845"/>
    <w:rsid w:val="00220738"/>
    <w:rsid w:val="00220773"/>
    <w:rsid w:val="002208FC"/>
    <w:rsid w:val="00223300"/>
    <w:rsid w:val="00224109"/>
    <w:rsid w:val="002249F4"/>
    <w:rsid w:val="00224D3E"/>
    <w:rsid w:val="0022646A"/>
    <w:rsid w:val="00227A42"/>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5D6F"/>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575"/>
    <w:rsid w:val="00247D46"/>
    <w:rsid w:val="0025015A"/>
    <w:rsid w:val="00250657"/>
    <w:rsid w:val="002506CD"/>
    <w:rsid w:val="00250D63"/>
    <w:rsid w:val="00250F0E"/>
    <w:rsid w:val="00250FFE"/>
    <w:rsid w:val="002512A4"/>
    <w:rsid w:val="00251386"/>
    <w:rsid w:val="00252759"/>
    <w:rsid w:val="002530FC"/>
    <w:rsid w:val="00254E47"/>
    <w:rsid w:val="00254ED1"/>
    <w:rsid w:val="00255BCF"/>
    <w:rsid w:val="00256149"/>
    <w:rsid w:val="00257056"/>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390E"/>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0FF7"/>
    <w:rsid w:val="002913EB"/>
    <w:rsid w:val="002913FB"/>
    <w:rsid w:val="00292531"/>
    <w:rsid w:val="00293359"/>
    <w:rsid w:val="00293370"/>
    <w:rsid w:val="002936EE"/>
    <w:rsid w:val="00293D18"/>
    <w:rsid w:val="00294A82"/>
    <w:rsid w:val="00294F06"/>
    <w:rsid w:val="00295CAE"/>
    <w:rsid w:val="00295E84"/>
    <w:rsid w:val="0029620C"/>
    <w:rsid w:val="00296420"/>
    <w:rsid w:val="00296BF6"/>
    <w:rsid w:val="002A03EA"/>
    <w:rsid w:val="002A06F9"/>
    <w:rsid w:val="002A0BBA"/>
    <w:rsid w:val="002A12B3"/>
    <w:rsid w:val="002A14F0"/>
    <w:rsid w:val="002A22E2"/>
    <w:rsid w:val="002A41DC"/>
    <w:rsid w:val="002A5005"/>
    <w:rsid w:val="002A5142"/>
    <w:rsid w:val="002A5189"/>
    <w:rsid w:val="002A5916"/>
    <w:rsid w:val="002A67C9"/>
    <w:rsid w:val="002A764B"/>
    <w:rsid w:val="002A7C33"/>
    <w:rsid w:val="002A7DEA"/>
    <w:rsid w:val="002B0418"/>
    <w:rsid w:val="002B1AF1"/>
    <w:rsid w:val="002B3506"/>
    <w:rsid w:val="002B36FF"/>
    <w:rsid w:val="002B3E16"/>
    <w:rsid w:val="002B3EEB"/>
    <w:rsid w:val="002B41E8"/>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D7F3D"/>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07837"/>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4F8"/>
    <w:rsid w:val="00320F62"/>
    <w:rsid w:val="003212B9"/>
    <w:rsid w:val="00321B94"/>
    <w:rsid w:val="00321D7C"/>
    <w:rsid w:val="003221CD"/>
    <w:rsid w:val="00322628"/>
    <w:rsid w:val="0032276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4E8"/>
    <w:rsid w:val="00334E8A"/>
    <w:rsid w:val="00335BB2"/>
    <w:rsid w:val="00335E54"/>
    <w:rsid w:val="00337684"/>
    <w:rsid w:val="00337CA4"/>
    <w:rsid w:val="0034119E"/>
    <w:rsid w:val="00341B92"/>
    <w:rsid w:val="00342602"/>
    <w:rsid w:val="00342C6E"/>
    <w:rsid w:val="0034389C"/>
    <w:rsid w:val="00343E45"/>
    <w:rsid w:val="00344346"/>
    <w:rsid w:val="003449BE"/>
    <w:rsid w:val="00344A11"/>
    <w:rsid w:val="00344DBB"/>
    <w:rsid w:val="00344DFB"/>
    <w:rsid w:val="0034531D"/>
    <w:rsid w:val="003458DB"/>
    <w:rsid w:val="00347E75"/>
    <w:rsid w:val="00350C15"/>
    <w:rsid w:val="00350F0E"/>
    <w:rsid w:val="00351BEA"/>
    <w:rsid w:val="00351DC9"/>
    <w:rsid w:val="003520D8"/>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16"/>
    <w:rsid w:val="00373941"/>
    <w:rsid w:val="00373FA5"/>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30E1"/>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6EF"/>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5266"/>
    <w:rsid w:val="003D75FA"/>
    <w:rsid w:val="003D7C30"/>
    <w:rsid w:val="003D7D01"/>
    <w:rsid w:val="003E0790"/>
    <w:rsid w:val="003E0A69"/>
    <w:rsid w:val="003E0DE5"/>
    <w:rsid w:val="003E127F"/>
    <w:rsid w:val="003E1496"/>
    <w:rsid w:val="003E157C"/>
    <w:rsid w:val="003E1A6C"/>
    <w:rsid w:val="003E3683"/>
    <w:rsid w:val="003E3A8F"/>
    <w:rsid w:val="003E4260"/>
    <w:rsid w:val="003E4E76"/>
    <w:rsid w:val="003E52C1"/>
    <w:rsid w:val="003E5E0A"/>
    <w:rsid w:val="003E6052"/>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1A9"/>
    <w:rsid w:val="00403DD2"/>
    <w:rsid w:val="004045E0"/>
    <w:rsid w:val="0040465C"/>
    <w:rsid w:val="00405A3D"/>
    <w:rsid w:val="00405B6B"/>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2A1E"/>
    <w:rsid w:val="00423FB6"/>
    <w:rsid w:val="00424034"/>
    <w:rsid w:val="00424D91"/>
    <w:rsid w:val="00425052"/>
    <w:rsid w:val="00425F0C"/>
    <w:rsid w:val="00425F15"/>
    <w:rsid w:val="004271F0"/>
    <w:rsid w:val="0042772A"/>
    <w:rsid w:val="00427A29"/>
    <w:rsid w:val="00430E6F"/>
    <w:rsid w:val="00431060"/>
    <w:rsid w:val="0043144A"/>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013"/>
    <w:rsid w:val="00443555"/>
    <w:rsid w:val="00443F06"/>
    <w:rsid w:val="00445F45"/>
    <w:rsid w:val="004465B3"/>
    <w:rsid w:val="004469A9"/>
    <w:rsid w:val="00446D9E"/>
    <w:rsid w:val="00447E1A"/>
    <w:rsid w:val="00447EA8"/>
    <w:rsid w:val="00447FD4"/>
    <w:rsid w:val="004504E6"/>
    <w:rsid w:val="004505F8"/>
    <w:rsid w:val="0045063C"/>
    <w:rsid w:val="004516DE"/>
    <w:rsid w:val="00452096"/>
    <w:rsid w:val="00454088"/>
    <w:rsid w:val="004541D0"/>
    <w:rsid w:val="004547E8"/>
    <w:rsid w:val="00454A66"/>
    <w:rsid w:val="00455135"/>
    <w:rsid w:val="00456625"/>
    <w:rsid w:val="004579E6"/>
    <w:rsid w:val="004601DB"/>
    <w:rsid w:val="00460495"/>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613"/>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3BBF"/>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237"/>
    <w:rsid w:val="004B137B"/>
    <w:rsid w:val="004B1A79"/>
    <w:rsid w:val="004B1B5F"/>
    <w:rsid w:val="004B2041"/>
    <w:rsid w:val="004B2217"/>
    <w:rsid w:val="004B3398"/>
    <w:rsid w:val="004B375D"/>
    <w:rsid w:val="004B397D"/>
    <w:rsid w:val="004B4919"/>
    <w:rsid w:val="004B4B52"/>
    <w:rsid w:val="004B5166"/>
    <w:rsid w:val="004B67A8"/>
    <w:rsid w:val="004B6ECB"/>
    <w:rsid w:val="004B6EFA"/>
    <w:rsid w:val="004B741D"/>
    <w:rsid w:val="004B77BE"/>
    <w:rsid w:val="004C02D7"/>
    <w:rsid w:val="004C0BC0"/>
    <w:rsid w:val="004C0F5E"/>
    <w:rsid w:val="004C186D"/>
    <w:rsid w:val="004C196B"/>
    <w:rsid w:val="004C2255"/>
    <w:rsid w:val="004C2EEF"/>
    <w:rsid w:val="004C3439"/>
    <w:rsid w:val="004C3D0A"/>
    <w:rsid w:val="004C4062"/>
    <w:rsid w:val="004C4B3B"/>
    <w:rsid w:val="004C6157"/>
    <w:rsid w:val="004C6662"/>
    <w:rsid w:val="004C6A1F"/>
    <w:rsid w:val="004C7028"/>
    <w:rsid w:val="004D11A2"/>
    <w:rsid w:val="004D16B7"/>
    <w:rsid w:val="004D3F37"/>
    <w:rsid w:val="004D400B"/>
    <w:rsid w:val="004D453A"/>
    <w:rsid w:val="004D46F8"/>
    <w:rsid w:val="004D490F"/>
    <w:rsid w:val="004D60B1"/>
    <w:rsid w:val="004D6106"/>
    <w:rsid w:val="004D67C0"/>
    <w:rsid w:val="004D7B23"/>
    <w:rsid w:val="004D7CF8"/>
    <w:rsid w:val="004E0021"/>
    <w:rsid w:val="004E0AC8"/>
    <w:rsid w:val="004E115A"/>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07D"/>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307"/>
    <w:rsid w:val="00520BEF"/>
    <w:rsid w:val="00520CE8"/>
    <w:rsid w:val="005216E4"/>
    <w:rsid w:val="005221BB"/>
    <w:rsid w:val="005234CC"/>
    <w:rsid w:val="0052476C"/>
    <w:rsid w:val="005251CC"/>
    <w:rsid w:val="00525A76"/>
    <w:rsid w:val="00526669"/>
    <w:rsid w:val="00526A2B"/>
    <w:rsid w:val="00527B10"/>
    <w:rsid w:val="00527BB7"/>
    <w:rsid w:val="005317B5"/>
    <w:rsid w:val="005320A1"/>
    <w:rsid w:val="00532B33"/>
    <w:rsid w:val="005334A8"/>
    <w:rsid w:val="00533EEE"/>
    <w:rsid w:val="00534272"/>
    <w:rsid w:val="005344F7"/>
    <w:rsid w:val="005348F2"/>
    <w:rsid w:val="00535A09"/>
    <w:rsid w:val="00535DA5"/>
    <w:rsid w:val="00536E1B"/>
    <w:rsid w:val="00536FCB"/>
    <w:rsid w:val="005413E8"/>
    <w:rsid w:val="005415CF"/>
    <w:rsid w:val="0054231C"/>
    <w:rsid w:val="00542387"/>
    <w:rsid w:val="0054261C"/>
    <w:rsid w:val="00542734"/>
    <w:rsid w:val="005431C6"/>
    <w:rsid w:val="0054374C"/>
    <w:rsid w:val="00545554"/>
    <w:rsid w:val="005464B0"/>
    <w:rsid w:val="00546F90"/>
    <w:rsid w:val="00547164"/>
    <w:rsid w:val="0054754B"/>
    <w:rsid w:val="00547BA8"/>
    <w:rsid w:val="00550115"/>
    <w:rsid w:val="0055053C"/>
    <w:rsid w:val="005510FF"/>
    <w:rsid w:val="0055127C"/>
    <w:rsid w:val="00551637"/>
    <w:rsid w:val="005516A2"/>
    <w:rsid w:val="0055191D"/>
    <w:rsid w:val="00551D4A"/>
    <w:rsid w:val="0055231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9FF"/>
    <w:rsid w:val="00556E16"/>
    <w:rsid w:val="005570F4"/>
    <w:rsid w:val="005575FB"/>
    <w:rsid w:val="00557A0D"/>
    <w:rsid w:val="00557E91"/>
    <w:rsid w:val="00561F7B"/>
    <w:rsid w:val="0056288E"/>
    <w:rsid w:val="00562CE9"/>
    <w:rsid w:val="00562D15"/>
    <w:rsid w:val="00562D48"/>
    <w:rsid w:val="00563779"/>
    <w:rsid w:val="0056402F"/>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28B9"/>
    <w:rsid w:val="00583EC4"/>
    <w:rsid w:val="00584107"/>
    <w:rsid w:val="00584541"/>
    <w:rsid w:val="00584984"/>
    <w:rsid w:val="00584BB3"/>
    <w:rsid w:val="00586005"/>
    <w:rsid w:val="00586C02"/>
    <w:rsid w:val="00587C08"/>
    <w:rsid w:val="00587E52"/>
    <w:rsid w:val="00590DB4"/>
    <w:rsid w:val="00591EA5"/>
    <w:rsid w:val="0059391B"/>
    <w:rsid w:val="005947DA"/>
    <w:rsid w:val="00596AC8"/>
    <w:rsid w:val="00596BC0"/>
    <w:rsid w:val="00597320"/>
    <w:rsid w:val="0059734F"/>
    <w:rsid w:val="00597AA0"/>
    <w:rsid w:val="005A03D2"/>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044"/>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64D"/>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2BE9"/>
    <w:rsid w:val="005D4F64"/>
    <w:rsid w:val="005D5F7E"/>
    <w:rsid w:val="005D73E5"/>
    <w:rsid w:val="005D7538"/>
    <w:rsid w:val="005D7C2C"/>
    <w:rsid w:val="005D7F36"/>
    <w:rsid w:val="005E0F96"/>
    <w:rsid w:val="005E116E"/>
    <w:rsid w:val="005E1736"/>
    <w:rsid w:val="005E2935"/>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3DD5"/>
    <w:rsid w:val="00604552"/>
    <w:rsid w:val="006057F6"/>
    <w:rsid w:val="00605923"/>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0B6D"/>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4DB2"/>
    <w:rsid w:val="006659CB"/>
    <w:rsid w:val="00665BC3"/>
    <w:rsid w:val="00666073"/>
    <w:rsid w:val="00670BA2"/>
    <w:rsid w:val="00670BBC"/>
    <w:rsid w:val="00670C48"/>
    <w:rsid w:val="00670C5E"/>
    <w:rsid w:val="00672C35"/>
    <w:rsid w:val="00672E16"/>
    <w:rsid w:val="0067369B"/>
    <w:rsid w:val="0067500C"/>
    <w:rsid w:val="00675E1B"/>
    <w:rsid w:val="00676017"/>
    <w:rsid w:val="00676588"/>
    <w:rsid w:val="0067690E"/>
    <w:rsid w:val="00676E66"/>
    <w:rsid w:val="0067733A"/>
    <w:rsid w:val="0067761B"/>
    <w:rsid w:val="00677B3D"/>
    <w:rsid w:val="00680BE6"/>
    <w:rsid w:val="00681507"/>
    <w:rsid w:val="00681DFF"/>
    <w:rsid w:val="006826EB"/>
    <w:rsid w:val="00682CC7"/>
    <w:rsid w:val="006837FC"/>
    <w:rsid w:val="00683CB7"/>
    <w:rsid w:val="00684F13"/>
    <w:rsid w:val="00685662"/>
    <w:rsid w:val="00686663"/>
    <w:rsid w:val="006868C1"/>
    <w:rsid w:val="006872B3"/>
    <w:rsid w:val="0068737C"/>
    <w:rsid w:val="00690690"/>
    <w:rsid w:val="00690CFA"/>
    <w:rsid w:val="00690D79"/>
    <w:rsid w:val="00691C6C"/>
    <w:rsid w:val="00691FE2"/>
    <w:rsid w:val="006927E7"/>
    <w:rsid w:val="0069371F"/>
    <w:rsid w:val="00693B17"/>
    <w:rsid w:val="00693B28"/>
    <w:rsid w:val="00694799"/>
    <w:rsid w:val="00694866"/>
    <w:rsid w:val="006955E5"/>
    <w:rsid w:val="00695BEA"/>
    <w:rsid w:val="00695D2F"/>
    <w:rsid w:val="00695F90"/>
    <w:rsid w:val="0069602B"/>
    <w:rsid w:val="0069616E"/>
    <w:rsid w:val="006968D7"/>
    <w:rsid w:val="00697197"/>
    <w:rsid w:val="006972C5"/>
    <w:rsid w:val="00697F37"/>
    <w:rsid w:val="006A0E4E"/>
    <w:rsid w:val="006A1373"/>
    <w:rsid w:val="006A1B4C"/>
    <w:rsid w:val="006A1B86"/>
    <w:rsid w:val="006A242B"/>
    <w:rsid w:val="006A4C15"/>
    <w:rsid w:val="006A5493"/>
    <w:rsid w:val="006B0DBF"/>
    <w:rsid w:val="006B1829"/>
    <w:rsid w:val="006B1B8C"/>
    <w:rsid w:val="006B1DDD"/>
    <w:rsid w:val="006B26FA"/>
    <w:rsid w:val="006B346F"/>
    <w:rsid w:val="006B4E75"/>
    <w:rsid w:val="006B5271"/>
    <w:rsid w:val="006B5FF9"/>
    <w:rsid w:val="006B66FE"/>
    <w:rsid w:val="006B68CC"/>
    <w:rsid w:val="006C0E24"/>
    <w:rsid w:val="006C1953"/>
    <w:rsid w:val="006C1F62"/>
    <w:rsid w:val="006C2439"/>
    <w:rsid w:val="006C24BF"/>
    <w:rsid w:val="006C2F3F"/>
    <w:rsid w:val="006C3B55"/>
    <w:rsid w:val="006C4A62"/>
    <w:rsid w:val="006C52C8"/>
    <w:rsid w:val="006C5567"/>
    <w:rsid w:val="006C5661"/>
    <w:rsid w:val="006C5844"/>
    <w:rsid w:val="006C58CD"/>
    <w:rsid w:val="006C7B78"/>
    <w:rsid w:val="006D00E6"/>
    <w:rsid w:val="006D0129"/>
    <w:rsid w:val="006D1A9A"/>
    <w:rsid w:val="006D22C5"/>
    <w:rsid w:val="006D2C3B"/>
    <w:rsid w:val="006D34B7"/>
    <w:rsid w:val="006D590E"/>
    <w:rsid w:val="006D5E80"/>
    <w:rsid w:val="006D6A98"/>
    <w:rsid w:val="006D6C88"/>
    <w:rsid w:val="006D711C"/>
    <w:rsid w:val="006D731B"/>
    <w:rsid w:val="006D747B"/>
    <w:rsid w:val="006D78EE"/>
    <w:rsid w:val="006E01B2"/>
    <w:rsid w:val="006E050B"/>
    <w:rsid w:val="006E0867"/>
    <w:rsid w:val="006E0A42"/>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9DC"/>
    <w:rsid w:val="006F3AD8"/>
    <w:rsid w:val="006F3AF6"/>
    <w:rsid w:val="006F3F3D"/>
    <w:rsid w:val="006F5142"/>
    <w:rsid w:val="006F5354"/>
    <w:rsid w:val="006F7E3F"/>
    <w:rsid w:val="006F7F65"/>
    <w:rsid w:val="007013A1"/>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0AB"/>
    <w:rsid w:val="00715237"/>
    <w:rsid w:val="00716343"/>
    <w:rsid w:val="007163C7"/>
    <w:rsid w:val="00716423"/>
    <w:rsid w:val="007175E6"/>
    <w:rsid w:val="00717ABC"/>
    <w:rsid w:val="00722223"/>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7A"/>
    <w:rsid w:val="007342B4"/>
    <w:rsid w:val="007343E3"/>
    <w:rsid w:val="00734CDF"/>
    <w:rsid w:val="00735076"/>
    <w:rsid w:val="00736905"/>
    <w:rsid w:val="00736CA4"/>
    <w:rsid w:val="00736CCD"/>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25B"/>
    <w:rsid w:val="007519CD"/>
    <w:rsid w:val="00754A4D"/>
    <w:rsid w:val="00755733"/>
    <w:rsid w:val="00755A45"/>
    <w:rsid w:val="00756740"/>
    <w:rsid w:val="00756BF1"/>
    <w:rsid w:val="00756D20"/>
    <w:rsid w:val="00760252"/>
    <w:rsid w:val="0076027E"/>
    <w:rsid w:val="0076043F"/>
    <w:rsid w:val="007606BE"/>
    <w:rsid w:val="00760AB8"/>
    <w:rsid w:val="00761EE4"/>
    <w:rsid w:val="0076273B"/>
    <w:rsid w:val="007627AE"/>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13C"/>
    <w:rsid w:val="007743CF"/>
    <w:rsid w:val="007745AF"/>
    <w:rsid w:val="00774D8D"/>
    <w:rsid w:val="007755FA"/>
    <w:rsid w:val="00776933"/>
    <w:rsid w:val="00777B5A"/>
    <w:rsid w:val="007804CD"/>
    <w:rsid w:val="00781C91"/>
    <w:rsid w:val="00781F0E"/>
    <w:rsid w:val="00782D0B"/>
    <w:rsid w:val="0078328D"/>
    <w:rsid w:val="00783B19"/>
    <w:rsid w:val="007844FE"/>
    <w:rsid w:val="007845A2"/>
    <w:rsid w:val="007863EF"/>
    <w:rsid w:val="00786468"/>
    <w:rsid w:val="0078667B"/>
    <w:rsid w:val="0078768F"/>
    <w:rsid w:val="00787B81"/>
    <w:rsid w:val="007907B7"/>
    <w:rsid w:val="007911B8"/>
    <w:rsid w:val="007914FF"/>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BED"/>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C16"/>
    <w:rsid w:val="007D4F54"/>
    <w:rsid w:val="007D5FCE"/>
    <w:rsid w:val="007D606E"/>
    <w:rsid w:val="007D6BB9"/>
    <w:rsid w:val="007E065B"/>
    <w:rsid w:val="007E0B97"/>
    <w:rsid w:val="007E0B9B"/>
    <w:rsid w:val="007E0E82"/>
    <w:rsid w:val="007E174E"/>
    <w:rsid w:val="007E32AD"/>
    <w:rsid w:val="007E381F"/>
    <w:rsid w:val="007E3BA2"/>
    <w:rsid w:val="007E4AB5"/>
    <w:rsid w:val="007E4D4D"/>
    <w:rsid w:val="007E4E45"/>
    <w:rsid w:val="007E5DE1"/>
    <w:rsid w:val="007E5E24"/>
    <w:rsid w:val="007E6437"/>
    <w:rsid w:val="007E751D"/>
    <w:rsid w:val="007E7869"/>
    <w:rsid w:val="007E7B9A"/>
    <w:rsid w:val="007F04D7"/>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4CEE"/>
    <w:rsid w:val="00805818"/>
    <w:rsid w:val="00807345"/>
    <w:rsid w:val="00807C38"/>
    <w:rsid w:val="008101C8"/>
    <w:rsid w:val="00810699"/>
    <w:rsid w:val="00812DAC"/>
    <w:rsid w:val="00812E62"/>
    <w:rsid w:val="00812FF4"/>
    <w:rsid w:val="00813C43"/>
    <w:rsid w:val="00813F93"/>
    <w:rsid w:val="00813FE2"/>
    <w:rsid w:val="0081477F"/>
    <w:rsid w:val="00814D6C"/>
    <w:rsid w:val="00815440"/>
    <w:rsid w:val="00816F40"/>
    <w:rsid w:val="0081779A"/>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457"/>
    <w:rsid w:val="00834811"/>
    <w:rsid w:val="008351A3"/>
    <w:rsid w:val="008359C7"/>
    <w:rsid w:val="00835C43"/>
    <w:rsid w:val="0083664F"/>
    <w:rsid w:val="00836A28"/>
    <w:rsid w:val="00836F62"/>
    <w:rsid w:val="00837206"/>
    <w:rsid w:val="008400C9"/>
    <w:rsid w:val="00840646"/>
    <w:rsid w:val="00842D5E"/>
    <w:rsid w:val="008433CF"/>
    <w:rsid w:val="00845178"/>
    <w:rsid w:val="008454AA"/>
    <w:rsid w:val="008458CC"/>
    <w:rsid w:val="00846795"/>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440C"/>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2D1A"/>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B7514"/>
    <w:rsid w:val="008C067C"/>
    <w:rsid w:val="008C3063"/>
    <w:rsid w:val="008C3FD9"/>
    <w:rsid w:val="008C4E81"/>
    <w:rsid w:val="008C54AB"/>
    <w:rsid w:val="008C7F4D"/>
    <w:rsid w:val="008D029D"/>
    <w:rsid w:val="008D0908"/>
    <w:rsid w:val="008D0B29"/>
    <w:rsid w:val="008D23C8"/>
    <w:rsid w:val="008D267D"/>
    <w:rsid w:val="008D4EA7"/>
    <w:rsid w:val="008D50B6"/>
    <w:rsid w:val="008D63A5"/>
    <w:rsid w:val="008D6D28"/>
    <w:rsid w:val="008D6ECF"/>
    <w:rsid w:val="008E07E6"/>
    <w:rsid w:val="008E1CFC"/>
    <w:rsid w:val="008E255F"/>
    <w:rsid w:val="008E2AB0"/>
    <w:rsid w:val="008E36EE"/>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8F740C"/>
    <w:rsid w:val="009003E8"/>
    <w:rsid w:val="009005F6"/>
    <w:rsid w:val="00900653"/>
    <w:rsid w:val="00900ED1"/>
    <w:rsid w:val="00901037"/>
    <w:rsid w:val="0090151D"/>
    <w:rsid w:val="00901AB5"/>
    <w:rsid w:val="0090272C"/>
    <w:rsid w:val="0090292A"/>
    <w:rsid w:val="00902E85"/>
    <w:rsid w:val="00904BDD"/>
    <w:rsid w:val="009064B5"/>
    <w:rsid w:val="0090652B"/>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17838"/>
    <w:rsid w:val="009224AA"/>
    <w:rsid w:val="00922B53"/>
    <w:rsid w:val="00922E67"/>
    <w:rsid w:val="00924B22"/>
    <w:rsid w:val="00924E8D"/>
    <w:rsid w:val="009265AA"/>
    <w:rsid w:val="00926B05"/>
    <w:rsid w:val="00926DC7"/>
    <w:rsid w:val="00930742"/>
    <w:rsid w:val="009307F2"/>
    <w:rsid w:val="00930936"/>
    <w:rsid w:val="00930FAE"/>
    <w:rsid w:val="009319C7"/>
    <w:rsid w:val="00934067"/>
    <w:rsid w:val="009341A3"/>
    <w:rsid w:val="0093422A"/>
    <w:rsid w:val="009349F8"/>
    <w:rsid w:val="009353AB"/>
    <w:rsid w:val="009370C0"/>
    <w:rsid w:val="009372D7"/>
    <w:rsid w:val="00937BA5"/>
    <w:rsid w:val="00937F9C"/>
    <w:rsid w:val="00940033"/>
    <w:rsid w:val="00940808"/>
    <w:rsid w:val="009409DD"/>
    <w:rsid w:val="00942139"/>
    <w:rsid w:val="009425C7"/>
    <w:rsid w:val="00943091"/>
    <w:rsid w:val="00944C52"/>
    <w:rsid w:val="00945910"/>
    <w:rsid w:val="00945B85"/>
    <w:rsid w:val="009472C7"/>
    <w:rsid w:val="0094761A"/>
    <w:rsid w:val="00947F20"/>
    <w:rsid w:val="00951705"/>
    <w:rsid w:val="00951F03"/>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19"/>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6C83"/>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59A1"/>
    <w:rsid w:val="009A6D0B"/>
    <w:rsid w:val="009A6F53"/>
    <w:rsid w:val="009A7042"/>
    <w:rsid w:val="009A73CB"/>
    <w:rsid w:val="009A7909"/>
    <w:rsid w:val="009A7FF9"/>
    <w:rsid w:val="009B1AD7"/>
    <w:rsid w:val="009B20F0"/>
    <w:rsid w:val="009B298B"/>
    <w:rsid w:val="009B2D58"/>
    <w:rsid w:val="009B32E6"/>
    <w:rsid w:val="009B33F2"/>
    <w:rsid w:val="009B4CCF"/>
    <w:rsid w:val="009B51A8"/>
    <w:rsid w:val="009B5A91"/>
    <w:rsid w:val="009B5B76"/>
    <w:rsid w:val="009B732F"/>
    <w:rsid w:val="009C07CF"/>
    <w:rsid w:val="009C197D"/>
    <w:rsid w:val="009C20D8"/>
    <w:rsid w:val="009C23A9"/>
    <w:rsid w:val="009C346A"/>
    <w:rsid w:val="009C351F"/>
    <w:rsid w:val="009C4111"/>
    <w:rsid w:val="009C4301"/>
    <w:rsid w:val="009C447B"/>
    <w:rsid w:val="009C6066"/>
    <w:rsid w:val="009C670D"/>
    <w:rsid w:val="009C728E"/>
    <w:rsid w:val="009C7BC3"/>
    <w:rsid w:val="009C7ECD"/>
    <w:rsid w:val="009C7F69"/>
    <w:rsid w:val="009D044F"/>
    <w:rsid w:val="009D0F46"/>
    <w:rsid w:val="009D1155"/>
    <w:rsid w:val="009D233F"/>
    <w:rsid w:val="009D29A9"/>
    <w:rsid w:val="009D45B8"/>
    <w:rsid w:val="009D46CD"/>
    <w:rsid w:val="009D507D"/>
    <w:rsid w:val="009D5287"/>
    <w:rsid w:val="009D54F2"/>
    <w:rsid w:val="009D5B3C"/>
    <w:rsid w:val="009D6436"/>
    <w:rsid w:val="009D6BC2"/>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66"/>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DE3"/>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4D32"/>
    <w:rsid w:val="00A45A30"/>
    <w:rsid w:val="00A461C9"/>
    <w:rsid w:val="00A46B35"/>
    <w:rsid w:val="00A46C9D"/>
    <w:rsid w:val="00A50378"/>
    <w:rsid w:val="00A50D5C"/>
    <w:rsid w:val="00A5151B"/>
    <w:rsid w:val="00A51E1F"/>
    <w:rsid w:val="00A52AFA"/>
    <w:rsid w:val="00A52EDC"/>
    <w:rsid w:val="00A5300A"/>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5475"/>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409"/>
    <w:rsid w:val="00A80B3B"/>
    <w:rsid w:val="00A80CC4"/>
    <w:rsid w:val="00A82227"/>
    <w:rsid w:val="00A8242A"/>
    <w:rsid w:val="00A8267D"/>
    <w:rsid w:val="00A833B1"/>
    <w:rsid w:val="00A84EB4"/>
    <w:rsid w:val="00A85DB9"/>
    <w:rsid w:val="00A85F55"/>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490"/>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0E9C"/>
    <w:rsid w:val="00AB1A17"/>
    <w:rsid w:val="00AB2522"/>
    <w:rsid w:val="00AB26CE"/>
    <w:rsid w:val="00AB2A29"/>
    <w:rsid w:val="00AB2B73"/>
    <w:rsid w:val="00AB3911"/>
    <w:rsid w:val="00AB3B65"/>
    <w:rsid w:val="00AB4383"/>
    <w:rsid w:val="00AB4E95"/>
    <w:rsid w:val="00AB6419"/>
    <w:rsid w:val="00AC1512"/>
    <w:rsid w:val="00AC1EDE"/>
    <w:rsid w:val="00AC2C14"/>
    <w:rsid w:val="00AC2C36"/>
    <w:rsid w:val="00AC2CE4"/>
    <w:rsid w:val="00AC2E8B"/>
    <w:rsid w:val="00AC2EC0"/>
    <w:rsid w:val="00AC2F93"/>
    <w:rsid w:val="00AC3B40"/>
    <w:rsid w:val="00AC45DE"/>
    <w:rsid w:val="00AC498F"/>
    <w:rsid w:val="00AC5872"/>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D7C68"/>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0E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DB2"/>
    <w:rsid w:val="00B15E66"/>
    <w:rsid w:val="00B16F0E"/>
    <w:rsid w:val="00B16F6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5A4"/>
    <w:rsid w:val="00B3672C"/>
    <w:rsid w:val="00B36998"/>
    <w:rsid w:val="00B36C1A"/>
    <w:rsid w:val="00B36C7C"/>
    <w:rsid w:val="00B37073"/>
    <w:rsid w:val="00B375E2"/>
    <w:rsid w:val="00B40EAA"/>
    <w:rsid w:val="00B41403"/>
    <w:rsid w:val="00B415C4"/>
    <w:rsid w:val="00B415E6"/>
    <w:rsid w:val="00B41669"/>
    <w:rsid w:val="00B4193E"/>
    <w:rsid w:val="00B42271"/>
    <w:rsid w:val="00B4272A"/>
    <w:rsid w:val="00B43A1C"/>
    <w:rsid w:val="00B44120"/>
    <w:rsid w:val="00B44354"/>
    <w:rsid w:val="00B448E1"/>
    <w:rsid w:val="00B44B90"/>
    <w:rsid w:val="00B466C6"/>
    <w:rsid w:val="00B475D0"/>
    <w:rsid w:val="00B51267"/>
    <w:rsid w:val="00B5128D"/>
    <w:rsid w:val="00B5139A"/>
    <w:rsid w:val="00B5154C"/>
    <w:rsid w:val="00B51DA7"/>
    <w:rsid w:val="00B52C67"/>
    <w:rsid w:val="00B52E44"/>
    <w:rsid w:val="00B53F67"/>
    <w:rsid w:val="00B547A9"/>
    <w:rsid w:val="00B54D82"/>
    <w:rsid w:val="00B54F6E"/>
    <w:rsid w:val="00B55441"/>
    <w:rsid w:val="00B55A87"/>
    <w:rsid w:val="00B56193"/>
    <w:rsid w:val="00B56253"/>
    <w:rsid w:val="00B569F9"/>
    <w:rsid w:val="00B56B72"/>
    <w:rsid w:val="00B57E69"/>
    <w:rsid w:val="00B60F4C"/>
    <w:rsid w:val="00B61260"/>
    <w:rsid w:val="00B62694"/>
    <w:rsid w:val="00B62C7E"/>
    <w:rsid w:val="00B63FB4"/>
    <w:rsid w:val="00B64CF5"/>
    <w:rsid w:val="00B64E70"/>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0B11"/>
    <w:rsid w:val="00BB1868"/>
    <w:rsid w:val="00BB3574"/>
    <w:rsid w:val="00BB3D2B"/>
    <w:rsid w:val="00BB51B7"/>
    <w:rsid w:val="00BB6344"/>
    <w:rsid w:val="00BB6668"/>
    <w:rsid w:val="00BB67BD"/>
    <w:rsid w:val="00BB7C43"/>
    <w:rsid w:val="00BC201F"/>
    <w:rsid w:val="00BC238A"/>
    <w:rsid w:val="00BC2A80"/>
    <w:rsid w:val="00BC3132"/>
    <w:rsid w:val="00BC31BE"/>
    <w:rsid w:val="00BC43A2"/>
    <w:rsid w:val="00BC4E05"/>
    <w:rsid w:val="00BC61C9"/>
    <w:rsid w:val="00BC6DDF"/>
    <w:rsid w:val="00BC7F42"/>
    <w:rsid w:val="00BD0089"/>
    <w:rsid w:val="00BD1195"/>
    <w:rsid w:val="00BD1581"/>
    <w:rsid w:val="00BD19B5"/>
    <w:rsid w:val="00BD210F"/>
    <w:rsid w:val="00BD2869"/>
    <w:rsid w:val="00BD3A9E"/>
    <w:rsid w:val="00BD4082"/>
    <w:rsid w:val="00BD44E1"/>
    <w:rsid w:val="00BD4527"/>
    <w:rsid w:val="00BD47DE"/>
    <w:rsid w:val="00BD50F4"/>
    <w:rsid w:val="00BD525A"/>
    <w:rsid w:val="00BD5671"/>
    <w:rsid w:val="00BD7973"/>
    <w:rsid w:val="00BD7A42"/>
    <w:rsid w:val="00BD7DF3"/>
    <w:rsid w:val="00BE03F8"/>
    <w:rsid w:val="00BE0BDB"/>
    <w:rsid w:val="00BE0E2C"/>
    <w:rsid w:val="00BE113E"/>
    <w:rsid w:val="00BE13A9"/>
    <w:rsid w:val="00BE1C20"/>
    <w:rsid w:val="00BE46DF"/>
    <w:rsid w:val="00BE49B3"/>
    <w:rsid w:val="00BE51B3"/>
    <w:rsid w:val="00BE5456"/>
    <w:rsid w:val="00BE623A"/>
    <w:rsid w:val="00BE6363"/>
    <w:rsid w:val="00BE676F"/>
    <w:rsid w:val="00BE6A26"/>
    <w:rsid w:val="00BE7081"/>
    <w:rsid w:val="00BF0187"/>
    <w:rsid w:val="00BF175C"/>
    <w:rsid w:val="00BF1AB0"/>
    <w:rsid w:val="00BF1E20"/>
    <w:rsid w:val="00BF3767"/>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45C7"/>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8F7"/>
    <w:rsid w:val="00C36F06"/>
    <w:rsid w:val="00C37197"/>
    <w:rsid w:val="00C37CFC"/>
    <w:rsid w:val="00C37D97"/>
    <w:rsid w:val="00C37F84"/>
    <w:rsid w:val="00C40737"/>
    <w:rsid w:val="00C41060"/>
    <w:rsid w:val="00C41D97"/>
    <w:rsid w:val="00C42901"/>
    <w:rsid w:val="00C42AAB"/>
    <w:rsid w:val="00C42C51"/>
    <w:rsid w:val="00C43047"/>
    <w:rsid w:val="00C446FA"/>
    <w:rsid w:val="00C46648"/>
    <w:rsid w:val="00C46F0C"/>
    <w:rsid w:val="00C47FE3"/>
    <w:rsid w:val="00C50221"/>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4C0"/>
    <w:rsid w:val="00C63C41"/>
    <w:rsid w:val="00C63FB2"/>
    <w:rsid w:val="00C652C7"/>
    <w:rsid w:val="00C661AF"/>
    <w:rsid w:val="00C66F7F"/>
    <w:rsid w:val="00C670D3"/>
    <w:rsid w:val="00C6725C"/>
    <w:rsid w:val="00C67824"/>
    <w:rsid w:val="00C67D5D"/>
    <w:rsid w:val="00C7034F"/>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443"/>
    <w:rsid w:val="00C85EBF"/>
    <w:rsid w:val="00C86EE7"/>
    <w:rsid w:val="00C87B3E"/>
    <w:rsid w:val="00C87BCA"/>
    <w:rsid w:val="00C90163"/>
    <w:rsid w:val="00C90F93"/>
    <w:rsid w:val="00C917F3"/>
    <w:rsid w:val="00C925DC"/>
    <w:rsid w:val="00C93406"/>
    <w:rsid w:val="00C95103"/>
    <w:rsid w:val="00C95502"/>
    <w:rsid w:val="00C9629F"/>
    <w:rsid w:val="00C97B58"/>
    <w:rsid w:val="00CA04DE"/>
    <w:rsid w:val="00CA130E"/>
    <w:rsid w:val="00CA3840"/>
    <w:rsid w:val="00CA53A3"/>
    <w:rsid w:val="00CA61F3"/>
    <w:rsid w:val="00CA66B2"/>
    <w:rsid w:val="00CA6AC1"/>
    <w:rsid w:val="00CA6D0A"/>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2F5"/>
    <w:rsid w:val="00CC2577"/>
    <w:rsid w:val="00CC2858"/>
    <w:rsid w:val="00CC2BBF"/>
    <w:rsid w:val="00CC3551"/>
    <w:rsid w:val="00CC3625"/>
    <w:rsid w:val="00CC426D"/>
    <w:rsid w:val="00CC456F"/>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E7C92"/>
    <w:rsid w:val="00CF013F"/>
    <w:rsid w:val="00CF05DB"/>
    <w:rsid w:val="00CF08DE"/>
    <w:rsid w:val="00CF1323"/>
    <w:rsid w:val="00CF151F"/>
    <w:rsid w:val="00CF1CD7"/>
    <w:rsid w:val="00CF1D3E"/>
    <w:rsid w:val="00CF2498"/>
    <w:rsid w:val="00CF2650"/>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0AA"/>
    <w:rsid w:val="00D03276"/>
    <w:rsid w:val="00D03455"/>
    <w:rsid w:val="00D03A3B"/>
    <w:rsid w:val="00D03ECD"/>
    <w:rsid w:val="00D049AD"/>
    <w:rsid w:val="00D049C2"/>
    <w:rsid w:val="00D05392"/>
    <w:rsid w:val="00D0552E"/>
    <w:rsid w:val="00D0664C"/>
    <w:rsid w:val="00D07152"/>
    <w:rsid w:val="00D07A93"/>
    <w:rsid w:val="00D101F2"/>
    <w:rsid w:val="00D10305"/>
    <w:rsid w:val="00D10794"/>
    <w:rsid w:val="00D10D02"/>
    <w:rsid w:val="00D10D5C"/>
    <w:rsid w:val="00D10E4A"/>
    <w:rsid w:val="00D114B4"/>
    <w:rsid w:val="00D1211A"/>
    <w:rsid w:val="00D12A7A"/>
    <w:rsid w:val="00D1368A"/>
    <w:rsid w:val="00D13D56"/>
    <w:rsid w:val="00D13E95"/>
    <w:rsid w:val="00D14121"/>
    <w:rsid w:val="00D14483"/>
    <w:rsid w:val="00D148A3"/>
    <w:rsid w:val="00D164F7"/>
    <w:rsid w:val="00D165FA"/>
    <w:rsid w:val="00D170E5"/>
    <w:rsid w:val="00D17530"/>
    <w:rsid w:val="00D176A1"/>
    <w:rsid w:val="00D178E7"/>
    <w:rsid w:val="00D17EF2"/>
    <w:rsid w:val="00D17FEE"/>
    <w:rsid w:val="00D20161"/>
    <w:rsid w:val="00D20E5E"/>
    <w:rsid w:val="00D20F54"/>
    <w:rsid w:val="00D21C55"/>
    <w:rsid w:val="00D21D2E"/>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4E6"/>
    <w:rsid w:val="00D368D8"/>
    <w:rsid w:val="00D4056A"/>
    <w:rsid w:val="00D42AA6"/>
    <w:rsid w:val="00D433C9"/>
    <w:rsid w:val="00D44434"/>
    <w:rsid w:val="00D4572D"/>
    <w:rsid w:val="00D4573B"/>
    <w:rsid w:val="00D45BD0"/>
    <w:rsid w:val="00D460A3"/>
    <w:rsid w:val="00D465D1"/>
    <w:rsid w:val="00D46719"/>
    <w:rsid w:val="00D469BA"/>
    <w:rsid w:val="00D47D8F"/>
    <w:rsid w:val="00D5106F"/>
    <w:rsid w:val="00D51088"/>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12CD"/>
    <w:rsid w:val="00D62AC4"/>
    <w:rsid w:val="00D6334D"/>
    <w:rsid w:val="00D63840"/>
    <w:rsid w:val="00D64141"/>
    <w:rsid w:val="00D64A2B"/>
    <w:rsid w:val="00D65115"/>
    <w:rsid w:val="00D65117"/>
    <w:rsid w:val="00D6543C"/>
    <w:rsid w:val="00D66C17"/>
    <w:rsid w:val="00D6743D"/>
    <w:rsid w:val="00D67C36"/>
    <w:rsid w:val="00D70AB8"/>
    <w:rsid w:val="00D71C59"/>
    <w:rsid w:val="00D7252E"/>
    <w:rsid w:val="00D72B42"/>
    <w:rsid w:val="00D72E32"/>
    <w:rsid w:val="00D72F07"/>
    <w:rsid w:val="00D737D5"/>
    <w:rsid w:val="00D74AE1"/>
    <w:rsid w:val="00D7563F"/>
    <w:rsid w:val="00D75B1D"/>
    <w:rsid w:val="00D75B8F"/>
    <w:rsid w:val="00D76026"/>
    <w:rsid w:val="00D77836"/>
    <w:rsid w:val="00D800A6"/>
    <w:rsid w:val="00D8023D"/>
    <w:rsid w:val="00D8217E"/>
    <w:rsid w:val="00D82AF1"/>
    <w:rsid w:val="00D82BE8"/>
    <w:rsid w:val="00D82EB7"/>
    <w:rsid w:val="00D82F40"/>
    <w:rsid w:val="00D8331C"/>
    <w:rsid w:val="00D835E5"/>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073"/>
    <w:rsid w:val="00D94500"/>
    <w:rsid w:val="00D95592"/>
    <w:rsid w:val="00D96143"/>
    <w:rsid w:val="00D963CF"/>
    <w:rsid w:val="00D96C7D"/>
    <w:rsid w:val="00D97F60"/>
    <w:rsid w:val="00DA03FF"/>
    <w:rsid w:val="00DA0A0D"/>
    <w:rsid w:val="00DA0F4E"/>
    <w:rsid w:val="00DA12D6"/>
    <w:rsid w:val="00DA132D"/>
    <w:rsid w:val="00DA1336"/>
    <w:rsid w:val="00DA1E4C"/>
    <w:rsid w:val="00DA1E51"/>
    <w:rsid w:val="00DA257C"/>
    <w:rsid w:val="00DA2931"/>
    <w:rsid w:val="00DA2B8D"/>
    <w:rsid w:val="00DA30A6"/>
    <w:rsid w:val="00DA31CA"/>
    <w:rsid w:val="00DA4485"/>
    <w:rsid w:val="00DA4FD3"/>
    <w:rsid w:val="00DA50BB"/>
    <w:rsid w:val="00DA6757"/>
    <w:rsid w:val="00DA6B02"/>
    <w:rsid w:val="00DA6B17"/>
    <w:rsid w:val="00DA7239"/>
    <w:rsid w:val="00DA7B1F"/>
    <w:rsid w:val="00DB012A"/>
    <w:rsid w:val="00DB06C9"/>
    <w:rsid w:val="00DB0C8E"/>
    <w:rsid w:val="00DB15F5"/>
    <w:rsid w:val="00DB2154"/>
    <w:rsid w:val="00DB22E9"/>
    <w:rsid w:val="00DB23B6"/>
    <w:rsid w:val="00DB37B3"/>
    <w:rsid w:val="00DB39A4"/>
    <w:rsid w:val="00DB3D77"/>
    <w:rsid w:val="00DB6099"/>
    <w:rsid w:val="00DB64B6"/>
    <w:rsid w:val="00DB698D"/>
    <w:rsid w:val="00DB6B00"/>
    <w:rsid w:val="00DC03ED"/>
    <w:rsid w:val="00DC10FF"/>
    <w:rsid w:val="00DC1496"/>
    <w:rsid w:val="00DC2308"/>
    <w:rsid w:val="00DC29D6"/>
    <w:rsid w:val="00DC4188"/>
    <w:rsid w:val="00DC4401"/>
    <w:rsid w:val="00DC4583"/>
    <w:rsid w:val="00DC59BB"/>
    <w:rsid w:val="00DC6779"/>
    <w:rsid w:val="00DC789C"/>
    <w:rsid w:val="00DC7D94"/>
    <w:rsid w:val="00DC7F41"/>
    <w:rsid w:val="00DD06A8"/>
    <w:rsid w:val="00DD0C64"/>
    <w:rsid w:val="00DD1613"/>
    <w:rsid w:val="00DD1AFB"/>
    <w:rsid w:val="00DD1BB9"/>
    <w:rsid w:val="00DD1C7B"/>
    <w:rsid w:val="00DD2811"/>
    <w:rsid w:val="00DD2B71"/>
    <w:rsid w:val="00DD3279"/>
    <w:rsid w:val="00DD5A25"/>
    <w:rsid w:val="00DE0A05"/>
    <w:rsid w:val="00DE0A8C"/>
    <w:rsid w:val="00DE0EE3"/>
    <w:rsid w:val="00DE2305"/>
    <w:rsid w:val="00DE3946"/>
    <w:rsid w:val="00DE39B5"/>
    <w:rsid w:val="00DE3DBE"/>
    <w:rsid w:val="00DE40B3"/>
    <w:rsid w:val="00DE44ED"/>
    <w:rsid w:val="00DE4724"/>
    <w:rsid w:val="00DE4B0B"/>
    <w:rsid w:val="00DE569C"/>
    <w:rsid w:val="00DE6C94"/>
    <w:rsid w:val="00DE7B13"/>
    <w:rsid w:val="00DF020F"/>
    <w:rsid w:val="00DF0F1D"/>
    <w:rsid w:val="00DF18EE"/>
    <w:rsid w:val="00DF19DD"/>
    <w:rsid w:val="00DF260B"/>
    <w:rsid w:val="00DF2B82"/>
    <w:rsid w:val="00DF34A7"/>
    <w:rsid w:val="00DF36E3"/>
    <w:rsid w:val="00DF46F1"/>
    <w:rsid w:val="00DF4721"/>
    <w:rsid w:val="00DF4DB8"/>
    <w:rsid w:val="00DF57A0"/>
    <w:rsid w:val="00DF657C"/>
    <w:rsid w:val="00DF6C4D"/>
    <w:rsid w:val="00DF7687"/>
    <w:rsid w:val="00E003CB"/>
    <w:rsid w:val="00E01B74"/>
    <w:rsid w:val="00E02279"/>
    <w:rsid w:val="00E02843"/>
    <w:rsid w:val="00E02C42"/>
    <w:rsid w:val="00E02F72"/>
    <w:rsid w:val="00E03C11"/>
    <w:rsid w:val="00E03D7E"/>
    <w:rsid w:val="00E03EDE"/>
    <w:rsid w:val="00E054CF"/>
    <w:rsid w:val="00E058AE"/>
    <w:rsid w:val="00E06290"/>
    <w:rsid w:val="00E065A3"/>
    <w:rsid w:val="00E072AB"/>
    <w:rsid w:val="00E10489"/>
    <w:rsid w:val="00E10AE7"/>
    <w:rsid w:val="00E119BF"/>
    <w:rsid w:val="00E11C1B"/>
    <w:rsid w:val="00E12E84"/>
    <w:rsid w:val="00E12F49"/>
    <w:rsid w:val="00E14A91"/>
    <w:rsid w:val="00E14C32"/>
    <w:rsid w:val="00E14EED"/>
    <w:rsid w:val="00E14FA5"/>
    <w:rsid w:val="00E16216"/>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42B"/>
    <w:rsid w:val="00E27901"/>
    <w:rsid w:val="00E27D23"/>
    <w:rsid w:val="00E30CE8"/>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2890"/>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49E8"/>
    <w:rsid w:val="00E55302"/>
    <w:rsid w:val="00E55867"/>
    <w:rsid w:val="00E57244"/>
    <w:rsid w:val="00E57811"/>
    <w:rsid w:val="00E578C5"/>
    <w:rsid w:val="00E57C3D"/>
    <w:rsid w:val="00E57DB3"/>
    <w:rsid w:val="00E60371"/>
    <w:rsid w:val="00E61511"/>
    <w:rsid w:val="00E61F12"/>
    <w:rsid w:val="00E654AA"/>
    <w:rsid w:val="00E65ABE"/>
    <w:rsid w:val="00E711B4"/>
    <w:rsid w:val="00E715F7"/>
    <w:rsid w:val="00E71685"/>
    <w:rsid w:val="00E71974"/>
    <w:rsid w:val="00E71E7B"/>
    <w:rsid w:val="00E7264B"/>
    <w:rsid w:val="00E72DA7"/>
    <w:rsid w:val="00E73714"/>
    <w:rsid w:val="00E73CAD"/>
    <w:rsid w:val="00E742A2"/>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87AE5"/>
    <w:rsid w:val="00E901C7"/>
    <w:rsid w:val="00E90764"/>
    <w:rsid w:val="00E90C6F"/>
    <w:rsid w:val="00E90D0A"/>
    <w:rsid w:val="00E90EAB"/>
    <w:rsid w:val="00E910B4"/>
    <w:rsid w:val="00E91911"/>
    <w:rsid w:val="00E91D59"/>
    <w:rsid w:val="00E921BB"/>
    <w:rsid w:val="00E925C8"/>
    <w:rsid w:val="00E92942"/>
    <w:rsid w:val="00E93068"/>
    <w:rsid w:val="00E930EA"/>
    <w:rsid w:val="00E9359F"/>
    <w:rsid w:val="00E93986"/>
    <w:rsid w:val="00E93D04"/>
    <w:rsid w:val="00E943C5"/>
    <w:rsid w:val="00E95FD0"/>
    <w:rsid w:val="00E9713F"/>
    <w:rsid w:val="00E9755D"/>
    <w:rsid w:val="00EA0445"/>
    <w:rsid w:val="00EA0EAB"/>
    <w:rsid w:val="00EA1114"/>
    <w:rsid w:val="00EA1173"/>
    <w:rsid w:val="00EA1BE6"/>
    <w:rsid w:val="00EA249F"/>
    <w:rsid w:val="00EA2578"/>
    <w:rsid w:val="00EA2581"/>
    <w:rsid w:val="00EA4B6A"/>
    <w:rsid w:val="00EA5893"/>
    <w:rsid w:val="00EA5E52"/>
    <w:rsid w:val="00EA6F97"/>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154A"/>
    <w:rsid w:val="00EC2A4B"/>
    <w:rsid w:val="00EC2ED9"/>
    <w:rsid w:val="00EC3626"/>
    <w:rsid w:val="00EC3A87"/>
    <w:rsid w:val="00EC3FC3"/>
    <w:rsid w:val="00EC47AF"/>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22"/>
    <w:rsid w:val="00F05F52"/>
    <w:rsid w:val="00F06A6F"/>
    <w:rsid w:val="00F07BE7"/>
    <w:rsid w:val="00F10090"/>
    <w:rsid w:val="00F106BD"/>
    <w:rsid w:val="00F118FF"/>
    <w:rsid w:val="00F12B59"/>
    <w:rsid w:val="00F133C7"/>
    <w:rsid w:val="00F1416F"/>
    <w:rsid w:val="00F14177"/>
    <w:rsid w:val="00F1505C"/>
    <w:rsid w:val="00F15218"/>
    <w:rsid w:val="00F154C7"/>
    <w:rsid w:val="00F1597B"/>
    <w:rsid w:val="00F16418"/>
    <w:rsid w:val="00F16A57"/>
    <w:rsid w:val="00F17295"/>
    <w:rsid w:val="00F177DE"/>
    <w:rsid w:val="00F17F6C"/>
    <w:rsid w:val="00F20072"/>
    <w:rsid w:val="00F2123C"/>
    <w:rsid w:val="00F217EC"/>
    <w:rsid w:val="00F223F5"/>
    <w:rsid w:val="00F228A7"/>
    <w:rsid w:val="00F23205"/>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5F6"/>
    <w:rsid w:val="00F44DBF"/>
    <w:rsid w:val="00F46D7B"/>
    <w:rsid w:val="00F50F31"/>
    <w:rsid w:val="00F5196C"/>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4EA4"/>
    <w:rsid w:val="00F65785"/>
    <w:rsid w:val="00F65AEF"/>
    <w:rsid w:val="00F661C3"/>
    <w:rsid w:val="00F66C01"/>
    <w:rsid w:val="00F67677"/>
    <w:rsid w:val="00F67E53"/>
    <w:rsid w:val="00F67ECB"/>
    <w:rsid w:val="00F71C3E"/>
    <w:rsid w:val="00F7218F"/>
    <w:rsid w:val="00F72A27"/>
    <w:rsid w:val="00F72A9F"/>
    <w:rsid w:val="00F72C8B"/>
    <w:rsid w:val="00F73400"/>
    <w:rsid w:val="00F737AA"/>
    <w:rsid w:val="00F76814"/>
    <w:rsid w:val="00F7735E"/>
    <w:rsid w:val="00F77BB4"/>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6C06"/>
    <w:rsid w:val="00F871FB"/>
    <w:rsid w:val="00F876AD"/>
    <w:rsid w:val="00F87A2C"/>
    <w:rsid w:val="00F87D49"/>
    <w:rsid w:val="00F90BE9"/>
    <w:rsid w:val="00F913DB"/>
    <w:rsid w:val="00F91473"/>
    <w:rsid w:val="00F91B85"/>
    <w:rsid w:val="00F92003"/>
    <w:rsid w:val="00F92312"/>
    <w:rsid w:val="00F939D8"/>
    <w:rsid w:val="00F940F9"/>
    <w:rsid w:val="00F967C7"/>
    <w:rsid w:val="00F96A2B"/>
    <w:rsid w:val="00F97108"/>
    <w:rsid w:val="00F97404"/>
    <w:rsid w:val="00F9743B"/>
    <w:rsid w:val="00FA0462"/>
    <w:rsid w:val="00FA05C5"/>
    <w:rsid w:val="00FA1EB9"/>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C7551"/>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2A3A"/>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6CC0"/>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16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 w:type="character" w:customStyle="1" w:styleId="Heading1Char">
    <w:name w:val="Heading 1 Char"/>
    <w:basedOn w:val="DefaultParagraphFont"/>
    <w:link w:val="Heading1"/>
    <w:uiPriority w:val="9"/>
    <w:rsid w:val="00D165F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03AC-CB69-4912-84A8-42FF8C8D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75</cp:revision>
  <cp:lastPrinted>2022-08-23T01:47:00Z</cp:lastPrinted>
  <dcterms:created xsi:type="dcterms:W3CDTF">2021-12-17T03:09:00Z</dcterms:created>
  <dcterms:modified xsi:type="dcterms:W3CDTF">2022-09-06T09:38:00Z</dcterms:modified>
</cp:coreProperties>
</file>