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CellSpacing w:w="0" w:type="dxa"/>
        <w:tblInd w:w="-142" w:type="dxa"/>
        <w:shd w:val="clear" w:color="auto" w:fill="FFFFFF"/>
        <w:tblCellMar>
          <w:left w:w="0" w:type="dxa"/>
          <w:right w:w="0" w:type="dxa"/>
        </w:tblCellMar>
        <w:tblLook w:val="04A0" w:firstRow="1" w:lastRow="0" w:firstColumn="1" w:lastColumn="0" w:noHBand="0" w:noVBand="1"/>
      </w:tblPr>
      <w:tblGrid>
        <w:gridCol w:w="3686"/>
        <w:gridCol w:w="5670"/>
      </w:tblGrid>
      <w:tr w:rsidR="00F12698" w:rsidRPr="009059BA" w14:paraId="467E989D" w14:textId="77777777" w:rsidTr="00387A2C">
        <w:trPr>
          <w:trHeight w:val="993"/>
          <w:tblCellSpacing w:w="0" w:type="dxa"/>
        </w:trPr>
        <w:tc>
          <w:tcPr>
            <w:tcW w:w="3686" w:type="dxa"/>
            <w:shd w:val="clear" w:color="auto" w:fill="FFFFFF"/>
            <w:tcMar>
              <w:top w:w="0" w:type="dxa"/>
              <w:left w:w="108" w:type="dxa"/>
              <w:bottom w:w="0" w:type="dxa"/>
              <w:right w:w="108" w:type="dxa"/>
            </w:tcMar>
            <w:hideMark/>
          </w:tcPr>
          <w:p w14:paraId="620063ED" w14:textId="77777777" w:rsidR="00586151" w:rsidRPr="00387A2C" w:rsidRDefault="007320B1" w:rsidP="00162278">
            <w:pPr>
              <w:spacing w:after="0" w:line="240" w:lineRule="auto"/>
              <w:jc w:val="center"/>
              <w:rPr>
                <w:rFonts w:ascii="Times New Roman Bold" w:eastAsia="Times New Roman" w:hAnsi="Times New Roman Bold" w:cs="Times New Roman"/>
                <w:b/>
                <w:spacing w:val="-8"/>
                <w:sz w:val="26"/>
                <w:szCs w:val="26"/>
                <w:lang w:eastAsia="vi-VN"/>
              </w:rPr>
            </w:pPr>
            <w:r w:rsidRPr="00387A2C">
              <w:rPr>
                <w:rFonts w:ascii="Times New Roman Bold" w:eastAsia="Times New Roman" w:hAnsi="Times New Roman Bold" w:cs="Times New Roman"/>
                <w:b/>
                <w:bCs/>
                <w:noProof/>
                <w:spacing w:val="-8"/>
                <w:sz w:val="26"/>
                <w:szCs w:val="26"/>
                <w:lang w:val="en-US"/>
              </w:rPr>
              <mc:AlternateContent>
                <mc:Choice Requires="wps">
                  <w:drawing>
                    <wp:anchor distT="4294967293" distB="4294967293" distL="114300" distR="114300" simplePos="0" relativeHeight="251656704" behindDoc="0" locked="0" layoutInCell="1" allowOverlap="1" wp14:anchorId="46C137E2" wp14:editId="7D89AE11">
                      <wp:simplePos x="0" y="0"/>
                      <wp:positionH relativeFrom="column">
                        <wp:posOffset>701040</wp:posOffset>
                      </wp:positionH>
                      <wp:positionV relativeFrom="paragraph">
                        <wp:posOffset>384809</wp:posOffset>
                      </wp:positionV>
                      <wp:extent cx="57150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8D356E" id="_x0000_t32" coordsize="21600,21600" o:spt="32" o:oned="t" path="m,l21600,21600e" filled="f">
                      <v:path arrowok="t" fillok="f" o:connecttype="none"/>
                      <o:lock v:ext="edit" shapetype="t"/>
                    </v:shapetype>
                    <v:shape id="AutoShape 2" o:spid="_x0000_s1026" type="#_x0000_t32" style="position:absolute;margin-left:55.2pt;margin-top:30.3pt;width:45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Cl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6eP2TQF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"/>
                  </w:pict>
                </mc:Fallback>
              </mc:AlternateContent>
            </w:r>
            <w:r w:rsidR="00387A2C" w:rsidRPr="00387A2C">
              <w:rPr>
                <w:rFonts w:ascii="Times New Roman Bold" w:eastAsia="Times New Roman" w:hAnsi="Times New Roman Bold" w:cs="Times New Roman"/>
                <w:b/>
                <w:spacing w:val="-8"/>
                <w:sz w:val="26"/>
                <w:szCs w:val="26"/>
                <w:lang w:val="en-US" w:eastAsia="vi-VN"/>
              </w:rPr>
              <w:t>BỘ KẾ HOẠCH VÀ ĐẦU TƯ</w:t>
            </w:r>
            <w:r w:rsidR="00586151" w:rsidRPr="00387A2C">
              <w:rPr>
                <w:rFonts w:ascii="Times New Roman Bold" w:eastAsia="Times New Roman" w:hAnsi="Times New Roman Bold" w:cs="Times New Roman"/>
                <w:b/>
                <w:bCs/>
                <w:spacing w:val="-8"/>
                <w:sz w:val="26"/>
                <w:szCs w:val="26"/>
                <w:lang w:eastAsia="vi-VN"/>
              </w:rPr>
              <w:br/>
            </w:r>
          </w:p>
        </w:tc>
        <w:tc>
          <w:tcPr>
            <w:tcW w:w="5670" w:type="dxa"/>
            <w:shd w:val="clear" w:color="auto" w:fill="FFFFFF"/>
            <w:tcMar>
              <w:top w:w="0" w:type="dxa"/>
              <w:left w:w="108" w:type="dxa"/>
              <w:bottom w:w="0" w:type="dxa"/>
              <w:right w:w="108" w:type="dxa"/>
            </w:tcMar>
            <w:hideMark/>
          </w:tcPr>
          <w:p w14:paraId="44067335" w14:textId="77777777" w:rsidR="00586151" w:rsidRPr="009059BA" w:rsidRDefault="007320B1" w:rsidP="003B03D8">
            <w:pPr>
              <w:spacing w:after="0" w:line="240" w:lineRule="auto"/>
              <w:jc w:val="center"/>
              <w:rPr>
                <w:rFonts w:ascii="Times New Roman" w:eastAsia="Times New Roman" w:hAnsi="Times New Roman" w:cs="Times New Roman"/>
                <w:sz w:val="28"/>
                <w:szCs w:val="28"/>
                <w:lang w:eastAsia="vi-VN"/>
              </w:rPr>
            </w:pPr>
            <w:r w:rsidRPr="009059BA">
              <w:rPr>
                <w:rFonts w:ascii="Times New Roman" w:eastAsia="Times New Roman" w:hAnsi="Times New Roman" w:cs="Times New Roman"/>
                <w:b/>
                <w:bCs/>
                <w:noProof/>
                <w:sz w:val="26"/>
                <w:szCs w:val="28"/>
                <w:lang w:val="en-US"/>
              </w:rPr>
              <mc:AlternateContent>
                <mc:Choice Requires="wps">
                  <w:drawing>
                    <wp:anchor distT="4294967294" distB="4294967294" distL="114300" distR="114300" simplePos="0" relativeHeight="251657728" behindDoc="0" locked="0" layoutInCell="1" allowOverlap="1" wp14:anchorId="25E7C1A1" wp14:editId="46FC1647">
                      <wp:simplePos x="0" y="0"/>
                      <wp:positionH relativeFrom="column">
                        <wp:posOffset>701675</wp:posOffset>
                      </wp:positionH>
                      <wp:positionV relativeFrom="paragraph">
                        <wp:posOffset>542289</wp:posOffset>
                      </wp:positionV>
                      <wp:extent cx="2113280" cy="0"/>
                      <wp:effectExtent l="0" t="0" r="127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1F6A7" id="AutoShape 3" o:spid="_x0000_s1026" type="#_x0000_t32" style="position:absolute;margin-left:55.25pt;margin-top:42.7pt;width:166.4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PU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"/>
                  </w:pict>
                </mc:Fallback>
              </mc:AlternateContent>
            </w:r>
            <w:r w:rsidR="00586151" w:rsidRPr="009059BA">
              <w:rPr>
                <w:rFonts w:ascii="Times New Roman" w:eastAsia="Times New Roman" w:hAnsi="Times New Roman" w:cs="Times New Roman"/>
                <w:b/>
                <w:bCs/>
                <w:sz w:val="26"/>
                <w:szCs w:val="28"/>
                <w:lang w:eastAsia="vi-VN"/>
              </w:rPr>
              <w:t>CỘNG HÒA XÃ HỘI CHỦ NGHĨA VIỆT NAM</w:t>
            </w:r>
            <w:r w:rsidR="00586151" w:rsidRPr="009059BA">
              <w:rPr>
                <w:rFonts w:ascii="Times New Roman" w:eastAsia="Times New Roman" w:hAnsi="Times New Roman" w:cs="Times New Roman"/>
                <w:b/>
                <w:bCs/>
                <w:sz w:val="26"/>
                <w:szCs w:val="28"/>
                <w:lang w:eastAsia="vi-VN"/>
              </w:rPr>
              <w:br/>
            </w:r>
            <w:r w:rsidR="00586151" w:rsidRPr="009059BA">
              <w:rPr>
                <w:rFonts w:ascii="Times New Roman" w:eastAsia="Times New Roman" w:hAnsi="Times New Roman" w:cs="Times New Roman"/>
                <w:b/>
                <w:bCs/>
                <w:sz w:val="28"/>
                <w:szCs w:val="28"/>
                <w:lang w:eastAsia="vi-VN"/>
              </w:rPr>
              <w:t>Độc lập - Tự do - Hạnh phúc </w:t>
            </w:r>
            <w:r w:rsidR="00586151" w:rsidRPr="009059BA">
              <w:rPr>
                <w:rFonts w:ascii="Times New Roman" w:eastAsia="Times New Roman" w:hAnsi="Times New Roman" w:cs="Times New Roman"/>
                <w:b/>
                <w:bCs/>
                <w:sz w:val="28"/>
                <w:szCs w:val="28"/>
                <w:lang w:eastAsia="vi-VN"/>
              </w:rPr>
              <w:br/>
            </w:r>
          </w:p>
        </w:tc>
      </w:tr>
      <w:tr w:rsidR="00F12698" w:rsidRPr="009059BA" w14:paraId="418017B6" w14:textId="77777777" w:rsidTr="00387A2C">
        <w:trPr>
          <w:tblCellSpacing w:w="0" w:type="dxa"/>
        </w:trPr>
        <w:tc>
          <w:tcPr>
            <w:tcW w:w="3686" w:type="dxa"/>
            <w:shd w:val="clear" w:color="auto" w:fill="FFFFFF"/>
            <w:tcMar>
              <w:top w:w="0" w:type="dxa"/>
              <w:left w:w="108" w:type="dxa"/>
              <w:bottom w:w="0" w:type="dxa"/>
              <w:right w:w="108" w:type="dxa"/>
            </w:tcMar>
            <w:hideMark/>
          </w:tcPr>
          <w:p w14:paraId="01B18925" w14:textId="43945E65" w:rsidR="00586151" w:rsidRPr="009059BA" w:rsidRDefault="00D0619D" w:rsidP="00387A2C">
            <w:pPr>
              <w:spacing w:after="0" w:line="240" w:lineRule="auto"/>
              <w:jc w:val="center"/>
              <w:rPr>
                <w:rFonts w:ascii="Times New Roman" w:eastAsia="Times New Roman" w:hAnsi="Times New Roman" w:cs="Times New Roman"/>
                <w:b/>
                <w:bCs/>
                <w:sz w:val="26"/>
                <w:szCs w:val="26"/>
                <w:lang w:val="en-US" w:eastAsia="vi-VN"/>
              </w:rPr>
            </w:pPr>
            <w:r w:rsidRPr="00B55668">
              <w:rPr>
                <w:rFonts w:eastAsia="Courier New"/>
                <w:noProof/>
                <w:szCs w:val="28"/>
                <w:lang w:val="en-US"/>
              </w:rPr>
              <mc:AlternateContent>
                <mc:Choice Requires="wps">
                  <w:drawing>
                    <wp:anchor distT="0" distB="0" distL="114300" distR="114300" simplePos="0" relativeHeight="251660800" behindDoc="0" locked="0" layoutInCell="1" allowOverlap="1" wp14:anchorId="4FEF84FF" wp14:editId="042F3DE3">
                      <wp:simplePos x="0" y="0"/>
                      <wp:positionH relativeFrom="column">
                        <wp:posOffset>408305</wp:posOffset>
                      </wp:positionH>
                      <wp:positionV relativeFrom="paragraph">
                        <wp:posOffset>209550</wp:posOffset>
                      </wp:positionV>
                      <wp:extent cx="1343025" cy="40957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9575"/>
                              </a:xfrm>
                              <a:prstGeom prst="rect">
                                <a:avLst/>
                              </a:prstGeom>
                              <a:solidFill>
                                <a:srgbClr val="FFFFFF"/>
                              </a:solidFill>
                              <a:ln>
                                <a:noFill/>
                              </a:ln>
                              <a:extLst>
                                <a:ext uri="{91240B29-F687-4F45-9708-019B960494DF}">
                                  <a14:hiddenLine xmlns:a14="http://schemas.microsoft.com/office/drawing/2010/main" w="25400">
                                    <a:solidFill>
                                      <a:srgbClr val="F79646"/>
                                    </a:solidFill>
                                    <a:miter lim="800000"/>
                                    <a:headEnd/>
                                    <a:tailEnd/>
                                  </a14:hiddenLine>
                                </a:ext>
                              </a:extLst>
                            </wps:spPr>
                            <wps:txbx>
                              <w:txbxContent>
                                <w:p w14:paraId="62D939B1" w14:textId="098F329A" w:rsidR="00F51717" w:rsidRPr="00997695" w:rsidRDefault="00F51717" w:rsidP="0036325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8"/>
                                      <w:szCs w:val="28"/>
                                      <w:lang w:val="en-US"/>
                                    </w:rPr>
                                  </w:pPr>
                                  <w:r w:rsidRPr="0073170E">
                                    <w:rPr>
                                      <w:rFonts w:ascii="Times New Roman" w:hAnsi="Times New Roman" w:cs="Times New Roman"/>
                                      <w:b/>
                                      <w:sz w:val="28"/>
                                      <w:szCs w:val="28"/>
                                    </w:rPr>
                                    <w:t xml:space="preserve">DỰ THẢO </w:t>
                                  </w:r>
                                  <w:r w:rsidR="00D0619D">
                                    <w:rPr>
                                      <w:rFonts w:ascii="Times New Roman" w:hAnsi="Times New Roman" w:cs="Times New Roman"/>
                                      <w:b/>
                                      <w:sz w:val="28"/>
                                      <w:szCs w:val="28"/>
                                      <w:lang w:val="en-US"/>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FEF84FF" id="Rectangle 4" o:spid="_x0000_s1026" style="position:absolute;left:0;text-align:left;margin-left:32.15pt;margin-top:16.5pt;width:105.7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" stroked="f" strokecolor="#f79646" strokeweight="2pt">
                      <v:textbox>
                        <w:txbxContent>
                          <w:p w14:paraId="62D939B1" w14:textId="098F329A" w:rsidR="00F51717" w:rsidRPr="00997695" w:rsidRDefault="00F51717" w:rsidP="0036325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8"/>
                                <w:szCs w:val="28"/>
                                <w:lang w:val="en-US"/>
                              </w:rPr>
                            </w:pPr>
                            <w:r w:rsidRPr="0073170E">
                              <w:rPr>
                                <w:rFonts w:ascii="Times New Roman" w:hAnsi="Times New Roman" w:cs="Times New Roman"/>
                                <w:b/>
                                <w:sz w:val="28"/>
                                <w:szCs w:val="28"/>
                              </w:rPr>
                              <w:t xml:space="preserve">DỰ THẢO </w:t>
                            </w:r>
                            <w:r w:rsidR="00D0619D">
                              <w:rPr>
                                <w:rFonts w:ascii="Times New Roman" w:hAnsi="Times New Roman" w:cs="Times New Roman"/>
                                <w:b/>
                                <w:sz w:val="28"/>
                                <w:szCs w:val="28"/>
                                <w:lang w:val="en-US"/>
                              </w:rPr>
                              <w:t>2</w:t>
                            </w:r>
                          </w:p>
                        </w:txbxContent>
                      </v:textbox>
                    </v:rect>
                  </w:pict>
                </mc:Fallback>
              </mc:AlternateContent>
            </w:r>
            <w:r w:rsidR="00586151" w:rsidRPr="009059BA">
              <w:rPr>
                <w:rFonts w:ascii="Times New Roman" w:eastAsia="Times New Roman" w:hAnsi="Times New Roman" w:cs="Times New Roman"/>
                <w:sz w:val="26"/>
                <w:szCs w:val="26"/>
                <w:lang w:eastAsia="vi-VN"/>
              </w:rPr>
              <w:t xml:space="preserve">Số: </w:t>
            </w:r>
            <w:r w:rsidR="00162278" w:rsidRPr="009059BA">
              <w:rPr>
                <w:rFonts w:ascii="Times New Roman" w:eastAsia="Times New Roman" w:hAnsi="Times New Roman" w:cs="Times New Roman"/>
                <w:sz w:val="26"/>
                <w:szCs w:val="26"/>
                <w:lang w:val="en-US" w:eastAsia="vi-VN"/>
              </w:rPr>
              <w:t xml:space="preserve">    </w:t>
            </w:r>
            <w:r w:rsidR="00EE7520" w:rsidRPr="009059BA">
              <w:rPr>
                <w:rFonts w:ascii="Times New Roman" w:eastAsia="Times New Roman" w:hAnsi="Times New Roman" w:cs="Times New Roman"/>
                <w:sz w:val="26"/>
                <w:szCs w:val="26"/>
                <w:lang w:val="en-US" w:eastAsia="vi-VN"/>
              </w:rPr>
              <w:t xml:space="preserve">     </w:t>
            </w:r>
            <w:r w:rsidR="00690D21" w:rsidRPr="009059BA">
              <w:rPr>
                <w:rFonts w:ascii="Times New Roman" w:eastAsia="Times New Roman" w:hAnsi="Times New Roman" w:cs="Times New Roman"/>
                <w:sz w:val="26"/>
                <w:szCs w:val="26"/>
                <w:lang w:eastAsia="vi-VN"/>
              </w:rPr>
              <w:t>/TTr-</w:t>
            </w:r>
            <w:r w:rsidR="00387A2C">
              <w:rPr>
                <w:rFonts w:ascii="Times New Roman" w:eastAsia="Times New Roman" w:hAnsi="Times New Roman" w:cs="Times New Roman"/>
                <w:sz w:val="26"/>
                <w:szCs w:val="26"/>
                <w:lang w:val="en-US" w:eastAsia="vi-VN"/>
              </w:rPr>
              <w:t>BKHĐT</w:t>
            </w:r>
          </w:p>
        </w:tc>
        <w:tc>
          <w:tcPr>
            <w:tcW w:w="5670" w:type="dxa"/>
            <w:shd w:val="clear" w:color="auto" w:fill="FFFFFF"/>
            <w:tcMar>
              <w:top w:w="0" w:type="dxa"/>
              <w:left w:w="108" w:type="dxa"/>
              <w:bottom w:w="0" w:type="dxa"/>
              <w:right w:w="108" w:type="dxa"/>
            </w:tcMar>
            <w:hideMark/>
          </w:tcPr>
          <w:p w14:paraId="12E6F635" w14:textId="77777777" w:rsidR="00586151" w:rsidRPr="009059BA" w:rsidRDefault="00FC6E02" w:rsidP="0073170E">
            <w:pPr>
              <w:keepNext/>
              <w:keepLines/>
              <w:spacing w:after="0" w:line="240" w:lineRule="auto"/>
              <w:jc w:val="center"/>
              <w:outlineLvl w:val="0"/>
              <w:rPr>
                <w:rFonts w:ascii="Times New Roman" w:eastAsia="Times New Roman" w:hAnsi="Times New Roman" w:cs="Times New Roman"/>
                <w:b/>
                <w:bCs/>
                <w:sz w:val="28"/>
                <w:szCs w:val="28"/>
                <w:lang w:val="en-US" w:eastAsia="vi-VN"/>
              </w:rPr>
            </w:pPr>
            <w:r w:rsidRPr="009059BA">
              <w:rPr>
                <w:rFonts w:ascii="Times New Roman" w:eastAsia="Times New Roman" w:hAnsi="Times New Roman" w:cs="Times New Roman"/>
                <w:i/>
                <w:iCs/>
                <w:sz w:val="28"/>
                <w:szCs w:val="28"/>
                <w:lang w:eastAsia="vi-VN"/>
              </w:rPr>
              <w:t>Hà Nội, ngày</w:t>
            </w:r>
            <w:r w:rsidR="003C5C22" w:rsidRPr="009059BA">
              <w:rPr>
                <w:rFonts w:ascii="Times New Roman" w:eastAsia="Times New Roman" w:hAnsi="Times New Roman" w:cs="Times New Roman"/>
                <w:i/>
                <w:iCs/>
                <w:sz w:val="28"/>
                <w:szCs w:val="28"/>
                <w:lang w:val="en-US" w:eastAsia="vi-VN"/>
              </w:rPr>
              <w:t xml:space="preserve">  </w:t>
            </w:r>
            <w:r w:rsidR="0073170E">
              <w:rPr>
                <w:rFonts w:ascii="Times New Roman" w:eastAsia="Times New Roman" w:hAnsi="Times New Roman" w:cs="Times New Roman"/>
                <w:i/>
                <w:iCs/>
                <w:sz w:val="28"/>
                <w:szCs w:val="28"/>
                <w:lang w:val="en-US" w:eastAsia="vi-VN"/>
              </w:rPr>
              <w:t xml:space="preserve">    </w:t>
            </w:r>
            <w:r w:rsidR="00586151" w:rsidRPr="009059BA">
              <w:rPr>
                <w:rFonts w:ascii="Times New Roman" w:eastAsia="Times New Roman" w:hAnsi="Times New Roman" w:cs="Times New Roman"/>
                <w:i/>
                <w:iCs/>
                <w:sz w:val="28"/>
                <w:szCs w:val="28"/>
                <w:lang w:eastAsia="vi-VN"/>
              </w:rPr>
              <w:t>tháng</w:t>
            </w:r>
            <w:r w:rsidR="00EF29C1" w:rsidRPr="009059BA">
              <w:rPr>
                <w:rFonts w:ascii="Times New Roman" w:eastAsia="Times New Roman" w:hAnsi="Times New Roman" w:cs="Times New Roman"/>
                <w:i/>
                <w:iCs/>
                <w:sz w:val="28"/>
                <w:szCs w:val="28"/>
                <w:lang w:eastAsia="vi-VN"/>
              </w:rPr>
              <w:t xml:space="preserve"> </w:t>
            </w:r>
            <w:r w:rsidR="00162278" w:rsidRPr="009059BA">
              <w:rPr>
                <w:rFonts w:ascii="Times New Roman" w:eastAsia="Times New Roman" w:hAnsi="Times New Roman" w:cs="Times New Roman"/>
                <w:i/>
                <w:iCs/>
                <w:sz w:val="28"/>
                <w:szCs w:val="28"/>
                <w:lang w:val="en-US" w:eastAsia="vi-VN"/>
              </w:rPr>
              <w:t xml:space="preserve"> </w:t>
            </w:r>
            <w:r w:rsidR="0073170E">
              <w:rPr>
                <w:rFonts w:ascii="Times New Roman" w:eastAsia="Times New Roman" w:hAnsi="Times New Roman" w:cs="Times New Roman"/>
                <w:i/>
                <w:iCs/>
                <w:sz w:val="28"/>
                <w:szCs w:val="28"/>
                <w:lang w:val="en-US" w:eastAsia="vi-VN"/>
              </w:rPr>
              <w:t xml:space="preserve">   </w:t>
            </w:r>
            <w:r w:rsidR="00CE12FD" w:rsidRPr="009059BA">
              <w:rPr>
                <w:rFonts w:ascii="Times New Roman" w:eastAsia="Times New Roman" w:hAnsi="Times New Roman" w:cs="Times New Roman"/>
                <w:i/>
                <w:iCs/>
                <w:sz w:val="28"/>
                <w:szCs w:val="28"/>
                <w:lang w:val="en-US" w:eastAsia="vi-VN"/>
              </w:rPr>
              <w:t xml:space="preserve"> </w:t>
            </w:r>
            <w:r w:rsidR="00ED78F8" w:rsidRPr="009059BA">
              <w:rPr>
                <w:rFonts w:ascii="Times New Roman" w:eastAsia="Times New Roman" w:hAnsi="Times New Roman" w:cs="Times New Roman"/>
                <w:i/>
                <w:iCs/>
                <w:sz w:val="28"/>
                <w:szCs w:val="28"/>
                <w:lang w:eastAsia="vi-VN"/>
              </w:rPr>
              <w:t xml:space="preserve"> </w:t>
            </w:r>
            <w:r w:rsidR="00586151" w:rsidRPr="009059BA">
              <w:rPr>
                <w:rFonts w:ascii="Times New Roman" w:eastAsia="Times New Roman" w:hAnsi="Times New Roman" w:cs="Times New Roman"/>
                <w:i/>
                <w:iCs/>
                <w:sz w:val="28"/>
                <w:szCs w:val="28"/>
                <w:lang w:eastAsia="vi-VN"/>
              </w:rPr>
              <w:t>năm 20</w:t>
            </w:r>
            <w:r w:rsidR="00DB51A7" w:rsidRPr="009059BA">
              <w:rPr>
                <w:rFonts w:ascii="Times New Roman" w:eastAsia="Times New Roman" w:hAnsi="Times New Roman" w:cs="Times New Roman"/>
                <w:i/>
                <w:iCs/>
                <w:sz w:val="28"/>
                <w:szCs w:val="28"/>
                <w:lang w:eastAsia="vi-VN"/>
              </w:rPr>
              <w:t>2</w:t>
            </w:r>
            <w:r w:rsidR="00B26964" w:rsidRPr="009059BA">
              <w:rPr>
                <w:rFonts w:ascii="Times New Roman" w:eastAsia="Times New Roman" w:hAnsi="Times New Roman" w:cs="Times New Roman"/>
                <w:i/>
                <w:iCs/>
                <w:sz w:val="28"/>
                <w:szCs w:val="28"/>
                <w:lang w:val="en-US" w:eastAsia="vi-VN"/>
              </w:rPr>
              <w:t>2</w:t>
            </w:r>
          </w:p>
        </w:tc>
      </w:tr>
    </w:tbl>
    <w:p w14:paraId="6A1A8465" w14:textId="73D4BE45" w:rsidR="00DC589A" w:rsidRPr="009059BA" w:rsidRDefault="00586151" w:rsidP="00907272">
      <w:pPr>
        <w:shd w:val="clear" w:color="auto" w:fill="FFFFFF"/>
        <w:spacing w:after="0" w:line="240" w:lineRule="auto"/>
        <w:ind w:firstLine="567"/>
        <w:rPr>
          <w:rFonts w:ascii="Times New Roman" w:eastAsia="Times New Roman" w:hAnsi="Times New Roman" w:cs="Times New Roman"/>
          <w:b/>
          <w:bCs/>
          <w:sz w:val="28"/>
          <w:szCs w:val="28"/>
          <w:lang w:eastAsia="vi-VN"/>
        </w:rPr>
      </w:pPr>
      <w:r w:rsidRPr="009059BA">
        <w:rPr>
          <w:rFonts w:ascii="Times New Roman" w:eastAsia="Times New Roman" w:hAnsi="Times New Roman" w:cs="Times New Roman"/>
          <w:sz w:val="28"/>
          <w:szCs w:val="28"/>
          <w:lang w:eastAsia="vi-VN"/>
        </w:rPr>
        <w:t> </w:t>
      </w:r>
    </w:p>
    <w:p w14:paraId="16560A62" w14:textId="77777777" w:rsidR="00586151" w:rsidRPr="009059BA" w:rsidRDefault="00586151" w:rsidP="00DC589A">
      <w:pPr>
        <w:shd w:val="clear" w:color="auto" w:fill="FFFFFF"/>
        <w:spacing w:after="0" w:line="240" w:lineRule="auto"/>
        <w:jc w:val="center"/>
        <w:rPr>
          <w:rFonts w:ascii="Times New Roman" w:eastAsia="Times New Roman" w:hAnsi="Times New Roman" w:cs="Times New Roman"/>
          <w:sz w:val="28"/>
          <w:szCs w:val="28"/>
          <w:lang w:eastAsia="vi-VN"/>
        </w:rPr>
      </w:pPr>
      <w:r w:rsidRPr="009059BA">
        <w:rPr>
          <w:rFonts w:ascii="Times New Roman" w:eastAsia="Times New Roman" w:hAnsi="Times New Roman" w:cs="Times New Roman"/>
          <w:b/>
          <w:bCs/>
          <w:sz w:val="28"/>
          <w:szCs w:val="28"/>
          <w:lang w:eastAsia="vi-VN"/>
        </w:rPr>
        <w:t>TỜ TRÌNH</w:t>
      </w:r>
    </w:p>
    <w:p w14:paraId="7DD91675" w14:textId="77777777" w:rsidR="00586151" w:rsidRPr="009059BA" w:rsidRDefault="007320B1" w:rsidP="00F11D6A">
      <w:pPr>
        <w:shd w:val="clear" w:color="auto" w:fill="FFFFFF"/>
        <w:spacing w:after="120" w:line="240" w:lineRule="auto"/>
        <w:jc w:val="center"/>
        <w:rPr>
          <w:rFonts w:ascii="Times New Roman" w:eastAsia="Times New Roman" w:hAnsi="Times New Roman" w:cs="Times New Roman"/>
          <w:b/>
          <w:bCs/>
          <w:sz w:val="28"/>
          <w:szCs w:val="28"/>
          <w:lang w:eastAsia="vi-VN"/>
        </w:rPr>
      </w:pPr>
      <w:r w:rsidRPr="009059BA">
        <w:rPr>
          <w:rFonts w:ascii="Times New Roman" w:eastAsia="Times New Roman" w:hAnsi="Times New Roman" w:cs="Times New Roman"/>
          <w:noProof/>
          <w:sz w:val="28"/>
          <w:szCs w:val="28"/>
          <w:lang w:val="en-US"/>
        </w:rPr>
        <mc:AlternateContent>
          <mc:Choice Requires="wps">
            <w:drawing>
              <wp:anchor distT="4294967294" distB="4294967294" distL="114300" distR="114300" simplePos="0" relativeHeight="251658752" behindDoc="0" locked="0" layoutInCell="1" allowOverlap="1" wp14:anchorId="2762ED67" wp14:editId="193A5F1D">
                <wp:simplePos x="0" y="0"/>
                <wp:positionH relativeFrom="column">
                  <wp:posOffset>2306955</wp:posOffset>
                </wp:positionH>
                <wp:positionV relativeFrom="paragraph">
                  <wp:posOffset>234314</wp:posOffset>
                </wp:positionV>
                <wp:extent cx="1087755" cy="0"/>
                <wp:effectExtent l="0" t="0" r="1714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17E98" id="AutoShape 4" o:spid="_x0000_s1026" type="#_x0000_t32" style="position:absolute;margin-left:181.65pt;margin-top:18.45pt;width:85.6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g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n84WE6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"/>
            </w:pict>
          </mc:Fallback>
        </mc:AlternateContent>
      </w:r>
      <w:r w:rsidR="00ED347C" w:rsidRPr="009059BA">
        <w:rPr>
          <w:rFonts w:ascii="Times New Roman" w:eastAsia="Times New Roman" w:hAnsi="Times New Roman" w:cs="Times New Roman"/>
          <w:b/>
          <w:bCs/>
          <w:sz w:val="28"/>
          <w:szCs w:val="28"/>
          <w:lang w:eastAsia="vi-VN"/>
        </w:rPr>
        <w:t>Về dự án</w:t>
      </w:r>
      <w:r w:rsidR="003E654B" w:rsidRPr="009059BA">
        <w:rPr>
          <w:rFonts w:ascii="Times New Roman" w:eastAsia="Times New Roman" w:hAnsi="Times New Roman" w:cs="Times New Roman"/>
          <w:b/>
          <w:bCs/>
          <w:sz w:val="28"/>
          <w:szCs w:val="28"/>
          <w:lang w:eastAsia="vi-VN"/>
        </w:rPr>
        <w:t xml:space="preserve"> Luật </w:t>
      </w:r>
      <w:r w:rsidR="006B3912" w:rsidRPr="009059BA">
        <w:rPr>
          <w:rFonts w:ascii="Times New Roman" w:eastAsia="Times New Roman" w:hAnsi="Times New Roman" w:cs="Times New Roman"/>
          <w:b/>
          <w:bCs/>
          <w:sz w:val="28"/>
          <w:szCs w:val="28"/>
          <w:lang w:val="en-US" w:eastAsia="vi-VN"/>
        </w:rPr>
        <w:t>Hợp tác xã</w:t>
      </w:r>
      <w:r w:rsidR="00586151" w:rsidRPr="009059BA">
        <w:rPr>
          <w:rFonts w:ascii="Times New Roman" w:eastAsia="Times New Roman" w:hAnsi="Times New Roman" w:cs="Times New Roman"/>
          <w:b/>
          <w:bCs/>
          <w:sz w:val="28"/>
          <w:szCs w:val="28"/>
          <w:lang w:eastAsia="vi-VN"/>
        </w:rPr>
        <w:t xml:space="preserve"> (sửa đổi)</w:t>
      </w:r>
    </w:p>
    <w:p w14:paraId="0C3F83F0" w14:textId="77777777" w:rsidR="00586151" w:rsidRPr="00387A2C" w:rsidRDefault="00586151" w:rsidP="00F11D6A">
      <w:pPr>
        <w:shd w:val="clear" w:color="auto" w:fill="FFFFFF"/>
        <w:spacing w:before="360" w:after="160" w:line="240" w:lineRule="auto"/>
        <w:jc w:val="center"/>
        <w:rPr>
          <w:rFonts w:ascii="Times New Roman" w:eastAsia="Times New Roman" w:hAnsi="Times New Roman" w:cs="Times New Roman"/>
          <w:sz w:val="28"/>
          <w:szCs w:val="28"/>
          <w:lang w:val="en-US" w:eastAsia="vi-VN"/>
        </w:rPr>
      </w:pPr>
      <w:r w:rsidRPr="009059BA">
        <w:rPr>
          <w:rFonts w:ascii="Times New Roman" w:eastAsia="Times New Roman" w:hAnsi="Times New Roman" w:cs="Times New Roman"/>
          <w:sz w:val="28"/>
          <w:szCs w:val="28"/>
          <w:lang w:eastAsia="vi-VN"/>
        </w:rPr>
        <w:t xml:space="preserve">Kính gửi: </w:t>
      </w:r>
      <w:r w:rsidR="00387A2C">
        <w:rPr>
          <w:rFonts w:ascii="Times New Roman" w:eastAsia="Times New Roman" w:hAnsi="Times New Roman" w:cs="Times New Roman"/>
          <w:sz w:val="28"/>
          <w:szCs w:val="28"/>
          <w:lang w:val="en-US" w:eastAsia="vi-VN"/>
        </w:rPr>
        <w:t>Chính phủ</w:t>
      </w:r>
    </w:p>
    <w:p w14:paraId="7BB5445B" w14:textId="37B3ED86" w:rsidR="00586151" w:rsidRPr="004A257F" w:rsidRDefault="008874CF" w:rsidP="00EE7520">
      <w:pPr>
        <w:tabs>
          <w:tab w:val="right" w:leader="dot" w:pos="8640"/>
        </w:tabs>
        <w:spacing w:before="160" w:after="160" w:line="240" w:lineRule="auto"/>
        <w:ind w:firstLine="567"/>
        <w:jc w:val="both"/>
        <w:rPr>
          <w:rFonts w:ascii="Times New Roman" w:hAnsi="Times New Roman" w:cs="Times New Roman"/>
          <w:spacing w:val="-2"/>
          <w:kern w:val="28"/>
          <w:sz w:val="28"/>
          <w:szCs w:val="28"/>
        </w:rPr>
      </w:pPr>
      <w:r w:rsidRPr="004A257F">
        <w:rPr>
          <w:rFonts w:ascii="Times New Roman" w:hAnsi="Times New Roman" w:cs="Times New Roman"/>
          <w:spacing w:val="-2"/>
          <w:kern w:val="28"/>
          <w:sz w:val="28"/>
          <w:szCs w:val="28"/>
        </w:rPr>
        <w:t xml:space="preserve">Thực hiện Nghị quyết </w:t>
      </w:r>
      <w:r w:rsidRPr="008B54DE">
        <w:rPr>
          <w:rFonts w:ascii="Times New Roman" w:hAnsi="Times New Roman" w:cs="Times New Roman"/>
          <w:spacing w:val="-2"/>
          <w:kern w:val="28"/>
          <w:sz w:val="28"/>
          <w:szCs w:val="28"/>
        </w:rPr>
        <w:t>số</w:t>
      </w:r>
      <w:r w:rsidR="00910E20">
        <w:rPr>
          <w:rFonts w:ascii="Times New Roman" w:hAnsi="Times New Roman" w:cs="Times New Roman"/>
          <w:spacing w:val="-2"/>
          <w:kern w:val="28"/>
          <w:sz w:val="28"/>
          <w:szCs w:val="28"/>
        </w:rPr>
        <w:t xml:space="preserve"> </w:t>
      </w:r>
      <w:r w:rsidR="00910E20">
        <w:rPr>
          <w:rFonts w:ascii="Times New Roman" w:hAnsi="Times New Roman" w:cs="Times New Roman"/>
          <w:spacing w:val="-2"/>
          <w:kern w:val="28"/>
          <w:sz w:val="28"/>
          <w:szCs w:val="28"/>
          <w:lang w:val="en-US"/>
        </w:rPr>
        <w:t>50</w:t>
      </w:r>
      <w:bookmarkStart w:id="0" w:name="_GoBack"/>
      <w:bookmarkEnd w:id="0"/>
      <w:r w:rsidR="00910E20">
        <w:rPr>
          <w:rFonts w:ascii="Times New Roman" w:hAnsi="Times New Roman" w:cs="Times New Roman"/>
          <w:spacing w:val="-2"/>
          <w:kern w:val="28"/>
          <w:sz w:val="28"/>
          <w:szCs w:val="28"/>
          <w:lang w:val="en-US"/>
        </w:rPr>
        <w:t xml:space="preserve"> </w:t>
      </w:r>
      <w:r w:rsidRPr="008B54DE">
        <w:rPr>
          <w:rFonts w:ascii="Times New Roman" w:hAnsi="Times New Roman" w:cs="Times New Roman"/>
          <w:spacing w:val="-2"/>
          <w:kern w:val="28"/>
          <w:sz w:val="28"/>
          <w:szCs w:val="28"/>
        </w:rPr>
        <w:t>/202</w:t>
      </w:r>
      <w:r w:rsidRPr="008B54DE">
        <w:rPr>
          <w:rFonts w:ascii="Times New Roman" w:hAnsi="Times New Roman" w:cs="Times New Roman"/>
          <w:spacing w:val="-2"/>
          <w:kern w:val="28"/>
          <w:sz w:val="28"/>
          <w:szCs w:val="28"/>
          <w:lang w:val="en-US"/>
        </w:rPr>
        <w:t>2</w:t>
      </w:r>
      <w:r w:rsidRPr="008B54DE">
        <w:rPr>
          <w:rFonts w:ascii="Times New Roman" w:hAnsi="Times New Roman" w:cs="Times New Roman"/>
          <w:spacing w:val="-2"/>
          <w:kern w:val="28"/>
          <w:sz w:val="28"/>
          <w:szCs w:val="28"/>
        </w:rPr>
        <w:t>/QH1</w:t>
      </w:r>
      <w:r w:rsidRPr="008B54DE">
        <w:rPr>
          <w:rFonts w:ascii="Times New Roman" w:hAnsi="Times New Roman" w:cs="Times New Roman"/>
          <w:spacing w:val="-2"/>
          <w:kern w:val="28"/>
          <w:sz w:val="28"/>
          <w:szCs w:val="28"/>
          <w:lang w:val="en-US"/>
        </w:rPr>
        <w:t>5</w:t>
      </w:r>
      <w:r w:rsidR="00910E20">
        <w:rPr>
          <w:rFonts w:ascii="Times New Roman" w:hAnsi="Times New Roman" w:cs="Times New Roman"/>
          <w:spacing w:val="-2"/>
          <w:kern w:val="28"/>
          <w:sz w:val="28"/>
          <w:szCs w:val="28"/>
        </w:rPr>
        <w:t xml:space="preserve"> ngày 13</w:t>
      </w:r>
      <w:r w:rsidRPr="008B54DE">
        <w:rPr>
          <w:rFonts w:ascii="Times New Roman" w:hAnsi="Times New Roman" w:cs="Times New Roman"/>
          <w:spacing w:val="-2"/>
          <w:kern w:val="28"/>
          <w:sz w:val="28"/>
          <w:szCs w:val="28"/>
          <w:lang w:val="en-US"/>
        </w:rPr>
        <w:t xml:space="preserve"> </w:t>
      </w:r>
      <w:r w:rsidR="00910E20">
        <w:rPr>
          <w:rFonts w:ascii="Times New Roman" w:hAnsi="Times New Roman" w:cs="Times New Roman"/>
          <w:spacing w:val="-2"/>
          <w:kern w:val="28"/>
          <w:sz w:val="28"/>
          <w:szCs w:val="28"/>
        </w:rPr>
        <w:t>tháng</w:t>
      </w:r>
      <w:r w:rsidRPr="008B54DE">
        <w:rPr>
          <w:rFonts w:ascii="Times New Roman" w:hAnsi="Times New Roman" w:cs="Times New Roman"/>
          <w:spacing w:val="-2"/>
          <w:kern w:val="28"/>
          <w:sz w:val="28"/>
          <w:szCs w:val="28"/>
          <w:lang w:val="en-US"/>
        </w:rPr>
        <w:t xml:space="preserve"> </w:t>
      </w:r>
      <w:r w:rsidR="00910E20">
        <w:rPr>
          <w:rFonts w:ascii="Times New Roman" w:hAnsi="Times New Roman" w:cs="Times New Roman"/>
          <w:spacing w:val="-2"/>
          <w:kern w:val="28"/>
          <w:sz w:val="28"/>
          <w:szCs w:val="28"/>
          <w:lang w:val="en-US"/>
        </w:rPr>
        <w:t>6</w:t>
      </w:r>
      <w:r w:rsidRPr="008B54DE">
        <w:rPr>
          <w:rFonts w:ascii="Times New Roman" w:hAnsi="Times New Roman" w:cs="Times New Roman"/>
          <w:spacing w:val="-2"/>
          <w:kern w:val="28"/>
          <w:sz w:val="28"/>
          <w:szCs w:val="28"/>
        </w:rPr>
        <w:t xml:space="preserve"> năm 202</w:t>
      </w:r>
      <w:r w:rsidRPr="008B54DE">
        <w:rPr>
          <w:rFonts w:ascii="Times New Roman" w:hAnsi="Times New Roman" w:cs="Times New Roman"/>
          <w:spacing w:val="-2"/>
          <w:kern w:val="28"/>
          <w:sz w:val="28"/>
          <w:szCs w:val="28"/>
          <w:lang w:val="en-US"/>
        </w:rPr>
        <w:t>2</w:t>
      </w:r>
      <w:r w:rsidRPr="004A257F">
        <w:rPr>
          <w:rFonts w:ascii="Times New Roman" w:hAnsi="Times New Roman" w:cs="Times New Roman"/>
          <w:spacing w:val="-2"/>
          <w:kern w:val="28"/>
          <w:sz w:val="28"/>
          <w:szCs w:val="28"/>
        </w:rPr>
        <w:t xml:space="preserve"> của Quốc hội về chương trình xây dựng Luật, pháp lệnh năm 202</w:t>
      </w:r>
      <w:r w:rsidRPr="004A257F">
        <w:rPr>
          <w:rFonts w:ascii="Times New Roman" w:hAnsi="Times New Roman" w:cs="Times New Roman"/>
          <w:spacing w:val="-2"/>
          <w:kern w:val="28"/>
          <w:sz w:val="28"/>
          <w:szCs w:val="28"/>
          <w:lang w:val="en-US"/>
        </w:rPr>
        <w:t>3</w:t>
      </w:r>
      <w:r w:rsidRPr="004A257F">
        <w:rPr>
          <w:rFonts w:ascii="Times New Roman" w:hAnsi="Times New Roman" w:cs="Times New Roman"/>
          <w:spacing w:val="-2"/>
          <w:kern w:val="28"/>
          <w:sz w:val="28"/>
          <w:szCs w:val="28"/>
        </w:rPr>
        <w:t xml:space="preserve"> và điều chỉnh chương trình xây dựng Luật, pháp lệnh năm 202</w:t>
      </w:r>
      <w:r w:rsidRPr="004A257F">
        <w:rPr>
          <w:rFonts w:ascii="Times New Roman" w:hAnsi="Times New Roman" w:cs="Times New Roman"/>
          <w:spacing w:val="-2"/>
          <w:kern w:val="28"/>
          <w:sz w:val="28"/>
          <w:szCs w:val="28"/>
          <w:lang w:val="en-US"/>
        </w:rPr>
        <w:t>2</w:t>
      </w:r>
      <w:r w:rsidR="007434BB" w:rsidRPr="004A257F">
        <w:rPr>
          <w:rFonts w:ascii="Times New Roman" w:hAnsi="Times New Roman" w:cs="Times New Roman"/>
          <w:spacing w:val="-2"/>
          <w:kern w:val="28"/>
          <w:sz w:val="28"/>
          <w:szCs w:val="28"/>
        </w:rPr>
        <w:t xml:space="preserve"> và </w:t>
      </w:r>
      <w:r w:rsidR="007434BB" w:rsidRPr="004A257F">
        <w:rPr>
          <w:rFonts w:ascii="Times New Roman" w:hAnsi="Times New Roman" w:cs="Times New Roman"/>
          <w:spacing w:val="-2"/>
          <w:kern w:val="28"/>
          <w:sz w:val="28"/>
          <w:szCs w:val="28"/>
          <w:lang w:val="en-US"/>
        </w:rPr>
        <w:t>Quyết định số……./QĐ-TTg ngày…. của Thủ tướng Chính phủ phân công cơ quan chủ trì soạn thảo Dự án Luật Hợp tác xã (sửa đổi),</w:t>
      </w:r>
      <w:r w:rsidRPr="004A257F">
        <w:rPr>
          <w:rFonts w:ascii="Times New Roman" w:hAnsi="Times New Roman" w:cs="Times New Roman"/>
          <w:spacing w:val="-2"/>
          <w:kern w:val="28"/>
          <w:sz w:val="28"/>
          <w:szCs w:val="28"/>
        </w:rPr>
        <w:t xml:space="preserve"> </w:t>
      </w:r>
      <w:r w:rsidR="00387A2C" w:rsidRPr="004A257F">
        <w:rPr>
          <w:rFonts w:ascii="Times New Roman" w:hAnsi="Times New Roman" w:cs="Times New Roman"/>
          <w:spacing w:val="-2"/>
          <w:kern w:val="28"/>
          <w:sz w:val="28"/>
          <w:szCs w:val="28"/>
          <w:lang w:val="en-US"/>
        </w:rPr>
        <w:t>Bộ Kế hoạch và Đầu tư (Cơ quan chủ trì soạn thảo) đã dự thảo Dự án</w:t>
      </w:r>
      <w:r w:rsidRPr="004A257F">
        <w:rPr>
          <w:rFonts w:ascii="Times New Roman" w:hAnsi="Times New Roman" w:cs="Times New Roman"/>
          <w:spacing w:val="-2"/>
          <w:kern w:val="28"/>
          <w:sz w:val="28"/>
          <w:szCs w:val="28"/>
        </w:rPr>
        <w:t xml:space="preserve"> Luật </w:t>
      </w:r>
      <w:r w:rsidRPr="004A257F">
        <w:rPr>
          <w:rFonts w:ascii="Times New Roman" w:hAnsi="Times New Roman" w:cs="Times New Roman"/>
          <w:spacing w:val="-2"/>
          <w:kern w:val="28"/>
          <w:sz w:val="28"/>
          <w:szCs w:val="28"/>
          <w:lang w:val="en-US"/>
        </w:rPr>
        <w:t>Hợp tác xã</w:t>
      </w:r>
      <w:r w:rsidRPr="004A257F">
        <w:rPr>
          <w:rFonts w:ascii="Times New Roman" w:hAnsi="Times New Roman" w:cs="Times New Roman"/>
          <w:spacing w:val="-2"/>
          <w:kern w:val="28"/>
          <w:sz w:val="28"/>
          <w:szCs w:val="28"/>
        </w:rPr>
        <w:t xml:space="preserve"> (sửa đổi) </w:t>
      </w:r>
      <w:r w:rsidR="008F099D" w:rsidRPr="004A257F">
        <w:rPr>
          <w:rFonts w:ascii="Times New Roman" w:hAnsi="Times New Roman" w:cs="Times New Roman"/>
          <w:spacing w:val="-2"/>
          <w:kern w:val="28"/>
          <w:sz w:val="28"/>
          <w:szCs w:val="28"/>
          <w:lang w:val="en-US"/>
        </w:rPr>
        <w:t>(</w:t>
      </w:r>
      <w:r w:rsidRPr="004A257F">
        <w:rPr>
          <w:rFonts w:ascii="Times New Roman" w:hAnsi="Times New Roman" w:cs="Times New Roman"/>
          <w:spacing w:val="-2"/>
          <w:kern w:val="28"/>
          <w:sz w:val="28"/>
          <w:szCs w:val="28"/>
        </w:rPr>
        <w:t>sau đây gọi chung là dự án Luật</w:t>
      </w:r>
      <w:r w:rsidR="008F099D" w:rsidRPr="004A257F">
        <w:rPr>
          <w:rFonts w:ascii="Times New Roman" w:hAnsi="Times New Roman" w:cs="Times New Roman"/>
          <w:spacing w:val="-2"/>
          <w:kern w:val="28"/>
          <w:sz w:val="28"/>
          <w:szCs w:val="28"/>
          <w:lang w:val="en-US"/>
        </w:rPr>
        <w:t>)</w:t>
      </w:r>
      <w:r w:rsidRPr="004A257F">
        <w:rPr>
          <w:rFonts w:ascii="Times New Roman" w:hAnsi="Times New Roman" w:cs="Times New Roman"/>
          <w:spacing w:val="-2"/>
          <w:kern w:val="28"/>
          <w:sz w:val="28"/>
          <w:szCs w:val="28"/>
        </w:rPr>
        <w:t xml:space="preserve"> như sau</w:t>
      </w:r>
      <w:r w:rsidR="00586151" w:rsidRPr="004A257F">
        <w:rPr>
          <w:rFonts w:ascii="Times New Roman" w:hAnsi="Times New Roman" w:cs="Times New Roman"/>
          <w:spacing w:val="-2"/>
          <w:kern w:val="28"/>
          <w:sz w:val="28"/>
          <w:szCs w:val="28"/>
        </w:rPr>
        <w:t>:</w:t>
      </w:r>
    </w:p>
    <w:p w14:paraId="740C63C5" w14:textId="77777777" w:rsidR="00586151" w:rsidRPr="009059BA" w:rsidRDefault="00586151" w:rsidP="004F2DDB">
      <w:pPr>
        <w:pStyle w:val="Heading1"/>
        <w:rPr>
          <w:rFonts w:ascii="Times New Roman" w:hAnsi="Times New Roman"/>
        </w:rPr>
      </w:pPr>
      <w:r w:rsidRPr="009059BA">
        <w:rPr>
          <w:rFonts w:ascii="Times New Roman" w:hAnsi="Times New Roman"/>
        </w:rPr>
        <w:t xml:space="preserve">I. SỰ CẦN THIẾT </w:t>
      </w:r>
      <w:r w:rsidR="00A7513C" w:rsidRPr="009059BA">
        <w:rPr>
          <w:rFonts w:ascii="Times New Roman" w:hAnsi="Times New Roman"/>
        </w:rPr>
        <w:t>BAN HÀNH</w:t>
      </w:r>
      <w:r w:rsidRPr="009059BA">
        <w:rPr>
          <w:rFonts w:ascii="Times New Roman" w:hAnsi="Times New Roman"/>
        </w:rPr>
        <w:t xml:space="preserve"> LUẬT </w:t>
      </w:r>
      <w:r w:rsidR="006B3912" w:rsidRPr="009059BA">
        <w:rPr>
          <w:rFonts w:ascii="Times New Roman" w:hAnsi="Times New Roman"/>
        </w:rPr>
        <w:t>HỢP TÁC XÃ</w:t>
      </w:r>
      <w:r w:rsidRPr="009059BA">
        <w:rPr>
          <w:rFonts w:ascii="Times New Roman" w:hAnsi="Times New Roman"/>
        </w:rPr>
        <w:t xml:space="preserve"> (SỬA ĐỔI)</w:t>
      </w:r>
    </w:p>
    <w:p w14:paraId="1A5C8191" w14:textId="77777777" w:rsidR="00162278" w:rsidRPr="009059BA" w:rsidRDefault="00586151" w:rsidP="004F2DDB">
      <w:pPr>
        <w:pStyle w:val="Heading2"/>
      </w:pPr>
      <w:r w:rsidRPr="009059BA">
        <w:t xml:space="preserve">1. </w:t>
      </w:r>
      <w:r w:rsidR="00162278" w:rsidRPr="009059BA">
        <w:t>Cơ sở chính trị</w:t>
      </w:r>
    </w:p>
    <w:p w14:paraId="69E35B09" w14:textId="3F5C6F1E" w:rsidR="006B3912" w:rsidRPr="009059BA" w:rsidRDefault="00AA6596" w:rsidP="006B3912">
      <w:pPr>
        <w:pStyle w:val="Noidung"/>
        <w:rPr>
          <w:i/>
          <w:spacing w:val="-4"/>
        </w:rPr>
      </w:pPr>
      <w:r w:rsidRPr="009059BA">
        <w:rPr>
          <w:szCs w:val="28"/>
          <w:lang w:val="nl-NL"/>
        </w:rPr>
        <w:t xml:space="preserve">- </w:t>
      </w:r>
      <w:r w:rsidR="006B3912" w:rsidRPr="009059BA">
        <w:rPr>
          <w:spacing w:val="-4"/>
        </w:rPr>
        <w:t>Kết luận số 70-KL/TW ngày 09/3/2020 về tiếp tục thực hiện Nghị quyết Trung ương 5 khóa IX về tiếp tục đổi mới, phát triển và nâng cao hiệu quả kinh tế tập thể</w:t>
      </w:r>
      <w:r w:rsidR="00877AED">
        <w:rPr>
          <w:spacing w:val="-4"/>
        </w:rPr>
        <w:t xml:space="preserve">, </w:t>
      </w:r>
      <w:r w:rsidR="006B3912" w:rsidRPr="009059BA">
        <w:rPr>
          <w:spacing w:val="-4"/>
        </w:rPr>
        <w:t xml:space="preserve">Bộ Chính trị giao </w:t>
      </w:r>
      <w:r w:rsidR="006B3912" w:rsidRPr="009059BA">
        <w:rPr>
          <w:i/>
          <w:spacing w:val="-4"/>
        </w:rPr>
        <w:t>“</w:t>
      </w:r>
      <w:r w:rsidR="006B3912" w:rsidRPr="009059BA">
        <w:rPr>
          <w:i/>
          <w:spacing w:val="-4"/>
          <w:szCs w:val="24"/>
        </w:rPr>
        <w:t xml:space="preserve">Đảng đoàn Quốc hội lãnh đạo, chỉ đạo nghiên cứu, rà soát, sửa đổi, bổ sung, hoàn thiện hệ thống pháp luật liên quan đến </w:t>
      </w:r>
      <w:r w:rsidR="00877AED">
        <w:rPr>
          <w:i/>
          <w:spacing w:val="-4"/>
          <w:szCs w:val="24"/>
        </w:rPr>
        <w:t>kinh tế tập thể</w:t>
      </w:r>
      <w:r w:rsidR="000C0177">
        <w:rPr>
          <w:i/>
          <w:spacing w:val="-4"/>
          <w:szCs w:val="24"/>
        </w:rPr>
        <w:t>, hợp tác xã</w:t>
      </w:r>
      <w:r w:rsidR="006B3912" w:rsidRPr="009059BA">
        <w:rPr>
          <w:i/>
          <w:spacing w:val="-4"/>
          <w:szCs w:val="24"/>
        </w:rPr>
        <w:t xml:space="preserve">, đặc biệt là Luật </w:t>
      </w:r>
      <w:r w:rsidR="000C0177">
        <w:rPr>
          <w:i/>
          <w:spacing w:val="-4"/>
          <w:szCs w:val="24"/>
        </w:rPr>
        <w:t>H</w:t>
      </w:r>
      <w:r w:rsidR="00BF0FDC">
        <w:rPr>
          <w:i/>
          <w:spacing w:val="-4"/>
          <w:szCs w:val="24"/>
        </w:rPr>
        <w:t>ợp</w:t>
      </w:r>
      <w:r w:rsidR="000C0177">
        <w:rPr>
          <w:i/>
          <w:spacing w:val="-4"/>
          <w:szCs w:val="24"/>
        </w:rPr>
        <w:t xml:space="preserve"> tác xã</w:t>
      </w:r>
      <w:r w:rsidR="006B3912" w:rsidRPr="009059BA">
        <w:rPr>
          <w:i/>
          <w:spacing w:val="-4"/>
          <w:szCs w:val="24"/>
        </w:rPr>
        <w:t xml:space="preserve"> trên cơ sở tổng kết 10 năm thi hành Luậ</w:t>
      </w:r>
      <w:r w:rsidR="000C0177">
        <w:rPr>
          <w:i/>
          <w:spacing w:val="-4"/>
          <w:szCs w:val="24"/>
        </w:rPr>
        <w:t>t Hợp tác xã</w:t>
      </w:r>
      <w:r w:rsidR="006B3912" w:rsidRPr="009059BA">
        <w:rPr>
          <w:i/>
          <w:spacing w:val="-4"/>
          <w:szCs w:val="24"/>
        </w:rPr>
        <w:t xml:space="preserve"> năm 2012”</w:t>
      </w:r>
      <w:r w:rsidR="006B3912" w:rsidRPr="009059BA">
        <w:rPr>
          <w:i/>
          <w:spacing w:val="-4"/>
        </w:rPr>
        <w:t>.</w:t>
      </w:r>
    </w:p>
    <w:p w14:paraId="52284D6C" w14:textId="77777777" w:rsidR="006B3912" w:rsidRPr="009059BA" w:rsidRDefault="006B3912" w:rsidP="006B3912">
      <w:pPr>
        <w:pStyle w:val="Noidung"/>
        <w:rPr>
          <w:lang w:val="vi-VN"/>
        </w:rPr>
      </w:pPr>
      <w:r w:rsidRPr="009059BA">
        <w:t xml:space="preserve">- </w:t>
      </w:r>
      <w:r w:rsidRPr="009059BA">
        <w:rPr>
          <w:lang w:val="vi-VN"/>
        </w:rPr>
        <w:t>Nghị quyết số 134/NQ-CP ngày 25/9/2020 về ban hành Chương trình hành động của Chính phủ thực hiện Kết luận số 70-KL/TW</w:t>
      </w:r>
      <w:r w:rsidRPr="009059BA">
        <w:t xml:space="preserve"> </w:t>
      </w:r>
      <w:r w:rsidRPr="009059BA">
        <w:rPr>
          <w:lang w:val="vi-VN"/>
        </w:rPr>
        <w:t xml:space="preserve">ngày 09/3/2020 về tiếp tục thực hiện Nghị quyết Trung ương 5 khóa IX về tiếp tục đổi mới, phát triển và nâng cao hiệu quả </w:t>
      </w:r>
      <w:r w:rsidR="00877AED">
        <w:t>kinh tế tập thể</w:t>
      </w:r>
      <w:r w:rsidRPr="009059BA">
        <w:rPr>
          <w:lang w:val="vi-VN"/>
        </w:rPr>
        <w:t xml:space="preserve">, Chính phủ đã giao Bộ Kế hoạch và Đầu tư chủ trì </w:t>
      </w:r>
      <w:r w:rsidR="000D3496" w:rsidRPr="009059BA">
        <w:rPr>
          <w:lang w:val="vi-VN"/>
        </w:rPr>
        <w:t>"</w:t>
      </w:r>
      <w:r w:rsidR="000D3496" w:rsidRPr="009059BA">
        <w:rPr>
          <w:i/>
          <w:lang w:val="vi-VN"/>
        </w:rPr>
        <w:t>Xây dựng Luật mới hoặc sửa đổi, bổ sung Luật Hợp tác xã năm 2012 trên cơ sở kết quả tổng kết 10 năm thi hành Luật Hợp tác xã</w:t>
      </w:r>
      <w:r w:rsidR="000D3496" w:rsidRPr="009059BA">
        <w:rPr>
          <w:lang w:val="vi-VN"/>
        </w:rPr>
        <w:t>"</w:t>
      </w:r>
      <w:r w:rsidRPr="009059BA">
        <w:rPr>
          <w:lang w:val="vi-VN"/>
        </w:rPr>
        <w:t>.</w:t>
      </w:r>
    </w:p>
    <w:p w14:paraId="6F2F0A50" w14:textId="77777777" w:rsidR="006B3912" w:rsidRPr="009059BA" w:rsidRDefault="006B3912" w:rsidP="006B3912">
      <w:pPr>
        <w:pStyle w:val="Noidung"/>
      </w:pPr>
      <w:r w:rsidRPr="009059BA">
        <w:t xml:space="preserve">- </w:t>
      </w:r>
      <w:r w:rsidRPr="009059BA">
        <w:rPr>
          <w:lang w:val="vi-VN"/>
        </w:rPr>
        <w:t xml:space="preserve">Nghị quyết số 99/NQ-CP ngày 30/8/2021 của Chính phủ </w:t>
      </w:r>
      <w:r w:rsidRPr="009059BA">
        <w:t>về Ban hành C</w:t>
      </w:r>
      <w:r w:rsidRPr="009059BA">
        <w:rPr>
          <w:lang w:val="vi-VN"/>
        </w:rPr>
        <w:t xml:space="preserve">hương trình hành động của Chính phủ nhiệm kỳ 2021 - 2026 thực hiện Nghị quyết của Quốc hội về Kế hoạch phát triển kinh tế - xã hội 5 năm 2021 - 2025, Chính phủ chỉ đạo </w:t>
      </w:r>
      <w:r w:rsidRPr="009059BA">
        <w:t xml:space="preserve">Bộ Kế hoạch và Đầu tư chủ trì </w:t>
      </w:r>
      <w:r w:rsidRPr="009059BA">
        <w:rPr>
          <w:lang w:val="vi-VN"/>
        </w:rPr>
        <w:t xml:space="preserve">xây dựng dự án Luật </w:t>
      </w:r>
      <w:r w:rsidR="008874CF" w:rsidRPr="009059BA">
        <w:t xml:space="preserve">Hợp tác xã </w:t>
      </w:r>
      <w:r w:rsidR="009059BA" w:rsidRPr="009059BA">
        <w:t>(</w:t>
      </w:r>
      <w:r w:rsidR="000C0177">
        <w:t xml:space="preserve">sau đây viết tắt là </w:t>
      </w:r>
      <w:r w:rsidR="009059BA" w:rsidRPr="009059BA">
        <w:t xml:space="preserve">HTX) </w:t>
      </w:r>
      <w:r w:rsidRPr="009059BA">
        <w:rPr>
          <w:lang w:val="vi-VN"/>
        </w:rPr>
        <w:t xml:space="preserve">sửa đổi, bổ sung Luật </w:t>
      </w:r>
      <w:r w:rsidRPr="009059BA">
        <w:t>HTX</w:t>
      </w:r>
      <w:r w:rsidRPr="009059BA">
        <w:rPr>
          <w:lang w:val="vi-VN"/>
        </w:rPr>
        <w:t xml:space="preserve"> năm 2012</w:t>
      </w:r>
      <w:r w:rsidRPr="009059BA">
        <w:t xml:space="preserve"> để</w:t>
      </w:r>
      <w:r w:rsidRPr="009059BA">
        <w:rPr>
          <w:lang w:val="vi-VN"/>
        </w:rPr>
        <w:t xml:space="preserve"> trình</w:t>
      </w:r>
      <w:r w:rsidRPr="009059BA">
        <w:t xml:space="preserve"> Quốc hội</w:t>
      </w:r>
      <w:r w:rsidRPr="009059BA">
        <w:rPr>
          <w:lang w:val="vi-VN"/>
        </w:rPr>
        <w:t xml:space="preserve"> trong năm 2022</w:t>
      </w:r>
      <w:r w:rsidRPr="009059BA">
        <w:t>.</w:t>
      </w:r>
    </w:p>
    <w:p w14:paraId="7AAB9658" w14:textId="77777777" w:rsidR="00162278" w:rsidRPr="009059BA" w:rsidRDefault="00162278" w:rsidP="004F2DDB">
      <w:pPr>
        <w:pStyle w:val="Heading2"/>
      </w:pPr>
      <w:r w:rsidRPr="009059BA">
        <w:t>2. Cơ sở thực tiễn</w:t>
      </w:r>
    </w:p>
    <w:p w14:paraId="23B3B4C4" w14:textId="77777777" w:rsidR="00586151" w:rsidRPr="009059BA" w:rsidRDefault="000D3496" w:rsidP="00500591">
      <w:pPr>
        <w:pStyle w:val="Noidung"/>
        <w:rPr>
          <w:szCs w:val="28"/>
          <w:lang w:val="nl-NL"/>
        </w:rPr>
      </w:pPr>
      <w:r w:rsidRPr="009059BA">
        <w:rPr>
          <w:lang w:val="vi-VN"/>
        </w:rPr>
        <w:t xml:space="preserve">Luật </w:t>
      </w:r>
      <w:r w:rsidR="009059BA" w:rsidRPr="009059BA">
        <w:rPr>
          <w:lang w:val="vi-VN"/>
        </w:rPr>
        <w:t>HTX</w:t>
      </w:r>
      <w:r w:rsidRPr="009059BA">
        <w:rPr>
          <w:lang w:val="vi-VN"/>
        </w:rPr>
        <w:t xml:space="preserve"> năm 2012 được Quốc hội thông qua ngày 20/11/2012, có hiệu lực từ ngày 01/7/2013 (thay thế Luật </w:t>
      </w:r>
      <w:r w:rsidR="009059BA" w:rsidRPr="009059BA">
        <w:rPr>
          <w:lang w:val="vi-VN"/>
        </w:rPr>
        <w:t>HTX</w:t>
      </w:r>
      <w:r w:rsidRPr="009059BA">
        <w:rPr>
          <w:lang w:val="vi-VN"/>
        </w:rPr>
        <w:t xml:space="preserve"> năm 2003) đã thể chế hóa các chủ trương của Đảng về tiếp tục đổi mới, nâng cao hiệu quả kinh tế tập thể tiếp cận gần hơn với bản chất, giá trị nguyên tắc của </w:t>
      </w:r>
      <w:r w:rsidR="009059BA" w:rsidRPr="009059BA">
        <w:rPr>
          <w:lang w:val="vi-VN"/>
        </w:rPr>
        <w:t>HTX</w:t>
      </w:r>
      <w:r w:rsidRPr="009059BA">
        <w:rPr>
          <w:lang w:val="vi-VN"/>
        </w:rPr>
        <w:t xml:space="preserve"> trên thế giới.</w:t>
      </w:r>
      <w:r w:rsidRPr="009059BA">
        <w:rPr>
          <w:lang w:val="pt-BR"/>
        </w:rPr>
        <w:t xml:space="preserve"> </w:t>
      </w:r>
      <w:r w:rsidRPr="009059BA">
        <w:t xml:space="preserve">Theo Báo cáo </w:t>
      </w:r>
      <w:r w:rsidRPr="009059BA">
        <w:lastRenderedPageBreak/>
        <w:t>tổng kết 10 năm thi hành Luật HTX năm 2012</w:t>
      </w:r>
      <w:r w:rsidRPr="009059BA">
        <w:rPr>
          <w:rStyle w:val="FootnoteReference"/>
        </w:rPr>
        <w:footnoteReference w:id="1"/>
      </w:r>
      <w:r w:rsidRPr="009059BA">
        <w:t>,</w:t>
      </w:r>
      <w:r w:rsidRPr="009059BA">
        <w:rPr>
          <w:lang w:val="vi-VN"/>
        </w:rPr>
        <w:t xml:space="preserve"> Luật </w:t>
      </w:r>
      <w:r w:rsidRPr="009059BA">
        <w:t xml:space="preserve">HTX năm 2012 </w:t>
      </w:r>
      <w:r w:rsidRPr="009059BA">
        <w:rPr>
          <w:lang w:val="vi-VN"/>
        </w:rPr>
        <w:t xml:space="preserve">đã </w:t>
      </w:r>
      <w:r w:rsidRPr="009059BA">
        <w:t xml:space="preserve">bước đầu </w:t>
      </w:r>
      <w:r w:rsidRPr="009059BA">
        <w:rPr>
          <w:lang w:val="vi-VN"/>
        </w:rPr>
        <w:t>tác động tích cực đến tổ chức và hoạt động của các</w:t>
      </w:r>
      <w:r w:rsidRPr="009059BA">
        <w:t xml:space="preserve"> HTX</w:t>
      </w:r>
      <w:r w:rsidRPr="009059BA">
        <w:rPr>
          <w:szCs w:val="28"/>
        </w:rPr>
        <w:t xml:space="preserve">.  </w:t>
      </w:r>
      <w:r w:rsidRPr="009059BA">
        <w:rPr>
          <w:lang w:val="vi-VN"/>
        </w:rPr>
        <w:t>Tuy nhiên, bên cạnh những kết quả đã đạt được, thực tiễn sau gần 10 năm triển khai thực hiện</w:t>
      </w:r>
      <w:r w:rsidR="005475C0" w:rsidRPr="009059BA">
        <w:t>,</w:t>
      </w:r>
      <w:r w:rsidRPr="009059BA">
        <w:rPr>
          <w:lang w:val="vi-VN"/>
        </w:rPr>
        <w:t xml:space="preserve"> Luật </w:t>
      </w:r>
      <w:r w:rsidR="009059BA" w:rsidRPr="009059BA">
        <w:rPr>
          <w:lang w:val="vi-VN"/>
        </w:rPr>
        <w:t>HTX</w:t>
      </w:r>
      <w:r w:rsidRPr="009059BA">
        <w:rPr>
          <w:lang w:val="vi-VN"/>
        </w:rPr>
        <w:t xml:space="preserve"> năm 2012 </w:t>
      </w:r>
      <w:r w:rsidR="00BA333A" w:rsidRPr="009059BA">
        <w:rPr>
          <w:szCs w:val="28"/>
          <w:lang w:val="nl-NL"/>
        </w:rPr>
        <w:t>còn bộc lộ một số tồn tại, hạn chế cần được nghiên cứu, sửa đổi, hoàn thiện để phù hợp hơn với thực tiễn.</w:t>
      </w:r>
    </w:p>
    <w:p w14:paraId="402A945A" w14:textId="77777777" w:rsidR="00500591" w:rsidRPr="008754AA" w:rsidRDefault="00EE7DB6" w:rsidP="001C4FDC">
      <w:pPr>
        <w:spacing w:before="160" w:after="160" w:line="240" w:lineRule="auto"/>
        <w:ind w:firstLine="720"/>
        <w:jc w:val="both"/>
        <w:rPr>
          <w:rFonts w:ascii="Times New Roman" w:hAnsi="Times New Roman" w:cs="Times New Roman"/>
          <w:i/>
          <w:sz w:val="28"/>
          <w:szCs w:val="28"/>
          <w:lang w:val="nl-NL"/>
        </w:rPr>
      </w:pPr>
      <w:r w:rsidRPr="008754AA">
        <w:rPr>
          <w:rFonts w:ascii="Times New Roman" w:hAnsi="Times New Roman" w:cs="Times New Roman"/>
          <w:i/>
          <w:sz w:val="28"/>
          <w:szCs w:val="28"/>
          <w:lang w:val="nl-NL"/>
        </w:rPr>
        <w:t xml:space="preserve">Một là, </w:t>
      </w:r>
      <w:r w:rsidR="005475C0" w:rsidRPr="008754AA">
        <w:rPr>
          <w:rFonts w:ascii="Times New Roman" w:hAnsi="Times New Roman" w:cs="Times New Roman"/>
          <w:i/>
          <w:sz w:val="28"/>
          <w:szCs w:val="28"/>
          <w:lang w:val="nl-NL"/>
        </w:rPr>
        <w:t xml:space="preserve">việc </w:t>
      </w:r>
      <w:r w:rsidR="00357C5C" w:rsidRPr="008754AA">
        <w:rPr>
          <w:rFonts w:ascii="Times New Roman" w:hAnsi="Times New Roman" w:cs="Times New Roman"/>
          <w:i/>
          <w:sz w:val="28"/>
          <w:szCs w:val="28"/>
          <w:lang w:val="nl-NL"/>
        </w:rPr>
        <w:t>HTX gia nhập,</w:t>
      </w:r>
      <w:r w:rsidR="008049AE" w:rsidRPr="008754AA">
        <w:rPr>
          <w:rFonts w:ascii="Times New Roman" w:hAnsi="Times New Roman" w:cs="Times New Roman"/>
          <w:i/>
          <w:sz w:val="28"/>
          <w:szCs w:val="28"/>
          <w:lang w:val="nl-NL"/>
        </w:rPr>
        <w:t xml:space="preserve"> hoạt động</w:t>
      </w:r>
      <w:r w:rsidR="005475C0" w:rsidRPr="008754AA">
        <w:rPr>
          <w:rFonts w:ascii="Times New Roman" w:hAnsi="Times New Roman" w:cs="Times New Roman"/>
          <w:i/>
          <w:sz w:val="28"/>
          <w:szCs w:val="28"/>
          <w:lang w:val="nl-NL"/>
        </w:rPr>
        <w:t>,</w:t>
      </w:r>
      <w:r w:rsidR="008049AE" w:rsidRPr="008754AA">
        <w:rPr>
          <w:rFonts w:ascii="Times New Roman" w:hAnsi="Times New Roman" w:cs="Times New Roman"/>
          <w:i/>
          <w:sz w:val="28"/>
          <w:szCs w:val="28"/>
          <w:lang w:val="nl-NL"/>
        </w:rPr>
        <w:t xml:space="preserve"> rút khỏi</w:t>
      </w:r>
      <w:r w:rsidR="00500591" w:rsidRPr="008754AA">
        <w:rPr>
          <w:rFonts w:ascii="Times New Roman" w:hAnsi="Times New Roman" w:cs="Times New Roman"/>
          <w:i/>
          <w:sz w:val="28"/>
          <w:szCs w:val="28"/>
          <w:lang w:val="nl-NL"/>
        </w:rPr>
        <w:t xml:space="preserve"> thị trường </w:t>
      </w:r>
      <w:r w:rsidR="005475C0" w:rsidRPr="008754AA">
        <w:rPr>
          <w:rFonts w:ascii="Times New Roman" w:hAnsi="Times New Roman" w:cs="Times New Roman"/>
          <w:i/>
          <w:sz w:val="28"/>
          <w:szCs w:val="28"/>
          <w:lang w:val="nl-NL"/>
        </w:rPr>
        <w:t xml:space="preserve">hiện nay </w:t>
      </w:r>
      <w:r w:rsidR="00357C5C" w:rsidRPr="008754AA">
        <w:rPr>
          <w:rFonts w:ascii="Times New Roman" w:hAnsi="Times New Roman" w:cs="Times New Roman"/>
          <w:i/>
          <w:sz w:val="28"/>
          <w:szCs w:val="28"/>
          <w:lang w:val="nl-NL"/>
        </w:rPr>
        <w:t>còn</w:t>
      </w:r>
      <w:r w:rsidR="005475C0" w:rsidRPr="008754AA">
        <w:rPr>
          <w:rFonts w:ascii="Times New Roman" w:hAnsi="Times New Roman" w:cs="Times New Roman"/>
          <w:i/>
          <w:sz w:val="28"/>
          <w:szCs w:val="28"/>
          <w:lang w:val="nl-NL"/>
        </w:rPr>
        <w:t xml:space="preserve"> gặp</w:t>
      </w:r>
      <w:r w:rsidR="00357C5C" w:rsidRPr="008754AA">
        <w:rPr>
          <w:rFonts w:ascii="Times New Roman" w:hAnsi="Times New Roman" w:cs="Times New Roman"/>
          <w:i/>
          <w:sz w:val="28"/>
          <w:szCs w:val="28"/>
          <w:lang w:val="nl-NL"/>
        </w:rPr>
        <w:t xml:space="preserve"> nhiều rào cản</w:t>
      </w:r>
      <w:r w:rsidR="005475C0" w:rsidRPr="008754AA">
        <w:rPr>
          <w:rFonts w:ascii="Times New Roman" w:hAnsi="Times New Roman" w:cs="Times New Roman"/>
          <w:i/>
          <w:sz w:val="28"/>
          <w:szCs w:val="28"/>
          <w:lang w:val="nl-NL"/>
        </w:rPr>
        <w:t>.</w:t>
      </w:r>
    </w:p>
    <w:p w14:paraId="3C8A0FAC" w14:textId="77777777" w:rsidR="003B3448" w:rsidRPr="009059BA" w:rsidRDefault="00382FC2" w:rsidP="003B3448">
      <w:pPr>
        <w:pStyle w:val="Noidung"/>
      </w:pPr>
      <w:r>
        <w:t>- Q</w:t>
      </w:r>
      <w:r w:rsidR="003B3448" w:rsidRPr="009059BA">
        <w:t>uy đị</w:t>
      </w:r>
      <w:r>
        <w:t>nh</w:t>
      </w:r>
      <w:r w:rsidR="003B3448" w:rsidRPr="009059BA">
        <w:t xml:space="preserve"> </w:t>
      </w:r>
      <w:r>
        <w:t>về s</w:t>
      </w:r>
      <w:r w:rsidR="003B3448" w:rsidRPr="009059BA">
        <w:t>ố lượng thành viên tối thiểu khi thành lập HTX (07 thành viên), liên hiệ</w:t>
      </w:r>
      <w:r w:rsidR="003B3448">
        <w:t>p HTX (</w:t>
      </w:r>
      <w:r w:rsidR="003B3448" w:rsidRPr="009059BA">
        <w:t>04 thành viên) đang cao hơn so với quy định ở một số nước như Hàn Quốc, Đức</w:t>
      </w:r>
      <w:r w:rsidR="003B3448" w:rsidRPr="009059BA">
        <w:rPr>
          <w:vertAlign w:val="superscript"/>
        </w:rPr>
        <w:footnoteReference w:id="2"/>
      </w:r>
      <w:r>
        <w:t>,</w:t>
      </w:r>
      <w:r w:rsidR="003B3448" w:rsidRPr="009059BA">
        <w:t xml:space="preserve"> gây khó khăn cho việc tập hợp đủ số lượng để thành lậ</w:t>
      </w:r>
      <w:r w:rsidR="005C5CA6">
        <w:t>p</w:t>
      </w:r>
      <w:r w:rsidR="003B3448" w:rsidRPr="009059BA">
        <w:t xml:space="preserve">. Việc giảm số lượng thành viên tối thiểu khi đăng ký thành lập không làm mất đi đặc trưng </w:t>
      </w:r>
      <w:r w:rsidR="003B3448">
        <w:t xml:space="preserve">của HTX là </w:t>
      </w:r>
      <w:r w:rsidR="003B3448" w:rsidRPr="009059BA">
        <w:t>ưu tiên phát triển thành viên</w:t>
      </w:r>
      <w:r w:rsidR="003B3448">
        <w:t xml:space="preserve">, </w:t>
      </w:r>
      <w:r w:rsidR="003B3448" w:rsidRPr="009059BA">
        <w:t>mà giúp tạo điều kiện</w:t>
      </w:r>
      <w:r w:rsidR="003B3448">
        <w:t xml:space="preserve"> thuận lợi</w:t>
      </w:r>
      <w:r w:rsidR="003B3448" w:rsidRPr="009059BA">
        <w:t xml:space="preserve"> cho HTX, liên hiệp HTX gia nhập thị trường</w:t>
      </w:r>
      <w:r w:rsidR="003B3448">
        <w:t xml:space="preserve"> và tiếp tục kết nạp mở rộng thành viên trong quá trình hoạt động củ</w:t>
      </w:r>
      <w:r w:rsidR="003B7D6B">
        <w:t>a mình</w:t>
      </w:r>
      <w:r w:rsidR="003B3448">
        <w:t>.</w:t>
      </w:r>
    </w:p>
    <w:p w14:paraId="1787FE32" w14:textId="77777777" w:rsidR="005475C0" w:rsidRPr="009059BA" w:rsidRDefault="005475C0" w:rsidP="005475C0">
      <w:pPr>
        <w:pStyle w:val="Noidung"/>
      </w:pPr>
      <w:r w:rsidRPr="009059BA">
        <w:t xml:space="preserve">- </w:t>
      </w:r>
      <w:r w:rsidR="00382FC2">
        <w:t xml:space="preserve">Quy định về </w:t>
      </w:r>
      <w:r w:rsidRPr="009059BA">
        <w:t>đăng ký thành lập HTX</w:t>
      </w:r>
      <w:r w:rsidR="00456A68">
        <w:t>, liên hiệp HTX</w:t>
      </w:r>
      <w:r w:rsidRPr="009059BA">
        <w:t xml:space="preserve"> </w:t>
      </w:r>
      <w:r w:rsidR="00382FC2">
        <w:t xml:space="preserve">tại </w:t>
      </w:r>
      <w:r w:rsidR="00382FC2" w:rsidRPr="009059BA">
        <w:t>Điều 23 Luật HTX năm 2012</w:t>
      </w:r>
      <w:r w:rsidR="00382FC2">
        <w:t xml:space="preserve"> phức tạp, mất nhiều thời gian</w:t>
      </w:r>
      <w:r w:rsidR="008F7537">
        <w:t>, như:</w:t>
      </w:r>
      <w:r w:rsidR="00456A68">
        <w:t xml:space="preserve"> </w:t>
      </w:r>
      <w:r w:rsidR="008F7537">
        <w:t>y</w:t>
      </w:r>
      <w:r w:rsidR="00456A68">
        <w:t xml:space="preserve">êu cầu về </w:t>
      </w:r>
      <w:r w:rsidRPr="009059BA">
        <w:t>Phương án sản xuất kinh doanh của HTX</w:t>
      </w:r>
      <w:r w:rsidR="00456A68">
        <w:t>, liên hiệp HTX</w:t>
      </w:r>
      <w:r w:rsidRPr="009059BA">
        <w:t xml:space="preserve"> là không cần thiết, </w:t>
      </w:r>
      <w:r w:rsidR="008F7537">
        <w:t xml:space="preserve">thậm chí </w:t>
      </w:r>
      <w:r w:rsidR="00264588">
        <w:t>can thiệp quá sâu vào hoạt động sản xuất, kinh doanh củ</w:t>
      </w:r>
      <w:r w:rsidR="008F7537">
        <w:t>a các tổ chức kinh tế này</w:t>
      </w:r>
      <w:r w:rsidRPr="009059BA">
        <w:t>; thời hạn cấp giấy chứng nhậ</w:t>
      </w:r>
      <w:r w:rsidR="008F7537">
        <w:t xml:space="preserve">n đăng ký </w:t>
      </w:r>
      <w:r w:rsidR="00A723C0">
        <w:t xml:space="preserve">HTX, liên hiệp HTX </w:t>
      </w:r>
      <w:r w:rsidR="008F7537">
        <w:t>trong vòng</w:t>
      </w:r>
      <w:r w:rsidRPr="009059BA">
        <w:t xml:space="preserve"> 05 ngày</w:t>
      </w:r>
      <w:r w:rsidR="00290A6C">
        <w:t>,</w:t>
      </w:r>
      <w:r w:rsidRPr="009059BA">
        <w:t xml:space="preserve"> trong khi </w:t>
      </w:r>
      <w:r w:rsidR="008F7537">
        <w:t>việc đăng ký thành lập doanh nghiệp chỉ mất tối đa</w:t>
      </w:r>
      <w:r w:rsidRPr="009059BA">
        <w:t xml:space="preserve"> 03 ngày.</w:t>
      </w:r>
    </w:p>
    <w:p w14:paraId="572F8D4B" w14:textId="77777777" w:rsidR="00AF3102" w:rsidRPr="009059BA" w:rsidRDefault="002E1619" w:rsidP="002E1619">
      <w:pPr>
        <w:pStyle w:val="Noidung"/>
      </w:pPr>
      <w:r w:rsidRPr="009059BA">
        <w:t xml:space="preserve">- </w:t>
      </w:r>
      <w:r w:rsidR="007A7915">
        <w:t>Q</w:t>
      </w:r>
      <w:r w:rsidR="007A7915" w:rsidRPr="009059BA">
        <w:t xml:space="preserve">uy định hạn chế tỷ lệ cung ứng sản phẩm, dịch vụ của HTX ra bên ngoài </w:t>
      </w:r>
      <w:r w:rsidR="007A7915" w:rsidRPr="009059BA">
        <w:rPr>
          <w:lang w:val="pt-BR"/>
        </w:rPr>
        <w:t>chưa bảo đảm môi trường sản xuất, kinh doanh bình đẳng với doanh nghiệp</w:t>
      </w:r>
      <w:r w:rsidR="007A7915" w:rsidRPr="009059BA">
        <w:t>, chưa khuyến khích HTX mở rộng sản xuất, kinh doanh khi tham gia thị trường</w:t>
      </w:r>
      <w:r w:rsidR="0072044A">
        <w:t>;</w:t>
      </w:r>
      <w:r w:rsidR="007A7915" w:rsidRPr="009059BA">
        <w:t xml:space="preserve"> </w:t>
      </w:r>
      <w:r w:rsidR="0072044A">
        <w:t>đ</w:t>
      </w:r>
      <w:r w:rsidR="007A7915" w:rsidRPr="009059BA">
        <w:t>ồng thời,</w:t>
      </w:r>
      <w:r w:rsidR="0072044A">
        <w:t xml:space="preserve"> làm</w:t>
      </w:r>
      <w:r w:rsidR="007A7915" w:rsidRPr="009059BA">
        <w:t xml:space="preserve"> mất đi tính tự chủ, tự chịu trách nhiệm của HTX.</w:t>
      </w:r>
      <w:r w:rsidR="0072044A">
        <w:t xml:space="preserve"> </w:t>
      </w:r>
      <w:r w:rsidR="00500591" w:rsidRPr="009059BA">
        <w:t xml:space="preserve">Hiện nay, </w:t>
      </w:r>
      <w:r w:rsidR="00357C5C" w:rsidRPr="009059BA">
        <w:t xml:space="preserve">nhiều </w:t>
      </w:r>
      <w:r w:rsidR="00500591" w:rsidRPr="009059BA">
        <w:t>HTX</w:t>
      </w:r>
      <w:r w:rsidR="00357C5C" w:rsidRPr="009059BA">
        <w:t xml:space="preserve"> </w:t>
      </w:r>
      <w:r w:rsidRPr="009059BA">
        <w:t>ở Việt Nam và trên thế giới</w:t>
      </w:r>
      <w:r w:rsidR="00500591" w:rsidRPr="009059BA">
        <w:t xml:space="preserve"> có </w:t>
      </w:r>
      <w:r w:rsidRPr="009059BA">
        <w:t>xu hướng</w:t>
      </w:r>
      <w:r w:rsidR="00977852">
        <w:t xml:space="preserve"> mở rộng</w:t>
      </w:r>
      <w:r w:rsidRPr="009059BA">
        <w:t xml:space="preserve"> </w:t>
      </w:r>
      <w:r w:rsidR="00500591" w:rsidRPr="009059BA">
        <w:t xml:space="preserve">hoạt động tìm kiếm lợi nhuận bên ngoài thị trường </w:t>
      </w:r>
      <w:r w:rsidR="008874CF" w:rsidRPr="009059BA">
        <w:t>giống như doanh nghiệp</w:t>
      </w:r>
      <w:r w:rsidR="00500591" w:rsidRPr="009059BA">
        <w:t xml:space="preserve"> sau khi </w:t>
      </w:r>
      <w:r w:rsidR="008874CF" w:rsidRPr="009059BA">
        <w:t xml:space="preserve">đã </w:t>
      </w:r>
      <w:r w:rsidR="00500591" w:rsidRPr="009059BA">
        <w:t xml:space="preserve">đáp ứng nhu cầu </w:t>
      </w:r>
      <w:r w:rsidR="008F29E0" w:rsidRPr="009059BA">
        <w:t xml:space="preserve">chung </w:t>
      </w:r>
      <w:r w:rsidR="00500591" w:rsidRPr="009059BA">
        <w:t>của thành viên</w:t>
      </w:r>
      <w:r w:rsidRPr="009059BA">
        <w:t xml:space="preserve">. Nhu cầu tự thân của HTX tìm kiếm lợi nhuận là nhu cầu chính đáng để </w:t>
      </w:r>
      <w:r w:rsidR="008874CF" w:rsidRPr="009059BA">
        <w:t xml:space="preserve">HTX </w:t>
      </w:r>
      <w:r w:rsidRPr="009059BA">
        <w:t xml:space="preserve">tồn tại, phát triển và </w:t>
      </w:r>
      <w:r w:rsidR="006D7B11" w:rsidRPr="009059BA">
        <w:t xml:space="preserve">mang lại </w:t>
      </w:r>
      <w:r w:rsidRPr="009059BA">
        <w:t xml:space="preserve">lợi ích </w:t>
      </w:r>
      <w:r w:rsidR="008874CF" w:rsidRPr="009059BA">
        <w:t xml:space="preserve">gián tiếp </w:t>
      </w:r>
      <w:r w:rsidR="006D7B11" w:rsidRPr="009059BA">
        <w:t>cho</w:t>
      </w:r>
      <w:r w:rsidRPr="009059BA">
        <w:t xml:space="preserve"> thành viên HTX. </w:t>
      </w:r>
    </w:p>
    <w:p w14:paraId="564C5AE0" w14:textId="3D88F5D9" w:rsidR="00B958EE" w:rsidRPr="009059BA" w:rsidRDefault="00DD74D0" w:rsidP="00DD74D0">
      <w:pPr>
        <w:pStyle w:val="Noidung"/>
      </w:pPr>
      <w:r w:rsidRPr="009059BA">
        <w:t xml:space="preserve">- </w:t>
      </w:r>
      <w:r w:rsidR="006E1A66">
        <w:t>Quy định về giải thể phức tạp gây khó khăn cho việc rút khỏi thị trường của các HTX</w:t>
      </w:r>
      <w:r w:rsidR="00EC0A81">
        <w:t>.</w:t>
      </w:r>
      <w:r w:rsidR="006E1A66" w:rsidRPr="009059BA">
        <w:t xml:space="preserve"> Điều 54 Luật HTX năm 2012 quy định thành lập Hội đồng giải thể phải đầy đủ thành phần (Hội đồng quản trị, Ban kiểm soát, Ban điều hành, đại diện thành viên)</w:t>
      </w:r>
      <w:r w:rsidR="006E1A66">
        <w:t>,</w:t>
      </w:r>
      <w:r w:rsidR="006E1A66" w:rsidRPr="009059BA">
        <w:t xml:space="preserve"> nhưng thực tế </w:t>
      </w:r>
      <w:r w:rsidR="006E1A66">
        <w:t xml:space="preserve">nhiều HTX </w:t>
      </w:r>
      <w:r w:rsidR="006E1A66" w:rsidRPr="009059BA">
        <w:t xml:space="preserve">khó thành lập được Hội đồng giải thể </w:t>
      </w:r>
      <w:r w:rsidR="006E1A66">
        <w:t xml:space="preserve">này </w:t>
      </w:r>
      <w:r w:rsidR="006E1A66" w:rsidRPr="009059BA">
        <w:t xml:space="preserve">do người đại diện không hợp tác, ốm, mất tích, không liên lạc được…; </w:t>
      </w:r>
      <w:r w:rsidR="00EC0A81">
        <w:t xml:space="preserve">quy định HTX </w:t>
      </w:r>
      <w:r w:rsidR="006E1A66" w:rsidRPr="009059BA">
        <w:t>phải nộp bộ hồ sơ đầy đủ bao gồm con dấu, bản gốc giấy chứng nhận đăng ký HTX nhưng</w:t>
      </w:r>
      <w:r w:rsidR="0057190D">
        <w:t xml:space="preserve"> nhiều HTX cũ </w:t>
      </w:r>
      <w:r w:rsidR="00BF0FDC">
        <w:t xml:space="preserve">thành lập </w:t>
      </w:r>
      <w:r w:rsidR="0057190D">
        <w:t>trước đây</w:t>
      </w:r>
      <w:r w:rsidR="006E1A66" w:rsidRPr="009059BA">
        <w:t xml:space="preserve"> </w:t>
      </w:r>
      <w:r w:rsidR="00BF0FDC">
        <w:t>không còn lưu giữ đầy đủ hồ sơ</w:t>
      </w:r>
      <w:r w:rsidR="006E1A66" w:rsidRPr="009059BA">
        <w:t xml:space="preserve">. </w:t>
      </w:r>
      <w:r w:rsidR="00B958EE" w:rsidRPr="009059BA">
        <w:t xml:space="preserve">Theo Báo cáo tổng kết 10 năm thi hành Luật HTX </w:t>
      </w:r>
      <w:r w:rsidR="00B958EE" w:rsidRPr="009059BA">
        <w:lastRenderedPageBreak/>
        <w:t xml:space="preserve">năm 2012, đến hết năm 2020 có </w:t>
      </w:r>
      <w:r w:rsidR="0057190D">
        <w:t xml:space="preserve">khoảng </w:t>
      </w:r>
      <w:r w:rsidR="00B958EE" w:rsidRPr="009059BA">
        <w:t>2</w:t>
      </w:r>
      <w:r w:rsidR="005475C0" w:rsidRPr="009059BA">
        <w:t>.</w:t>
      </w:r>
      <w:r w:rsidR="00B958EE" w:rsidRPr="009059BA">
        <w:t>0</w:t>
      </w:r>
      <w:r w:rsidR="008B4E77" w:rsidRPr="009059BA">
        <w:t>44</w:t>
      </w:r>
      <w:r w:rsidR="00B958EE" w:rsidRPr="009059BA">
        <w:t xml:space="preserve"> HTX khó khăn trong giải thể do vướng mắc quy định</w:t>
      </w:r>
      <w:r w:rsidR="0057190D">
        <w:t xml:space="preserve"> của</w:t>
      </w:r>
      <w:r w:rsidR="00B958EE" w:rsidRPr="009059BA">
        <w:t xml:space="preserve"> Luật HTX năm 2012. </w:t>
      </w:r>
    </w:p>
    <w:p w14:paraId="4A471B0A" w14:textId="77777777" w:rsidR="00357C5C" w:rsidRPr="008754AA" w:rsidRDefault="00AF3102" w:rsidP="001C4FDC">
      <w:pPr>
        <w:spacing w:before="160" w:after="160" w:line="240" w:lineRule="auto"/>
        <w:ind w:firstLine="720"/>
        <w:jc w:val="both"/>
        <w:rPr>
          <w:rFonts w:ascii="Times New Roman" w:hAnsi="Times New Roman" w:cs="Times New Roman"/>
          <w:i/>
          <w:sz w:val="28"/>
          <w:szCs w:val="28"/>
          <w:lang w:val="nl-NL"/>
        </w:rPr>
      </w:pPr>
      <w:r w:rsidRPr="008754AA">
        <w:rPr>
          <w:rFonts w:ascii="Times New Roman" w:hAnsi="Times New Roman" w:cs="Times New Roman"/>
          <w:i/>
          <w:sz w:val="28"/>
          <w:szCs w:val="28"/>
          <w:lang w:val="nl-NL"/>
        </w:rPr>
        <w:t>Hai</w:t>
      </w:r>
      <w:r w:rsidR="0030047D" w:rsidRPr="008754AA">
        <w:rPr>
          <w:rFonts w:ascii="Times New Roman" w:hAnsi="Times New Roman" w:cs="Times New Roman"/>
          <w:i/>
          <w:sz w:val="28"/>
          <w:szCs w:val="28"/>
          <w:lang w:val="nl-NL"/>
        </w:rPr>
        <w:t xml:space="preserve"> là, </w:t>
      </w:r>
      <w:r w:rsidR="00A26E84" w:rsidRPr="008754AA">
        <w:rPr>
          <w:rFonts w:ascii="Times New Roman" w:hAnsi="Times New Roman" w:cs="Times New Roman"/>
          <w:i/>
          <w:sz w:val="28"/>
          <w:szCs w:val="28"/>
          <w:lang w:val="nl-NL"/>
        </w:rPr>
        <w:t xml:space="preserve">chưa bảo đảm </w:t>
      </w:r>
      <w:r w:rsidR="005475C0" w:rsidRPr="008754AA">
        <w:rPr>
          <w:rFonts w:ascii="Times New Roman" w:hAnsi="Times New Roman" w:cs="Times New Roman"/>
          <w:i/>
          <w:sz w:val="28"/>
          <w:szCs w:val="28"/>
          <w:lang w:val="nl-NL"/>
        </w:rPr>
        <w:t>nguyên tắc</w:t>
      </w:r>
      <w:r w:rsidR="00A26E84" w:rsidRPr="008754AA">
        <w:rPr>
          <w:rFonts w:ascii="Times New Roman" w:hAnsi="Times New Roman" w:cs="Times New Roman"/>
          <w:i/>
          <w:sz w:val="28"/>
          <w:szCs w:val="28"/>
          <w:lang w:val="nl-NL"/>
        </w:rPr>
        <w:t xml:space="preserve"> mở cho </w:t>
      </w:r>
      <w:r w:rsidR="00357C5C" w:rsidRPr="008754AA">
        <w:rPr>
          <w:rFonts w:ascii="Times New Roman" w:hAnsi="Times New Roman" w:cs="Times New Roman"/>
          <w:i/>
          <w:sz w:val="28"/>
          <w:szCs w:val="28"/>
          <w:lang w:val="nl-NL"/>
        </w:rPr>
        <w:t xml:space="preserve">thành viên </w:t>
      </w:r>
      <w:r w:rsidR="00A26E84" w:rsidRPr="008754AA">
        <w:rPr>
          <w:rFonts w:ascii="Times New Roman" w:hAnsi="Times New Roman" w:cs="Times New Roman"/>
          <w:i/>
          <w:sz w:val="28"/>
          <w:szCs w:val="28"/>
          <w:lang w:val="nl-NL"/>
        </w:rPr>
        <w:t xml:space="preserve">khi </w:t>
      </w:r>
      <w:r w:rsidR="00357C5C" w:rsidRPr="008754AA">
        <w:rPr>
          <w:rFonts w:ascii="Times New Roman" w:hAnsi="Times New Roman" w:cs="Times New Roman"/>
          <w:i/>
          <w:sz w:val="28"/>
          <w:szCs w:val="28"/>
          <w:lang w:val="nl-NL"/>
        </w:rPr>
        <w:t>gia nhập</w:t>
      </w:r>
      <w:r w:rsidR="007E7C0F" w:rsidRPr="008754AA">
        <w:rPr>
          <w:rFonts w:ascii="Times New Roman" w:hAnsi="Times New Roman" w:cs="Times New Roman"/>
          <w:i/>
          <w:sz w:val="28"/>
          <w:szCs w:val="28"/>
          <w:lang w:val="nl-NL"/>
        </w:rPr>
        <w:t xml:space="preserve"> và</w:t>
      </w:r>
      <w:r w:rsidR="00357C5C" w:rsidRPr="008754AA">
        <w:rPr>
          <w:rFonts w:ascii="Times New Roman" w:hAnsi="Times New Roman" w:cs="Times New Roman"/>
          <w:i/>
          <w:sz w:val="28"/>
          <w:szCs w:val="28"/>
          <w:lang w:val="nl-NL"/>
        </w:rPr>
        <w:t xml:space="preserve"> rút khỏi HTX</w:t>
      </w:r>
      <w:r w:rsidR="005475C0" w:rsidRPr="008754AA">
        <w:rPr>
          <w:rFonts w:ascii="Times New Roman" w:hAnsi="Times New Roman" w:cs="Times New Roman"/>
          <w:i/>
          <w:sz w:val="28"/>
          <w:szCs w:val="28"/>
          <w:lang w:val="nl-NL"/>
        </w:rPr>
        <w:t>.</w:t>
      </w:r>
    </w:p>
    <w:p w14:paraId="24E53C68" w14:textId="77777777" w:rsidR="00A75C97" w:rsidRPr="009059BA" w:rsidRDefault="008049AE" w:rsidP="008049AE">
      <w:pPr>
        <w:pStyle w:val="Noidung"/>
      </w:pPr>
      <w:r w:rsidRPr="009059BA">
        <w:t>- Q</w:t>
      </w:r>
      <w:r w:rsidR="006D7B11" w:rsidRPr="009059BA">
        <w:t xml:space="preserve">uy định </w:t>
      </w:r>
      <w:r w:rsidR="007E7C0F" w:rsidRPr="009059BA">
        <w:t xml:space="preserve">tại </w:t>
      </w:r>
      <w:r w:rsidR="006D7B11" w:rsidRPr="009059BA">
        <w:t xml:space="preserve">Điều </w:t>
      </w:r>
      <w:r w:rsidR="007E7C0F" w:rsidRPr="009059BA">
        <w:t xml:space="preserve">13, </w:t>
      </w:r>
      <w:r w:rsidR="006D7B11" w:rsidRPr="009059BA">
        <w:t xml:space="preserve">15 </w:t>
      </w:r>
      <w:r w:rsidR="007E7C0F" w:rsidRPr="009059BA">
        <w:t xml:space="preserve">Luật HTX năm 2012 </w:t>
      </w:r>
      <w:r w:rsidR="006D7B11" w:rsidRPr="009059BA">
        <w:t>bắt buộc thành viên phải sử dụng sản phẩm, dịch vụ đã hạn chế một số đối tượng trở thành thành viên hoặc không thể tiếp tục là thành viên của HTX như</w:t>
      </w:r>
      <w:r w:rsidR="00A75C97" w:rsidRPr="009059BA">
        <w:t>:</w:t>
      </w:r>
      <w:r w:rsidR="006D7B11" w:rsidRPr="009059BA">
        <w:t xml:space="preserve"> người </w:t>
      </w:r>
      <w:r w:rsidR="00A75C97" w:rsidRPr="009059BA">
        <w:t>muốn đóng góp cho HTX bằng tài sản, vốn đầu tư,</w:t>
      </w:r>
      <w:r w:rsidR="006D7B11" w:rsidRPr="009059BA">
        <w:t xml:space="preserve"> kinh nghiệm, </w:t>
      </w:r>
      <w:r w:rsidR="00A75C97" w:rsidRPr="009059BA">
        <w:t xml:space="preserve">kiến thức chuyên môn, uy tín… </w:t>
      </w:r>
      <w:r w:rsidR="008B4E77" w:rsidRPr="009059BA">
        <w:t>hoặc thành viên làm việc lâu năm cho HTX đến tuổi nghỉ hưu muốn tiếp tục cống hiến cho HTX</w:t>
      </w:r>
      <w:r w:rsidR="00A75C97" w:rsidRPr="009059BA">
        <w:t>.</w:t>
      </w:r>
      <w:r w:rsidR="006D7B11" w:rsidRPr="009059BA">
        <w:t xml:space="preserve"> </w:t>
      </w:r>
      <w:r w:rsidR="00A75C97" w:rsidRPr="009059BA">
        <w:t xml:space="preserve">Ngoài ra, quy định </w:t>
      </w:r>
      <w:r w:rsidR="00617BF0" w:rsidRPr="009059BA">
        <w:t xml:space="preserve">điều kiện trở thành </w:t>
      </w:r>
      <w:r w:rsidR="00A75C97" w:rsidRPr="009059BA">
        <w:t xml:space="preserve">thành viên </w:t>
      </w:r>
      <w:r w:rsidR="00617BF0" w:rsidRPr="009059BA">
        <w:t xml:space="preserve">HTX </w:t>
      </w:r>
      <w:r w:rsidR="00A75C97" w:rsidRPr="009059BA">
        <w:t>là cá nhân phải từ đủ 18 tuổi trở lên</w:t>
      </w:r>
      <w:r w:rsidR="00960061" w:rsidRPr="009059BA">
        <w:rPr>
          <w:rStyle w:val="FootnoteReference"/>
        </w:rPr>
        <w:footnoteReference w:id="3"/>
      </w:r>
      <w:r w:rsidR="00617BF0" w:rsidRPr="009059BA">
        <w:t xml:space="preserve">, là tổ chức chỉ bao gồm hộ gia đình, pháp nhân </w:t>
      </w:r>
      <w:r w:rsidR="00E50B11" w:rsidRPr="009059BA">
        <w:t xml:space="preserve">đã </w:t>
      </w:r>
      <w:r w:rsidR="00617BF0" w:rsidRPr="009059BA">
        <w:t>hạn chế</w:t>
      </w:r>
      <w:r w:rsidR="00A75C97" w:rsidRPr="009059BA">
        <w:t xml:space="preserve"> </w:t>
      </w:r>
      <w:r w:rsidR="00E50B11" w:rsidRPr="009059BA">
        <w:t>người chưa đủ tuổi vị thành niên và các</w:t>
      </w:r>
      <w:r w:rsidR="00617BF0" w:rsidRPr="009059BA">
        <w:t xml:space="preserve"> tổ chức không có tư cách pháp nhân như tổ hợp tác</w:t>
      </w:r>
      <w:r w:rsidR="009059BA" w:rsidRPr="009059BA">
        <w:t xml:space="preserve"> (THT)</w:t>
      </w:r>
      <w:r w:rsidR="00617BF0" w:rsidRPr="009059BA">
        <w:t>, doanh nghiệp tư nhân</w:t>
      </w:r>
      <w:r w:rsidR="00A75C97" w:rsidRPr="009059BA">
        <w:t xml:space="preserve"> </w:t>
      </w:r>
      <w:r w:rsidR="00617BF0" w:rsidRPr="009059BA">
        <w:t>được tham gia</w:t>
      </w:r>
      <w:r w:rsidR="00E50B11" w:rsidRPr="009059BA">
        <w:t>.</w:t>
      </w:r>
    </w:p>
    <w:p w14:paraId="094B193B" w14:textId="77777777" w:rsidR="00E50B11" w:rsidRPr="009059BA" w:rsidRDefault="00E50B11" w:rsidP="00E50B11">
      <w:pPr>
        <w:pStyle w:val="Noidung"/>
      </w:pPr>
      <w:r w:rsidRPr="009059BA">
        <w:t xml:space="preserve">- Luật HTX năm 2012 </w:t>
      </w:r>
      <w:r w:rsidR="00960061" w:rsidRPr="009059BA">
        <w:t>không phân loại thành viên</w:t>
      </w:r>
      <w:r w:rsidRPr="009059BA">
        <w:t xml:space="preserve"> nhưng </w:t>
      </w:r>
      <w:r w:rsidR="00A75C97" w:rsidRPr="009059BA">
        <w:t xml:space="preserve">thực tế </w:t>
      </w:r>
      <w:r w:rsidR="00960061" w:rsidRPr="009059BA">
        <w:t xml:space="preserve">rất </w:t>
      </w:r>
      <w:r w:rsidR="00A75C97" w:rsidRPr="009059BA">
        <w:t>nhiều HTX</w:t>
      </w:r>
      <w:r w:rsidRPr="009059BA">
        <w:rPr>
          <w:vertAlign w:val="superscript"/>
        </w:rPr>
        <w:footnoteReference w:id="4"/>
      </w:r>
      <w:r w:rsidRPr="009059BA">
        <w:t xml:space="preserve"> </w:t>
      </w:r>
      <w:r w:rsidR="00960061" w:rsidRPr="009059BA">
        <w:t xml:space="preserve">ngoài thành viên chính thức còn </w:t>
      </w:r>
      <w:r w:rsidRPr="009059BA">
        <w:t xml:space="preserve">có </w:t>
      </w:r>
      <w:r w:rsidR="00960061" w:rsidRPr="009059BA">
        <w:t xml:space="preserve">thêm </w:t>
      </w:r>
      <w:r w:rsidRPr="009059BA">
        <w:t xml:space="preserve">thành viên liên kết là cá nhân, hộ gia đình, </w:t>
      </w:r>
      <w:r w:rsidR="009059BA" w:rsidRPr="009059BA">
        <w:t>THT</w:t>
      </w:r>
      <w:r w:rsidRPr="009059BA">
        <w:t>, doanh nghiệp tham gia</w:t>
      </w:r>
      <w:r w:rsidR="006D7B11" w:rsidRPr="009059BA">
        <w:t xml:space="preserve"> hợp tác sản xuất, kinh doanh vớ</w:t>
      </w:r>
      <w:r w:rsidRPr="009059BA">
        <w:t>i HTX.</w:t>
      </w:r>
      <w:r w:rsidR="006D7B11" w:rsidRPr="009059BA">
        <w:t xml:space="preserve"> </w:t>
      </w:r>
      <w:r w:rsidRPr="009059BA">
        <w:t>T</w:t>
      </w:r>
      <w:r w:rsidR="006D7B11" w:rsidRPr="009059BA">
        <w:t>hành viên liên kết mặc dù đóng góp rất lớn vào HTX như</w:t>
      </w:r>
      <w:r w:rsidR="008B4E77" w:rsidRPr="009059BA">
        <w:t>: hỗ trợ kỹ thuật sản xuất, chế biến, cung cấp và tiêu thụ dịch vụ, sản phẩm nhưng không được pháp luật công nhận, thành viên liên kết không được hưởng lợi ích từ HTX, chưa được giáo dục, định hướng trở thành thành viên chính thức của HTX</w:t>
      </w:r>
      <w:r w:rsidR="006D7B11" w:rsidRPr="009059BA">
        <w:t>.</w:t>
      </w:r>
      <w:r w:rsidR="00960061" w:rsidRPr="009059BA">
        <w:t xml:space="preserve"> </w:t>
      </w:r>
    </w:p>
    <w:p w14:paraId="2113AFCC" w14:textId="77777777" w:rsidR="006D7B11" w:rsidRPr="009059BA" w:rsidRDefault="00960061" w:rsidP="00E50B11">
      <w:pPr>
        <w:pStyle w:val="Noidung"/>
      </w:pPr>
      <w:r w:rsidRPr="009059BA">
        <w:t xml:space="preserve">- Quy định về </w:t>
      </w:r>
      <w:r w:rsidR="00E61A24" w:rsidRPr="009059BA">
        <w:t>một số trường hợp chấm dứt tư cách thành viên quy định tại điểm b, khoản 2, Điều 16 Luật HTX năm 2012 phải trình Đại hội thành viên quyết định</w:t>
      </w:r>
      <w:r w:rsidR="00262BB6" w:rsidRPr="009059BA">
        <w:t xml:space="preserve"> và quy định tại Điều 51 Luật HTX năm 2012 về </w:t>
      </w:r>
      <w:r w:rsidR="00A00BBA" w:rsidRPr="009059BA">
        <w:t xml:space="preserve">trả lại vốn góp </w:t>
      </w:r>
      <w:r w:rsidR="00262BB6" w:rsidRPr="009059BA">
        <w:t xml:space="preserve">cho thành viên chỉ được thực hiện </w:t>
      </w:r>
      <w:r w:rsidR="00A00BBA" w:rsidRPr="009059BA">
        <w:t xml:space="preserve">sau khi HTX quyết toán năm tài chính </w:t>
      </w:r>
      <w:r w:rsidR="00E61A24" w:rsidRPr="009059BA">
        <w:t xml:space="preserve">gây khó khăn, mất nhiều thời gian đối với thành viên khi có nhu cầu rút khỏi </w:t>
      </w:r>
      <w:r w:rsidR="00262BB6" w:rsidRPr="009059BA">
        <w:t>HTX.</w:t>
      </w:r>
      <w:r w:rsidR="00A00BBA" w:rsidRPr="009059BA">
        <w:t xml:space="preserve">  </w:t>
      </w:r>
    </w:p>
    <w:p w14:paraId="0B4BE3E7" w14:textId="77777777" w:rsidR="00A26E84" w:rsidRPr="008754AA" w:rsidRDefault="00A26E84" w:rsidP="001C4FDC">
      <w:pPr>
        <w:spacing w:before="160" w:after="160" w:line="240" w:lineRule="auto"/>
        <w:ind w:firstLine="720"/>
        <w:jc w:val="both"/>
        <w:rPr>
          <w:rFonts w:ascii="Times New Roman" w:hAnsi="Times New Roman" w:cs="Times New Roman"/>
          <w:i/>
          <w:sz w:val="28"/>
          <w:szCs w:val="28"/>
          <w:lang w:val="nl-NL"/>
        </w:rPr>
      </w:pPr>
      <w:r w:rsidRPr="008754AA">
        <w:rPr>
          <w:rFonts w:ascii="Times New Roman" w:hAnsi="Times New Roman" w:cs="Times New Roman"/>
          <w:i/>
          <w:sz w:val="28"/>
          <w:szCs w:val="28"/>
          <w:lang w:val="nl-NL"/>
        </w:rPr>
        <w:t xml:space="preserve">Ba là, </w:t>
      </w:r>
      <w:r w:rsidR="008B4E77" w:rsidRPr="008754AA">
        <w:rPr>
          <w:rFonts w:ascii="Times New Roman" w:hAnsi="Times New Roman" w:cs="Times New Roman"/>
          <w:i/>
          <w:sz w:val="28"/>
          <w:szCs w:val="28"/>
          <w:lang w:val="nl-NL"/>
        </w:rPr>
        <w:t xml:space="preserve">chưa quy định đầy đủ các loại hình </w:t>
      </w:r>
      <w:r w:rsidR="003659BE" w:rsidRPr="008754AA">
        <w:rPr>
          <w:rFonts w:ascii="Times New Roman" w:hAnsi="Times New Roman" w:cs="Times New Roman"/>
          <w:i/>
          <w:sz w:val="28"/>
          <w:szCs w:val="28"/>
          <w:lang w:val="nl-NL"/>
        </w:rPr>
        <w:t>tổ chức kinh tế hợp tác</w:t>
      </w:r>
      <w:r w:rsidR="008B4E77" w:rsidRPr="008754AA">
        <w:rPr>
          <w:rFonts w:ascii="Times New Roman" w:hAnsi="Times New Roman" w:cs="Times New Roman"/>
          <w:i/>
          <w:sz w:val="28"/>
          <w:szCs w:val="28"/>
          <w:lang w:val="nl-NL"/>
        </w:rPr>
        <w:t xml:space="preserve"> (</w:t>
      </w:r>
      <w:r w:rsidR="003A370E" w:rsidRPr="008754AA">
        <w:rPr>
          <w:rFonts w:ascii="Times New Roman" w:hAnsi="Times New Roman" w:cs="Times New Roman"/>
          <w:i/>
          <w:sz w:val="28"/>
          <w:szCs w:val="28"/>
          <w:lang w:val="nl-NL"/>
        </w:rPr>
        <w:t xml:space="preserve">sau đây viết tắt là </w:t>
      </w:r>
      <w:r w:rsidR="008B4E77" w:rsidRPr="008754AA">
        <w:rPr>
          <w:rFonts w:ascii="Times New Roman" w:hAnsi="Times New Roman" w:cs="Times New Roman"/>
          <w:i/>
          <w:sz w:val="28"/>
          <w:szCs w:val="28"/>
          <w:lang w:val="nl-NL"/>
        </w:rPr>
        <w:t>TCKTHT) trong thực tiễn và chưa tạo mối liên hệ, tính liên kết giữa các tổ chức hợp tác với nhau</w:t>
      </w:r>
    </w:p>
    <w:p w14:paraId="7972D0A2" w14:textId="4FFF0B96" w:rsidR="008049AE" w:rsidRPr="009059BA" w:rsidRDefault="004C05AA" w:rsidP="004C05AA">
      <w:pPr>
        <w:pStyle w:val="Noidung"/>
      </w:pPr>
      <w:r w:rsidRPr="009059BA">
        <w:t>- T</w:t>
      </w:r>
      <w:r w:rsidR="008049AE" w:rsidRPr="009059BA">
        <w:t xml:space="preserve">HT có cùng bản chất hợp tác, tương trợ và đáp ứng nhu cầu chung của thành viên về kinh tế, văn hóa, xã hội, giống như các HTX. Tuy nhiên, một số quy định tại Nghị định số 77/2020/NĐ-CP ngày 10/10/2019 của Chính phủ về THT hiện nay gặp phải một số bất cập như: (i) Nhiều tổ chức THT có số thành viên đông lên đến hàng trăm người, có góp vốn, có hoạt động kinh doanh ổn định nhưng không đăng ký, tiềm ẩn nguy cơ rủi ro trong quan hệ kinh tế trong nội bộ thành viên và với các tổ chức khác, THT không </w:t>
      </w:r>
      <w:r w:rsidR="00262BB6" w:rsidRPr="009059BA">
        <w:t>trực tiếp thực hiện</w:t>
      </w:r>
      <w:r w:rsidR="008049AE" w:rsidRPr="009059BA">
        <w:t xml:space="preserve"> nghĩa </w:t>
      </w:r>
      <w:r w:rsidR="008049AE" w:rsidRPr="009059BA">
        <w:lastRenderedPageBreak/>
        <w:t>vụ nộp thuế cho Nhà nước</w:t>
      </w:r>
      <w:r w:rsidR="008049AE" w:rsidRPr="009059BA">
        <w:rPr>
          <w:vertAlign w:val="superscript"/>
        </w:rPr>
        <w:footnoteReference w:id="5"/>
      </w:r>
      <w:r w:rsidR="008049AE" w:rsidRPr="009059BA">
        <w:t xml:space="preserve">. (ii) </w:t>
      </w:r>
      <w:r w:rsidR="008B4E77" w:rsidRPr="009059BA">
        <w:t>Chính sách hỗ trợ của Nhà nước cho khu vực kinh tế tập thể hiện nay bao gồm THT giống như HTX nhưng Nhà nước không quản lý đăng ký gây khó khăn trong việc triển khai thực hiện</w:t>
      </w:r>
      <w:r w:rsidR="008049AE" w:rsidRPr="009059BA">
        <w:t xml:space="preserve">. (iii) Thiếu các quy định, chính sách mang tính định hướng cho THT phát triển lên các tổ chức cao hơn như HTX. </w:t>
      </w:r>
    </w:p>
    <w:p w14:paraId="44BACE23" w14:textId="2E8D1A2F" w:rsidR="005068A2" w:rsidRPr="009059BA" w:rsidRDefault="004C05AA" w:rsidP="005068A2">
      <w:pPr>
        <w:pStyle w:val="Noidung"/>
      </w:pPr>
      <w:r w:rsidRPr="009059BA">
        <w:t xml:space="preserve">- Theo kinh nghiệm quốc tế, ở nhiều quốc gia, </w:t>
      </w:r>
      <w:r w:rsidR="005068A2" w:rsidRPr="009059BA">
        <w:t xml:space="preserve">Liên đoàn HTX </w:t>
      </w:r>
      <w:r w:rsidR="005068A2">
        <w:t>phát triển rất mạnh,</w:t>
      </w:r>
      <w:r w:rsidR="005068A2" w:rsidRPr="009059BA">
        <w:t xml:space="preserve"> </w:t>
      </w:r>
      <w:r w:rsidR="005068A2">
        <w:t xml:space="preserve">vừa </w:t>
      </w:r>
      <w:r w:rsidR="005068A2" w:rsidRPr="009059BA">
        <w:t>là tổ chức kinh tế tham gia các hoạt động kinh tế phục vụ, hỗ trợ thành viên</w:t>
      </w:r>
      <w:r w:rsidR="005068A2">
        <w:t xml:space="preserve"> v</w:t>
      </w:r>
      <w:r w:rsidR="00217ACE">
        <w:t>ừa</w:t>
      </w:r>
      <w:r w:rsidR="005068A2" w:rsidRPr="009059BA">
        <w:t xml:space="preserve"> hoạt động như một tổ chức đại diện </w:t>
      </w:r>
      <w:r w:rsidR="003659BE">
        <w:t>trong</w:t>
      </w:r>
      <w:r w:rsidR="005068A2" w:rsidRPr="009059BA">
        <w:t xml:space="preserve"> một ngành, lĩnh vực theo chiều dọc (như lĩnh vực nông nghiệp, công nghiệp, cung ứng và tiêu dùng, ngân hàng, ngành cá, ngành sữa, kiểm toán...). Một số Liên đoàn HTX lớn trên thế giới như: Liên đoàn HTX Raffeisen (DGRV- CHLB Đức</w:t>
      </w:r>
      <w:r w:rsidR="004A257F">
        <w:t>)</w:t>
      </w:r>
      <w:r w:rsidR="005068A2">
        <w:t xml:space="preserve"> hoạt động về lĩnh vực kiểm toán</w:t>
      </w:r>
      <w:r w:rsidR="005068A2" w:rsidRPr="009059BA">
        <w:t xml:space="preserve">, Liên đoàn HTX cung tiêu </w:t>
      </w:r>
      <w:r w:rsidR="00BF0FDC">
        <w:t xml:space="preserve">toàn </w:t>
      </w:r>
      <w:r w:rsidR="005068A2" w:rsidRPr="009059BA">
        <w:t>Trung Quốc (ACFSMC), Liên đoàn quốc gia HTX những nhà bán lẻ thực phẩm (NCG- Mỹ), Liên đoàn quốc gia HTX nông nghiệp Hàn Quốc (NACF), Liên đoàn HTX Thái Lan (CLT)... Vì vậy, việc đưa các loại hình tổ chức này vào quy định trong Luật là rất cần thiết, phù hợp với xu hướng phát triển của phong trào HTX trên thế giới.</w:t>
      </w:r>
    </w:p>
    <w:p w14:paraId="4D82F526" w14:textId="4723F7B5" w:rsidR="00EE73EC" w:rsidRPr="009059BA" w:rsidRDefault="00BC3D8C" w:rsidP="00EE73EC">
      <w:pPr>
        <w:pStyle w:val="Noidung"/>
      </w:pPr>
      <w:r w:rsidRPr="009059BA">
        <w:t xml:space="preserve">- </w:t>
      </w:r>
      <w:r w:rsidR="00262BB6" w:rsidRPr="009059BA">
        <w:t xml:space="preserve">Nguyên tắc thứ 6 của ICA đề cao tính hợp tác giữa các HTX với nhau nhằm tạo ra mối liên </w:t>
      </w:r>
      <w:r w:rsidR="000324F8">
        <w:t>kết</w:t>
      </w:r>
      <w:r w:rsidR="00262BB6" w:rsidRPr="009059BA">
        <w:t xml:space="preserve"> giữa các </w:t>
      </w:r>
      <w:r w:rsidR="00877AED">
        <w:t>TCKTHT</w:t>
      </w:r>
      <w:r w:rsidR="00262BB6" w:rsidRPr="009059BA">
        <w:t xml:space="preserve"> từ thấp đến cao, hình thành một hệ sinh thái các </w:t>
      </w:r>
      <w:r w:rsidR="00877AED">
        <w:t>TCKTHT</w:t>
      </w:r>
      <w:r w:rsidR="00262BB6" w:rsidRPr="009059BA">
        <w:t xml:space="preserve">. Một số quốc gia như Thái Lan, Đức quy định HTX khi thành lập bắt buộc phải là thành viên của một tổ chức </w:t>
      </w:r>
      <w:r w:rsidR="00B07785">
        <w:t>đại diện cho các TCKTHT</w:t>
      </w:r>
      <w:r w:rsidR="000324F8">
        <w:t xml:space="preserve"> (L</w:t>
      </w:r>
      <w:r w:rsidR="000324F8" w:rsidRPr="009059BA">
        <w:t>iên minh HTX Thái lan</w:t>
      </w:r>
      <w:r w:rsidR="000324F8">
        <w:t>,</w:t>
      </w:r>
      <w:r w:rsidR="00262BB6" w:rsidRPr="009059BA">
        <w:t xml:space="preserve"> </w:t>
      </w:r>
      <w:r w:rsidR="000324F8">
        <w:t>L</w:t>
      </w:r>
      <w:r w:rsidR="00262BB6" w:rsidRPr="009059BA">
        <w:t xml:space="preserve">iên đoàn </w:t>
      </w:r>
      <w:r w:rsidR="00E65D6F" w:rsidRPr="009059BA">
        <w:t>HTX Raffeisen</w:t>
      </w:r>
      <w:r w:rsidR="000324F8">
        <w:t>)</w:t>
      </w:r>
      <w:r w:rsidR="00262BB6" w:rsidRPr="009059BA">
        <w:t xml:space="preserve">. </w:t>
      </w:r>
      <w:r w:rsidR="008B4E77" w:rsidRPr="009059BA">
        <w:t xml:space="preserve">Tuy nhiên, Luật HTX năm 2012 chưa quy định mối quan hệ giữa các loại hình </w:t>
      </w:r>
      <w:r w:rsidR="00877AED">
        <w:t>TCKTHT</w:t>
      </w:r>
      <w:r w:rsidR="008B4E77" w:rsidRPr="009059BA">
        <w:t xml:space="preserve"> và tổ chức đại diện dẫn đến thực tế nhiều HTX thành lập tự phát, </w:t>
      </w:r>
      <w:r w:rsidR="00F2156A">
        <w:t>không có</w:t>
      </w:r>
      <w:r w:rsidR="00BF0FDC">
        <w:t> </w:t>
      </w:r>
      <w:r w:rsidR="00F2156A">
        <w:t>sự</w:t>
      </w:r>
      <w:r w:rsidR="00BF0FDC">
        <w:t> </w:t>
      </w:r>
      <w:r w:rsidR="00E65D6F">
        <w:t>liên</w:t>
      </w:r>
      <w:r w:rsidR="00BF0FDC">
        <w:t> </w:t>
      </w:r>
      <w:r w:rsidR="00E65D6F">
        <w:t>kết</w:t>
      </w:r>
      <w:r w:rsidR="00F2156A">
        <w:t xml:space="preserve"> với các TCKTHT khác</w:t>
      </w:r>
      <w:r w:rsidR="00E65D6F">
        <w:t xml:space="preserve">, </w:t>
      </w:r>
      <w:r w:rsidR="008B4E77" w:rsidRPr="009059BA">
        <w:t xml:space="preserve">không được </w:t>
      </w:r>
      <w:r w:rsidR="00BF0FDC">
        <w:t xml:space="preserve">Nhà nước </w:t>
      </w:r>
      <w:r w:rsidR="008B4E77" w:rsidRPr="009059BA">
        <w:t>hỗ trợ</w:t>
      </w:r>
      <w:r w:rsidR="00BF0FDC">
        <w:t xml:space="preserve"> hoặc</w:t>
      </w:r>
      <w:r w:rsidR="008B4E77" w:rsidRPr="009059BA">
        <w:t xml:space="preserve"> thiếu định hướng hoạt động </w:t>
      </w:r>
      <w:r w:rsidR="00F2156A">
        <w:t>phát huy</w:t>
      </w:r>
      <w:r w:rsidR="008B4E77" w:rsidRPr="009059BA">
        <w:t xml:space="preserve"> bản chất HTX</w:t>
      </w:r>
      <w:r w:rsidR="00EE73EC" w:rsidRPr="009059BA">
        <w:t xml:space="preserve">. </w:t>
      </w:r>
    </w:p>
    <w:p w14:paraId="340383E1" w14:textId="77777777" w:rsidR="00A26E84" w:rsidRPr="008754AA" w:rsidRDefault="00A26E84" w:rsidP="008754AA">
      <w:pPr>
        <w:spacing w:before="160" w:after="160" w:line="240" w:lineRule="auto"/>
        <w:ind w:firstLine="720"/>
        <w:jc w:val="both"/>
        <w:rPr>
          <w:rFonts w:ascii="Times New Roman" w:hAnsi="Times New Roman" w:cs="Times New Roman"/>
          <w:i/>
          <w:sz w:val="28"/>
          <w:szCs w:val="28"/>
          <w:lang w:val="nl-NL"/>
        </w:rPr>
      </w:pPr>
      <w:r w:rsidRPr="008754AA">
        <w:rPr>
          <w:rFonts w:ascii="Times New Roman" w:hAnsi="Times New Roman" w:cs="Times New Roman"/>
          <w:i/>
          <w:sz w:val="28"/>
          <w:szCs w:val="28"/>
          <w:lang w:val="nl-NL"/>
        </w:rPr>
        <w:t>Bốn là, quy định về cơ cấu, tổ chức, quản lý HTX còn chưa phù hợp</w:t>
      </w:r>
      <w:r w:rsidR="00BD19D7" w:rsidRPr="008754AA">
        <w:rPr>
          <w:rFonts w:ascii="Times New Roman" w:hAnsi="Times New Roman" w:cs="Times New Roman"/>
          <w:i/>
          <w:sz w:val="28"/>
          <w:szCs w:val="28"/>
          <w:lang w:val="nl-NL"/>
        </w:rPr>
        <w:t>.</w:t>
      </w:r>
    </w:p>
    <w:p w14:paraId="05E716C0" w14:textId="2FF06F22" w:rsidR="00BC3D8C" w:rsidRPr="009059BA" w:rsidRDefault="00BC3D8C" w:rsidP="00BC3D8C">
      <w:pPr>
        <w:pStyle w:val="Noidung"/>
      </w:pPr>
      <w:r w:rsidRPr="009059BA">
        <w:t xml:space="preserve">-  </w:t>
      </w:r>
      <w:r w:rsidR="00AF1683" w:rsidRPr="009059BA">
        <w:t xml:space="preserve">Cơ cấu tổ chức </w:t>
      </w:r>
      <w:r w:rsidRPr="009059BA">
        <w:t xml:space="preserve">HTX </w:t>
      </w:r>
      <w:r w:rsidR="00AF1683" w:rsidRPr="009059BA">
        <w:t>quy định hiện nay</w:t>
      </w:r>
      <w:r w:rsidR="00F563A6" w:rsidRPr="009059BA">
        <w:t xml:space="preserve"> rất cồng kềnh bao</w:t>
      </w:r>
      <w:r w:rsidR="00AF1683" w:rsidRPr="009059BA">
        <w:t xml:space="preserve"> gồm</w:t>
      </w:r>
      <w:r w:rsidR="00F563A6" w:rsidRPr="009059BA">
        <w:t>:</w:t>
      </w:r>
      <w:r w:rsidRPr="009059BA">
        <w:t xml:space="preserve"> </w:t>
      </w:r>
      <w:r w:rsidR="00F563A6" w:rsidRPr="009059BA">
        <w:t>Đ</w:t>
      </w:r>
      <w:r w:rsidR="00AF1683" w:rsidRPr="009059BA">
        <w:t xml:space="preserve">ại hội thành viên, </w:t>
      </w:r>
      <w:r w:rsidR="00F563A6" w:rsidRPr="009059BA">
        <w:t>H</w:t>
      </w:r>
      <w:r w:rsidR="00AF1683" w:rsidRPr="009059BA">
        <w:t>ội đồng quản trị (</w:t>
      </w:r>
      <w:r w:rsidRPr="009059BA">
        <w:t>bộ máy quản lý</w:t>
      </w:r>
      <w:r w:rsidR="00AF1683" w:rsidRPr="009059BA">
        <w:t>), Ban kiểm soát/Kiểm soát viên</w:t>
      </w:r>
      <w:r w:rsidRPr="009059BA">
        <w:t xml:space="preserve"> và</w:t>
      </w:r>
      <w:r w:rsidR="00AF1683" w:rsidRPr="009059BA">
        <w:t xml:space="preserve"> Giám đốc/Tổng giám đốc</w:t>
      </w:r>
      <w:r w:rsidRPr="009059BA">
        <w:t xml:space="preserve"> </w:t>
      </w:r>
      <w:r w:rsidR="00AF1683" w:rsidRPr="009059BA">
        <w:t>(</w:t>
      </w:r>
      <w:r w:rsidRPr="009059BA">
        <w:t>bộ máy điều hành HTX</w:t>
      </w:r>
      <w:r w:rsidR="00AF1683" w:rsidRPr="009059BA">
        <w:t>)</w:t>
      </w:r>
      <w:r w:rsidRPr="009059BA">
        <w:t>. Tuy nhiên, trên thực tế có rất nhiều HTX quy mô nhỏ,</w:t>
      </w:r>
      <w:r w:rsidR="00423EFF">
        <w:t xml:space="preserve"> siêu nhỏ</w:t>
      </w:r>
      <w:r w:rsidRPr="009059BA">
        <w:t xml:space="preserve"> ít thành viên </w:t>
      </w:r>
      <w:r w:rsidR="00423EFF">
        <w:t xml:space="preserve">chỉ cần </w:t>
      </w:r>
      <w:r w:rsidRPr="009059BA">
        <w:t xml:space="preserve">thành lập </w:t>
      </w:r>
      <w:r w:rsidR="00423EFF">
        <w:t>một</w:t>
      </w:r>
      <w:r w:rsidRPr="009059BA">
        <w:t xml:space="preserve"> bộ máy quả</w:t>
      </w:r>
      <w:r w:rsidR="006F4C85">
        <w:t>n lý</w:t>
      </w:r>
      <w:r w:rsidRPr="009059BA">
        <w:t xml:space="preserve"> kiêm điều hành, </w:t>
      </w:r>
      <w:r w:rsidR="00423EFF">
        <w:t xml:space="preserve">trong đó </w:t>
      </w:r>
      <w:r w:rsidRPr="009059BA">
        <w:t xml:space="preserve">chủ tịch </w:t>
      </w:r>
      <w:r w:rsidR="00F563A6" w:rsidRPr="009059BA">
        <w:t>Hội đồng quản trị</w:t>
      </w:r>
      <w:r w:rsidRPr="009059BA">
        <w:t xml:space="preserve"> đồng thời là </w:t>
      </w:r>
      <w:r w:rsidR="00F563A6" w:rsidRPr="009059BA">
        <w:t>G</w:t>
      </w:r>
      <w:r w:rsidRPr="009059BA">
        <w:t>iám đốc của HTX để tiết kiệm chi phí, hoạt động hiệu quả. Do đó,</w:t>
      </w:r>
      <w:r w:rsidR="00AF1683" w:rsidRPr="009059BA">
        <w:t xml:space="preserve"> quy định hiện nay chưa </w:t>
      </w:r>
      <w:r w:rsidR="00F563A6" w:rsidRPr="009059BA">
        <w:t>phù hợp</w:t>
      </w:r>
      <w:r w:rsidR="00AF1683" w:rsidRPr="009059BA">
        <w:t xml:space="preserve"> với thực tiễn</w:t>
      </w:r>
      <w:r w:rsidRPr="009059BA">
        <w:t>.</w:t>
      </w:r>
    </w:p>
    <w:p w14:paraId="0D606638" w14:textId="77777777" w:rsidR="00BC3D8C" w:rsidRPr="009059BA" w:rsidRDefault="00BC3D8C" w:rsidP="00BC3D8C">
      <w:pPr>
        <w:pStyle w:val="Noidung"/>
      </w:pPr>
      <w:r w:rsidRPr="009059BA">
        <w:t xml:space="preserve">-  Theo Điều 37, 38 Luật HTX năm 2012, Chủ tịch </w:t>
      </w:r>
      <w:r w:rsidR="00AB774E" w:rsidRPr="009059BA">
        <w:t>Hội đồng quản trị</w:t>
      </w:r>
      <w:r w:rsidRPr="009059BA">
        <w:t xml:space="preserve"> là người đại diện </w:t>
      </w:r>
      <w:r w:rsidR="00BD19D7" w:rsidRPr="009059BA">
        <w:t xml:space="preserve">theo pháp luật </w:t>
      </w:r>
      <w:r w:rsidR="00AF1683" w:rsidRPr="009059BA">
        <w:t>duy nhất của HTX gây khó khăn trong hoạt động sản xuất</w:t>
      </w:r>
      <w:r w:rsidR="005F4803">
        <w:t>,</w:t>
      </w:r>
      <w:r w:rsidR="00AF1683" w:rsidRPr="009059BA">
        <w:t xml:space="preserve"> kinh doanh của HTX</w:t>
      </w:r>
      <w:r w:rsidRPr="009059BA">
        <w:t xml:space="preserve">. Trong khi đó, </w:t>
      </w:r>
      <w:r w:rsidR="00CE3E9F">
        <w:t>các d</w:t>
      </w:r>
      <w:r w:rsidRPr="009059BA">
        <w:t xml:space="preserve">oanh nghiệp </w:t>
      </w:r>
      <w:r w:rsidR="00CE3E9F">
        <w:t>được phép</w:t>
      </w:r>
      <w:r w:rsidRPr="009059BA">
        <w:t xml:space="preserve"> có nhiều hơn một người đại diện theo pháp luật.</w:t>
      </w:r>
      <w:r w:rsidR="00AF1683" w:rsidRPr="009059BA">
        <w:t xml:space="preserve"> </w:t>
      </w:r>
    </w:p>
    <w:p w14:paraId="463E3B19" w14:textId="7B9FE182" w:rsidR="00AF1683" w:rsidRPr="009059BA" w:rsidRDefault="00AF1683" w:rsidP="00BC3D8C">
      <w:pPr>
        <w:pStyle w:val="Noidung"/>
      </w:pPr>
      <w:r w:rsidRPr="009059BA">
        <w:t xml:space="preserve">- </w:t>
      </w:r>
      <w:r w:rsidR="005552C7" w:rsidRPr="009059BA">
        <w:t xml:space="preserve">Nhiều quy định của </w:t>
      </w:r>
      <w:r w:rsidRPr="009059BA">
        <w:t>Luậ</w:t>
      </w:r>
      <w:r w:rsidR="00AD7B89">
        <w:t>t HTX năm 2012</w:t>
      </w:r>
      <w:r w:rsidR="005552C7" w:rsidRPr="009059BA">
        <w:t xml:space="preserve"> </w:t>
      </w:r>
      <w:r w:rsidR="00AD7B89">
        <w:t xml:space="preserve">đã rất </w:t>
      </w:r>
      <w:r w:rsidR="005552C7" w:rsidRPr="009059BA">
        <w:t>lạc hậu so với</w:t>
      </w:r>
      <w:r w:rsidR="00AD7B89">
        <w:t xml:space="preserve"> sự phát triển nhanh, mạnh của cuộc cách mạng công nghiệp lần thứ tư, </w:t>
      </w:r>
      <w:r w:rsidR="006616C0">
        <w:t xml:space="preserve">môi trường pháp </w:t>
      </w:r>
      <w:r w:rsidR="006616C0">
        <w:lastRenderedPageBreak/>
        <w:t>lý</w:t>
      </w:r>
      <w:r w:rsidR="00AD7B89">
        <w:t xml:space="preserve"> </w:t>
      </w:r>
      <w:r w:rsidR="006616C0">
        <w:t xml:space="preserve">chưa thực sự </w:t>
      </w:r>
      <w:r w:rsidR="00AD7B89">
        <w:t xml:space="preserve">thông thoáng </w:t>
      </w:r>
      <w:r w:rsidR="006616C0">
        <w:t>so với</w:t>
      </w:r>
      <w:r w:rsidR="009019FA">
        <w:t xml:space="preserve"> Luật Doanh nghiệp</w:t>
      </w:r>
      <w:r w:rsidR="00AD7B89">
        <w:t xml:space="preserve"> </w:t>
      </w:r>
      <w:r w:rsidR="005552C7" w:rsidRPr="009059BA">
        <w:t xml:space="preserve">như: </w:t>
      </w:r>
      <w:r w:rsidRPr="009059BA">
        <w:t>chưa quy định cụ thể về</w:t>
      </w:r>
      <w:r w:rsidR="005552C7" w:rsidRPr="009059BA">
        <w:t xml:space="preserve"> hình thức</w:t>
      </w:r>
      <w:r w:rsidRPr="009059BA">
        <w:t xml:space="preserve"> tổ chức </w:t>
      </w:r>
      <w:r w:rsidR="003C7DFB" w:rsidRPr="009059BA">
        <w:t xml:space="preserve">trực tuyến </w:t>
      </w:r>
      <w:r w:rsidRPr="009059BA">
        <w:t xml:space="preserve">Đại hội thành viên, </w:t>
      </w:r>
      <w:r w:rsidR="003C7DFB" w:rsidRPr="009059BA">
        <w:t xml:space="preserve">chưa quy định </w:t>
      </w:r>
      <w:r w:rsidRPr="009059BA">
        <w:t>hình thức biểu quyết bằng điện tử</w:t>
      </w:r>
      <w:r w:rsidR="003C7DFB" w:rsidRPr="009059BA">
        <w:t xml:space="preserve"> hoặc</w:t>
      </w:r>
      <w:r w:rsidRPr="009059BA">
        <w:t xml:space="preserve"> gửi </w:t>
      </w:r>
      <w:r w:rsidR="003C7DFB" w:rsidRPr="009059BA">
        <w:t xml:space="preserve">kết quả </w:t>
      </w:r>
      <w:r w:rsidR="00EE1655" w:rsidRPr="009059BA">
        <w:t>qua đường bưu chính…</w:t>
      </w:r>
      <w:r w:rsidR="005552C7" w:rsidRPr="009059BA">
        <w:t>; quy định về điều kiện tổ chức đại hội thành viên HTX phải có ít nhất 75% tổng số thành viên</w:t>
      </w:r>
      <w:r w:rsidR="003C7DFB" w:rsidRPr="009059BA">
        <w:t xml:space="preserve"> </w:t>
      </w:r>
      <w:r w:rsidR="00AB774E" w:rsidRPr="009059BA">
        <w:t xml:space="preserve">trong </w:t>
      </w:r>
      <w:r w:rsidR="003C7DFB" w:rsidRPr="009059BA">
        <w:t>lầ</w:t>
      </w:r>
      <w:r w:rsidR="00223FEA" w:rsidRPr="009059BA">
        <w:t>n thứ nhất</w:t>
      </w:r>
      <w:r w:rsidR="00AB774E" w:rsidRPr="009059BA">
        <w:t xml:space="preserve"> triệu tập</w:t>
      </w:r>
      <w:r w:rsidR="003C7DFB" w:rsidRPr="009059BA">
        <w:t xml:space="preserve"> và 50% tổng số thành viên</w:t>
      </w:r>
      <w:r w:rsidR="00AB774E" w:rsidRPr="009059BA">
        <w:t xml:space="preserve"> trong</w:t>
      </w:r>
      <w:r w:rsidR="003C7DFB" w:rsidRPr="009059BA">
        <w:t xml:space="preserve"> lần</w:t>
      </w:r>
      <w:r w:rsidR="00223FEA" w:rsidRPr="009059BA">
        <w:t xml:space="preserve"> thứ</w:t>
      </w:r>
      <w:r w:rsidR="003C7DFB" w:rsidRPr="009059BA">
        <w:t xml:space="preserve"> </w:t>
      </w:r>
      <w:r w:rsidR="00223FEA" w:rsidRPr="009059BA">
        <w:t>hai</w:t>
      </w:r>
      <w:r w:rsidR="00AB774E" w:rsidRPr="009059BA">
        <w:t xml:space="preserve"> triệu tập</w:t>
      </w:r>
      <w:r w:rsidR="005552C7" w:rsidRPr="009059BA">
        <w:rPr>
          <w:rStyle w:val="FootnoteReference"/>
        </w:rPr>
        <w:footnoteReference w:id="6"/>
      </w:r>
      <w:r w:rsidR="003C7DFB" w:rsidRPr="009059BA">
        <w:t>… gây khó khăn, tốn kém chi phí cho HTX khi tổ chức Đại hội thành viên, chưa phù hợp với bối cảnh hiện nay.</w:t>
      </w:r>
    </w:p>
    <w:p w14:paraId="5C6E163B" w14:textId="77777777" w:rsidR="002947EA" w:rsidRPr="009059BA" w:rsidRDefault="003C7DFB" w:rsidP="00BC3D8C">
      <w:pPr>
        <w:pStyle w:val="Noidung"/>
      </w:pPr>
      <w:r w:rsidRPr="009059BA">
        <w:t xml:space="preserve">- </w:t>
      </w:r>
      <w:r w:rsidR="002947EA" w:rsidRPr="009059BA">
        <w:t>Luật HTX năm 2012 còn nhiều kẽ hở, khoảng trống như: c</w:t>
      </w:r>
      <w:r w:rsidRPr="009059BA">
        <w:t>hưa quy định về điều kiện, năng lực Giám đốc</w:t>
      </w:r>
      <w:r w:rsidR="002947EA" w:rsidRPr="009059BA">
        <w:t>/Tổng giám đốc</w:t>
      </w:r>
      <w:r w:rsidRPr="009059BA">
        <w:t xml:space="preserve">, </w:t>
      </w:r>
      <w:r w:rsidR="002947EA" w:rsidRPr="009059BA">
        <w:t>T</w:t>
      </w:r>
      <w:r w:rsidRPr="009059BA">
        <w:t>rưởng Ban kiểm soát</w:t>
      </w:r>
      <w:r w:rsidR="002947EA" w:rsidRPr="009059BA">
        <w:t>/Kiểm soát viên</w:t>
      </w:r>
      <w:r w:rsidRPr="009059BA">
        <w:t xml:space="preserve"> để đáp ứng yêu cầu công việ</w:t>
      </w:r>
      <w:r w:rsidR="002947EA" w:rsidRPr="009059BA">
        <w:t xml:space="preserve">c, chuyên môn; chưa quy định trách nhiệm của Hội đồng quản trị, Giám đốc/Tổng giám đốc khi ra quyết định trái pháp luật, Điều lệ, Nghị quyết Đại hội thành viên; chưa quy định trường hợp Chủ tịch </w:t>
      </w:r>
      <w:r w:rsidR="00877AED">
        <w:t>Hội đồng quản trị</w:t>
      </w:r>
      <w:r w:rsidR="002947EA" w:rsidRPr="009059BA">
        <w:t xml:space="preserve"> vắng mặt không có người ủy quyền…</w:t>
      </w:r>
    </w:p>
    <w:p w14:paraId="0657C1B5" w14:textId="0B87C327" w:rsidR="00C53B78" w:rsidRPr="009059BA" w:rsidRDefault="00C53B78" w:rsidP="00C53B78">
      <w:pPr>
        <w:pStyle w:val="Noidung"/>
      </w:pPr>
      <w:r w:rsidRPr="009059BA">
        <w:t>- Điều 3 Luật HTX quy định k</w:t>
      </w:r>
      <w:r w:rsidRPr="009059BA">
        <w:rPr>
          <w:lang w:val="vi-VN"/>
        </w:rPr>
        <w:t xml:space="preserve">hi </w:t>
      </w:r>
      <w:r w:rsidRPr="009059BA">
        <w:t>HTX, liên hiệp HTX</w:t>
      </w:r>
      <w:r w:rsidRPr="009059BA">
        <w:rPr>
          <w:lang w:val="vi-VN"/>
        </w:rPr>
        <w:t xml:space="preserve"> phát triển đến trình độ cao hơn thì sẽ hình thành các doanh nghiệp của</w:t>
      </w:r>
      <w:r w:rsidRPr="009059BA">
        <w:t xml:space="preserve"> HTX, liên hiệp HTX. Quy định này gây nhầm lẫn</w:t>
      </w:r>
      <w:r w:rsidR="00BC1C10">
        <w:t xml:space="preserve"> rằng HTX là mô hình tổ chứ</w:t>
      </w:r>
      <w:r w:rsidR="00592FA5">
        <w:t>c ở</w:t>
      </w:r>
      <w:r w:rsidR="006616C0">
        <w:t xml:space="preserve"> </w:t>
      </w:r>
      <w:r w:rsidR="00BC1C10">
        <w:t>trình độ thấp của mô hình doanh nghiệp</w:t>
      </w:r>
      <w:r w:rsidRPr="009059BA">
        <w:t xml:space="preserve"> và </w:t>
      </w:r>
      <w:r w:rsidR="009059BA" w:rsidRPr="009059BA">
        <w:t>chưa</w:t>
      </w:r>
      <w:r w:rsidRPr="009059BA">
        <w:t xml:space="preserve"> làm rõ mối quan hệ giữa HTX, liên hiệp HTX với doanh nghiệp do HTX, liên hiệp HTX thành lập.</w:t>
      </w:r>
    </w:p>
    <w:p w14:paraId="6FAF0249" w14:textId="77777777" w:rsidR="00A26E84" w:rsidRPr="008754AA" w:rsidRDefault="00A26E84" w:rsidP="001C4FDC">
      <w:pPr>
        <w:spacing w:before="160" w:after="160"/>
        <w:ind w:firstLine="720"/>
        <w:jc w:val="both"/>
        <w:rPr>
          <w:rFonts w:ascii="Times New Roman" w:hAnsi="Times New Roman" w:cs="Times New Roman"/>
          <w:i/>
          <w:sz w:val="28"/>
          <w:szCs w:val="28"/>
          <w:lang w:val="nl-NL"/>
        </w:rPr>
      </w:pPr>
      <w:r w:rsidRPr="008754AA">
        <w:rPr>
          <w:rFonts w:ascii="Times New Roman" w:hAnsi="Times New Roman" w:cs="Times New Roman"/>
          <w:i/>
          <w:sz w:val="28"/>
          <w:szCs w:val="28"/>
          <w:lang w:val="nl-NL"/>
        </w:rPr>
        <w:t xml:space="preserve">Năm là, thông tin về </w:t>
      </w:r>
      <w:r w:rsidR="00E76A00" w:rsidRPr="008754AA">
        <w:rPr>
          <w:rFonts w:ascii="Times New Roman" w:hAnsi="Times New Roman" w:cs="Times New Roman"/>
          <w:i/>
          <w:sz w:val="28"/>
          <w:szCs w:val="28"/>
          <w:lang w:val="nl-NL"/>
        </w:rPr>
        <w:t xml:space="preserve">hoạt động sản xuất kinh doanh của </w:t>
      </w:r>
      <w:r w:rsidRPr="008754AA">
        <w:rPr>
          <w:rFonts w:ascii="Times New Roman" w:hAnsi="Times New Roman" w:cs="Times New Roman"/>
          <w:i/>
          <w:sz w:val="28"/>
          <w:szCs w:val="28"/>
          <w:lang w:val="nl-NL"/>
        </w:rPr>
        <w:t xml:space="preserve">HTX </w:t>
      </w:r>
      <w:r w:rsidR="00BC1C10" w:rsidRPr="008754AA">
        <w:rPr>
          <w:rFonts w:ascii="Times New Roman" w:hAnsi="Times New Roman" w:cs="Times New Roman"/>
          <w:i/>
          <w:sz w:val="28"/>
          <w:szCs w:val="28"/>
          <w:lang w:val="nl-NL"/>
        </w:rPr>
        <w:t>còn thiếu minh bạch</w:t>
      </w:r>
      <w:r w:rsidR="006F217A" w:rsidRPr="008754AA">
        <w:rPr>
          <w:rFonts w:ascii="Times New Roman" w:hAnsi="Times New Roman" w:cs="Times New Roman"/>
          <w:i/>
          <w:sz w:val="28"/>
          <w:szCs w:val="28"/>
          <w:lang w:val="nl-NL"/>
        </w:rPr>
        <w:t>, chưa bảo đảm độ tin cậy</w:t>
      </w:r>
      <w:r w:rsidR="00BC1C10" w:rsidRPr="008754AA">
        <w:rPr>
          <w:rFonts w:ascii="Times New Roman" w:hAnsi="Times New Roman" w:cs="Times New Roman"/>
          <w:i/>
          <w:sz w:val="28"/>
          <w:szCs w:val="28"/>
          <w:lang w:val="nl-NL"/>
        </w:rPr>
        <w:t>; chế độ báo cáo cho</w:t>
      </w:r>
      <w:r w:rsidR="009059BA" w:rsidRPr="008754AA">
        <w:rPr>
          <w:rFonts w:ascii="Times New Roman" w:hAnsi="Times New Roman" w:cs="Times New Roman"/>
          <w:i/>
          <w:sz w:val="28"/>
          <w:szCs w:val="28"/>
          <w:lang w:val="nl-NL"/>
        </w:rPr>
        <w:t xml:space="preserve"> cơ quan quản lý nhà nước</w:t>
      </w:r>
      <w:r w:rsidR="00BC1C10" w:rsidRPr="008754AA">
        <w:rPr>
          <w:rFonts w:ascii="Times New Roman" w:hAnsi="Times New Roman" w:cs="Times New Roman"/>
          <w:i/>
          <w:sz w:val="28"/>
          <w:szCs w:val="28"/>
          <w:lang w:val="nl-NL"/>
        </w:rPr>
        <w:t xml:space="preserve"> còn cứng nhắc</w:t>
      </w:r>
      <w:r w:rsidR="002947EA" w:rsidRPr="008754AA">
        <w:rPr>
          <w:rFonts w:ascii="Times New Roman" w:hAnsi="Times New Roman" w:cs="Times New Roman"/>
          <w:i/>
          <w:sz w:val="28"/>
          <w:szCs w:val="28"/>
          <w:lang w:val="nl-NL"/>
        </w:rPr>
        <w:t>.</w:t>
      </w:r>
    </w:p>
    <w:p w14:paraId="27F799F1" w14:textId="77777777" w:rsidR="002947EA" w:rsidRPr="009059BA" w:rsidRDefault="00641671" w:rsidP="00641671">
      <w:pPr>
        <w:pStyle w:val="Noidung"/>
      </w:pPr>
      <w:r w:rsidRPr="009059BA">
        <w:t xml:space="preserve">- </w:t>
      </w:r>
      <w:r w:rsidR="008B2E1D" w:rsidRPr="009059BA">
        <w:t xml:space="preserve">Luật HTX năm 2012 chưa </w:t>
      </w:r>
      <w:r w:rsidRPr="009059BA">
        <w:t>làm</w:t>
      </w:r>
      <w:r w:rsidR="008B2E1D" w:rsidRPr="009059BA">
        <w:t xml:space="preserve"> rõ nguyên tắc minh bạch thông tin</w:t>
      </w:r>
      <w:r w:rsidRPr="009059BA">
        <w:t xml:space="preserve"> đối với thành viên của mình. Chưa quy định cụ thể nội dung, hình thức, thời gian cung cấp thông tin cho</w:t>
      </w:r>
      <w:r w:rsidR="008B2E1D" w:rsidRPr="009059BA">
        <w:t xml:space="preserve"> thành viên</w:t>
      </w:r>
      <w:r w:rsidRPr="009059BA">
        <w:t>.</w:t>
      </w:r>
    </w:p>
    <w:p w14:paraId="60D969EC" w14:textId="77777777" w:rsidR="00641671" w:rsidRDefault="00641671" w:rsidP="00641671">
      <w:pPr>
        <w:pStyle w:val="Noidung"/>
      </w:pPr>
      <w:r w:rsidRPr="009059BA">
        <w:t xml:space="preserve">- Kiểm toán HTX là rất cần thiết nhằm tạo sự minh bạch và phản ánh sức khỏe của HTX cho các thành viên HTX và các đối tác của HTX, giúp </w:t>
      </w:r>
      <w:r w:rsidR="009059BA" w:rsidRPr="009059BA">
        <w:t>Hội đồng quản trị</w:t>
      </w:r>
      <w:r w:rsidRPr="009059BA">
        <w:t xml:space="preserve"> và </w:t>
      </w:r>
      <w:r w:rsidR="009059BA" w:rsidRPr="009059BA">
        <w:t>B</w:t>
      </w:r>
      <w:r w:rsidRPr="009059BA">
        <w:t xml:space="preserve">an giám đốc quản lý điều hành hiệu quả, tạo điều kiện để HTX huy động vốn từ các tổ chức tín dụng bên ngoài và là cơ sở để Nhà nước hỗ trợ cho HTX. Luật HTX năm 2012 chưa quy định chi tiết về nội dung kiểm toán, đối tượng kiểm toán, tần suất kiểm toán nên </w:t>
      </w:r>
      <w:r w:rsidR="009059BA" w:rsidRPr="009059BA">
        <w:t xml:space="preserve">trên </w:t>
      </w:r>
      <w:r w:rsidRPr="009059BA">
        <w:t>thực tế</w:t>
      </w:r>
      <w:r w:rsidR="009059BA" w:rsidRPr="009059BA">
        <w:t>,</w:t>
      </w:r>
      <w:r w:rsidRPr="009059BA">
        <w:t xml:space="preserve"> </w:t>
      </w:r>
      <w:r w:rsidR="00DD1F62" w:rsidRPr="009059BA">
        <w:t>kiểm toán HTX gần như chưa thực hiện.</w:t>
      </w:r>
    </w:p>
    <w:p w14:paraId="0FC1657E" w14:textId="77777777" w:rsidR="00BC1C10" w:rsidRPr="009059BA" w:rsidRDefault="00BC1C10" w:rsidP="00BC1C10">
      <w:pPr>
        <w:pStyle w:val="Noidung"/>
      </w:pPr>
      <w:r w:rsidRPr="009059BA">
        <w:t xml:space="preserve">- </w:t>
      </w:r>
      <w:r w:rsidR="006F217A">
        <w:t>Q</w:t>
      </w:r>
      <w:r w:rsidRPr="009059BA">
        <w:t xml:space="preserve">uy định </w:t>
      </w:r>
      <w:bookmarkStart w:id="1" w:name="khoan_10"/>
      <w:r w:rsidRPr="009059BA">
        <w:t xml:space="preserve">HTX </w:t>
      </w:r>
      <w:bookmarkEnd w:id="1"/>
      <w:r w:rsidRPr="009059BA">
        <w:t>phải gửi báo cáo</w:t>
      </w:r>
      <w:r w:rsidR="00A72EB5">
        <w:t xml:space="preserve"> về hoạt động sản xuất, kinh doanh</w:t>
      </w:r>
      <w:r w:rsidRPr="009059BA">
        <w:t xml:space="preserve"> </w:t>
      </w:r>
      <w:r w:rsidR="00C861AA">
        <w:t>dưới hình thức bản giấy</w:t>
      </w:r>
      <w:r w:rsidR="006F217A">
        <w:t xml:space="preserve"> </w:t>
      </w:r>
      <w:r w:rsidRPr="009059BA">
        <w:t>hằng năm cho các cơ quan chức năng của Nhà nướ</w:t>
      </w:r>
      <w:r w:rsidR="00C861AA">
        <w:t>c</w:t>
      </w:r>
      <w:r w:rsidRPr="009059BA">
        <w:t xml:space="preserve"> còn </w:t>
      </w:r>
      <w:r w:rsidR="00A72EB5">
        <w:t xml:space="preserve">cứng nhắc, </w:t>
      </w:r>
      <w:r w:rsidRPr="009059BA">
        <w:t>lạc hậu so với Luật Doanh nghiệp năm 2020, chưa cho</w:t>
      </w:r>
      <w:r>
        <w:t xml:space="preserve"> phép</w:t>
      </w:r>
      <w:r w:rsidRPr="009059BA">
        <w:t xml:space="preserve"> HTX tự chủ động công bố thông tin lên trang thông tin điện tử của mình. </w:t>
      </w:r>
    </w:p>
    <w:p w14:paraId="095F55B0" w14:textId="77777777" w:rsidR="00E76A00" w:rsidRPr="008754AA" w:rsidRDefault="00E76A00" w:rsidP="001C4FDC">
      <w:pPr>
        <w:spacing w:before="160" w:after="160"/>
        <w:ind w:left="567" w:firstLine="153"/>
        <w:jc w:val="both"/>
        <w:rPr>
          <w:rStyle w:val="CharChar2"/>
          <w:rFonts w:ascii="Times New Roman" w:eastAsia="Batang" w:hAnsi="Times New Roman"/>
          <w:i/>
          <w:sz w:val="28"/>
          <w:szCs w:val="28"/>
          <w:lang w:val="es-NI"/>
        </w:rPr>
      </w:pPr>
      <w:r w:rsidRPr="008754AA">
        <w:rPr>
          <w:rStyle w:val="CharChar2"/>
          <w:rFonts w:ascii="Times New Roman" w:eastAsia="Batang" w:hAnsi="Times New Roman"/>
          <w:i/>
          <w:sz w:val="28"/>
          <w:szCs w:val="28"/>
          <w:lang w:val="es-NI"/>
        </w:rPr>
        <w:t xml:space="preserve">Sáu là, </w:t>
      </w:r>
      <w:r w:rsidR="004048D6" w:rsidRPr="008754AA">
        <w:rPr>
          <w:rStyle w:val="CharChar2"/>
          <w:rFonts w:ascii="Times New Roman" w:eastAsia="Batang" w:hAnsi="Times New Roman"/>
          <w:i/>
          <w:sz w:val="28"/>
          <w:szCs w:val="28"/>
          <w:lang w:val="es-NI"/>
        </w:rPr>
        <w:t xml:space="preserve">quy định về </w:t>
      </w:r>
      <w:r w:rsidRPr="008754AA">
        <w:rPr>
          <w:rStyle w:val="CharChar2"/>
          <w:rFonts w:ascii="Times New Roman" w:eastAsia="Batang" w:hAnsi="Times New Roman"/>
          <w:i/>
          <w:sz w:val="28"/>
          <w:szCs w:val="28"/>
          <w:lang w:val="es-NI"/>
        </w:rPr>
        <w:t>tài sản</w:t>
      </w:r>
      <w:r w:rsidR="004048D6" w:rsidRPr="008754AA">
        <w:rPr>
          <w:rStyle w:val="CharChar2"/>
          <w:rFonts w:ascii="Times New Roman" w:eastAsia="Batang" w:hAnsi="Times New Roman"/>
          <w:i/>
          <w:sz w:val="28"/>
          <w:szCs w:val="28"/>
          <w:lang w:val="es-NI"/>
        </w:rPr>
        <w:t>, tài chính</w:t>
      </w:r>
      <w:r w:rsidRPr="008754AA">
        <w:rPr>
          <w:rStyle w:val="CharChar2"/>
          <w:rFonts w:ascii="Times New Roman" w:eastAsia="Batang" w:hAnsi="Times New Roman"/>
          <w:i/>
          <w:sz w:val="28"/>
          <w:szCs w:val="28"/>
          <w:lang w:val="es-NI"/>
        </w:rPr>
        <w:t xml:space="preserve"> của HTX </w:t>
      </w:r>
      <w:r w:rsidR="004048D6" w:rsidRPr="008754AA">
        <w:rPr>
          <w:rStyle w:val="CharChar2"/>
          <w:rFonts w:ascii="Times New Roman" w:eastAsia="Batang" w:hAnsi="Times New Roman"/>
          <w:i/>
          <w:sz w:val="28"/>
          <w:szCs w:val="28"/>
          <w:lang w:val="es-NI"/>
        </w:rPr>
        <w:t>còn nhiều bất cập</w:t>
      </w:r>
      <w:r w:rsidR="00DD1F62" w:rsidRPr="008754AA">
        <w:rPr>
          <w:rStyle w:val="CharChar2"/>
          <w:rFonts w:ascii="Times New Roman" w:eastAsia="Batang" w:hAnsi="Times New Roman"/>
          <w:i/>
          <w:sz w:val="28"/>
          <w:szCs w:val="28"/>
          <w:lang w:val="es-NI"/>
        </w:rPr>
        <w:t>.</w:t>
      </w:r>
    </w:p>
    <w:p w14:paraId="2966FC48" w14:textId="23204AA8" w:rsidR="00674D0A" w:rsidRPr="009059BA" w:rsidRDefault="00674D0A" w:rsidP="00674D0A">
      <w:pPr>
        <w:pStyle w:val="Noidung"/>
        <w:rPr>
          <w:lang w:val="pt-BR"/>
        </w:rPr>
      </w:pPr>
      <w:r w:rsidRPr="009059BA">
        <w:t xml:space="preserve">- </w:t>
      </w:r>
      <w:r w:rsidR="0071246A" w:rsidRPr="009059BA">
        <w:t xml:space="preserve">Tài sản không chia là một đặc trưng riêng của HTX so với loại hình kinh tế khác. Theo nguyên tắc số 04 của ICA thì quỹ chung không chia (hay tài sản </w:t>
      </w:r>
      <w:r w:rsidR="0071246A" w:rsidRPr="009059BA">
        <w:lastRenderedPageBreak/>
        <w:t>chung không chia) cần được trích lập hằng năm nhằm phát triển tài sản chung củ</w:t>
      </w:r>
      <w:r w:rsidR="00E52001">
        <w:t>a HTX,</w:t>
      </w:r>
      <w:r w:rsidR="0071246A" w:rsidRPr="009059BA">
        <w:t xml:space="preserve"> thu hút các thành viên tham gia, gắn bó vớ</w:t>
      </w:r>
      <w:r w:rsidR="00E52001">
        <w:t>i HTX,</w:t>
      </w:r>
      <w:r w:rsidR="0071246A" w:rsidRPr="009059BA">
        <w:t xml:space="preserve"> để phát triển phong trào HTX </w:t>
      </w:r>
      <w:r w:rsidR="00B30FA2">
        <w:t>đồng thời cũng</w:t>
      </w:r>
      <w:r w:rsidR="009059BA" w:rsidRPr="009059BA">
        <w:t xml:space="preserve"> hạn chế việc</w:t>
      </w:r>
      <w:r w:rsidR="0071246A" w:rsidRPr="009059BA">
        <w:t xml:space="preserve"> HTX giải thể, chuyển đổi. Tuy nhiên, </w:t>
      </w:r>
      <w:r w:rsidRPr="009059BA">
        <w:rPr>
          <w:lang w:val="pt-BR"/>
        </w:rPr>
        <w:t>Điều 48 Luật HTX năm 2012 quy định</w:t>
      </w:r>
      <w:r w:rsidR="006163FB">
        <w:rPr>
          <w:lang w:val="pt-BR"/>
        </w:rPr>
        <w:t xml:space="preserve"> </w:t>
      </w:r>
      <w:r w:rsidR="005C5688" w:rsidRPr="009059BA">
        <w:rPr>
          <w:lang w:val="pt-BR"/>
        </w:rPr>
        <w:t xml:space="preserve">HTX tự quyết định </w:t>
      </w:r>
      <w:r w:rsidR="006163FB">
        <w:rPr>
          <w:lang w:val="pt-BR"/>
        </w:rPr>
        <w:t>việc</w:t>
      </w:r>
      <w:r w:rsidRPr="009059BA">
        <w:rPr>
          <w:lang w:val="pt-BR"/>
        </w:rPr>
        <w:t xml:space="preserve"> trích một phần quỹ đầu tư phát triển để đưa vào “tài sả</w:t>
      </w:r>
      <w:r w:rsidR="005C5688">
        <w:rPr>
          <w:lang w:val="pt-BR"/>
        </w:rPr>
        <w:t>n không chia” dẫn đến</w:t>
      </w:r>
      <w:r w:rsidRPr="009059BA">
        <w:rPr>
          <w:lang w:val="pt-BR"/>
        </w:rPr>
        <w:t xml:space="preserve"> thực tế</w:t>
      </w:r>
      <w:r w:rsidR="0071246A" w:rsidRPr="009059BA">
        <w:rPr>
          <w:lang w:val="pt-BR"/>
        </w:rPr>
        <w:t xml:space="preserve"> rất ít HTX </w:t>
      </w:r>
      <w:r w:rsidR="00AA5144">
        <w:rPr>
          <w:lang w:val="pt-BR"/>
        </w:rPr>
        <w:t>trích lập tài sản không chia</w:t>
      </w:r>
      <w:r w:rsidR="0071246A" w:rsidRPr="009059BA">
        <w:rPr>
          <w:lang w:val="pt-BR"/>
        </w:rPr>
        <w:t>, tài sản không chia của HTX không phát triển</w:t>
      </w:r>
      <w:r w:rsidR="009C01CF" w:rsidRPr="009059BA">
        <w:rPr>
          <w:lang w:val="pt-BR"/>
        </w:rPr>
        <w:t>, không thu hút đượ</w:t>
      </w:r>
      <w:r w:rsidR="00E52001">
        <w:rPr>
          <w:lang w:val="pt-BR"/>
        </w:rPr>
        <w:t xml:space="preserve">c </w:t>
      </w:r>
      <w:r w:rsidR="009C01CF" w:rsidRPr="009059BA">
        <w:rPr>
          <w:lang w:val="pt-BR"/>
        </w:rPr>
        <w:t>thành viên tham gia vào HTX.</w:t>
      </w:r>
    </w:p>
    <w:p w14:paraId="6EE92A99" w14:textId="77777777" w:rsidR="009C01CF" w:rsidRPr="009059BA" w:rsidRDefault="009C01CF" w:rsidP="00674D0A">
      <w:pPr>
        <w:pStyle w:val="Noidung"/>
        <w:rPr>
          <w:bdr w:val="none" w:sz="0" w:space="0" w:color="auto" w:frame="1"/>
          <w:lang w:val="pt-BR"/>
        </w:rPr>
      </w:pPr>
      <w:r w:rsidRPr="009059BA">
        <w:rPr>
          <w:lang w:val="pt-BR"/>
        </w:rPr>
        <w:t xml:space="preserve">- Luật HTX năm 2012 </w:t>
      </w:r>
      <w:r w:rsidRPr="009059BA">
        <w:rPr>
          <w:bdr w:val="none" w:sz="0" w:space="0" w:color="auto" w:frame="1"/>
          <w:lang w:val="pt-BR"/>
        </w:rPr>
        <w:t>chưa có quy định</w:t>
      </w:r>
      <w:r w:rsidR="00E52001">
        <w:rPr>
          <w:bdr w:val="none" w:sz="0" w:space="0" w:color="auto" w:frame="1"/>
          <w:lang w:val="pt-BR"/>
        </w:rPr>
        <w:t xml:space="preserve"> khi góp vốn thì các thành viên phải</w:t>
      </w:r>
      <w:r w:rsidRPr="009059BA">
        <w:rPr>
          <w:bdr w:val="none" w:sz="0" w:space="0" w:color="auto" w:frame="1"/>
          <w:lang w:val="pt-BR"/>
        </w:rPr>
        <w:t xml:space="preserve"> chuyển quyền sở hữu tài sản </w:t>
      </w:r>
      <w:r w:rsidR="007B4A0D">
        <w:rPr>
          <w:bdr w:val="none" w:sz="0" w:space="0" w:color="auto" w:frame="1"/>
          <w:lang w:val="pt-BR"/>
        </w:rPr>
        <w:t>được</w:t>
      </w:r>
      <w:r w:rsidR="007B4A0D" w:rsidRPr="009059BA">
        <w:rPr>
          <w:bdr w:val="none" w:sz="0" w:space="0" w:color="auto" w:frame="1"/>
          <w:lang w:val="pt-BR"/>
        </w:rPr>
        <w:t xml:space="preserve"> </w:t>
      </w:r>
      <w:r w:rsidR="007B4A0D">
        <w:rPr>
          <w:bdr w:val="none" w:sz="0" w:space="0" w:color="auto" w:frame="1"/>
          <w:lang w:val="pt-BR"/>
        </w:rPr>
        <w:t xml:space="preserve">dùng để </w:t>
      </w:r>
      <w:r w:rsidRPr="009059BA">
        <w:rPr>
          <w:bdr w:val="none" w:sz="0" w:space="0" w:color="auto" w:frame="1"/>
          <w:lang w:val="pt-BR"/>
        </w:rPr>
        <w:t xml:space="preserve">góp vốn của </w:t>
      </w:r>
      <w:r w:rsidR="00E52001">
        <w:rPr>
          <w:bdr w:val="none" w:sz="0" w:space="0" w:color="auto" w:frame="1"/>
          <w:lang w:val="pt-BR"/>
        </w:rPr>
        <w:t>mình</w:t>
      </w:r>
      <w:r w:rsidRPr="009059BA">
        <w:rPr>
          <w:bdr w:val="none" w:sz="0" w:space="0" w:color="auto" w:frame="1"/>
          <w:lang w:val="pt-BR"/>
        </w:rPr>
        <w:t xml:space="preserve"> sang HTX. HTX là một pháp nhân</w:t>
      </w:r>
      <w:r w:rsidRPr="009059BA">
        <w:rPr>
          <w:rStyle w:val="FootnoteReference"/>
          <w:color w:val="222222"/>
          <w:bdr w:val="none" w:sz="0" w:space="0" w:color="auto" w:frame="1"/>
        </w:rPr>
        <w:footnoteReference w:id="7"/>
      </w:r>
      <w:r w:rsidRPr="009059BA">
        <w:rPr>
          <w:bdr w:val="none" w:sz="0" w:space="0" w:color="auto" w:frame="1"/>
          <w:lang w:val="pt-BR"/>
        </w:rPr>
        <w:t>, có tài sản độc lập và chịu trách nhiệm bằng tài sản độc lập đó</w:t>
      </w:r>
      <w:r w:rsidRPr="009059BA">
        <w:rPr>
          <w:rStyle w:val="FootnoteReference"/>
          <w:color w:val="222222"/>
          <w:bdr w:val="none" w:sz="0" w:space="0" w:color="auto" w:frame="1"/>
        </w:rPr>
        <w:footnoteReference w:id="8"/>
      </w:r>
      <w:r w:rsidR="007B4A0D">
        <w:rPr>
          <w:bdr w:val="none" w:sz="0" w:space="0" w:color="auto" w:frame="1"/>
          <w:lang w:val="pt-BR"/>
        </w:rPr>
        <w:t>, bởi vậy</w:t>
      </w:r>
      <w:r w:rsidRPr="009059BA">
        <w:rPr>
          <w:bdr w:val="none" w:sz="0" w:space="0" w:color="auto" w:frame="1"/>
          <w:lang w:val="pt-BR"/>
        </w:rPr>
        <w:t xml:space="preserve"> cần và phải tách bạch tài sản, trách nhiệm của pháp nhân </w:t>
      </w:r>
      <w:r w:rsidR="007B4A0D">
        <w:rPr>
          <w:bdr w:val="none" w:sz="0" w:space="0" w:color="auto" w:frame="1"/>
          <w:lang w:val="pt-BR"/>
        </w:rPr>
        <w:t>HTX với</w:t>
      </w:r>
      <w:r w:rsidRPr="009059BA">
        <w:rPr>
          <w:bdr w:val="none" w:sz="0" w:space="0" w:color="auto" w:frame="1"/>
          <w:lang w:val="pt-BR"/>
        </w:rPr>
        <w:t xml:space="preserve"> tài sản của thành viên, trách nhiệm của thành viên pháp nhân đối với hoạt động của pháp nhân</w:t>
      </w:r>
      <w:r w:rsidRPr="009059BA">
        <w:rPr>
          <w:rStyle w:val="FootnoteReference"/>
          <w:color w:val="222222"/>
          <w:bdr w:val="none" w:sz="0" w:space="0" w:color="auto" w:frame="1"/>
        </w:rPr>
        <w:footnoteReference w:id="9"/>
      </w:r>
      <w:r w:rsidRPr="009059BA">
        <w:rPr>
          <w:bdr w:val="none" w:sz="0" w:space="0" w:color="auto" w:frame="1"/>
          <w:lang w:val="pt-BR"/>
        </w:rPr>
        <w:t>. Vì vậy, quy định hiện nay chưa rõ ràng, gây khó khăn trong xử lý tài sản của HTX.</w:t>
      </w:r>
    </w:p>
    <w:p w14:paraId="021424A0" w14:textId="28E919B0" w:rsidR="008B2E1D" w:rsidRPr="009059BA" w:rsidRDefault="00B228F2" w:rsidP="00B228F2">
      <w:pPr>
        <w:pStyle w:val="Noidung"/>
        <w:rPr>
          <w:lang w:val="pt-BR"/>
        </w:rPr>
      </w:pPr>
      <w:r w:rsidRPr="009059BA">
        <w:rPr>
          <w:lang w:val="pt-BR"/>
        </w:rPr>
        <w:t xml:space="preserve">- Khoản 1 </w:t>
      </w:r>
      <w:r w:rsidR="00B30FA2">
        <w:rPr>
          <w:lang w:val="pt-BR"/>
        </w:rPr>
        <w:t>Đ</w:t>
      </w:r>
      <w:r w:rsidRPr="009059BA">
        <w:rPr>
          <w:lang w:val="pt-BR"/>
        </w:rPr>
        <w:t xml:space="preserve">iều 42 Luật HTX năm 2012 quy định tài sản khác góp vốn của thành viên được quy đổi ra </w:t>
      </w:r>
      <w:r w:rsidR="009059BA" w:rsidRPr="009059BA">
        <w:rPr>
          <w:lang w:val="pt-BR"/>
        </w:rPr>
        <w:t>Đ</w:t>
      </w:r>
      <w:r w:rsidRPr="009059BA">
        <w:rPr>
          <w:lang w:val="pt-BR"/>
        </w:rPr>
        <w:t>ồng Việ</w:t>
      </w:r>
      <w:r w:rsidR="00F95259">
        <w:rPr>
          <w:lang w:val="pt-BR"/>
        </w:rPr>
        <w:t>t Nam nhưng chưa</w:t>
      </w:r>
      <w:r w:rsidRPr="009059BA">
        <w:rPr>
          <w:lang w:val="pt-BR"/>
        </w:rPr>
        <w:t xml:space="preserve"> liệt kê đầy đủ các loại tài sản dùng để góp vốn vào HTX như: vàng, công nghệ, các tài sản khác có thể định giá được bằng Đồng Việt Nam. Bên cạnh đó, loại tài sản góp vốn là “hiện vật” theo quy định hiện hành không tương thích với tài sản là “vật” trong khái niệm tài sản quy định tạ</w:t>
      </w:r>
      <w:r w:rsidR="007B4A0D">
        <w:rPr>
          <w:lang w:val="pt-BR"/>
        </w:rPr>
        <w:t>i Đ</w:t>
      </w:r>
      <w:r w:rsidRPr="009059BA">
        <w:rPr>
          <w:lang w:val="pt-BR"/>
        </w:rPr>
        <w:t>iều 105 Bộ luật Dân sự năm 2015</w:t>
      </w:r>
      <w:r w:rsidR="007B4A0D">
        <w:rPr>
          <w:rStyle w:val="FootnoteReference"/>
          <w:lang w:val="pt-BR"/>
        </w:rPr>
        <w:footnoteReference w:id="10"/>
      </w:r>
      <w:r w:rsidRPr="009059BA">
        <w:rPr>
          <w:lang w:val="pt-BR"/>
        </w:rPr>
        <w:t xml:space="preserve">. </w:t>
      </w:r>
    </w:p>
    <w:p w14:paraId="59CDB71C" w14:textId="68CC9DE8" w:rsidR="00A26E84" w:rsidRPr="003B1418" w:rsidRDefault="00E76A00" w:rsidP="00F95259">
      <w:pPr>
        <w:spacing w:before="160" w:after="160"/>
        <w:ind w:firstLine="720"/>
        <w:jc w:val="both"/>
        <w:rPr>
          <w:rStyle w:val="CharChar2"/>
          <w:rFonts w:ascii="Times New Roman" w:eastAsia="Batang" w:hAnsi="Times New Roman"/>
          <w:i/>
          <w:spacing w:val="-6"/>
          <w:sz w:val="28"/>
          <w:szCs w:val="28"/>
          <w:lang w:val="es-NI"/>
        </w:rPr>
      </w:pPr>
      <w:r w:rsidRPr="003B1418">
        <w:rPr>
          <w:rStyle w:val="CharChar2"/>
          <w:rFonts w:ascii="Times New Roman" w:eastAsia="Batang" w:hAnsi="Times New Roman"/>
          <w:i/>
          <w:spacing w:val="-6"/>
          <w:sz w:val="28"/>
          <w:szCs w:val="28"/>
          <w:lang w:val="es-NI"/>
        </w:rPr>
        <w:t>Bảy</w:t>
      </w:r>
      <w:r w:rsidR="00A26E84" w:rsidRPr="003B1418">
        <w:rPr>
          <w:rStyle w:val="CharChar2"/>
          <w:rFonts w:ascii="Times New Roman" w:eastAsia="Batang" w:hAnsi="Times New Roman"/>
          <w:i/>
          <w:spacing w:val="-6"/>
          <w:sz w:val="28"/>
          <w:szCs w:val="28"/>
          <w:lang w:val="es-NI"/>
        </w:rPr>
        <w:t xml:space="preserve"> là, chính sách hỗ trợ, ưu đãi của Nhà nước chưa hiệu quả, </w:t>
      </w:r>
      <w:r w:rsidR="00F95259" w:rsidRPr="003B1418">
        <w:rPr>
          <w:rStyle w:val="CharChar2"/>
          <w:rFonts w:ascii="Times New Roman" w:eastAsia="Batang" w:hAnsi="Times New Roman"/>
          <w:i/>
          <w:spacing w:val="-6"/>
          <w:sz w:val="28"/>
          <w:szCs w:val="28"/>
          <w:lang w:val="es-NI"/>
        </w:rPr>
        <w:t xml:space="preserve">thiếu </w:t>
      </w:r>
      <w:r w:rsidR="00A26E84" w:rsidRPr="003B1418">
        <w:rPr>
          <w:rStyle w:val="CharChar2"/>
          <w:rFonts w:ascii="Times New Roman" w:eastAsia="Batang" w:hAnsi="Times New Roman"/>
          <w:i/>
          <w:spacing w:val="-6"/>
          <w:sz w:val="28"/>
          <w:szCs w:val="28"/>
          <w:lang w:val="es-NI"/>
        </w:rPr>
        <w:t>trọng tâm</w:t>
      </w:r>
      <w:r w:rsidR="00F95259" w:rsidRPr="003B1418">
        <w:rPr>
          <w:rStyle w:val="CharChar2"/>
          <w:rFonts w:ascii="Times New Roman" w:eastAsia="Batang" w:hAnsi="Times New Roman"/>
          <w:i/>
          <w:spacing w:val="-6"/>
          <w:sz w:val="28"/>
          <w:szCs w:val="28"/>
          <w:lang w:val="es-NI"/>
        </w:rPr>
        <w:t>.</w:t>
      </w:r>
    </w:p>
    <w:p w14:paraId="43F694BA" w14:textId="04C77631" w:rsidR="00A26E84" w:rsidRPr="009059BA" w:rsidRDefault="00C53B78" w:rsidP="00C53B78">
      <w:pPr>
        <w:pStyle w:val="Noidung"/>
        <w:rPr>
          <w:lang w:val="pt-BR"/>
        </w:rPr>
      </w:pPr>
      <w:r w:rsidRPr="009059BA">
        <w:rPr>
          <w:lang w:val="pt-BR"/>
        </w:rPr>
        <w:t xml:space="preserve">- </w:t>
      </w:r>
      <w:r w:rsidR="00B228F2" w:rsidRPr="009059BA">
        <w:rPr>
          <w:lang w:val="pt-BR"/>
        </w:rPr>
        <w:t>Điều 6 Luật HTX năm 2012 chỉ quy định nội dung về hỗ trợ, ưu đãi của Nhà nước cho HTX, chưa đưa ra nguyên tắc, tiêu chí hỗ trợ cụ thể dẫn tới việc triển khai thực hiện chính sách hỗ trợ của Nhà nước trong thời gian qua chưa đạt hiệu quả</w:t>
      </w:r>
      <w:r w:rsidR="008754AA">
        <w:rPr>
          <w:lang w:val="pt-BR"/>
        </w:rPr>
        <w:t xml:space="preserve">, còn dàn trải, chưa tập trung hỗ trợ </w:t>
      </w:r>
      <w:r w:rsidR="00BD25EF">
        <w:rPr>
          <w:lang w:val="pt-BR"/>
        </w:rPr>
        <w:t xml:space="preserve">cho </w:t>
      </w:r>
      <w:r w:rsidR="008754AA">
        <w:rPr>
          <w:lang w:val="pt-BR"/>
        </w:rPr>
        <w:t xml:space="preserve">các hoạt động </w:t>
      </w:r>
      <w:r w:rsidR="005B7484">
        <w:rPr>
          <w:lang w:val="pt-BR"/>
        </w:rPr>
        <w:t>thể hiện</w:t>
      </w:r>
      <w:r w:rsidR="00BD25EF">
        <w:rPr>
          <w:lang w:val="pt-BR"/>
        </w:rPr>
        <w:t xml:space="preserve"> đặc trưng, </w:t>
      </w:r>
      <w:r w:rsidR="008754AA">
        <w:rPr>
          <w:lang w:val="pt-BR"/>
        </w:rPr>
        <w:t>phát huy</w:t>
      </w:r>
      <w:r w:rsidR="00B228F2" w:rsidRPr="009059BA">
        <w:rPr>
          <w:lang w:val="pt-BR"/>
        </w:rPr>
        <w:t xml:space="preserve"> bản chất </w:t>
      </w:r>
      <w:r w:rsidR="00BD25EF">
        <w:rPr>
          <w:lang w:val="pt-BR"/>
        </w:rPr>
        <w:t>tố</w:t>
      </w:r>
      <w:r w:rsidR="005B7484">
        <w:rPr>
          <w:lang w:val="pt-BR"/>
        </w:rPr>
        <w:t>t đ</w:t>
      </w:r>
      <w:r w:rsidR="00BD25EF">
        <w:rPr>
          <w:lang w:val="pt-BR"/>
        </w:rPr>
        <w:t xml:space="preserve">ẹp </w:t>
      </w:r>
      <w:r w:rsidR="008754AA">
        <w:rPr>
          <w:lang w:val="pt-BR"/>
        </w:rPr>
        <w:t>củ</w:t>
      </w:r>
      <w:r w:rsidR="00BD25EF">
        <w:rPr>
          <w:lang w:val="pt-BR"/>
        </w:rPr>
        <w:t xml:space="preserve">a loại hình </w:t>
      </w:r>
      <w:r w:rsidR="00B3656B">
        <w:rPr>
          <w:lang w:val="pt-BR"/>
        </w:rPr>
        <w:t>kinh tế hợp tác</w:t>
      </w:r>
      <w:r w:rsidR="005B7484">
        <w:rPr>
          <w:lang w:val="pt-BR"/>
        </w:rPr>
        <w:t xml:space="preserve">; </w:t>
      </w:r>
      <w:r w:rsidR="001C78CD">
        <w:rPr>
          <w:lang w:val="pt-BR"/>
        </w:rPr>
        <w:t>chưa khắc phục được tình trạng</w:t>
      </w:r>
      <w:r w:rsidR="00D313A8">
        <w:rPr>
          <w:lang w:val="pt-BR"/>
        </w:rPr>
        <w:t xml:space="preserve"> </w:t>
      </w:r>
      <w:r w:rsidR="005B7484">
        <w:rPr>
          <w:lang w:val="pt-BR"/>
        </w:rPr>
        <w:t>một số HTX thành lập</w:t>
      </w:r>
      <w:r w:rsidR="00D313A8">
        <w:rPr>
          <w:lang w:val="pt-BR"/>
        </w:rPr>
        <w:t xml:space="preserve"> </w:t>
      </w:r>
      <w:r w:rsidR="006616C0">
        <w:rPr>
          <w:lang w:val="pt-BR"/>
        </w:rPr>
        <w:t xml:space="preserve">“trá hình” </w:t>
      </w:r>
      <w:r w:rsidR="008C06D2">
        <w:rPr>
          <w:lang w:val="pt-BR"/>
        </w:rPr>
        <w:t xml:space="preserve">để </w:t>
      </w:r>
      <w:r w:rsidR="005B7484">
        <w:rPr>
          <w:lang w:val="pt-BR"/>
        </w:rPr>
        <w:t>trục lợi chính sách.</w:t>
      </w:r>
    </w:p>
    <w:p w14:paraId="65B46F19" w14:textId="0E350651" w:rsidR="00117CA9" w:rsidRPr="009059BA" w:rsidRDefault="00C53B78" w:rsidP="00C53B78">
      <w:pPr>
        <w:pStyle w:val="Noidung"/>
        <w:rPr>
          <w:lang w:val="pt-BR"/>
        </w:rPr>
      </w:pPr>
      <w:r w:rsidRPr="009059BA">
        <w:rPr>
          <w:lang w:val="pt-BR"/>
        </w:rPr>
        <w:t xml:space="preserve">- </w:t>
      </w:r>
      <w:r w:rsidR="00117CA9" w:rsidRPr="009059BA">
        <w:rPr>
          <w:lang w:val="pt-BR"/>
        </w:rPr>
        <w:t>Hiện nay, doanh nghiệp nhận được nhiều chính sách hỗ trợ của Nhà nước như: Luật Hỗ trợ doanh nghiệp doanh nghiệp nhỏ và vừa, các chính sách khuyến khích thu hút</w:t>
      </w:r>
      <w:r w:rsidR="000324F8">
        <w:rPr>
          <w:lang w:val="pt-BR"/>
        </w:rPr>
        <w:t xml:space="preserve"> doanh nghiệp</w:t>
      </w:r>
      <w:r w:rsidR="00117CA9" w:rsidRPr="009059BA">
        <w:rPr>
          <w:lang w:val="pt-BR"/>
        </w:rPr>
        <w:t xml:space="preserve"> đầu tư tại các địa phương (được </w:t>
      </w:r>
      <w:r w:rsidR="00B30FA2">
        <w:rPr>
          <w:lang w:val="pt-BR"/>
        </w:rPr>
        <w:t xml:space="preserve">ưu tiên </w:t>
      </w:r>
      <w:r w:rsidR="00117CA9" w:rsidRPr="009059BA">
        <w:rPr>
          <w:lang w:val="pt-BR"/>
        </w:rPr>
        <w:t xml:space="preserve">giao đất, miễn </w:t>
      </w:r>
      <w:r w:rsidR="00B30FA2">
        <w:rPr>
          <w:lang w:val="pt-BR"/>
        </w:rPr>
        <w:t xml:space="preserve">giảm </w:t>
      </w:r>
      <w:r w:rsidR="00117CA9" w:rsidRPr="009059BA">
        <w:rPr>
          <w:lang w:val="pt-BR"/>
        </w:rPr>
        <w:t>tiền thuê đất…)</w:t>
      </w:r>
      <w:r w:rsidR="003677C4">
        <w:rPr>
          <w:lang w:val="pt-BR"/>
        </w:rPr>
        <w:t>,</w:t>
      </w:r>
      <w:r w:rsidR="00117CA9" w:rsidRPr="009059BA">
        <w:rPr>
          <w:lang w:val="pt-BR"/>
        </w:rPr>
        <w:t xml:space="preserve"> </w:t>
      </w:r>
      <w:r w:rsidRPr="009059BA">
        <w:rPr>
          <w:lang w:val="pt-BR"/>
        </w:rPr>
        <w:t xml:space="preserve">trong khi HTX ở nước ta hiện nay đa số quy mô còn nhỏ, thành viên là đối tượng yếu thế cần được hỗ trợ và ưu tiên. Do vậy, cần </w:t>
      </w:r>
      <w:r w:rsidR="009059BA" w:rsidRPr="009059BA">
        <w:rPr>
          <w:lang w:val="pt-BR"/>
        </w:rPr>
        <w:t>quy định chi tiết hơn, hỗ trợ nhiều hơn</w:t>
      </w:r>
      <w:r w:rsidR="006616C0">
        <w:rPr>
          <w:lang w:val="pt-BR"/>
        </w:rPr>
        <w:t>, tập trung nguồn lực</w:t>
      </w:r>
      <w:r w:rsidRPr="009059BA">
        <w:rPr>
          <w:lang w:val="pt-BR"/>
        </w:rPr>
        <w:t xml:space="preserve"> </w:t>
      </w:r>
      <w:r w:rsidR="006616C0">
        <w:rPr>
          <w:lang w:val="pt-BR"/>
        </w:rPr>
        <w:t xml:space="preserve">hơn </w:t>
      </w:r>
      <w:r w:rsidRPr="009059BA">
        <w:rPr>
          <w:lang w:val="pt-BR"/>
        </w:rPr>
        <w:t xml:space="preserve">cho các </w:t>
      </w:r>
      <w:r w:rsidR="00877AED">
        <w:rPr>
          <w:lang w:val="pt-BR"/>
        </w:rPr>
        <w:t>TCKTHT</w:t>
      </w:r>
      <w:r w:rsidR="000324F8">
        <w:rPr>
          <w:lang w:val="pt-BR"/>
        </w:rPr>
        <w:t xml:space="preserve">. Chính sách </w:t>
      </w:r>
      <w:r w:rsidR="00B30FA2">
        <w:rPr>
          <w:lang w:val="pt-BR"/>
        </w:rPr>
        <w:t>hỗ trợ cho các TCKTHT</w:t>
      </w:r>
      <w:r w:rsidR="00CC235D" w:rsidRPr="009059BA">
        <w:rPr>
          <w:lang w:val="pt-BR"/>
        </w:rPr>
        <w:t xml:space="preserve"> phù hợp với chủ trương, định hướng phát triển kinh tế tập thể của Đảng và Nhà nước</w:t>
      </w:r>
      <w:r w:rsidR="00562556">
        <w:rPr>
          <w:rStyle w:val="FootnoteReference"/>
          <w:lang w:val="pt-BR"/>
        </w:rPr>
        <w:footnoteReference w:id="11"/>
      </w:r>
      <w:r w:rsidR="00CC235D" w:rsidRPr="009059BA">
        <w:rPr>
          <w:lang w:val="pt-BR"/>
        </w:rPr>
        <w:t>.</w:t>
      </w:r>
    </w:p>
    <w:p w14:paraId="5616EF84" w14:textId="77777777" w:rsidR="004048D6" w:rsidRPr="009059BA" w:rsidRDefault="00CC235D" w:rsidP="00CC235D">
      <w:pPr>
        <w:pStyle w:val="Noidung"/>
        <w:rPr>
          <w:lang w:val="pt-BR"/>
        </w:rPr>
      </w:pPr>
      <w:r w:rsidRPr="009059BA">
        <w:rPr>
          <w:lang w:val="pt-BR"/>
        </w:rPr>
        <w:lastRenderedPageBreak/>
        <w:t xml:space="preserve">- Luật HTX năm 2012 chưa quy định </w:t>
      </w:r>
      <w:r w:rsidR="00B77FCE">
        <w:rPr>
          <w:lang w:val="pt-BR"/>
        </w:rPr>
        <w:t xml:space="preserve">các </w:t>
      </w:r>
      <w:r w:rsidRPr="009059BA">
        <w:rPr>
          <w:lang w:val="pt-BR"/>
        </w:rPr>
        <w:t>chính sách hỗ trợ, phương thức hỗ trợ</w:t>
      </w:r>
      <w:r w:rsidR="00B77FCE">
        <w:rPr>
          <w:lang w:val="pt-BR"/>
        </w:rPr>
        <w:t xml:space="preserve"> cụ thể,</w:t>
      </w:r>
      <w:r w:rsidRPr="009059BA">
        <w:rPr>
          <w:lang w:val="pt-BR"/>
        </w:rPr>
        <w:t xml:space="preserve"> đặc thù cho HTX </w:t>
      </w:r>
      <w:r w:rsidR="00B77FCE">
        <w:rPr>
          <w:lang w:val="pt-BR"/>
        </w:rPr>
        <w:t>(</w:t>
      </w:r>
      <w:r w:rsidRPr="009059BA">
        <w:rPr>
          <w:lang w:val="pt-BR"/>
        </w:rPr>
        <w:t>như miễn</w:t>
      </w:r>
      <w:r w:rsidR="009059BA" w:rsidRPr="009059BA">
        <w:rPr>
          <w:lang w:val="pt-BR"/>
        </w:rPr>
        <w:t>, giảm</w:t>
      </w:r>
      <w:r w:rsidRPr="009059BA">
        <w:rPr>
          <w:lang w:val="pt-BR"/>
        </w:rPr>
        <w:t xml:space="preserve"> thuế đối với giao dịch nội bộ trong HTX, hỗ trợ </w:t>
      </w:r>
      <w:r w:rsidR="00B77FCE">
        <w:rPr>
          <w:lang w:val="pt-BR"/>
        </w:rPr>
        <w:t xml:space="preserve">theo hình thức </w:t>
      </w:r>
      <w:r w:rsidRPr="009059BA">
        <w:rPr>
          <w:lang w:val="pt-BR"/>
        </w:rPr>
        <w:t>phi dự án</w:t>
      </w:r>
      <w:r w:rsidR="00B77FCE">
        <w:rPr>
          <w:lang w:val="pt-BR"/>
        </w:rPr>
        <w:t>,..</w:t>
      </w:r>
      <w:r w:rsidRPr="009059BA">
        <w:rPr>
          <w:lang w:val="pt-BR"/>
        </w:rPr>
        <w:t>.</w:t>
      </w:r>
      <w:r w:rsidR="00B77FCE">
        <w:rPr>
          <w:lang w:val="pt-BR"/>
        </w:rPr>
        <w:t>),</w:t>
      </w:r>
      <w:r w:rsidRPr="009059BA">
        <w:rPr>
          <w:lang w:val="pt-BR"/>
        </w:rPr>
        <w:t xml:space="preserve"> </w:t>
      </w:r>
      <w:r w:rsidR="00B77FCE">
        <w:rPr>
          <w:lang w:val="pt-BR"/>
        </w:rPr>
        <w:t>t</w:t>
      </w:r>
      <w:r w:rsidR="004048D6" w:rsidRPr="009059BA">
        <w:rPr>
          <w:lang w:val="pt-BR"/>
        </w:rPr>
        <w:t>hiếu cơ chế đánh giá, kiểm tra</w:t>
      </w:r>
      <w:r w:rsidRPr="009059BA">
        <w:rPr>
          <w:lang w:val="pt-BR"/>
        </w:rPr>
        <w:t xml:space="preserve"> </w:t>
      </w:r>
      <w:r w:rsidR="004048D6" w:rsidRPr="009059BA">
        <w:rPr>
          <w:lang w:val="pt-BR"/>
        </w:rPr>
        <w:t xml:space="preserve">trước </w:t>
      </w:r>
      <w:r w:rsidRPr="009059BA">
        <w:rPr>
          <w:lang w:val="pt-BR"/>
        </w:rPr>
        <w:t xml:space="preserve">khi HTX được </w:t>
      </w:r>
      <w:r w:rsidR="004048D6" w:rsidRPr="009059BA">
        <w:rPr>
          <w:lang w:val="pt-BR"/>
        </w:rPr>
        <w:t>hỗ trợ</w:t>
      </w:r>
      <w:r w:rsidRPr="009059BA">
        <w:rPr>
          <w:lang w:val="pt-BR"/>
        </w:rPr>
        <w:t xml:space="preserve"> (thông qua công cụ kiểm toán HTX)</w:t>
      </w:r>
      <w:r w:rsidR="004048D6" w:rsidRPr="009059BA">
        <w:rPr>
          <w:lang w:val="pt-BR"/>
        </w:rPr>
        <w:t>.</w:t>
      </w:r>
    </w:p>
    <w:p w14:paraId="48EF8833" w14:textId="6D79EA6D" w:rsidR="00586151" w:rsidRPr="009059BA" w:rsidRDefault="00586151" w:rsidP="004F2DDB">
      <w:pPr>
        <w:pStyle w:val="Heading1"/>
        <w:rPr>
          <w:rFonts w:ascii="Times New Roman" w:hAnsi="Times New Roman"/>
        </w:rPr>
      </w:pPr>
      <w:r w:rsidRPr="009059BA">
        <w:rPr>
          <w:rFonts w:ascii="Times New Roman" w:hAnsi="Times New Roman"/>
        </w:rPr>
        <w:t xml:space="preserve">II. </w:t>
      </w:r>
      <w:r w:rsidR="00AA6596" w:rsidRPr="009059BA">
        <w:rPr>
          <w:rFonts w:ascii="Times New Roman" w:hAnsi="Times New Roman"/>
        </w:rPr>
        <w:t xml:space="preserve">MỤC </w:t>
      </w:r>
      <w:r w:rsidR="00634DBD">
        <w:rPr>
          <w:rFonts w:ascii="Times New Roman" w:hAnsi="Times New Roman"/>
        </w:rPr>
        <w:t>TIÊU</w:t>
      </w:r>
      <w:r w:rsidR="000B65F3">
        <w:rPr>
          <w:rFonts w:ascii="Times New Roman" w:hAnsi="Times New Roman"/>
        </w:rPr>
        <w:t xml:space="preserve">, </w:t>
      </w:r>
      <w:r w:rsidR="000B65F3" w:rsidRPr="009059BA">
        <w:rPr>
          <w:rFonts w:ascii="Times New Roman" w:hAnsi="Times New Roman"/>
        </w:rPr>
        <w:t>QUAN ĐIỂM</w:t>
      </w:r>
      <w:r w:rsidRPr="009059BA">
        <w:rPr>
          <w:rFonts w:ascii="Times New Roman" w:hAnsi="Times New Roman"/>
        </w:rPr>
        <w:t xml:space="preserve"> XÂY DỰNG </w:t>
      </w:r>
      <w:r w:rsidR="008A720B" w:rsidRPr="009059BA">
        <w:rPr>
          <w:rFonts w:ascii="Times New Roman" w:hAnsi="Times New Roman"/>
        </w:rPr>
        <w:t xml:space="preserve">DỰ ÁN </w:t>
      </w:r>
      <w:r w:rsidRPr="009059BA">
        <w:rPr>
          <w:rFonts w:ascii="Times New Roman" w:hAnsi="Times New Roman"/>
        </w:rPr>
        <w:t>LUẬT</w:t>
      </w:r>
    </w:p>
    <w:p w14:paraId="2848DFED" w14:textId="782B77A5" w:rsidR="00E31DC0" w:rsidRPr="009059BA" w:rsidRDefault="00586151" w:rsidP="00E31DC0">
      <w:pPr>
        <w:pStyle w:val="Heading2"/>
      </w:pPr>
      <w:r w:rsidRPr="009059BA">
        <w:t xml:space="preserve">1. </w:t>
      </w:r>
      <w:r w:rsidR="00634DBD">
        <w:t>Mục tiêu</w:t>
      </w:r>
    </w:p>
    <w:p w14:paraId="0EC340F2" w14:textId="34DABCF6" w:rsidR="00586151" w:rsidRPr="009059BA" w:rsidRDefault="00E31DC0" w:rsidP="00E31DC0">
      <w:pPr>
        <w:pStyle w:val="Noidung"/>
      </w:pPr>
      <w:r w:rsidRPr="009059BA">
        <w:t>Tạo hành lang pháp lý thông thoáng, loại bỏ các quy định gây trở ngại gia nhập thị trường, phát triể</w:t>
      </w:r>
      <w:r w:rsidR="00980A29">
        <w:t>n thành viên;</w:t>
      </w:r>
      <w:r w:rsidRPr="009059BA">
        <w:t xml:space="preserve"> bảo đảm và phát huy đặc trưng, nguyên tắc cơ bản củ</w:t>
      </w:r>
      <w:r w:rsidR="00980A29">
        <w:t>a HTX;</w:t>
      </w:r>
      <w:r w:rsidRPr="009059BA">
        <w:t xml:space="preserve"> tạo điều kiện thuận lợi để các </w:t>
      </w:r>
      <w:r w:rsidR="006616C0">
        <w:t>TC</w:t>
      </w:r>
      <w:r w:rsidRPr="009059BA">
        <w:t>KTHT phát triển năng động, hiệu quả, bền vững, thực sự là thành phần quan trọng trong nền kinh tế với nhiều mô hình liên kết, hợp tác trên cơ sở tôn trọng bản chất HTX, thu hút nhiều thành phần, đối tượng tham gia vào khu vực kinh tế tập thể, giúp nâng cao thu nhập, chất lượng cuộc sống của các thành viên và góp phần thực hiện tiến bộ, công bằng xã hộ</w:t>
      </w:r>
      <w:r w:rsidR="006616C0">
        <w:t>i.</w:t>
      </w:r>
    </w:p>
    <w:p w14:paraId="739F4014" w14:textId="77777777" w:rsidR="00E31DC0" w:rsidRPr="009059BA" w:rsidRDefault="00E31DC0" w:rsidP="00E31DC0">
      <w:pPr>
        <w:pStyle w:val="Heading2"/>
        <w:rPr>
          <w:spacing w:val="-2"/>
        </w:rPr>
      </w:pPr>
      <w:r w:rsidRPr="009059BA">
        <w:t xml:space="preserve">2. </w:t>
      </w:r>
      <w:r>
        <w:t>Quan điểm</w:t>
      </w:r>
    </w:p>
    <w:p w14:paraId="3F6A3A00" w14:textId="36E4A8AC" w:rsidR="004048D6" w:rsidRPr="009059BA" w:rsidRDefault="004048D6" w:rsidP="004048D6">
      <w:pPr>
        <w:spacing w:before="160" w:after="160" w:line="240" w:lineRule="auto"/>
        <w:ind w:firstLine="567"/>
        <w:jc w:val="both"/>
        <w:rPr>
          <w:rFonts w:ascii="Times New Roman" w:hAnsi="Times New Roman" w:cs="Times New Roman"/>
          <w:sz w:val="28"/>
          <w:szCs w:val="28"/>
          <w:lang w:val="pt-BR"/>
        </w:rPr>
      </w:pPr>
      <w:r w:rsidRPr="009059BA">
        <w:rPr>
          <w:rFonts w:ascii="Times New Roman" w:hAnsi="Times New Roman" w:cs="Times New Roman"/>
          <w:i/>
          <w:sz w:val="28"/>
          <w:szCs w:val="28"/>
          <w:lang w:val="pt-BR"/>
        </w:rPr>
        <w:t>Một là</w:t>
      </w:r>
      <w:r w:rsidRPr="009059BA">
        <w:rPr>
          <w:rFonts w:ascii="Times New Roman" w:hAnsi="Times New Roman" w:cs="Times New Roman"/>
          <w:sz w:val="28"/>
          <w:szCs w:val="28"/>
          <w:lang w:val="pt-BR"/>
        </w:rPr>
        <w:t xml:space="preserve">, </w:t>
      </w:r>
      <w:r w:rsidR="003B1AEC">
        <w:rPr>
          <w:rFonts w:ascii="Times New Roman" w:hAnsi="Times New Roman" w:cs="Times New Roman"/>
          <w:sz w:val="28"/>
          <w:szCs w:val="28"/>
          <w:lang w:val="pt-BR"/>
        </w:rPr>
        <w:t xml:space="preserve">bám sát và </w:t>
      </w:r>
      <w:r w:rsidRPr="009059BA">
        <w:rPr>
          <w:rFonts w:ascii="Times New Roman" w:hAnsi="Times New Roman" w:cs="Times New Roman"/>
          <w:sz w:val="28"/>
          <w:szCs w:val="28"/>
          <w:lang w:val="pt-BR"/>
        </w:rPr>
        <w:t xml:space="preserve">thể chế hóa đầy đủ quan điểm của Đảng tiếp tục đổi mới, phát triển </w:t>
      </w:r>
      <w:r w:rsidR="00877AED">
        <w:rPr>
          <w:rFonts w:ascii="Times New Roman" w:hAnsi="Times New Roman" w:cs="Times New Roman"/>
          <w:sz w:val="28"/>
          <w:szCs w:val="28"/>
          <w:lang w:val="pt-BR"/>
        </w:rPr>
        <w:t>kinh tế tập thể</w:t>
      </w:r>
      <w:r w:rsidRPr="009059BA">
        <w:rPr>
          <w:rFonts w:ascii="Times New Roman" w:hAnsi="Times New Roman" w:cs="Times New Roman"/>
          <w:sz w:val="28"/>
          <w:szCs w:val="28"/>
          <w:lang w:val="pt-BR"/>
        </w:rPr>
        <w:t xml:space="preserve">, HTX ở nước ta trong thời gian tới. </w:t>
      </w:r>
    </w:p>
    <w:p w14:paraId="693FD9DB" w14:textId="2D95BBB4" w:rsidR="004048D6" w:rsidRPr="009059BA" w:rsidRDefault="004048D6" w:rsidP="004048D6">
      <w:pPr>
        <w:spacing w:before="160" w:after="160" w:line="240" w:lineRule="auto"/>
        <w:ind w:firstLine="567"/>
        <w:jc w:val="both"/>
        <w:rPr>
          <w:rFonts w:ascii="Times New Roman" w:hAnsi="Times New Roman" w:cs="Times New Roman"/>
          <w:sz w:val="28"/>
          <w:szCs w:val="28"/>
          <w:lang w:val="pt-BR"/>
        </w:rPr>
      </w:pPr>
      <w:r w:rsidRPr="009059BA">
        <w:rPr>
          <w:rFonts w:ascii="Times New Roman" w:hAnsi="Times New Roman" w:cs="Times New Roman"/>
          <w:i/>
          <w:sz w:val="28"/>
          <w:szCs w:val="28"/>
          <w:lang w:val="pt-BR"/>
        </w:rPr>
        <w:t>Hai là</w:t>
      </w:r>
      <w:r w:rsidRPr="009059BA">
        <w:rPr>
          <w:rFonts w:ascii="Times New Roman" w:hAnsi="Times New Roman" w:cs="Times New Roman"/>
          <w:sz w:val="28"/>
          <w:szCs w:val="28"/>
          <w:lang w:val="pt-BR"/>
        </w:rPr>
        <w:t xml:space="preserve">, kế thừa </w:t>
      </w:r>
      <w:r w:rsidR="00B83CA0">
        <w:rPr>
          <w:rFonts w:ascii="Times New Roman" w:hAnsi="Times New Roman" w:cs="Times New Roman"/>
          <w:sz w:val="28"/>
          <w:szCs w:val="28"/>
          <w:lang w:val="pt-BR"/>
        </w:rPr>
        <w:t>và phát triển</w:t>
      </w:r>
      <w:r w:rsidRPr="009059BA">
        <w:rPr>
          <w:rFonts w:ascii="Times New Roman" w:hAnsi="Times New Roman" w:cs="Times New Roman"/>
          <w:sz w:val="28"/>
          <w:szCs w:val="28"/>
          <w:lang w:val="pt-BR"/>
        </w:rPr>
        <w:t xml:space="preserve"> các quy định của Luật HTX năm 2012 còn phù hợp, đang có hiệu lực, hiệu quả, đồng thời giữ vững các nguyên tắc cơ bản của HTX do Liên minh HTX quốc tế (ICA) đưa ra trong thế kỷ 21. </w:t>
      </w:r>
    </w:p>
    <w:p w14:paraId="519587D1" w14:textId="69F290D1" w:rsidR="004048D6" w:rsidRPr="00F07BE3" w:rsidRDefault="004048D6" w:rsidP="004048D6">
      <w:pPr>
        <w:spacing w:before="160" w:after="160" w:line="240" w:lineRule="auto"/>
        <w:ind w:firstLine="567"/>
        <w:jc w:val="both"/>
        <w:rPr>
          <w:rFonts w:ascii="Times New Roman" w:hAnsi="Times New Roman" w:cs="Times New Roman"/>
          <w:spacing w:val="-2"/>
          <w:sz w:val="28"/>
          <w:szCs w:val="28"/>
          <w:lang w:val="pt-BR"/>
        </w:rPr>
      </w:pPr>
      <w:r w:rsidRPr="00F07BE3">
        <w:rPr>
          <w:rFonts w:ascii="Times New Roman" w:hAnsi="Times New Roman" w:cs="Times New Roman"/>
          <w:i/>
          <w:spacing w:val="-2"/>
          <w:sz w:val="28"/>
          <w:szCs w:val="28"/>
          <w:lang w:val="pt-BR"/>
        </w:rPr>
        <w:t>Ba là</w:t>
      </w:r>
      <w:r w:rsidRPr="00F07BE3">
        <w:rPr>
          <w:rFonts w:ascii="Times New Roman" w:hAnsi="Times New Roman" w:cs="Times New Roman"/>
          <w:spacing w:val="-2"/>
          <w:sz w:val="28"/>
          <w:szCs w:val="28"/>
          <w:lang w:val="pt-BR"/>
        </w:rPr>
        <w:t xml:space="preserve">, </w:t>
      </w:r>
      <w:r w:rsidR="00B83CA0">
        <w:rPr>
          <w:rFonts w:ascii="Times New Roman" w:hAnsi="Times New Roman" w:cs="Times New Roman"/>
          <w:spacing w:val="-2"/>
          <w:sz w:val="28"/>
          <w:szCs w:val="28"/>
          <w:lang w:val="pt-BR"/>
        </w:rPr>
        <w:t>p</w:t>
      </w:r>
      <w:r w:rsidR="00B83CA0" w:rsidRPr="004F033A">
        <w:rPr>
          <w:rFonts w:ascii="Times New Roman" w:hAnsi="Times New Roman"/>
          <w:color w:val="000000"/>
          <w:sz w:val="28"/>
          <w:szCs w:val="28"/>
          <w:shd w:val="clear" w:color="auto" w:fill="FFFFFF"/>
          <w:lang w:val="en-US"/>
        </w:rPr>
        <w:t>hù hợp với thực tiễn và đòi hỏi phát triển của khu vực kinh tế tập thể,</w:t>
      </w:r>
      <w:r w:rsidR="00B83CA0">
        <w:rPr>
          <w:rFonts w:ascii="Times New Roman" w:hAnsi="Times New Roman"/>
          <w:color w:val="000000"/>
          <w:sz w:val="28"/>
          <w:szCs w:val="28"/>
          <w:shd w:val="clear" w:color="auto" w:fill="FFFFFF"/>
          <w:lang w:val="en-US"/>
        </w:rPr>
        <w:t xml:space="preserve"> các TCKTHT</w:t>
      </w:r>
      <w:r w:rsidR="00B83CA0" w:rsidRPr="004F033A">
        <w:rPr>
          <w:rFonts w:ascii="Times New Roman" w:hAnsi="Times New Roman"/>
          <w:color w:val="000000"/>
          <w:sz w:val="28"/>
          <w:szCs w:val="28"/>
          <w:shd w:val="clear" w:color="auto" w:fill="FFFFFF"/>
          <w:lang w:val="en-US"/>
        </w:rPr>
        <w:t xml:space="preserve"> </w:t>
      </w:r>
      <w:r w:rsidRPr="00F07BE3">
        <w:rPr>
          <w:rFonts w:ascii="Times New Roman" w:hAnsi="Times New Roman" w:cs="Times New Roman"/>
          <w:spacing w:val="-2"/>
          <w:sz w:val="28"/>
          <w:szCs w:val="28"/>
          <w:lang w:val="pt-BR"/>
        </w:rPr>
        <w:t xml:space="preserve">trên cơ sở tổng kết </w:t>
      </w:r>
      <w:r w:rsidR="00B83CA0">
        <w:rPr>
          <w:rFonts w:ascii="Times New Roman" w:hAnsi="Times New Roman" w:cs="Times New Roman"/>
          <w:spacing w:val="-2"/>
          <w:sz w:val="28"/>
          <w:szCs w:val="28"/>
          <w:lang w:val="pt-BR"/>
        </w:rPr>
        <w:t>10 năm thi hành</w:t>
      </w:r>
      <w:r w:rsidRPr="00F07BE3">
        <w:rPr>
          <w:rFonts w:ascii="Times New Roman" w:hAnsi="Times New Roman" w:cs="Times New Roman"/>
          <w:spacing w:val="-2"/>
          <w:sz w:val="28"/>
          <w:szCs w:val="28"/>
          <w:lang w:val="pt-BR"/>
        </w:rPr>
        <w:t xml:space="preserve"> Luật HTX năm 2012, đồng thời tiếp thu có chọn lọc các kinh nghiệm quốc tế</w:t>
      </w:r>
      <w:r w:rsidR="00B83CA0">
        <w:rPr>
          <w:rFonts w:ascii="Times New Roman" w:hAnsi="Times New Roman" w:cs="Times New Roman"/>
          <w:spacing w:val="-2"/>
          <w:sz w:val="28"/>
          <w:szCs w:val="28"/>
          <w:lang w:val="pt-BR"/>
        </w:rPr>
        <w:t>,</w:t>
      </w:r>
      <w:r w:rsidRPr="00F07BE3">
        <w:rPr>
          <w:rFonts w:ascii="Times New Roman" w:hAnsi="Times New Roman" w:cs="Times New Roman"/>
          <w:spacing w:val="-2"/>
          <w:sz w:val="28"/>
          <w:szCs w:val="28"/>
          <w:lang w:val="pt-BR"/>
        </w:rPr>
        <w:t xml:space="preserve"> phù hợp với</w:t>
      </w:r>
      <w:r w:rsidR="003B1AEC" w:rsidRPr="00F07BE3">
        <w:rPr>
          <w:rFonts w:ascii="Times New Roman" w:hAnsi="Times New Roman" w:cs="Times New Roman"/>
          <w:spacing w:val="-2"/>
          <w:sz w:val="28"/>
          <w:szCs w:val="28"/>
          <w:lang w:val="pt-BR"/>
        </w:rPr>
        <w:t xml:space="preserve"> xu thế vận động và phát triển của các tổ chức kinh tế hợp tác trong bối cảnh mới</w:t>
      </w:r>
      <w:r w:rsidRPr="00F07BE3">
        <w:rPr>
          <w:rFonts w:ascii="Times New Roman" w:hAnsi="Times New Roman" w:cs="Times New Roman"/>
          <w:spacing w:val="-2"/>
          <w:sz w:val="28"/>
          <w:szCs w:val="28"/>
          <w:lang w:val="pt-BR"/>
        </w:rPr>
        <w:t>.</w:t>
      </w:r>
    </w:p>
    <w:p w14:paraId="70882DEC" w14:textId="77777777" w:rsidR="004048D6" w:rsidRPr="009059BA" w:rsidRDefault="004048D6" w:rsidP="004048D6">
      <w:pPr>
        <w:spacing w:before="160" w:after="160" w:line="240" w:lineRule="auto"/>
        <w:ind w:firstLine="567"/>
        <w:jc w:val="both"/>
        <w:rPr>
          <w:rFonts w:ascii="Times New Roman" w:hAnsi="Times New Roman" w:cs="Times New Roman"/>
          <w:sz w:val="28"/>
          <w:szCs w:val="28"/>
          <w:lang w:val="pt-BR"/>
        </w:rPr>
      </w:pPr>
      <w:r w:rsidRPr="009059BA">
        <w:rPr>
          <w:rFonts w:ascii="Times New Roman" w:hAnsi="Times New Roman" w:cs="Times New Roman"/>
          <w:i/>
          <w:sz w:val="28"/>
          <w:szCs w:val="28"/>
          <w:lang w:val="pt-BR"/>
        </w:rPr>
        <w:t>Bốn là</w:t>
      </w:r>
      <w:r w:rsidRPr="009059BA">
        <w:rPr>
          <w:rFonts w:ascii="Times New Roman" w:hAnsi="Times New Roman" w:cs="Times New Roman"/>
          <w:sz w:val="28"/>
          <w:szCs w:val="28"/>
          <w:lang w:val="pt-BR"/>
        </w:rPr>
        <w:t xml:space="preserve">, </w:t>
      </w:r>
      <w:r w:rsidRPr="009059BA">
        <w:rPr>
          <w:rFonts w:ascii="Times New Roman" w:hAnsi="Times New Roman" w:cs="Times New Roman"/>
          <w:sz w:val="28"/>
          <w:szCs w:val="28"/>
        </w:rPr>
        <w:t xml:space="preserve">xây dựng một Luật chung thống nhất cho các đối tượng trong khu vực </w:t>
      </w:r>
      <w:r w:rsidR="00877AED">
        <w:rPr>
          <w:rFonts w:ascii="Times New Roman" w:hAnsi="Times New Roman" w:cs="Times New Roman"/>
          <w:sz w:val="28"/>
          <w:szCs w:val="28"/>
          <w:lang w:val="en-US"/>
        </w:rPr>
        <w:t>kinh tế tập thể</w:t>
      </w:r>
      <w:r w:rsidRPr="009059BA">
        <w:rPr>
          <w:rFonts w:ascii="Times New Roman" w:hAnsi="Times New Roman" w:cs="Times New Roman"/>
          <w:sz w:val="28"/>
          <w:szCs w:val="28"/>
        </w:rPr>
        <w:t>, lấy đối tượng HTX là trung tâm</w:t>
      </w:r>
      <w:r w:rsidRPr="009059BA">
        <w:rPr>
          <w:rFonts w:ascii="Times New Roman" w:hAnsi="Times New Roman" w:cs="Times New Roman"/>
          <w:sz w:val="28"/>
          <w:szCs w:val="28"/>
          <w:lang w:val="en-US"/>
        </w:rPr>
        <w:t>,</w:t>
      </w:r>
      <w:r w:rsidRPr="009059BA">
        <w:rPr>
          <w:rFonts w:ascii="Times New Roman" w:hAnsi="Times New Roman" w:cs="Times New Roman"/>
          <w:sz w:val="28"/>
          <w:szCs w:val="28"/>
        </w:rPr>
        <w:t xml:space="preserve"> </w:t>
      </w:r>
      <w:r w:rsidRPr="009059BA">
        <w:rPr>
          <w:rFonts w:ascii="Times New Roman" w:hAnsi="Times New Roman" w:cs="Times New Roman"/>
          <w:sz w:val="28"/>
          <w:szCs w:val="28"/>
          <w:lang w:val="en-US"/>
        </w:rPr>
        <w:t>đ</w:t>
      </w:r>
      <w:r w:rsidRPr="009059BA">
        <w:rPr>
          <w:rFonts w:ascii="Times New Roman" w:hAnsi="Times New Roman" w:cs="Times New Roman"/>
          <w:sz w:val="28"/>
          <w:szCs w:val="28"/>
        </w:rPr>
        <w:t xml:space="preserve">ối xử bình đẳng </w:t>
      </w:r>
      <w:r w:rsidRPr="009059BA">
        <w:rPr>
          <w:rFonts w:ascii="Times New Roman" w:hAnsi="Times New Roman" w:cs="Times New Roman"/>
          <w:sz w:val="28"/>
          <w:szCs w:val="28"/>
          <w:lang w:val="en-US"/>
        </w:rPr>
        <w:t>như</w:t>
      </w:r>
      <w:r w:rsidRPr="009059BA">
        <w:rPr>
          <w:rFonts w:ascii="Times New Roman" w:hAnsi="Times New Roman" w:cs="Times New Roman"/>
          <w:sz w:val="28"/>
          <w:szCs w:val="28"/>
        </w:rPr>
        <w:t xml:space="preserve"> các tổ chức kinh tế khác trong nền kinh tế thị trường định hướng </w:t>
      </w:r>
      <w:r w:rsidRPr="009059BA">
        <w:rPr>
          <w:rFonts w:ascii="Times New Roman" w:hAnsi="Times New Roman" w:cs="Times New Roman"/>
          <w:sz w:val="28"/>
          <w:szCs w:val="28"/>
          <w:lang w:val="en-US"/>
        </w:rPr>
        <w:t>xã hội chủ nghĩa</w:t>
      </w:r>
      <w:r w:rsidRPr="009059BA">
        <w:rPr>
          <w:rFonts w:ascii="Times New Roman" w:hAnsi="Times New Roman" w:cs="Times New Roman"/>
          <w:sz w:val="28"/>
          <w:szCs w:val="28"/>
          <w:lang w:val="pt-BR"/>
        </w:rPr>
        <w:t xml:space="preserve">. </w:t>
      </w:r>
    </w:p>
    <w:p w14:paraId="33569E23" w14:textId="77777777" w:rsidR="004048D6" w:rsidRPr="009059BA" w:rsidRDefault="004048D6" w:rsidP="004048D6">
      <w:pPr>
        <w:spacing w:before="160" w:after="160" w:line="240" w:lineRule="auto"/>
        <w:ind w:firstLine="567"/>
        <w:jc w:val="both"/>
        <w:rPr>
          <w:rFonts w:ascii="Times New Roman" w:hAnsi="Times New Roman" w:cs="Times New Roman"/>
          <w:i/>
          <w:sz w:val="28"/>
          <w:szCs w:val="28"/>
          <w:lang w:val="pt-BR"/>
        </w:rPr>
      </w:pPr>
      <w:r w:rsidRPr="009059BA">
        <w:rPr>
          <w:rFonts w:ascii="Times New Roman" w:hAnsi="Times New Roman" w:cs="Times New Roman"/>
          <w:i/>
          <w:sz w:val="28"/>
          <w:szCs w:val="28"/>
          <w:lang w:val="pt-BR"/>
        </w:rPr>
        <w:t xml:space="preserve">Năm là, </w:t>
      </w:r>
      <w:r w:rsidRPr="009059BA">
        <w:rPr>
          <w:rFonts w:ascii="Times New Roman" w:hAnsi="Times New Roman" w:cs="Times New Roman"/>
          <w:sz w:val="28"/>
          <w:szCs w:val="28"/>
          <w:lang w:val="pt-BR"/>
        </w:rPr>
        <w:t>bảo đảm tính hợp hiến, hợp pháp và tính thống nhất trong hệ thống pháp luật, tính tương thích với các cam kết quốc tế mà Việt Nam là thành viên.</w:t>
      </w:r>
    </w:p>
    <w:p w14:paraId="1CFD71AB" w14:textId="77777777" w:rsidR="008A720B" w:rsidRPr="009059BA" w:rsidRDefault="008A720B" w:rsidP="004F2DDB">
      <w:pPr>
        <w:pStyle w:val="Heading1"/>
        <w:rPr>
          <w:rFonts w:ascii="Times New Roman" w:hAnsi="Times New Roman"/>
        </w:rPr>
      </w:pPr>
      <w:r w:rsidRPr="009059BA">
        <w:rPr>
          <w:rFonts w:ascii="Times New Roman" w:hAnsi="Times New Roman"/>
        </w:rPr>
        <w:t xml:space="preserve">III. QUÁ TRÌNH </w:t>
      </w:r>
      <w:r w:rsidR="00941EC8" w:rsidRPr="009059BA">
        <w:rPr>
          <w:rFonts w:ascii="Times New Roman" w:hAnsi="Times New Roman"/>
        </w:rPr>
        <w:t>SOẠN THẢO</w:t>
      </w:r>
      <w:r w:rsidRPr="009059BA">
        <w:rPr>
          <w:rFonts w:ascii="Times New Roman" w:hAnsi="Times New Roman"/>
        </w:rPr>
        <w:t xml:space="preserve"> DỰ ÁN LUẬT </w:t>
      </w:r>
    </w:p>
    <w:p w14:paraId="41FE7581" w14:textId="77777777" w:rsidR="00F628E1" w:rsidRPr="00176F96" w:rsidRDefault="00776B4B" w:rsidP="00F628E1">
      <w:pPr>
        <w:spacing w:before="120" w:after="120" w:line="240" w:lineRule="auto"/>
        <w:ind w:firstLine="720"/>
        <w:jc w:val="both"/>
        <w:rPr>
          <w:rFonts w:ascii="Times New Roman" w:eastAsia="Times New Roman" w:hAnsi="Times New Roman" w:cs="Times New Roman"/>
          <w:noProof/>
          <w:spacing w:val="-2"/>
          <w:sz w:val="28"/>
          <w:szCs w:val="28"/>
          <w:lang w:eastAsia="vi-VN"/>
        </w:rPr>
      </w:pPr>
      <w:r w:rsidRPr="00F628E1">
        <w:rPr>
          <w:rFonts w:ascii="Times New Roman" w:eastAsia="Times New Roman" w:hAnsi="Times New Roman" w:cs="Times New Roman"/>
          <w:noProof/>
          <w:spacing w:val="-2"/>
          <w:sz w:val="28"/>
          <w:szCs w:val="28"/>
          <w:lang w:eastAsia="vi-VN"/>
        </w:rPr>
        <w:t xml:space="preserve">Thực hiện </w:t>
      </w:r>
      <w:r w:rsidR="00077D8E" w:rsidRPr="00F628E1">
        <w:rPr>
          <w:rFonts w:ascii="Times New Roman" w:eastAsia="Times New Roman" w:hAnsi="Times New Roman" w:cs="Times New Roman"/>
          <w:noProof/>
          <w:spacing w:val="-2"/>
          <w:sz w:val="28"/>
          <w:szCs w:val="28"/>
          <w:lang w:eastAsia="vi-VN"/>
        </w:rPr>
        <w:t xml:space="preserve">Nghị quyết số 134/NQ-CP ban hành Chương trình hành động của Chính phủ thực hiện Kết luận số 70/KL-TW ngày 09/3/2020 của Bộ Chính trị về tiếp tục thực hiện Nghị quyết Trung ương 5 khóa IX về tiếp tục đổi mới, phát triển và nâng cao hiệu quả kinh tế tập thể, năm 2021, Bộ Kế hoạch và Đầu tư đã </w:t>
      </w:r>
      <w:r w:rsidR="00F628E1" w:rsidRPr="00F628E1">
        <w:rPr>
          <w:rFonts w:ascii="Times New Roman" w:eastAsia="Times New Roman" w:hAnsi="Times New Roman" w:cs="Times New Roman"/>
          <w:noProof/>
          <w:spacing w:val="-2"/>
          <w:sz w:val="28"/>
          <w:szCs w:val="28"/>
          <w:lang w:eastAsia="vi-VN"/>
        </w:rPr>
        <w:t xml:space="preserve">tổ chức </w:t>
      </w:r>
      <w:r w:rsidR="00F628E1" w:rsidRPr="00176F96">
        <w:rPr>
          <w:rFonts w:ascii="Times New Roman" w:eastAsia="Times New Roman" w:hAnsi="Times New Roman" w:cs="Times New Roman"/>
          <w:noProof/>
          <w:spacing w:val="-2"/>
          <w:sz w:val="28"/>
          <w:szCs w:val="28"/>
          <w:lang w:eastAsia="vi-VN"/>
        </w:rPr>
        <w:t xml:space="preserve">soạn thảo dự án Luật </w:t>
      </w:r>
      <w:r w:rsidR="00F628E1">
        <w:rPr>
          <w:rFonts w:ascii="Times New Roman" w:eastAsia="Times New Roman" w:hAnsi="Times New Roman" w:cs="Times New Roman"/>
          <w:noProof/>
          <w:spacing w:val="-2"/>
          <w:sz w:val="28"/>
          <w:szCs w:val="28"/>
          <w:lang w:val="en-US" w:eastAsia="vi-VN"/>
        </w:rPr>
        <w:t>HTX (sửa đổi)</w:t>
      </w:r>
      <w:r w:rsidR="00F628E1" w:rsidRPr="00176F96">
        <w:rPr>
          <w:rFonts w:ascii="Times New Roman" w:eastAsia="Times New Roman" w:hAnsi="Times New Roman" w:cs="Times New Roman"/>
          <w:noProof/>
          <w:spacing w:val="-2"/>
          <w:sz w:val="28"/>
          <w:szCs w:val="28"/>
          <w:lang w:eastAsia="vi-VN"/>
        </w:rPr>
        <w:t xml:space="preserve"> theo đúng trình tự, thủ tục của Luật Ban hành văn bản quy phạm pháp luật </w:t>
      </w:r>
      <w:r w:rsidR="00F628E1" w:rsidRPr="00DE2248">
        <w:rPr>
          <w:rFonts w:ascii="Times New Roman" w:eastAsia="Times New Roman" w:hAnsi="Times New Roman" w:cs="Times New Roman"/>
          <w:noProof/>
          <w:spacing w:val="-2"/>
          <w:sz w:val="28"/>
          <w:szCs w:val="28"/>
          <w:lang w:eastAsia="vi-VN"/>
        </w:rPr>
        <w:t>(sửa đổi, bổ sung năm 2020),</w:t>
      </w:r>
      <w:r w:rsidR="00F628E1" w:rsidRPr="00176F96">
        <w:rPr>
          <w:rFonts w:ascii="Times New Roman" w:eastAsia="Times New Roman" w:hAnsi="Times New Roman" w:cs="Times New Roman"/>
          <w:noProof/>
          <w:spacing w:val="-2"/>
          <w:sz w:val="28"/>
          <w:szCs w:val="28"/>
          <w:lang w:eastAsia="vi-VN"/>
        </w:rPr>
        <w:t xml:space="preserve"> cụ thể:</w:t>
      </w:r>
    </w:p>
    <w:p w14:paraId="59EE9B2C" w14:textId="148F9D5C" w:rsidR="00776B4B" w:rsidRDefault="00F628E1" w:rsidP="00077D8E">
      <w:pPr>
        <w:pStyle w:val="Noidung"/>
        <w:rPr>
          <w:kern w:val="28"/>
          <w:szCs w:val="28"/>
          <w:lang w:val="eu-ES"/>
        </w:rPr>
      </w:pPr>
      <w:r>
        <w:rPr>
          <w:kern w:val="28"/>
          <w:szCs w:val="28"/>
          <w:lang w:val="eu-ES"/>
        </w:rPr>
        <w:t xml:space="preserve">1. </w:t>
      </w:r>
      <w:r w:rsidRPr="00221A8B">
        <w:rPr>
          <w:kern w:val="28"/>
          <w:szCs w:val="28"/>
          <w:lang w:val="eu-ES"/>
        </w:rPr>
        <w:t>T</w:t>
      </w:r>
      <w:r w:rsidR="00EE0F23">
        <w:rPr>
          <w:kern w:val="28"/>
          <w:szCs w:val="28"/>
          <w:lang w:val="eu-ES"/>
        </w:rPr>
        <w:t>ừ tháng 8/2021 đến 2/2022, Bộ Kế hoạch và Đầu tư (Thường trực Ban Chỉ đạo đổi mới, phát triển kinh tế tập thể, hợp tác xã) t</w:t>
      </w:r>
      <w:r w:rsidR="00776B4B" w:rsidRPr="00221A8B">
        <w:rPr>
          <w:kern w:val="28"/>
          <w:szCs w:val="28"/>
          <w:lang w:val="eu-ES"/>
        </w:rPr>
        <w:t xml:space="preserve">riển khai Tổng kết 10 năm thi hành Luật </w:t>
      </w:r>
      <w:r w:rsidR="009059BA" w:rsidRPr="00221A8B">
        <w:rPr>
          <w:kern w:val="28"/>
          <w:szCs w:val="28"/>
          <w:lang w:val="eu-ES"/>
        </w:rPr>
        <w:t>HTX</w:t>
      </w:r>
      <w:r w:rsidR="00EE0F23">
        <w:rPr>
          <w:kern w:val="28"/>
          <w:szCs w:val="28"/>
          <w:lang w:val="eu-ES"/>
        </w:rPr>
        <w:t>: xây dựng kế hoạch và đề cương, tổng hợp báo cáo của</w:t>
      </w:r>
      <w:r w:rsidR="00EE0F23" w:rsidRPr="009348D5">
        <w:rPr>
          <w:lang w:eastAsia="zh-CN"/>
        </w:rPr>
        <w:t xml:space="preserve"> </w:t>
      </w:r>
      <w:r w:rsidR="00EE0F23">
        <w:rPr>
          <w:lang w:eastAsia="zh-CN"/>
        </w:rPr>
        <w:lastRenderedPageBreak/>
        <w:t>10</w:t>
      </w:r>
      <w:r w:rsidR="00EE0F23" w:rsidRPr="009348D5">
        <w:rPr>
          <w:lang w:eastAsia="zh-CN"/>
        </w:rPr>
        <w:t xml:space="preserve"> bộ, ngành, </w:t>
      </w:r>
      <w:r w:rsidR="00EE0F23">
        <w:rPr>
          <w:lang w:eastAsia="zh-CN"/>
        </w:rPr>
        <w:t>cơ quan Trung ương và 63</w:t>
      </w:r>
      <w:r w:rsidR="00EE0F23" w:rsidRPr="009348D5">
        <w:rPr>
          <w:lang w:eastAsia="zh-CN"/>
        </w:rPr>
        <w:t>/63 tỉnh, thành phố trực thuộc Trung ương</w:t>
      </w:r>
      <w:r w:rsidR="00EE0F23">
        <w:rPr>
          <w:lang w:eastAsia="zh-CN"/>
        </w:rPr>
        <w:t>,</w:t>
      </w:r>
      <w:r w:rsidR="00EE0F23" w:rsidRPr="009348D5">
        <w:rPr>
          <w:lang w:eastAsia="zh-CN"/>
        </w:rPr>
        <w:t xml:space="preserve"> </w:t>
      </w:r>
      <w:r w:rsidR="00EE0F23">
        <w:rPr>
          <w:lang w:eastAsia="zh-CN"/>
        </w:rPr>
        <w:t>20</w:t>
      </w:r>
      <w:r w:rsidR="00EE0F23" w:rsidRPr="009348D5">
        <w:rPr>
          <w:lang w:eastAsia="zh-CN"/>
        </w:rPr>
        <w:t xml:space="preserve"> báo cáo chuyên đề,</w:t>
      </w:r>
      <w:r w:rsidR="00EE0F23">
        <w:rPr>
          <w:lang w:eastAsia="zh-CN"/>
        </w:rPr>
        <w:t xml:space="preserve"> tổ chức</w:t>
      </w:r>
      <w:r w:rsidR="00EE0F23" w:rsidRPr="009348D5">
        <w:rPr>
          <w:lang w:eastAsia="zh-CN"/>
        </w:rPr>
        <w:t xml:space="preserve"> </w:t>
      </w:r>
      <w:r w:rsidR="00EE0F23" w:rsidRPr="002D119D">
        <w:rPr>
          <w:shd w:val="clear" w:color="auto" w:fill="FFFFFF"/>
        </w:rPr>
        <w:t>12 hội thảo chuyên gia</w:t>
      </w:r>
      <w:r w:rsidR="00EE0F23">
        <w:rPr>
          <w:shd w:val="clear" w:color="auto" w:fill="FFFFFF"/>
        </w:rPr>
        <w:t>,</w:t>
      </w:r>
      <w:r w:rsidR="00EE0F23" w:rsidRPr="002D119D">
        <w:rPr>
          <w:shd w:val="clear" w:color="auto" w:fill="FFFFFF"/>
        </w:rPr>
        <w:t xml:space="preserve"> </w:t>
      </w:r>
      <w:r w:rsidR="00EE0F23">
        <w:rPr>
          <w:lang w:eastAsia="zh-CN"/>
        </w:rPr>
        <w:t>03 cuộc</w:t>
      </w:r>
      <w:r w:rsidR="00EE0F23" w:rsidRPr="009348D5">
        <w:rPr>
          <w:lang w:eastAsia="zh-CN"/>
        </w:rPr>
        <w:t xml:space="preserve"> khảo sát thực tế</w:t>
      </w:r>
      <w:r w:rsidR="00EE0F23">
        <w:rPr>
          <w:lang w:eastAsia="zh-CN"/>
        </w:rPr>
        <w:t>.</w:t>
      </w:r>
      <w:r w:rsidR="00581A08">
        <w:rPr>
          <w:lang w:eastAsia="zh-CN"/>
        </w:rPr>
        <w:t xml:space="preserve"> Ngày 15/02/2022,</w:t>
      </w:r>
      <w:r w:rsidR="00EE0F23" w:rsidRPr="009348D5">
        <w:rPr>
          <w:lang w:eastAsia="zh-CN"/>
        </w:rPr>
        <w:t xml:space="preserve"> Bộ Kế hoạch và Đầu tư </w:t>
      </w:r>
      <w:r w:rsidR="00581A08">
        <w:rPr>
          <w:lang w:eastAsia="zh-CN"/>
        </w:rPr>
        <w:t xml:space="preserve">đã phối hợp với </w:t>
      </w:r>
      <w:r w:rsidR="00410882">
        <w:rPr>
          <w:lang w:eastAsia="zh-CN"/>
        </w:rPr>
        <w:t xml:space="preserve">Văn phòng </w:t>
      </w:r>
      <w:r w:rsidR="00581A08" w:rsidRPr="00221A8B">
        <w:t xml:space="preserve">Chính phủ tổ chức </w:t>
      </w:r>
      <w:r w:rsidR="00581A08">
        <w:t xml:space="preserve">thành công </w:t>
      </w:r>
      <w:r w:rsidR="00581A08" w:rsidRPr="00221A8B">
        <w:t xml:space="preserve">Hội nghị </w:t>
      </w:r>
      <w:r w:rsidR="00581A08">
        <w:t xml:space="preserve">trực tuyến </w:t>
      </w:r>
      <w:r w:rsidR="00581A08" w:rsidRPr="00221A8B">
        <w:t xml:space="preserve">toàn quốc Tổng kết 20 năm triển khai thực hiện Nghị quyết </w:t>
      </w:r>
      <w:r w:rsidR="00DB6E42" w:rsidRPr="00DB6E42">
        <w:t xml:space="preserve">số </w:t>
      </w:r>
      <w:r w:rsidR="00581A08" w:rsidRPr="00DB6E42">
        <w:t xml:space="preserve">13/NQ-TW về </w:t>
      </w:r>
      <w:r w:rsidR="00DB6E42" w:rsidRPr="00DB6E42">
        <w:t xml:space="preserve">tiếp tục </w:t>
      </w:r>
      <w:r w:rsidR="00581A08" w:rsidRPr="00DB6E42">
        <w:t>đổi mới</w:t>
      </w:r>
      <w:r w:rsidR="00581A08" w:rsidRPr="00221A8B">
        <w:t xml:space="preserve">, phát triển </w:t>
      </w:r>
      <w:r w:rsidR="00DB6E42">
        <w:t xml:space="preserve">và nâng cao hiệu quả </w:t>
      </w:r>
      <w:r w:rsidR="00581A08" w:rsidRPr="00221A8B">
        <w:t>kinh tế tập thể và Tổng kết 10 năm thi hành Luật HTX năm 2012</w:t>
      </w:r>
      <w:r w:rsidR="00581A08">
        <w:t>.</w:t>
      </w:r>
      <w:r w:rsidR="00581A08" w:rsidRPr="00221A8B">
        <w:t xml:space="preserve"> </w:t>
      </w:r>
    </w:p>
    <w:p w14:paraId="31C3C180" w14:textId="384A6F00" w:rsidR="00D91BDC" w:rsidRPr="00221A8B" w:rsidRDefault="00581A08" w:rsidP="00077D8E">
      <w:pPr>
        <w:pStyle w:val="Noidung"/>
        <w:rPr>
          <w:kern w:val="28"/>
          <w:szCs w:val="28"/>
          <w:lang w:val="eu-ES"/>
        </w:rPr>
      </w:pPr>
      <w:r>
        <w:rPr>
          <w:kern w:val="28"/>
          <w:szCs w:val="28"/>
          <w:lang w:val="eu-ES"/>
        </w:rPr>
        <w:t>2. Từ</w:t>
      </w:r>
      <w:r w:rsidR="001519F3">
        <w:rPr>
          <w:kern w:val="28"/>
          <w:szCs w:val="28"/>
          <w:lang w:val="eu-ES"/>
        </w:rPr>
        <w:t xml:space="preserve"> tháng 02-5</w:t>
      </w:r>
      <w:r>
        <w:rPr>
          <w:kern w:val="28"/>
          <w:szCs w:val="28"/>
          <w:lang w:val="eu-ES"/>
        </w:rPr>
        <w:t>/2022: sau</w:t>
      </w:r>
      <w:r w:rsidR="0003683A" w:rsidRPr="00221A8B">
        <w:rPr>
          <w:kern w:val="28"/>
          <w:szCs w:val="28"/>
          <w:lang w:val="eu-ES"/>
        </w:rPr>
        <w:t xml:space="preserve"> khi Đề nghị xây dựng Luật HTX (sửa đổi) được</w:t>
      </w:r>
      <w:r w:rsidR="00D91BDC" w:rsidRPr="00221A8B">
        <w:rPr>
          <w:kern w:val="28"/>
          <w:szCs w:val="28"/>
          <w:lang w:val="eu-ES"/>
        </w:rPr>
        <w:t xml:space="preserve"> Chính phủ thông qua tại Nghị quyết số 22/NQ-CP ngày 28/02/2022 về Phiên họp chuyên đề về xây dựng pháp luật tháng 2 năm 2022, </w:t>
      </w:r>
      <w:r w:rsidR="00077D8E" w:rsidRPr="00221A8B">
        <w:rPr>
          <w:kern w:val="28"/>
          <w:szCs w:val="28"/>
          <w:lang w:val="eu-ES"/>
        </w:rPr>
        <w:t xml:space="preserve">để bảo đảm tiến độ </w:t>
      </w:r>
      <w:r w:rsidR="00D91BDC" w:rsidRPr="00221A8B">
        <w:rPr>
          <w:kern w:val="28"/>
          <w:szCs w:val="28"/>
          <w:lang w:val="eu-ES"/>
        </w:rPr>
        <w:t>Bộ Kế hoạch và Đầu tư</w:t>
      </w:r>
      <w:r w:rsidR="00077D8E" w:rsidRPr="00221A8B">
        <w:rPr>
          <w:kern w:val="28"/>
          <w:szCs w:val="28"/>
          <w:lang w:val="eu-ES"/>
        </w:rPr>
        <w:t xml:space="preserve"> đã khẩn trương</w:t>
      </w:r>
      <w:r w:rsidR="00D91BDC" w:rsidRPr="00221A8B">
        <w:rPr>
          <w:kern w:val="28"/>
          <w:szCs w:val="28"/>
          <w:lang w:val="eu-ES"/>
        </w:rPr>
        <w:t xml:space="preserve"> </w:t>
      </w:r>
      <w:r w:rsidR="00300B09" w:rsidRPr="00221A8B">
        <w:rPr>
          <w:kern w:val="28"/>
          <w:szCs w:val="28"/>
          <w:lang w:val="eu-ES"/>
        </w:rPr>
        <w:t xml:space="preserve">triển khai </w:t>
      </w:r>
      <w:r w:rsidR="00D91BDC" w:rsidRPr="00221A8B">
        <w:rPr>
          <w:kern w:val="28"/>
          <w:szCs w:val="28"/>
          <w:lang w:val="eu-ES"/>
        </w:rPr>
        <w:t xml:space="preserve">xây dựng </w:t>
      </w:r>
      <w:r w:rsidR="00300B09" w:rsidRPr="00221A8B">
        <w:rPr>
          <w:kern w:val="28"/>
          <w:szCs w:val="28"/>
          <w:lang w:val="eu-ES"/>
        </w:rPr>
        <w:t xml:space="preserve">hồ sơ </w:t>
      </w:r>
      <w:r w:rsidR="008874CF" w:rsidRPr="00221A8B">
        <w:rPr>
          <w:kern w:val="28"/>
          <w:szCs w:val="28"/>
          <w:lang w:val="eu-ES"/>
        </w:rPr>
        <w:t>d</w:t>
      </w:r>
      <w:r w:rsidR="00300B09" w:rsidRPr="00221A8B">
        <w:rPr>
          <w:kern w:val="28"/>
          <w:szCs w:val="28"/>
          <w:lang w:val="eu-ES"/>
        </w:rPr>
        <w:t>ự án</w:t>
      </w:r>
      <w:r w:rsidR="00D91BDC" w:rsidRPr="00221A8B">
        <w:rPr>
          <w:kern w:val="28"/>
          <w:szCs w:val="28"/>
          <w:lang w:val="eu-ES"/>
        </w:rPr>
        <w:t xml:space="preserve"> Luật</w:t>
      </w:r>
      <w:r w:rsidR="001519F3">
        <w:rPr>
          <w:kern w:val="28"/>
          <w:szCs w:val="28"/>
          <w:lang w:val="eu-ES"/>
        </w:rPr>
        <w:t>, bao gồm</w:t>
      </w:r>
      <w:r w:rsidR="00077D8E" w:rsidRPr="00221A8B">
        <w:rPr>
          <w:kern w:val="28"/>
          <w:szCs w:val="28"/>
          <w:lang w:val="eu-ES"/>
        </w:rPr>
        <w:t xml:space="preserve">: </w:t>
      </w:r>
      <w:r>
        <w:rPr>
          <w:kern w:val="28"/>
          <w:szCs w:val="28"/>
          <w:lang w:val="eu-ES"/>
        </w:rPr>
        <w:t>dự</w:t>
      </w:r>
      <w:r w:rsidR="00077D8E" w:rsidRPr="00221A8B">
        <w:rPr>
          <w:kern w:val="28"/>
          <w:szCs w:val="28"/>
          <w:lang w:val="eu-ES"/>
        </w:rPr>
        <w:t xml:space="preserve"> thảo </w:t>
      </w:r>
      <w:r w:rsidR="008874CF" w:rsidRPr="00221A8B">
        <w:rPr>
          <w:kern w:val="28"/>
          <w:szCs w:val="28"/>
          <w:lang w:val="eu-ES"/>
        </w:rPr>
        <w:t>d</w:t>
      </w:r>
      <w:r w:rsidR="00300B09" w:rsidRPr="00221A8B">
        <w:rPr>
          <w:kern w:val="28"/>
          <w:szCs w:val="28"/>
          <w:lang w:val="eu-ES"/>
        </w:rPr>
        <w:t xml:space="preserve">ự </w:t>
      </w:r>
      <w:r w:rsidR="00077D8E" w:rsidRPr="00221A8B">
        <w:rPr>
          <w:kern w:val="28"/>
          <w:szCs w:val="28"/>
          <w:lang w:val="eu-ES"/>
        </w:rPr>
        <w:t xml:space="preserve">án </w:t>
      </w:r>
      <w:r w:rsidR="00300B09" w:rsidRPr="00221A8B">
        <w:rPr>
          <w:kern w:val="28"/>
          <w:szCs w:val="28"/>
          <w:lang w:val="eu-ES"/>
        </w:rPr>
        <w:t xml:space="preserve">Luật </w:t>
      </w:r>
      <w:r w:rsidR="00776B4B" w:rsidRPr="00221A8B">
        <w:rPr>
          <w:kern w:val="28"/>
          <w:szCs w:val="28"/>
          <w:lang w:val="eu-ES"/>
        </w:rPr>
        <w:t xml:space="preserve">với </w:t>
      </w:r>
      <w:r w:rsidR="001519F3">
        <w:rPr>
          <w:kern w:val="28"/>
          <w:szCs w:val="28"/>
          <w:lang w:val="eu-ES"/>
        </w:rPr>
        <w:t xml:space="preserve">sự cộng tác của </w:t>
      </w:r>
      <w:r w:rsidR="00776B4B" w:rsidRPr="00221A8B">
        <w:rPr>
          <w:kern w:val="28"/>
          <w:szCs w:val="28"/>
          <w:lang w:val="eu-ES"/>
        </w:rPr>
        <w:t>chuyên gia từ Bộ Tư pháp, trường Đại học Luật Hà Nội;</w:t>
      </w:r>
      <w:r w:rsidR="00077D8E" w:rsidRPr="00221A8B">
        <w:rPr>
          <w:kern w:val="28"/>
          <w:szCs w:val="28"/>
          <w:lang w:val="eu-ES"/>
        </w:rPr>
        <w:t xml:space="preserve"> khảo sát</w:t>
      </w:r>
      <w:r w:rsidR="009C2950" w:rsidRPr="00221A8B">
        <w:rPr>
          <w:kern w:val="28"/>
          <w:szCs w:val="28"/>
          <w:lang w:val="eu-ES"/>
        </w:rPr>
        <w:t xml:space="preserve"> một số</w:t>
      </w:r>
      <w:r w:rsidR="00077D8E" w:rsidRPr="00221A8B">
        <w:rPr>
          <w:kern w:val="28"/>
          <w:szCs w:val="28"/>
          <w:lang w:val="eu-ES"/>
        </w:rPr>
        <w:t xml:space="preserve"> </w:t>
      </w:r>
      <w:r w:rsidR="009059BA" w:rsidRPr="00221A8B">
        <w:rPr>
          <w:kern w:val="28"/>
          <w:szCs w:val="28"/>
          <w:lang w:val="eu-ES"/>
        </w:rPr>
        <w:t>THT</w:t>
      </w:r>
      <w:r w:rsidR="00077D8E" w:rsidRPr="00221A8B">
        <w:rPr>
          <w:kern w:val="28"/>
          <w:szCs w:val="28"/>
          <w:lang w:val="eu-ES"/>
        </w:rPr>
        <w:t>, HTX, liên hiệp HTX</w:t>
      </w:r>
      <w:r w:rsidR="009C2950" w:rsidRPr="00221A8B">
        <w:rPr>
          <w:kern w:val="28"/>
          <w:szCs w:val="28"/>
          <w:lang w:val="eu-ES"/>
        </w:rPr>
        <w:t xml:space="preserve"> tại Hà Nội, Thanh Hóa</w:t>
      </w:r>
      <w:r w:rsidR="00077D8E" w:rsidRPr="00221A8B">
        <w:rPr>
          <w:kern w:val="28"/>
          <w:szCs w:val="28"/>
          <w:lang w:val="eu-ES"/>
        </w:rPr>
        <w:t>; nghiên cứu</w:t>
      </w:r>
      <w:r w:rsidR="00106CBA">
        <w:rPr>
          <w:kern w:val="28"/>
          <w:szCs w:val="28"/>
          <w:lang w:val="eu-ES"/>
        </w:rPr>
        <w:t xml:space="preserve">, </w:t>
      </w:r>
      <w:r w:rsidR="00106CBA" w:rsidRPr="00221A8B">
        <w:rPr>
          <w:kern w:val="28"/>
          <w:szCs w:val="28"/>
          <w:lang w:val="eu-ES"/>
        </w:rPr>
        <w:t>dị</w:t>
      </w:r>
      <w:r w:rsidR="00106CBA">
        <w:rPr>
          <w:kern w:val="28"/>
          <w:szCs w:val="28"/>
          <w:lang w:val="eu-ES"/>
        </w:rPr>
        <w:t>ch</w:t>
      </w:r>
      <w:r w:rsidR="00106CBA" w:rsidRPr="00221A8B">
        <w:rPr>
          <w:kern w:val="28"/>
          <w:szCs w:val="28"/>
          <w:lang w:val="eu-ES"/>
        </w:rPr>
        <w:t xml:space="preserve"> </w:t>
      </w:r>
      <w:r w:rsidR="00077D8E" w:rsidRPr="00221A8B">
        <w:rPr>
          <w:kern w:val="28"/>
          <w:szCs w:val="28"/>
          <w:lang w:val="eu-ES"/>
        </w:rPr>
        <w:t>các tài liệu trong nước và nước ngoài; tổ chứ</w:t>
      </w:r>
      <w:r w:rsidR="001519F3">
        <w:rPr>
          <w:kern w:val="28"/>
          <w:szCs w:val="28"/>
          <w:lang w:val="eu-ES"/>
        </w:rPr>
        <w:t>c 0</w:t>
      </w:r>
      <w:r w:rsidR="00562556">
        <w:rPr>
          <w:kern w:val="28"/>
          <w:szCs w:val="28"/>
          <w:lang w:val="eu-ES"/>
        </w:rPr>
        <w:t>4</w:t>
      </w:r>
      <w:r w:rsidR="00077D8E" w:rsidRPr="00221A8B">
        <w:rPr>
          <w:kern w:val="28"/>
          <w:szCs w:val="28"/>
          <w:lang w:val="eu-ES"/>
        </w:rPr>
        <w:t xml:space="preserve"> hội thảo lấy ý kiến của các nhà </w:t>
      </w:r>
      <w:r w:rsidR="001519F3">
        <w:rPr>
          <w:kern w:val="28"/>
          <w:szCs w:val="28"/>
          <w:lang w:val="eu-ES"/>
        </w:rPr>
        <w:t xml:space="preserve">quản lý, nhà </w:t>
      </w:r>
      <w:r w:rsidR="00077D8E" w:rsidRPr="00221A8B">
        <w:rPr>
          <w:kern w:val="28"/>
          <w:szCs w:val="28"/>
          <w:lang w:val="eu-ES"/>
        </w:rPr>
        <w:t>khoa học, các chuyên gia</w:t>
      </w:r>
      <w:r w:rsidR="00776B4B" w:rsidRPr="00221A8B">
        <w:rPr>
          <w:kern w:val="28"/>
          <w:szCs w:val="28"/>
          <w:lang w:val="eu-ES"/>
        </w:rPr>
        <w:t>, các HTX, liên hiệp HTX</w:t>
      </w:r>
      <w:r w:rsidR="001519F3">
        <w:rPr>
          <w:kern w:val="28"/>
          <w:szCs w:val="28"/>
          <w:lang w:val="eu-ES"/>
        </w:rPr>
        <w:t>, THT</w:t>
      </w:r>
      <w:r w:rsidR="00077D8E" w:rsidRPr="00221A8B">
        <w:rPr>
          <w:kern w:val="28"/>
          <w:szCs w:val="28"/>
          <w:lang w:val="eu-ES"/>
        </w:rPr>
        <w:t xml:space="preserve"> về </w:t>
      </w:r>
      <w:r w:rsidR="00EF7FAD">
        <w:rPr>
          <w:kern w:val="28"/>
          <w:szCs w:val="28"/>
          <w:lang w:val="eu-ES"/>
        </w:rPr>
        <w:t>các</w:t>
      </w:r>
      <w:r w:rsidR="00077D8E" w:rsidRPr="00221A8B">
        <w:rPr>
          <w:kern w:val="28"/>
          <w:szCs w:val="28"/>
          <w:lang w:val="eu-ES"/>
        </w:rPr>
        <w:t xml:space="preserve"> nội dung dự thảo Luật</w:t>
      </w:r>
      <w:r w:rsidR="00121A79">
        <w:rPr>
          <w:kern w:val="28"/>
          <w:szCs w:val="28"/>
          <w:lang w:val="eu-ES"/>
        </w:rPr>
        <w:t xml:space="preserve">; thành lập </w:t>
      </w:r>
      <w:r w:rsidR="00121A79" w:rsidRPr="009059BA">
        <w:rPr>
          <w:kern w:val="28"/>
          <w:szCs w:val="28"/>
          <w:lang w:val="eu-ES"/>
        </w:rPr>
        <w:t xml:space="preserve">Ban soạn thảo, Tổ biên tập </w:t>
      </w:r>
      <w:r w:rsidR="00121A79">
        <w:rPr>
          <w:kern w:val="28"/>
          <w:szCs w:val="28"/>
          <w:lang w:val="eu-ES"/>
        </w:rPr>
        <w:t>dự án Luật, tổ chức họp lấy ý kiến thành viên Ban soạn thảo, Tổ biên tập</w:t>
      </w:r>
      <w:r w:rsidR="00077D8E" w:rsidRPr="00221A8B">
        <w:rPr>
          <w:kern w:val="28"/>
          <w:szCs w:val="28"/>
          <w:lang w:val="eu-ES"/>
        </w:rPr>
        <w:t>.</w:t>
      </w:r>
      <w:r w:rsidR="00300B09" w:rsidRPr="00221A8B">
        <w:rPr>
          <w:kern w:val="28"/>
          <w:szCs w:val="28"/>
          <w:lang w:val="eu-ES"/>
        </w:rPr>
        <w:t xml:space="preserve"> </w:t>
      </w:r>
      <w:r w:rsidR="001519F3" w:rsidRPr="00136D7D">
        <w:rPr>
          <w:spacing w:val="-2"/>
          <w:kern w:val="28"/>
          <w:szCs w:val="28"/>
          <w:lang w:val="eu-ES"/>
        </w:rPr>
        <w:t>Ngoài ra, Bộ Kế hoạch và Đầu tư đã xây dựng bộ câu hỏi khảo sát, lấy ý kiến thành viên các TCKTHT, nhân dân về một số nội dung sửa đổi Luật trên trang thông tin điện tử</w:t>
      </w:r>
      <w:r w:rsidR="001519F3" w:rsidRPr="00136D7D">
        <w:rPr>
          <w:rStyle w:val="FootnoteReference"/>
          <w:spacing w:val="-2"/>
          <w:kern w:val="28"/>
          <w:szCs w:val="28"/>
          <w:lang w:val="eu-ES"/>
        </w:rPr>
        <w:footnoteReference w:id="12"/>
      </w:r>
      <w:r w:rsidR="001519F3" w:rsidRPr="00136D7D">
        <w:rPr>
          <w:spacing w:val="-2"/>
          <w:kern w:val="28"/>
          <w:szCs w:val="28"/>
          <w:lang w:val="eu-ES"/>
        </w:rPr>
        <w:t>.</w:t>
      </w:r>
    </w:p>
    <w:p w14:paraId="4AC9728F" w14:textId="77777777" w:rsidR="008A720B" w:rsidRPr="009059BA" w:rsidRDefault="008A720B" w:rsidP="00176CD1">
      <w:pPr>
        <w:pStyle w:val="Heading1"/>
        <w:rPr>
          <w:rFonts w:ascii="Times New Roman" w:hAnsi="Times New Roman"/>
        </w:rPr>
      </w:pPr>
      <w:r w:rsidRPr="009059BA">
        <w:rPr>
          <w:rFonts w:ascii="Times New Roman" w:hAnsi="Times New Roman"/>
        </w:rPr>
        <w:t>IV. BỐ CỤC VÀ NỘI DUNG</w:t>
      </w:r>
      <w:r w:rsidR="00C30141" w:rsidRPr="009059BA">
        <w:rPr>
          <w:rFonts w:ascii="Times New Roman" w:hAnsi="Times New Roman"/>
        </w:rPr>
        <w:t xml:space="preserve"> CƠ BẢN CỦA DỰ THẢO</w:t>
      </w:r>
      <w:r w:rsidRPr="009059BA">
        <w:rPr>
          <w:rFonts w:ascii="Times New Roman" w:hAnsi="Times New Roman"/>
        </w:rPr>
        <w:t xml:space="preserve"> LUẬT</w:t>
      </w:r>
    </w:p>
    <w:p w14:paraId="2D3CA98C" w14:textId="77777777" w:rsidR="008A720B" w:rsidRPr="009059BA" w:rsidRDefault="008A720B" w:rsidP="00176CD1">
      <w:pPr>
        <w:pStyle w:val="Heading2"/>
        <w:rPr>
          <w:lang w:val="eu-ES"/>
        </w:rPr>
      </w:pPr>
      <w:r w:rsidRPr="009059BA">
        <w:t xml:space="preserve">1. </w:t>
      </w:r>
      <w:r w:rsidR="00FC6CB3" w:rsidRPr="009059BA">
        <w:rPr>
          <w:lang w:val="eu-ES"/>
        </w:rPr>
        <w:t>Về b</w:t>
      </w:r>
      <w:r w:rsidRPr="009059BA">
        <w:t>ố cục</w:t>
      </w:r>
    </w:p>
    <w:p w14:paraId="0B413249" w14:textId="2FA5D35D" w:rsidR="00FB3138" w:rsidRDefault="00FB3138" w:rsidP="00FC6CB3">
      <w:pPr>
        <w:tabs>
          <w:tab w:val="left" w:pos="993"/>
        </w:tabs>
        <w:spacing w:before="100" w:after="100"/>
        <w:ind w:firstLine="720"/>
        <w:jc w:val="both"/>
        <w:rPr>
          <w:rFonts w:ascii="Times New Roman" w:hAnsi="Times New Roman" w:cs="Times New Roman"/>
          <w:sz w:val="28"/>
          <w:szCs w:val="28"/>
          <w:lang w:val="nl-NL"/>
        </w:rPr>
      </w:pPr>
      <w:r w:rsidRPr="008B54DE">
        <w:rPr>
          <w:rFonts w:ascii="Times New Roman" w:hAnsi="Times New Roman" w:cs="Times New Roman"/>
          <w:spacing w:val="-8"/>
          <w:sz w:val="28"/>
          <w:szCs w:val="28"/>
          <w:lang w:val="en-US"/>
        </w:rPr>
        <w:t xml:space="preserve">Luật </w:t>
      </w:r>
      <w:r w:rsidR="00486882" w:rsidRPr="008B54DE">
        <w:rPr>
          <w:rFonts w:ascii="Times New Roman" w:hAnsi="Times New Roman" w:cs="Times New Roman"/>
          <w:spacing w:val="-8"/>
          <w:sz w:val="28"/>
          <w:szCs w:val="28"/>
          <w:lang w:val="en-US"/>
        </w:rPr>
        <w:t>này</w:t>
      </w:r>
      <w:r w:rsidR="00E351C2" w:rsidRPr="008B54DE">
        <w:rPr>
          <w:rFonts w:ascii="Times New Roman" w:hAnsi="Times New Roman" w:cs="Times New Roman"/>
          <w:spacing w:val="-8"/>
          <w:sz w:val="28"/>
          <w:szCs w:val="28"/>
          <w:lang w:val="en-US"/>
        </w:rPr>
        <w:t xml:space="preserve"> bổ sung đối tượng điều chỉnh gồm THT và Liên đoàn HTX</w:t>
      </w:r>
      <w:r w:rsidR="008B54DE">
        <w:rPr>
          <w:rFonts w:ascii="Times New Roman" w:hAnsi="Times New Roman" w:cs="Times New Roman"/>
          <w:spacing w:val="-8"/>
          <w:sz w:val="28"/>
          <w:szCs w:val="28"/>
          <w:lang w:val="en-US"/>
        </w:rPr>
        <w:t>,</w:t>
      </w:r>
      <w:r w:rsidR="00E351C2" w:rsidRPr="008B54DE">
        <w:rPr>
          <w:rFonts w:ascii="Times New Roman" w:hAnsi="Times New Roman" w:cs="Times New Roman"/>
          <w:spacing w:val="-8"/>
          <w:sz w:val="28"/>
          <w:szCs w:val="28"/>
          <w:lang w:val="en-US"/>
        </w:rPr>
        <w:t xml:space="preserve"> </w:t>
      </w:r>
      <w:r w:rsidR="009538F3" w:rsidRPr="008B54DE">
        <w:rPr>
          <w:rFonts w:ascii="Times New Roman" w:hAnsi="Times New Roman" w:cs="Times New Roman"/>
          <w:spacing w:val="-8"/>
          <w:sz w:val="28"/>
          <w:szCs w:val="28"/>
          <w:lang w:val="en-US"/>
        </w:rPr>
        <w:t xml:space="preserve">bãi bỏ </w:t>
      </w:r>
      <w:r w:rsidR="00131265" w:rsidRPr="008B54DE">
        <w:rPr>
          <w:rFonts w:ascii="Times New Roman" w:hAnsi="Times New Roman" w:cs="Times New Roman"/>
          <w:spacing w:val="-8"/>
          <w:sz w:val="28"/>
          <w:szCs w:val="28"/>
          <w:lang w:val="en-US"/>
        </w:rPr>
        <w:t>04</w:t>
      </w:r>
      <w:r w:rsidR="00E351C2" w:rsidRPr="008B54DE">
        <w:rPr>
          <w:rFonts w:ascii="Times New Roman" w:hAnsi="Times New Roman" w:cs="Times New Roman"/>
          <w:spacing w:val="-8"/>
          <w:sz w:val="28"/>
          <w:szCs w:val="28"/>
          <w:lang w:val="en-US"/>
        </w:rPr>
        <w:t xml:space="preserve"> Đ</w:t>
      </w:r>
      <w:r w:rsidR="009538F3" w:rsidRPr="008B54DE">
        <w:rPr>
          <w:rFonts w:ascii="Times New Roman" w:hAnsi="Times New Roman" w:cs="Times New Roman"/>
          <w:spacing w:val="-8"/>
          <w:sz w:val="28"/>
          <w:szCs w:val="28"/>
          <w:lang w:val="en-US"/>
        </w:rPr>
        <w:t>iều</w:t>
      </w:r>
      <w:r w:rsidR="00131265" w:rsidRPr="008B54DE">
        <w:rPr>
          <w:rStyle w:val="FootnoteReference"/>
          <w:rFonts w:ascii="Times New Roman" w:hAnsi="Times New Roman" w:cs="Times New Roman"/>
          <w:spacing w:val="-8"/>
          <w:sz w:val="28"/>
          <w:szCs w:val="28"/>
          <w:lang w:val="en-US"/>
        </w:rPr>
        <w:footnoteReference w:id="13"/>
      </w:r>
      <w:r w:rsidR="009538F3" w:rsidRPr="008B54DE">
        <w:rPr>
          <w:rFonts w:ascii="Times New Roman" w:hAnsi="Times New Roman" w:cs="Times New Roman"/>
          <w:spacing w:val="-8"/>
          <w:sz w:val="28"/>
          <w:szCs w:val="28"/>
          <w:lang w:val="en-US"/>
        </w:rPr>
        <w:t>,</w:t>
      </w:r>
      <w:r w:rsidR="003B1418" w:rsidRPr="008B54DE">
        <w:rPr>
          <w:rFonts w:ascii="Times New Roman" w:hAnsi="Times New Roman" w:cs="Times New Roman"/>
          <w:spacing w:val="-8"/>
          <w:sz w:val="28"/>
          <w:szCs w:val="28"/>
          <w:lang w:val="en-US"/>
        </w:rPr>
        <w:t xml:space="preserve"> sửa đổi 70</w:t>
      </w:r>
      <w:r w:rsidR="003B1418" w:rsidRPr="008B54DE">
        <w:rPr>
          <w:rStyle w:val="FootnoteReference"/>
          <w:rFonts w:ascii="Times New Roman" w:hAnsi="Times New Roman" w:cs="Times New Roman"/>
          <w:spacing w:val="-8"/>
          <w:sz w:val="28"/>
          <w:szCs w:val="28"/>
          <w:lang w:val="en-US"/>
        </w:rPr>
        <w:footnoteReference w:id="14"/>
      </w:r>
      <w:r w:rsidR="003B1418" w:rsidRPr="008B54DE">
        <w:rPr>
          <w:rFonts w:ascii="Times New Roman" w:hAnsi="Times New Roman" w:cs="Times New Roman"/>
          <w:spacing w:val="-8"/>
          <w:sz w:val="28"/>
          <w:szCs w:val="28"/>
          <w:lang w:val="en-US"/>
        </w:rPr>
        <w:t xml:space="preserve"> Điều,</w:t>
      </w:r>
      <w:r w:rsidR="009538F3" w:rsidRPr="008B54DE">
        <w:rPr>
          <w:rFonts w:ascii="Times New Roman" w:hAnsi="Times New Roman" w:cs="Times New Roman"/>
          <w:spacing w:val="-8"/>
          <w:sz w:val="28"/>
          <w:szCs w:val="28"/>
          <w:lang w:val="en-US"/>
        </w:rPr>
        <w:t xml:space="preserve"> bổ sung </w:t>
      </w:r>
      <w:r w:rsidR="00131265" w:rsidRPr="008B54DE">
        <w:rPr>
          <w:rFonts w:ascii="Times New Roman" w:hAnsi="Times New Roman" w:cs="Times New Roman"/>
          <w:spacing w:val="-8"/>
          <w:sz w:val="28"/>
          <w:szCs w:val="28"/>
          <w:lang w:val="en-US"/>
        </w:rPr>
        <w:t>50</w:t>
      </w:r>
      <w:r w:rsidR="009538F3" w:rsidRPr="008B54DE">
        <w:rPr>
          <w:rFonts w:ascii="Times New Roman" w:hAnsi="Times New Roman" w:cs="Times New Roman"/>
          <w:spacing w:val="-8"/>
          <w:sz w:val="28"/>
          <w:szCs w:val="28"/>
          <w:lang w:val="en-US"/>
        </w:rPr>
        <w:t xml:space="preserve"> Điều </w:t>
      </w:r>
      <w:r w:rsidR="00E351C2" w:rsidRPr="008B54DE">
        <w:rPr>
          <w:rFonts w:ascii="Times New Roman" w:hAnsi="Times New Roman" w:cs="Times New Roman"/>
          <w:i/>
          <w:spacing w:val="-8"/>
          <w:sz w:val="28"/>
          <w:szCs w:val="28"/>
          <w:lang w:val="en-US"/>
        </w:rPr>
        <w:t>(</w:t>
      </w:r>
      <w:r w:rsidR="00131265" w:rsidRPr="008B54DE">
        <w:rPr>
          <w:rFonts w:ascii="Times New Roman" w:hAnsi="Times New Roman" w:cs="Times New Roman"/>
          <w:i/>
          <w:spacing w:val="-8"/>
          <w:sz w:val="28"/>
          <w:szCs w:val="28"/>
          <w:lang w:val="en-US"/>
        </w:rPr>
        <w:t>trong đó có 04</w:t>
      </w:r>
      <w:r w:rsidR="00E351C2" w:rsidRPr="008B54DE">
        <w:rPr>
          <w:rFonts w:ascii="Times New Roman" w:hAnsi="Times New Roman" w:cs="Times New Roman"/>
          <w:i/>
          <w:spacing w:val="-8"/>
          <w:sz w:val="28"/>
          <w:szCs w:val="28"/>
          <w:lang w:val="en-US"/>
        </w:rPr>
        <w:t xml:space="preserve"> </w:t>
      </w:r>
      <w:r w:rsidR="009538F3" w:rsidRPr="008B54DE">
        <w:rPr>
          <w:rFonts w:ascii="Times New Roman" w:hAnsi="Times New Roman" w:cs="Times New Roman"/>
          <w:i/>
          <w:spacing w:val="-8"/>
          <w:sz w:val="28"/>
          <w:szCs w:val="28"/>
          <w:lang w:val="en-US"/>
        </w:rPr>
        <w:t>Chương</w:t>
      </w:r>
      <w:r w:rsidR="00131265" w:rsidRPr="008B54DE">
        <w:rPr>
          <w:rFonts w:ascii="Times New Roman" w:hAnsi="Times New Roman" w:cs="Times New Roman"/>
          <w:i/>
          <w:spacing w:val="-8"/>
          <w:sz w:val="28"/>
          <w:szCs w:val="28"/>
          <w:lang w:val="en-US"/>
        </w:rPr>
        <w:t xml:space="preserve"> </w:t>
      </w:r>
      <w:r w:rsidR="009538F3" w:rsidRPr="008B54DE">
        <w:rPr>
          <w:rFonts w:ascii="Times New Roman" w:hAnsi="Times New Roman" w:cs="Times New Roman"/>
          <w:i/>
          <w:spacing w:val="-8"/>
          <w:sz w:val="28"/>
          <w:szCs w:val="28"/>
          <w:lang w:val="en-US"/>
        </w:rPr>
        <w:t xml:space="preserve">về </w:t>
      </w:r>
      <w:r w:rsidR="00131265" w:rsidRPr="008B54DE">
        <w:rPr>
          <w:rFonts w:ascii="Times New Roman" w:hAnsi="Times New Roman" w:cs="Times New Roman"/>
          <w:i/>
          <w:spacing w:val="-8"/>
          <w:sz w:val="28"/>
          <w:szCs w:val="28"/>
          <w:lang w:val="en-US"/>
        </w:rPr>
        <w:t>L</w:t>
      </w:r>
      <w:r w:rsidR="009538F3" w:rsidRPr="008B54DE">
        <w:rPr>
          <w:rFonts w:ascii="Times New Roman" w:hAnsi="Times New Roman" w:cs="Times New Roman"/>
          <w:i/>
          <w:spacing w:val="-8"/>
          <w:sz w:val="28"/>
          <w:szCs w:val="28"/>
          <w:lang w:val="en-US"/>
        </w:rPr>
        <w:t>iên đoàn HTX</w:t>
      </w:r>
      <w:r w:rsidR="009967BA" w:rsidRPr="008B54DE">
        <w:rPr>
          <w:rFonts w:ascii="Times New Roman" w:hAnsi="Times New Roman" w:cs="Times New Roman"/>
          <w:i/>
          <w:spacing w:val="-8"/>
          <w:sz w:val="28"/>
          <w:szCs w:val="28"/>
          <w:lang w:val="en-US"/>
        </w:rPr>
        <w:t xml:space="preserve"> (</w:t>
      </w:r>
      <w:r w:rsidR="00E351C2" w:rsidRPr="008B54DE">
        <w:rPr>
          <w:rFonts w:ascii="Times New Roman" w:hAnsi="Times New Roman" w:cs="Times New Roman"/>
          <w:i/>
          <w:spacing w:val="-8"/>
          <w:sz w:val="28"/>
          <w:szCs w:val="28"/>
          <w:lang w:val="en-US"/>
        </w:rPr>
        <w:t>03 Điều</w:t>
      </w:r>
      <w:r w:rsidR="009967BA" w:rsidRPr="008B54DE">
        <w:rPr>
          <w:rFonts w:ascii="Times New Roman" w:hAnsi="Times New Roman" w:cs="Times New Roman"/>
          <w:i/>
          <w:spacing w:val="-8"/>
          <w:sz w:val="28"/>
          <w:szCs w:val="28"/>
          <w:lang w:val="en-US"/>
        </w:rPr>
        <w:t>)</w:t>
      </w:r>
      <w:r w:rsidR="009538F3" w:rsidRPr="008B54DE">
        <w:rPr>
          <w:rFonts w:ascii="Times New Roman" w:hAnsi="Times New Roman" w:cs="Times New Roman"/>
          <w:i/>
          <w:spacing w:val="-8"/>
          <w:sz w:val="28"/>
          <w:szCs w:val="28"/>
          <w:lang w:val="en-US"/>
        </w:rPr>
        <w:t>, THT</w:t>
      </w:r>
      <w:r w:rsidR="00E351C2" w:rsidRPr="008B54DE">
        <w:rPr>
          <w:rFonts w:ascii="Times New Roman" w:hAnsi="Times New Roman" w:cs="Times New Roman"/>
          <w:i/>
          <w:spacing w:val="-8"/>
          <w:sz w:val="28"/>
          <w:szCs w:val="28"/>
          <w:lang w:val="en-US"/>
        </w:rPr>
        <w:t xml:space="preserve"> (</w:t>
      </w:r>
      <w:r w:rsidR="00131265" w:rsidRPr="008B54DE">
        <w:rPr>
          <w:rFonts w:ascii="Times New Roman" w:hAnsi="Times New Roman" w:cs="Times New Roman"/>
          <w:i/>
          <w:spacing w:val="-8"/>
          <w:sz w:val="28"/>
          <w:szCs w:val="28"/>
          <w:lang w:val="en-US"/>
        </w:rPr>
        <w:t>0</w:t>
      </w:r>
      <w:r w:rsidR="00E351C2" w:rsidRPr="008B54DE">
        <w:rPr>
          <w:rFonts w:ascii="Times New Roman" w:hAnsi="Times New Roman" w:cs="Times New Roman"/>
          <w:i/>
          <w:spacing w:val="-8"/>
          <w:sz w:val="28"/>
          <w:szCs w:val="28"/>
          <w:lang w:val="en-US"/>
        </w:rPr>
        <w:t>9 Điều)</w:t>
      </w:r>
      <w:r w:rsidR="009538F3" w:rsidRPr="008B54DE">
        <w:rPr>
          <w:rFonts w:ascii="Times New Roman" w:hAnsi="Times New Roman" w:cs="Times New Roman"/>
          <w:i/>
          <w:spacing w:val="-8"/>
          <w:sz w:val="28"/>
          <w:szCs w:val="28"/>
          <w:lang w:val="en-US"/>
        </w:rPr>
        <w:t>, Kiểm toán</w:t>
      </w:r>
      <w:r w:rsidR="00E351C2" w:rsidRPr="008B54DE">
        <w:rPr>
          <w:rFonts w:ascii="Times New Roman" w:hAnsi="Times New Roman" w:cs="Times New Roman"/>
          <w:i/>
          <w:spacing w:val="-8"/>
          <w:sz w:val="28"/>
          <w:szCs w:val="28"/>
          <w:lang w:val="en-US"/>
        </w:rPr>
        <w:t xml:space="preserve"> (</w:t>
      </w:r>
      <w:r w:rsidR="00131265" w:rsidRPr="008B54DE">
        <w:rPr>
          <w:rFonts w:ascii="Times New Roman" w:hAnsi="Times New Roman" w:cs="Times New Roman"/>
          <w:i/>
          <w:spacing w:val="-8"/>
          <w:sz w:val="28"/>
          <w:szCs w:val="28"/>
          <w:lang w:val="en-US"/>
        </w:rPr>
        <w:t>04 Điều</w:t>
      </w:r>
      <w:r w:rsidR="00E351C2" w:rsidRPr="008B54DE">
        <w:rPr>
          <w:rFonts w:ascii="Times New Roman" w:hAnsi="Times New Roman" w:cs="Times New Roman"/>
          <w:i/>
          <w:spacing w:val="-8"/>
          <w:sz w:val="28"/>
          <w:szCs w:val="28"/>
          <w:lang w:val="en-US"/>
        </w:rPr>
        <w:t>)</w:t>
      </w:r>
      <w:r w:rsidR="009538F3" w:rsidRPr="008B54DE">
        <w:rPr>
          <w:rFonts w:ascii="Times New Roman" w:hAnsi="Times New Roman" w:cs="Times New Roman"/>
          <w:i/>
          <w:spacing w:val="-8"/>
          <w:sz w:val="28"/>
          <w:szCs w:val="28"/>
          <w:lang w:val="en-US"/>
        </w:rPr>
        <w:t xml:space="preserve"> và Chính sách hỗ trợ </w:t>
      </w:r>
      <w:r w:rsidR="00131265" w:rsidRPr="008B54DE">
        <w:rPr>
          <w:rFonts w:ascii="Times New Roman" w:hAnsi="Times New Roman" w:cs="Times New Roman"/>
          <w:i/>
          <w:spacing w:val="-8"/>
          <w:sz w:val="28"/>
          <w:szCs w:val="28"/>
          <w:lang w:val="en-US"/>
        </w:rPr>
        <w:t>(06 Điều</w:t>
      </w:r>
      <w:r w:rsidR="009538F3" w:rsidRPr="008B54DE">
        <w:rPr>
          <w:rFonts w:ascii="Times New Roman" w:hAnsi="Times New Roman" w:cs="Times New Roman"/>
          <w:i/>
          <w:spacing w:val="-8"/>
          <w:sz w:val="28"/>
          <w:szCs w:val="28"/>
          <w:lang w:val="en-US"/>
        </w:rPr>
        <w:t>)</w:t>
      </w:r>
      <w:r w:rsidR="00131265" w:rsidRPr="008B54DE">
        <w:rPr>
          <w:rFonts w:ascii="Times New Roman" w:hAnsi="Times New Roman" w:cs="Times New Roman"/>
          <w:i/>
          <w:spacing w:val="-8"/>
          <w:sz w:val="28"/>
          <w:szCs w:val="28"/>
          <w:lang w:val="en-US"/>
        </w:rPr>
        <w:t>)</w:t>
      </w:r>
      <w:r w:rsidR="009538F3" w:rsidRPr="008B54DE">
        <w:rPr>
          <w:rFonts w:ascii="Times New Roman" w:hAnsi="Times New Roman" w:cs="Times New Roman"/>
          <w:spacing w:val="-8"/>
          <w:sz w:val="28"/>
          <w:szCs w:val="28"/>
          <w:lang w:val="en-US"/>
        </w:rPr>
        <w:t xml:space="preserve"> và </w:t>
      </w:r>
      <w:r w:rsidRPr="008B54DE">
        <w:rPr>
          <w:rFonts w:ascii="Times New Roman" w:hAnsi="Times New Roman" w:cs="Times New Roman"/>
          <w:spacing w:val="-8"/>
          <w:sz w:val="28"/>
          <w:szCs w:val="28"/>
          <w:lang w:val="en-US"/>
        </w:rPr>
        <w:t xml:space="preserve">được thiết kế gồm 05 Phần, 15 </w:t>
      </w:r>
      <w:r w:rsidRPr="008B54DE">
        <w:rPr>
          <w:rFonts w:ascii="Times New Roman" w:hAnsi="Times New Roman" w:cs="Times New Roman"/>
          <w:sz w:val="28"/>
          <w:szCs w:val="28"/>
          <w:lang w:val="en-US"/>
        </w:rPr>
        <w:t>Chương, 120 Điều</w:t>
      </w:r>
      <w:r w:rsidRPr="008B54DE">
        <w:rPr>
          <w:rStyle w:val="FootnoteReference"/>
          <w:rFonts w:ascii="Times New Roman" w:hAnsi="Times New Roman" w:cs="Times New Roman"/>
          <w:sz w:val="28"/>
          <w:szCs w:val="28"/>
          <w:lang w:val="en-US"/>
        </w:rPr>
        <w:footnoteReference w:id="15"/>
      </w:r>
      <w:r w:rsidRPr="008B54DE">
        <w:rPr>
          <w:rFonts w:ascii="Times New Roman" w:hAnsi="Times New Roman" w:cs="Times New Roman"/>
          <w:sz w:val="28"/>
          <w:szCs w:val="28"/>
          <w:lang w:val="en-US"/>
        </w:rPr>
        <w:t xml:space="preserve">, cụ thể </w:t>
      </w:r>
      <w:r w:rsidRPr="008B54DE">
        <w:rPr>
          <w:rFonts w:ascii="Times New Roman" w:hAnsi="Times New Roman" w:cs="Times New Roman"/>
          <w:sz w:val="28"/>
          <w:szCs w:val="28"/>
          <w:lang w:val="nl-NL"/>
        </w:rPr>
        <w:t>như sau:</w:t>
      </w:r>
    </w:p>
    <w:p w14:paraId="5F32C680" w14:textId="1F35D321" w:rsidR="00997CA6" w:rsidRPr="009059BA" w:rsidRDefault="00997CA6" w:rsidP="00FC6CB3">
      <w:pPr>
        <w:tabs>
          <w:tab w:val="left" w:pos="993"/>
        </w:tabs>
        <w:spacing w:before="100" w:after="100"/>
        <w:ind w:firstLine="720"/>
        <w:jc w:val="both"/>
        <w:rPr>
          <w:rFonts w:ascii="Times New Roman" w:hAnsi="Times New Roman" w:cs="Times New Roman"/>
          <w:sz w:val="28"/>
          <w:szCs w:val="28"/>
          <w:lang w:val="nl-NL"/>
        </w:rPr>
      </w:pPr>
      <w:r w:rsidRPr="009059BA">
        <w:rPr>
          <w:rFonts w:ascii="Times New Roman" w:hAnsi="Times New Roman" w:cs="Times New Roman"/>
          <w:sz w:val="28"/>
          <w:szCs w:val="28"/>
          <w:lang w:val="nl-NL"/>
        </w:rPr>
        <w:t xml:space="preserve">i) Phần thứ nhất: </w:t>
      </w:r>
      <w:r w:rsidR="00BC23F2">
        <w:rPr>
          <w:rFonts w:ascii="Times New Roman" w:hAnsi="Times New Roman" w:cs="Times New Roman"/>
          <w:sz w:val="28"/>
          <w:szCs w:val="28"/>
          <w:lang w:val="nl-NL"/>
        </w:rPr>
        <w:t>Qu</w:t>
      </w:r>
      <w:r w:rsidRPr="009059BA">
        <w:rPr>
          <w:rFonts w:ascii="Times New Roman" w:hAnsi="Times New Roman" w:cs="Times New Roman"/>
          <w:sz w:val="28"/>
          <w:szCs w:val="28"/>
          <w:lang w:val="nl-NL"/>
        </w:rPr>
        <w:t>y định chung của Luật</w:t>
      </w:r>
      <w:r w:rsidR="001A3E55" w:rsidRPr="009059BA">
        <w:rPr>
          <w:rFonts w:ascii="Times New Roman" w:hAnsi="Times New Roman" w:cs="Times New Roman"/>
          <w:sz w:val="28"/>
          <w:szCs w:val="28"/>
          <w:lang w:val="nl-NL"/>
        </w:rPr>
        <w:t xml:space="preserve">, gồm </w:t>
      </w:r>
      <w:r w:rsidR="002103A0" w:rsidRPr="009059BA">
        <w:rPr>
          <w:rFonts w:ascii="Times New Roman" w:hAnsi="Times New Roman" w:cs="Times New Roman"/>
          <w:sz w:val="28"/>
          <w:szCs w:val="28"/>
          <w:lang w:val="nl-NL"/>
        </w:rPr>
        <w:t xml:space="preserve">1 chương, </w:t>
      </w:r>
      <w:r w:rsidR="00A24DFE" w:rsidRPr="009059BA">
        <w:rPr>
          <w:rFonts w:ascii="Times New Roman" w:hAnsi="Times New Roman" w:cs="Times New Roman"/>
          <w:sz w:val="28"/>
          <w:szCs w:val="28"/>
          <w:lang w:val="nl-NL"/>
        </w:rPr>
        <w:t>8</w:t>
      </w:r>
      <w:r w:rsidR="001A3E55" w:rsidRPr="009059BA">
        <w:rPr>
          <w:rFonts w:ascii="Times New Roman" w:hAnsi="Times New Roman" w:cs="Times New Roman"/>
          <w:sz w:val="28"/>
          <w:szCs w:val="28"/>
          <w:lang w:val="nl-NL"/>
        </w:rPr>
        <w:t xml:space="preserve"> điều từ Điều 1 đến Điều </w:t>
      </w:r>
      <w:r w:rsidR="00A24DFE" w:rsidRPr="009059BA">
        <w:rPr>
          <w:rFonts w:ascii="Times New Roman" w:hAnsi="Times New Roman" w:cs="Times New Roman"/>
          <w:sz w:val="28"/>
          <w:szCs w:val="28"/>
          <w:lang w:val="nl-NL"/>
        </w:rPr>
        <w:t>8</w:t>
      </w:r>
      <w:r w:rsidR="001A3E55" w:rsidRPr="009059BA">
        <w:rPr>
          <w:rFonts w:ascii="Times New Roman" w:hAnsi="Times New Roman" w:cs="Times New Roman"/>
          <w:sz w:val="28"/>
          <w:szCs w:val="28"/>
          <w:lang w:val="nl-NL"/>
        </w:rPr>
        <w:t>.</w:t>
      </w:r>
    </w:p>
    <w:p w14:paraId="39F60E3E" w14:textId="7781E161" w:rsidR="004E0270" w:rsidRPr="009059BA" w:rsidRDefault="00997CA6" w:rsidP="00FC6CB3">
      <w:pPr>
        <w:tabs>
          <w:tab w:val="left" w:pos="993"/>
        </w:tabs>
        <w:spacing w:before="100" w:after="100"/>
        <w:ind w:firstLine="720"/>
        <w:jc w:val="both"/>
        <w:rPr>
          <w:rFonts w:ascii="Times New Roman" w:hAnsi="Times New Roman" w:cs="Times New Roman"/>
          <w:sz w:val="28"/>
          <w:szCs w:val="28"/>
          <w:lang w:val="nl-NL"/>
        </w:rPr>
      </w:pPr>
      <w:r w:rsidRPr="009059BA">
        <w:rPr>
          <w:rFonts w:ascii="Times New Roman" w:hAnsi="Times New Roman" w:cs="Times New Roman"/>
          <w:sz w:val="28"/>
          <w:szCs w:val="28"/>
          <w:lang w:val="nl-NL"/>
        </w:rPr>
        <w:t xml:space="preserve">ii) Phần thứ hai: </w:t>
      </w:r>
      <w:r w:rsidR="001F61F6">
        <w:rPr>
          <w:rFonts w:ascii="Times New Roman" w:hAnsi="Times New Roman" w:cs="Times New Roman"/>
          <w:sz w:val="28"/>
          <w:szCs w:val="28"/>
          <w:lang w:val="nl-NL"/>
        </w:rPr>
        <w:t>TCKTHT</w:t>
      </w:r>
      <w:r w:rsidR="00EE0EC8">
        <w:rPr>
          <w:rFonts w:ascii="Times New Roman" w:hAnsi="Times New Roman" w:cs="Times New Roman"/>
          <w:sz w:val="28"/>
          <w:szCs w:val="28"/>
          <w:lang w:val="nl-NL"/>
        </w:rPr>
        <w:t xml:space="preserve"> có tư cách pháp nhân</w:t>
      </w:r>
      <w:r w:rsidR="00966A8B">
        <w:rPr>
          <w:rStyle w:val="FootnoteReference"/>
          <w:rFonts w:ascii="Times New Roman" w:hAnsi="Times New Roman" w:cs="Times New Roman"/>
          <w:sz w:val="28"/>
          <w:szCs w:val="28"/>
          <w:lang w:val="nl-NL"/>
        </w:rPr>
        <w:footnoteReference w:id="16"/>
      </w:r>
      <w:r w:rsidR="009059BA" w:rsidRPr="009059BA">
        <w:rPr>
          <w:rFonts w:ascii="Times New Roman" w:hAnsi="Times New Roman" w:cs="Times New Roman"/>
          <w:sz w:val="28"/>
          <w:szCs w:val="28"/>
          <w:lang w:val="nl-NL"/>
        </w:rPr>
        <w:t xml:space="preserve"> </w:t>
      </w:r>
      <w:r w:rsidR="00EE0EC8" w:rsidRPr="00EE0EC8">
        <w:rPr>
          <w:rFonts w:ascii="Times New Roman" w:hAnsi="Times New Roman" w:cs="Times New Roman"/>
          <w:sz w:val="28"/>
          <w:szCs w:val="28"/>
          <w:lang w:val="nl-NL"/>
        </w:rPr>
        <w:t>(sau đây viết tắt là TCKTHTCTCPN)</w:t>
      </w:r>
      <w:r w:rsidR="00C87D0E">
        <w:rPr>
          <w:rFonts w:ascii="Times New Roman" w:hAnsi="Times New Roman" w:cs="Times New Roman"/>
          <w:sz w:val="28"/>
          <w:szCs w:val="28"/>
          <w:lang w:val="nl-NL"/>
        </w:rPr>
        <w:t>,</w:t>
      </w:r>
      <w:r w:rsidR="00EE0EC8" w:rsidRPr="00EE0EC8">
        <w:rPr>
          <w:rFonts w:ascii="Times New Roman" w:hAnsi="Times New Roman" w:cs="Times New Roman"/>
          <w:sz w:val="28"/>
          <w:szCs w:val="28"/>
          <w:lang w:val="nl-NL"/>
        </w:rPr>
        <w:t xml:space="preserve"> </w:t>
      </w:r>
      <w:r w:rsidRPr="009059BA">
        <w:rPr>
          <w:rFonts w:ascii="Times New Roman" w:hAnsi="Times New Roman" w:cs="Times New Roman"/>
          <w:sz w:val="28"/>
          <w:szCs w:val="28"/>
          <w:lang w:val="nl-NL"/>
        </w:rPr>
        <w:t xml:space="preserve">bao gồm nhóm các điều quy định chung, </w:t>
      </w:r>
      <w:r w:rsidR="00147348" w:rsidRPr="009059BA">
        <w:rPr>
          <w:rFonts w:ascii="Times New Roman" w:hAnsi="Times New Roman" w:cs="Times New Roman"/>
          <w:sz w:val="28"/>
          <w:szCs w:val="28"/>
          <w:lang w:val="nl-NL"/>
        </w:rPr>
        <w:t xml:space="preserve">thành lập, tổ chức quản lý, tài sản, tài chính; nhóm các điều quy định riêng cho HTX, liên hiệp HTX, liên đoàn HTX; tổ chức lại, giải thể, </w:t>
      </w:r>
      <w:r w:rsidR="001A3E55" w:rsidRPr="009059BA">
        <w:rPr>
          <w:rFonts w:ascii="Times New Roman" w:hAnsi="Times New Roman" w:cs="Times New Roman"/>
          <w:sz w:val="28"/>
          <w:szCs w:val="28"/>
          <w:lang w:val="nl-NL"/>
        </w:rPr>
        <w:t xml:space="preserve">phá sản và kiểm toán. </w:t>
      </w:r>
      <w:r w:rsidR="002103A0" w:rsidRPr="009059BA">
        <w:rPr>
          <w:rFonts w:ascii="Times New Roman" w:hAnsi="Times New Roman" w:cs="Times New Roman"/>
          <w:sz w:val="28"/>
          <w:szCs w:val="28"/>
          <w:lang w:val="nl-NL"/>
        </w:rPr>
        <w:t>Bao gồm 9 chương, 9</w:t>
      </w:r>
      <w:r w:rsidR="00131265">
        <w:rPr>
          <w:rFonts w:ascii="Times New Roman" w:hAnsi="Times New Roman" w:cs="Times New Roman"/>
          <w:sz w:val="28"/>
          <w:szCs w:val="28"/>
          <w:lang w:val="nl-NL"/>
        </w:rPr>
        <w:t>0</w:t>
      </w:r>
      <w:r w:rsidR="002103A0" w:rsidRPr="009059BA">
        <w:rPr>
          <w:rFonts w:ascii="Times New Roman" w:hAnsi="Times New Roman" w:cs="Times New Roman"/>
          <w:sz w:val="28"/>
          <w:szCs w:val="28"/>
          <w:lang w:val="nl-NL"/>
        </w:rPr>
        <w:t xml:space="preserve"> điều</w:t>
      </w:r>
      <w:r w:rsidR="001A3E55" w:rsidRPr="009059BA">
        <w:rPr>
          <w:rFonts w:ascii="Times New Roman" w:hAnsi="Times New Roman" w:cs="Times New Roman"/>
          <w:sz w:val="28"/>
          <w:szCs w:val="28"/>
          <w:lang w:val="nl-NL"/>
        </w:rPr>
        <w:t xml:space="preserve"> từ Điều </w:t>
      </w:r>
      <w:r w:rsidR="00A24DFE" w:rsidRPr="009059BA">
        <w:rPr>
          <w:rFonts w:ascii="Times New Roman" w:hAnsi="Times New Roman" w:cs="Times New Roman"/>
          <w:sz w:val="28"/>
          <w:szCs w:val="28"/>
          <w:lang w:val="nl-NL"/>
        </w:rPr>
        <w:t>9</w:t>
      </w:r>
      <w:r w:rsidR="001A3E55" w:rsidRPr="009059BA">
        <w:rPr>
          <w:rFonts w:ascii="Times New Roman" w:hAnsi="Times New Roman" w:cs="Times New Roman"/>
          <w:sz w:val="28"/>
          <w:szCs w:val="28"/>
          <w:lang w:val="nl-NL"/>
        </w:rPr>
        <w:t xml:space="preserve"> đến Điều </w:t>
      </w:r>
      <w:r w:rsidR="00131265">
        <w:rPr>
          <w:rFonts w:ascii="Times New Roman" w:hAnsi="Times New Roman" w:cs="Times New Roman"/>
          <w:sz w:val="28"/>
          <w:szCs w:val="28"/>
          <w:lang w:val="nl-NL"/>
        </w:rPr>
        <w:t>98</w:t>
      </w:r>
      <w:r w:rsidR="002103A0" w:rsidRPr="009059BA">
        <w:rPr>
          <w:rFonts w:ascii="Times New Roman" w:hAnsi="Times New Roman" w:cs="Times New Roman"/>
          <w:sz w:val="28"/>
          <w:szCs w:val="28"/>
          <w:lang w:val="nl-NL"/>
        </w:rPr>
        <w:t>.</w:t>
      </w:r>
    </w:p>
    <w:p w14:paraId="2F8D3006" w14:textId="79804A6A" w:rsidR="001A3E55" w:rsidRPr="009059BA" w:rsidRDefault="001A3E55" w:rsidP="00FC6CB3">
      <w:pPr>
        <w:tabs>
          <w:tab w:val="left" w:pos="993"/>
        </w:tabs>
        <w:spacing w:before="100" w:after="100"/>
        <w:ind w:firstLine="720"/>
        <w:jc w:val="both"/>
        <w:rPr>
          <w:rFonts w:ascii="Times New Roman" w:hAnsi="Times New Roman" w:cs="Times New Roman"/>
          <w:sz w:val="28"/>
          <w:szCs w:val="28"/>
          <w:lang w:val="nl-NL"/>
        </w:rPr>
      </w:pPr>
      <w:r w:rsidRPr="009059BA">
        <w:rPr>
          <w:rFonts w:ascii="Times New Roman" w:hAnsi="Times New Roman" w:cs="Times New Roman"/>
          <w:sz w:val="28"/>
          <w:szCs w:val="28"/>
          <w:lang w:val="nl-NL"/>
        </w:rPr>
        <w:lastRenderedPageBreak/>
        <w:t xml:space="preserve">iii) Phần thứ ba: </w:t>
      </w:r>
      <w:r w:rsidR="009059BA" w:rsidRPr="009059BA">
        <w:rPr>
          <w:rFonts w:ascii="Times New Roman" w:hAnsi="Times New Roman" w:cs="Times New Roman"/>
          <w:sz w:val="28"/>
          <w:szCs w:val="28"/>
          <w:lang w:val="nl-NL"/>
        </w:rPr>
        <w:t>THT</w:t>
      </w:r>
      <w:r w:rsidRPr="009059BA">
        <w:rPr>
          <w:rFonts w:ascii="Times New Roman" w:hAnsi="Times New Roman" w:cs="Times New Roman"/>
          <w:sz w:val="28"/>
          <w:szCs w:val="28"/>
          <w:lang w:val="nl-NL"/>
        </w:rPr>
        <w:t xml:space="preserve">, bao gồm nhóm các điều quy định chung về </w:t>
      </w:r>
      <w:r w:rsidR="009059BA" w:rsidRPr="009059BA">
        <w:rPr>
          <w:rFonts w:ascii="Times New Roman" w:hAnsi="Times New Roman" w:cs="Times New Roman"/>
          <w:sz w:val="28"/>
          <w:szCs w:val="28"/>
          <w:lang w:val="nl-NL"/>
        </w:rPr>
        <w:t>THT</w:t>
      </w:r>
      <w:r w:rsidRPr="009059BA">
        <w:rPr>
          <w:rFonts w:ascii="Times New Roman" w:hAnsi="Times New Roman" w:cs="Times New Roman"/>
          <w:sz w:val="28"/>
          <w:szCs w:val="28"/>
          <w:lang w:val="nl-NL"/>
        </w:rPr>
        <w:t xml:space="preserve">, thành lập và chấm dứt hoạt động, tổ chức và điều hành </w:t>
      </w:r>
      <w:r w:rsidR="009059BA" w:rsidRPr="009059BA">
        <w:rPr>
          <w:rFonts w:ascii="Times New Roman" w:hAnsi="Times New Roman" w:cs="Times New Roman"/>
          <w:sz w:val="28"/>
          <w:szCs w:val="28"/>
          <w:lang w:val="nl-NL"/>
        </w:rPr>
        <w:t>THT</w:t>
      </w:r>
      <w:r w:rsidRPr="009059BA">
        <w:rPr>
          <w:rFonts w:ascii="Times New Roman" w:hAnsi="Times New Roman" w:cs="Times New Roman"/>
          <w:sz w:val="28"/>
          <w:szCs w:val="28"/>
          <w:lang w:val="nl-NL"/>
        </w:rPr>
        <w:t>.</w:t>
      </w:r>
      <w:r w:rsidR="002103A0" w:rsidRPr="009059BA">
        <w:rPr>
          <w:rFonts w:ascii="Times New Roman" w:hAnsi="Times New Roman" w:cs="Times New Roman"/>
          <w:sz w:val="28"/>
          <w:szCs w:val="28"/>
          <w:lang w:val="nl-NL"/>
        </w:rPr>
        <w:t xml:space="preserve"> Bao gồm 1 chương, </w:t>
      </w:r>
      <w:r w:rsidR="00131265">
        <w:rPr>
          <w:rFonts w:ascii="Times New Roman" w:hAnsi="Times New Roman" w:cs="Times New Roman"/>
          <w:sz w:val="28"/>
          <w:szCs w:val="28"/>
          <w:lang w:val="nl-NL"/>
        </w:rPr>
        <w:t>9</w:t>
      </w:r>
      <w:r w:rsidR="002103A0" w:rsidRPr="009059BA">
        <w:rPr>
          <w:rFonts w:ascii="Times New Roman" w:hAnsi="Times New Roman" w:cs="Times New Roman"/>
          <w:sz w:val="28"/>
          <w:szCs w:val="28"/>
          <w:lang w:val="nl-NL"/>
        </w:rPr>
        <w:t xml:space="preserve"> điều từ Điều </w:t>
      </w:r>
      <w:r w:rsidR="00131265">
        <w:rPr>
          <w:rFonts w:ascii="Times New Roman" w:hAnsi="Times New Roman" w:cs="Times New Roman"/>
          <w:sz w:val="28"/>
          <w:szCs w:val="28"/>
          <w:lang w:val="nl-NL"/>
        </w:rPr>
        <w:t>99</w:t>
      </w:r>
      <w:r w:rsidR="002103A0" w:rsidRPr="009059BA">
        <w:rPr>
          <w:rFonts w:ascii="Times New Roman" w:hAnsi="Times New Roman" w:cs="Times New Roman"/>
          <w:sz w:val="28"/>
          <w:szCs w:val="28"/>
          <w:lang w:val="nl-NL"/>
        </w:rPr>
        <w:t xml:space="preserve"> đến Điều 10</w:t>
      </w:r>
      <w:r w:rsidR="00A24DFE" w:rsidRPr="009059BA">
        <w:rPr>
          <w:rFonts w:ascii="Times New Roman" w:hAnsi="Times New Roman" w:cs="Times New Roman"/>
          <w:sz w:val="28"/>
          <w:szCs w:val="28"/>
          <w:lang w:val="nl-NL"/>
        </w:rPr>
        <w:t>7</w:t>
      </w:r>
      <w:r w:rsidR="002103A0" w:rsidRPr="009059BA">
        <w:rPr>
          <w:rFonts w:ascii="Times New Roman" w:hAnsi="Times New Roman" w:cs="Times New Roman"/>
          <w:sz w:val="28"/>
          <w:szCs w:val="28"/>
          <w:lang w:val="nl-NL"/>
        </w:rPr>
        <w:t>.</w:t>
      </w:r>
    </w:p>
    <w:p w14:paraId="5678254E" w14:textId="77777777" w:rsidR="001A3E55" w:rsidRPr="009059BA" w:rsidRDefault="001A3E55" w:rsidP="00FC6CB3">
      <w:pPr>
        <w:tabs>
          <w:tab w:val="left" w:pos="993"/>
        </w:tabs>
        <w:spacing w:before="100" w:after="100"/>
        <w:ind w:firstLine="720"/>
        <w:jc w:val="both"/>
        <w:rPr>
          <w:rFonts w:ascii="Times New Roman" w:hAnsi="Times New Roman" w:cs="Times New Roman"/>
          <w:sz w:val="28"/>
          <w:szCs w:val="28"/>
          <w:lang w:val="nl-NL"/>
        </w:rPr>
      </w:pPr>
      <w:r w:rsidRPr="009059BA">
        <w:rPr>
          <w:rFonts w:ascii="Times New Roman" w:hAnsi="Times New Roman" w:cs="Times New Roman"/>
          <w:sz w:val="28"/>
          <w:szCs w:val="28"/>
          <w:lang w:val="nl-NL"/>
        </w:rPr>
        <w:t>iv) Phần thứ tư: Các tổ chức đại diện</w:t>
      </w:r>
      <w:r w:rsidR="00477B26">
        <w:rPr>
          <w:rFonts w:ascii="Times New Roman" w:hAnsi="Times New Roman" w:cs="Times New Roman"/>
          <w:sz w:val="28"/>
          <w:szCs w:val="28"/>
          <w:lang w:val="nl-NL"/>
        </w:rPr>
        <w:t>,</w:t>
      </w:r>
      <w:r w:rsidRPr="009059BA">
        <w:rPr>
          <w:rFonts w:ascii="Times New Roman" w:hAnsi="Times New Roman" w:cs="Times New Roman"/>
          <w:sz w:val="28"/>
          <w:szCs w:val="28"/>
          <w:lang w:val="nl-NL"/>
        </w:rPr>
        <w:t xml:space="preserve"> </w:t>
      </w:r>
      <w:r w:rsidR="00477B26">
        <w:rPr>
          <w:rFonts w:ascii="Times New Roman" w:hAnsi="Times New Roman" w:cs="Times New Roman"/>
          <w:sz w:val="28"/>
          <w:szCs w:val="28"/>
          <w:lang w:val="nl-NL"/>
        </w:rPr>
        <w:t xml:space="preserve">bao gồm </w:t>
      </w:r>
      <w:r w:rsidRPr="009059BA">
        <w:rPr>
          <w:rFonts w:ascii="Times New Roman" w:hAnsi="Times New Roman" w:cs="Times New Roman"/>
          <w:sz w:val="28"/>
          <w:szCs w:val="28"/>
          <w:lang w:val="nl-NL"/>
        </w:rPr>
        <w:t xml:space="preserve">quy định về tổ chức đại diện và liên minh </w:t>
      </w:r>
      <w:r w:rsidR="009059BA" w:rsidRPr="009059BA">
        <w:rPr>
          <w:rFonts w:ascii="Times New Roman" w:hAnsi="Times New Roman" w:cs="Times New Roman"/>
          <w:sz w:val="28"/>
          <w:szCs w:val="28"/>
          <w:lang w:val="nl-NL"/>
        </w:rPr>
        <w:t>HTX</w:t>
      </w:r>
      <w:r w:rsidR="00477B26">
        <w:rPr>
          <w:rFonts w:ascii="Times New Roman" w:hAnsi="Times New Roman" w:cs="Times New Roman"/>
          <w:sz w:val="28"/>
          <w:szCs w:val="28"/>
          <w:lang w:val="nl-NL"/>
        </w:rPr>
        <w:t>,</w:t>
      </w:r>
      <w:r w:rsidR="002103A0" w:rsidRPr="009059BA">
        <w:rPr>
          <w:rFonts w:ascii="Times New Roman" w:hAnsi="Times New Roman" w:cs="Times New Roman"/>
          <w:sz w:val="28"/>
          <w:szCs w:val="28"/>
          <w:lang w:val="nl-NL"/>
        </w:rPr>
        <w:t xml:space="preserve"> gồm 1 chương, 3 điều từ Điều </w:t>
      </w:r>
      <w:r w:rsidR="00A377E0" w:rsidRPr="009059BA">
        <w:rPr>
          <w:rFonts w:ascii="Times New Roman" w:hAnsi="Times New Roman" w:cs="Times New Roman"/>
          <w:sz w:val="28"/>
          <w:szCs w:val="28"/>
          <w:lang w:val="nl-NL"/>
        </w:rPr>
        <w:t>10</w:t>
      </w:r>
      <w:r w:rsidR="00A24DFE" w:rsidRPr="009059BA">
        <w:rPr>
          <w:rFonts w:ascii="Times New Roman" w:hAnsi="Times New Roman" w:cs="Times New Roman"/>
          <w:sz w:val="28"/>
          <w:szCs w:val="28"/>
          <w:lang w:val="nl-NL"/>
        </w:rPr>
        <w:t>8</w:t>
      </w:r>
      <w:r w:rsidR="00A377E0" w:rsidRPr="009059BA">
        <w:rPr>
          <w:rFonts w:ascii="Times New Roman" w:hAnsi="Times New Roman" w:cs="Times New Roman"/>
          <w:sz w:val="28"/>
          <w:szCs w:val="28"/>
          <w:lang w:val="nl-NL"/>
        </w:rPr>
        <w:t xml:space="preserve"> đến Điều 1</w:t>
      </w:r>
      <w:r w:rsidR="00A24DFE" w:rsidRPr="009059BA">
        <w:rPr>
          <w:rFonts w:ascii="Times New Roman" w:hAnsi="Times New Roman" w:cs="Times New Roman"/>
          <w:sz w:val="28"/>
          <w:szCs w:val="28"/>
          <w:lang w:val="nl-NL"/>
        </w:rPr>
        <w:t>10</w:t>
      </w:r>
      <w:r w:rsidR="00A377E0" w:rsidRPr="009059BA">
        <w:rPr>
          <w:rFonts w:ascii="Times New Roman" w:hAnsi="Times New Roman" w:cs="Times New Roman"/>
          <w:sz w:val="28"/>
          <w:szCs w:val="28"/>
          <w:lang w:val="nl-NL"/>
        </w:rPr>
        <w:t>.</w:t>
      </w:r>
    </w:p>
    <w:p w14:paraId="5A3BF3FB" w14:textId="2E25E0D4" w:rsidR="001A3E55" w:rsidRPr="00BA5FD6" w:rsidRDefault="001A3E55" w:rsidP="00FC6CB3">
      <w:pPr>
        <w:tabs>
          <w:tab w:val="left" w:pos="993"/>
        </w:tabs>
        <w:spacing w:before="100" w:after="100"/>
        <w:ind w:firstLine="720"/>
        <w:jc w:val="both"/>
        <w:rPr>
          <w:rFonts w:ascii="Times New Roman" w:hAnsi="Times New Roman" w:cs="Times New Roman"/>
          <w:spacing w:val="-2"/>
          <w:sz w:val="28"/>
          <w:szCs w:val="28"/>
          <w:lang w:val="nl-NL"/>
        </w:rPr>
      </w:pPr>
      <w:r w:rsidRPr="00BA5FD6">
        <w:rPr>
          <w:rFonts w:ascii="Times New Roman" w:hAnsi="Times New Roman" w:cs="Times New Roman"/>
          <w:spacing w:val="-2"/>
          <w:sz w:val="28"/>
          <w:szCs w:val="28"/>
          <w:lang w:val="nl-NL"/>
        </w:rPr>
        <w:t xml:space="preserve">v) Phần thứ năm: </w:t>
      </w:r>
      <w:r w:rsidR="00E57E16" w:rsidRPr="00BA5FD6">
        <w:rPr>
          <w:rFonts w:ascii="Times New Roman" w:hAnsi="Times New Roman" w:cs="Times New Roman"/>
          <w:spacing w:val="-2"/>
          <w:sz w:val="28"/>
          <w:szCs w:val="28"/>
          <w:lang w:val="nl-NL"/>
        </w:rPr>
        <w:t>C</w:t>
      </w:r>
      <w:r w:rsidRPr="00BA5FD6">
        <w:rPr>
          <w:rFonts w:ascii="Times New Roman" w:hAnsi="Times New Roman" w:cs="Times New Roman"/>
          <w:spacing w:val="-2"/>
          <w:sz w:val="28"/>
          <w:szCs w:val="28"/>
          <w:lang w:val="nl-NL"/>
        </w:rPr>
        <w:t xml:space="preserve">hính sách hỗ trợ </w:t>
      </w:r>
      <w:r w:rsidR="00E57E16" w:rsidRPr="00BA5FD6">
        <w:rPr>
          <w:rFonts w:ascii="Times New Roman" w:hAnsi="Times New Roman" w:cs="Times New Roman"/>
          <w:spacing w:val="-2"/>
          <w:sz w:val="28"/>
          <w:szCs w:val="28"/>
          <w:lang w:val="nl-NL"/>
        </w:rPr>
        <w:t xml:space="preserve">và quản lý </w:t>
      </w:r>
      <w:r w:rsidRPr="00BA5FD6">
        <w:rPr>
          <w:rFonts w:ascii="Times New Roman" w:hAnsi="Times New Roman" w:cs="Times New Roman"/>
          <w:spacing w:val="-2"/>
          <w:sz w:val="28"/>
          <w:szCs w:val="28"/>
          <w:lang w:val="nl-NL"/>
        </w:rPr>
        <w:t xml:space="preserve">nhà nước đối với các </w:t>
      </w:r>
      <w:r w:rsidR="00877AED" w:rsidRPr="00BA5FD6">
        <w:rPr>
          <w:rFonts w:ascii="Times New Roman" w:hAnsi="Times New Roman" w:cs="Times New Roman"/>
          <w:spacing w:val="-2"/>
          <w:sz w:val="28"/>
          <w:szCs w:val="28"/>
          <w:lang w:val="nl-NL"/>
        </w:rPr>
        <w:t>TCKTHT</w:t>
      </w:r>
      <w:r w:rsidR="00477B26" w:rsidRPr="00BA5FD6">
        <w:rPr>
          <w:rFonts w:ascii="Times New Roman" w:hAnsi="Times New Roman" w:cs="Times New Roman"/>
          <w:spacing w:val="-2"/>
          <w:sz w:val="28"/>
          <w:szCs w:val="28"/>
          <w:lang w:val="nl-NL"/>
        </w:rPr>
        <w:t>,</w:t>
      </w:r>
      <w:r w:rsidRPr="00BA5FD6">
        <w:rPr>
          <w:rFonts w:ascii="Times New Roman" w:hAnsi="Times New Roman" w:cs="Times New Roman"/>
          <w:spacing w:val="-2"/>
          <w:sz w:val="28"/>
          <w:szCs w:val="28"/>
          <w:lang w:val="nl-NL"/>
        </w:rPr>
        <w:t xml:space="preserve"> bao gồm nhóm các điều quy định về chính sách hỗ trợ</w:t>
      </w:r>
      <w:r w:rsidR="00AC3263" w:rsidRPr="00BA5FD6">
        <w:rPr>
          <w:rFonts w:ascii="Times New Roman" w:hAnsi="Times New Roman" w:cs="Times New Roman"/>
          <w:spacing w:val="-2"/>
          <w:sz w:val="28"/>
          <w:szCs w:val="28"/>
          <w:lang w:val="nl-NL"/>
        </w:rPr>
        <w:t>, quản lý nhà nước</w:t>
      </w:r>
      <w:r w:rsidR="00477B26" w:rsidRPr="00BA5FD6">
        <w:rPr>
          <w:rFonts w:ascii="Times New Roman" w:hAnsi="Times New Roman" w:cs="Times New Roman"/>
          <w:spacing w:val="-2"/>
          <w:sz w:val="28"/>
          <w:szCs w:val="28"/>
          <w:lang w:val="nl-NL"/>
        </w:rPr>
        <w:t xml:space="preserve"> và</w:t>
      </w:r>
      <w:r w:rsidRPr="00BA5FD6">
        <w:rPr>
          <w:rFonts w:ascii="Times New Roman" w:hAnsi="Times New Roman" w:cs="Times New Roman"/>
          <w:spacing w:val="-2"/>
          <w:sz w:val="28"/>
          <w:szCs w:val="28"/>
          <w:lang w:val="nl-NL"/>
        </w:rPr>
        <w:t xml:space="preserve"> điều khoản thi hành.</w:t>
      </w:r>
      <w:r w:rsidR="00A377E0" w:rsidRPr="00BA5FD6">
        <w:rPr>
          <w:rFonts w:ascii="Times New Roman" w:hAnsi="Times New Roman" w:cs="Times New Roman"/>
          <w:spacing w:val="-2"/>
          <w:sz w:val="28"/>
          <w:szCs w:val="28"/>
          <w:lang w:val="nl-NL"/>
        </w:rPr>
        <w:t xml:space="preserve"> Bao gồm 3 chương, 10 điều từ Điều 11</w:t>
      </w:r>
      <w:r w:rsidR="00A24DFE" w:rsidRPr="00BA5FD6">
        <w:rPr>
          <w:rFonts w:ascii="Times New Roman" w:hAnsi="Times New Roman" w:cs="Times New Roman"/>
          <w:spacing w:val="-2"/>
          <w:sz w:val="28"/>
          <w:szCs w:val="28"/>
          <w:lang w:val="nl-NL"/>
        </w:rPr>
        <w:t>1</w:t>
      </w:r>
      <w:r w:rsidR="00A377E0" w:rsidRPr="00BA5FD6">
        <w:rPr>
          <w:rFonts w:ascii="Times New Roman" w:hAnsi="Times New Roman" w:cs="Times New Roman"/>
          <w:spacing w:val="-2"/>
          <w:sz w:val="28"/>
          <w:szCs w:val="28"/>
          <w:lang w:val="nl-NL"/>
        </w:rPr>
        <w:t xml:space="preserve"> đến Điều 1</w:t>
      </w:r>
      <w:r w:rsidR="00A24DFE" w:rsidRPr="00BA5FD6">
        <w:rPr>
          <w:rFonts w:ascii="Times New Roman" w:hAnsi="Times New Roman" w:cs="Times New Roman"/>
          <w:spacing w:val="-2"/>
          <w:sz w:val="28"/>
          <w:szCs w:val="28"/>
          <w:lang w:val="nl-NL"/>
        </w:rPr>
        <w:t>20</w:t>
      </w:r>
      <w:r w:rsidR="00A377E0" w:rsidRPr="00BA5FD6">
        <w:rPr>
          <w:rFonts w:ascii="Times New Roman" w:hAnsi="Times New Roman" w:cs="Times New Roman"/>
          <w:spacing w:val="-2"/>
          <w:sz w:val="28"/>
          <w:szCs w:val="28"/>
          <w:lang w:val="nl-NL"/>
        </w:rPr>
        <w:t>.</w:t>
      </w:r>
    </w:p>
    <w:p w14:paraId="490BCB6F" w14:textId="77777777" w:rsidR="00147348" w:rsidRPr="009059BA" w:rsidRDefault="00147348" w:rsidP="00147348">
      <w:pPr>
        <w:pStyle w:val="Heading2"/>
      </w:pPr>
      <w:r w:rsidRPr="009059BA">
        <w:rPr>
          <w:lang w:val="nb-NO"/>
        </w:rPr>
        <w:t xml:space="preserve">2. </w:t>
      </w:r>
      <w:r w:rsidRPr="009059BA">
        <w:t>Nội dung cơ bản</w:t>
      </w:r>
    </w:p>
    <w:p w14:paraId="648846B3" w14:textId="537098B9" w:rsidR="00AC78C1" w:rsidRPr="009059BA" w:rsidRDefault="00AC78C1" w:rsidP="00AC78C1">
      <w:pPr>
        <w:spacing w:before="120" w:after="120" w:line="240" w:lineRule="auto"/>
        <w:ind w:firstLine="720"/>
        <w:jc w:val="both"/>
        <w:rPr>
          <w:rFonts w:ascii="Times New Roman" w:eastAsia="Times New Roman" w:hAnsi="Times New Roman" w:cs="Times New Roman"/>
          <w:bCs/>
          <w:sz w:val="28"/>
          <w:szCs w:val="28"/>
          <w:lang w:val="nb-NO"/>
        </w:rPr>
      </w:pPr>
      <w:r w:rsidRPr="009059BA">
        <w:rPr>
          <w:rFonts w:ascii="Times New Roman" w:eastAsia="Times New Roman" w:hAnsi="Times New Roman" w:cs="Times New Roman"/>
          <w:bCs/>
          <w:sz w:val="28"/>
          <w:szCs w:val="28"/>
          <w:lang w:val="nb-NO"/>
        </w:rPr>
        <w:t xml:space="preserve">Dự thảo Luật HTX (sửa đổi) đã bám </w:t>
      </w:r>
      <w:r w:rsidR="00AE768F">
        <w:rPr>
          <w:rFonts w:ascii="Times New Roman" w:eastAsia="Times New Roman" w:hAnsi="Times New Roman" w:cs="Times New Roman"/>
          <w:bCs/>
          <w:sz w:val="28"/>
          <w:szCs w:val="28"/>
          <w:lang w:val="nb-NO"/>
        </w:rPr>
        <w:t>sát</w:t>
      </w:r>
      <w:r w:rsidR="00F51717">
        <w:rPr>
          <w:rFonts w:ascii="Times New Roman" w:eastAsia="Times New Roman" w:hAnsi="Times New Roman" w:cs="Times New Roman"/>
          <w:bCs/>
          <w:sz w:val="28"/>
          <w:szCs w:val="28"/>
          <w:lang w:val="nb-NO"/>
        </w:rPr>
        <w:t xml:space="preserve"> mục tiêu</w:t>
      </w:r>
      <w:r w:rsidRPr="009059BA">
        <w:rPr>
          <w:rFonts w:ascii="Times New Roman" w:eastAsia="Times New Roman" w:hAnsi="Times New Roman" w:cs="Times New Roman"/>
          <w:bCs/>
          <w:sz w:val="28"/>
          <w:szCs w:val="28"/>
          <w:lang w:val="nb-NO"/>
        </w:rPr>
        <w:t xml:space="preserve">, quan điểm chỉ đạo và cụ thể hóa 05 nhóm chính sách </w:t>
      </w:r>
      <w:r w:rsidR="008B7211">
        <w:rPr>
          <w:rFonts w:ascii="Times New Roman" w:eastAsia="Times New Roman" w:hAnsi="Times New Roman" w:cs="Times New Roman"/>
          <w:bCs/>
          <w:sz w:val="28"/>
          <w:szCs w:val="28"/>
          <w:lang w:val="nb-NO"/>
        </w:rPr>
        <w:t xml:space="preserve">tại </w:t>
      </w:r>
      <w:r w:rsidRPr="009059BA">
        <w:rPr>
          <w:rFonts w:ascii="Times New Roman" w:eastAsia="Times New Roman" w:hAnsi="Times New Roman" w:cs="Times New Roman"/>
          <w:bCs/>
          <w:sz w:val="28"/>
          <w:szCs w:val="28"/>
          <w:lang w:val="nb-NO"/>
        </w:rPr>
        <w:t xml:space="preserve">đề nghị xây dựng dự án Luật đã được </w:t>
      </w:r>
      <w:r w:rsidRPr="009059BA">
        <w:rPr>
          <w:rFonts w:ascii="Times New Roman" w:eastAsia="Times New Roman" w:hAnsi="Times New Roman" w:cs="Times New Roman"/>
          <w:sz w:val="28"/>
          <w:szCs w:val="28"/>
          <w:lang w:val="eu-ES"/>
        </w:rPr>
        <w:t>thông qua</w:t>
      </w:r>
      <w:r w:rsidRPr="009059BA">
        <w:rPr>
          <w:rFonts w:ascii="Times New Roman" w:eastAsia="Times New Roman" w:hAnsi="Times New Roman" w:cs="Times New Roman"/>
          <w:bCs/>
          <w:sz w:val="28"/>
          <w:szCs w:val="28"/>
          <w:lang w:val="nb-NO"/>
        </w:rPr>
        <w:t xml:space="preserve"> </w:t>
      </w:r>
      <w:r w:rsidR="001D16DC">
        <w:rPr>
          <w:rFonts w:ascii="Times New Roman" w:eastAsia="Times New Roman" w:hAnsi="Times New Roman" w:cs="Times New Roman"/>
          <w:bCs/>
          <w:sz w:val="28"/>
          <w:szCs w:val="28"/>
          <w:lang w:val="nb-NO"/>
        </w:rPr>
        <w:t>như sau</w:t>
      </w:r>
      <w:r w:rsidRPr="009059BA">
        <w:rPr>
          <w:rFonts w:ascii="Times New Roman" w:eastAsia="Times New Roman" w:hAnsi="Times New Roman" w:cs="Times New Roman"/>
          <w:bCs/>
          <w:sz w:val="28"/>
          <w:szCs w:val="28"/>
          <w:lang w:val="nb-NO"/>
        </w:rPr>
        <w:t>:</w:t>
      </w:r>
    </w:p>
    <w:p w14:paraId="5B0D3803" w14:textId="1789F81A" w:rsidR="00AC78C1" w:rsidRPr="009059BA" w:rsidRDefault="00AC78C1" w:rsidP="00AC78C1">
      <w:pPr>
        <w:spacing w:before="120" w:after="120" w:line="240" w:lineRule="auto"/>
        <w:ind w:firstLine="567"/>
        <w:jc w:val="both"/>
        <w:rPr>
          <w:rFonts w:ascii="Times New Roman" w:hAnsi="Times New Roman" w:cs="Times New Roman"/>
          <w:bCs/>
          <w:sz w:val="28"/>
          <w:szCs w:val="28"/>
          <w:lang w:val="nb-NO"/>
        </w:rPr>
      </w:pPr>
      <w:r w:rsidRPr="00290FF1">
        <w:rPr>
          <w:rFonts w:ascii="Times New Roman" w:eastAsia="Times New Roman" w:hAnsi="Times New Roman" w:cs="Times New Roman"/>
          <w:b/>
          <w:bCs/>
          <w:i/>
          <w:sz w:val="28"/>
          <w:szCs w:val="28"/>
          <w:lang w:val="nb-NO"/>
        </w:rPr>
        <w:t xml:space="preserve">Một là, nhóm chính sách về </w:t>
      </w:r>
      <w:r w:rsidRPr="00290FF1">
        <w:rPr>
          <w:rFonts w:ascii="Times New Roman" w:eastAsia="Times New Roman" w:hAnsi="Times New Roman" w:cs="Times New Roman"/>
          <w:b/>
          <w:bCs/>
          <w:i/>
          <w:sz w:val="28"/>
          <w:szCs w:val="28"/>
          <w:lang w:val="en-US"/>
        </w:rPr>
        <w:t>hoàn thiện các quy định về bản chất HTX, phát triển thành viên HTX</w:t>
      </w:r>
      <w:r w:rsidR="00B207AD" w:rsidRPr="00290FF1">
        <w:rPr>
          <w:rFonts w:ascii="Times New Roman" w:eastAsia="Times New Roman" w:hAnsi="Times New Roman" w:cs="Times New Roman"/>
          <w:b/>
          <w:i/>
          <w:sz w:val="28"/>
          <w:szCs w:val="28"/>
          <w:lang w:val="eu-ES"/>
        </w:rPr>
        <w:t>,</w:t>
      </w:r>
      <w:r w:rsidR="00B207AD">
        <w:rPr>
          <w:rFonts w:ascii="Times New Roman" w:eastAsia="Times New Roman" w:hAnsi="Times New Roman" w:cs="Times New Roman"/>
          <w:sz w:val="28"/>
          <w:szCs w:val="28"/>
          <w:lang w:val="eu-ES"/>
        </w:rPr>
        <w:t xml:space="preserve"> </w:t>
      </w:r>
      <w:r w:rsidR="001D16DC">
        <w:rPr>
          <w:rFonts w:ascii="Times New Roman" w:eastAsia="Times New Roman" w:hAnsi="Times New Roman" w:cs="Times New Roman"/>
          <w:bCs/>
          <w:sz w:val="28"/>
          <w:szCs w:val="28"/>
          <w:lang w:val="nb-NO"/>
        </w:rPr>
        <w:t>bao gồm</w:t>
      </w:r>
      <w:r w:rsidRPr="00B207AD">
        <w:rPr>
          <w:rFonts w:ascii="Times New Roman" w:eastAsia="Times New Roman" w:hAnsi="Times New Roman" w:cs="Times New Roman"/>
          <w:bCs/>
          <w:sz w:val="28"/>
          <w:szCs w:val="28"/>
          <w:lang w:val="nb-NO"/>
        </w:rPr>
        <w:t>:</w:t>
      </w:r>
      <w:r w:rsidR="004007E8" w:rsidRPr="009059BA">
        <w:rPr>
          <w:rFonts w:ascii="Times New Roman" w:eastAsia="Calibri" w:hAnsi="Times New Roman" w:cs="Times New Roman"/>
          <w:i/>
          <w:sz w:val="20"/>
          <w:szCs w:val="20"/>
          <w:lang w:val="en-US"/>
        </w:rPr>
        <w:t xml:space="preserve"> </w:t>
      </w:r>
      <w:r w:rsidR="004007E8" w:rsidRPr="00290FF1">
        <w:rPr>
          <w:rFonts w:ascii="Times New Roman" w:eastAsia="Times New Roman" w:hAnsi="Times New Roman" w:cs="Times New Roman"/>
          <w:bCs/>
          <w:sz w:val="28"/>
          <w:szCs w:val="28"/>
          <w:lang w:val="en-US"/>
        </w:rPr>
        <w:t xml:space="preserve">Xây dựng nguyên tắc mở đối với thành viên tham gia </w:t>
      </w:r>
      <w:r w:rsidR="00F92008" w:rsidRPr="00290FF1">
        <w:rPr>
          <w:rFonts w:ascii="Times New Roman" w:eastAsia="Times New Roman" w:hAnsi="Times New Roman" w:cs="Times New Roman"/>
          <w:bCs/>
          <w:sz w:val="28"/>
          <w:szCs w:val="28"/>
          <w:lang w:val="en-US"/>
        </w:rPr>
        <w:t>HTX</w:t>
      </w:r>
      <w:r w:rsidR="004007E8" w:rsidRPr="00290FF1">
        <w:rPr>
          <w:rFonts w:ascii="Times New Roman" w:eastAsia="Times New Roman" w:hAnsi="Times New Roman" w:cs="Times New Roman"/>
          <w:bCs/>
          <w:sz w:val="28"/>
          <w:szCs w:val="28"/>
          <w:lang w:val="en-US"/>
        </w:rPr>
        <w:t xml:space="preserve"> cho cả đối tượng là công dân dưới 18 tuổi, doanh nghiệp tư nhân, </w:t>
      </w:r>
      <w:r w:rsidR="009059BA" w:rsidRPr="00290FF1">
        <w:rPr>
          <w:rFonts w:ascii="Times New Roman" w:eastAsia="Times New Roman" w:hAnsi="Times New Roman" w:cs="Times New Roman"/>
          <w:bCs/>
          <w:sz w:val="28"/>
          <w:szCs w:val="28"/>
          <w:lang w:val="en-US"/>
        </w:rPr>
        <w:t>THT</w:t>
      </w:r>
      <w:r w:rsidR="00355716">
        <w:rPr>
          <w:rFonts w:ascii="Times New Roman" w:eastAsia="Times New Roman" w:hAnsi="Times New Roman" w:cs="Times New Roman"/>
          <w:bCs/>
          <w:sz w:val="28"/>
          <w:szCs w:val="28"/>
          <w:lang w:val="en-US"/>
        </w:rPr>
        <w:t>;</w:t>
      </w:r>
      <w:r w:rsidR="004007E8" w:rsidRPr="00290FF1">
        <w:rPr>
          <w:rFonts w:ascii="Times New Roman" w:eastAsia="Times New Roman" w:hAnsi="Times New Roman" w:cs="Times New Roman"/>
          <w:bCs/>
          <w:sz w:val="28"/>
          <w:szCs w:val="28"/>
          <w:lang w:val="en-US"/>
        </w:rPr>
        <w:t xml:space="preserve"> </w:t>
      </w:r>
      <w:r w:rsidR="00355716">
        <w:rPr>
          <w:rFonts w:ascii="Times New Roman" w:eastAsia="Times New Roman" w:hAnsi="Times New Roman" w:cs="Times New Roman"/>
          <w:bCs/>
          <w:sz w:val="28"/>
          <w:szCs w:val="28"/>
          <w:lang w:val="en-US"/>
        </w:rPr>
        <w:t>b</w:t>
      </w:r>
      <w:r w:rsidR="004007E8" w:rsidRPr="00290FF1">
        <w:rPr>
          <w:rFonts w:ascii="Times New Roman" w:eastAsia="Times New Roman" w:hAnsi="Times New Roman" w:cs="Times New Roman"/>
          <w:bCs/>
          <w:sz w:val="28"/>
          <w:szCs w:val="28"/>
          <w:lang w:val="en-US"/>
        </w:rPr>
        <w:t xml:space="preserve">ổ sung và khuyến khích phát triển các thành viên liên kết của </w:t>
      </w:r>
      <w:r w:rsidR="00F92008" w:rsidRPr="00290FF1">
        <w:rPr>
          <w:rFonts w:ascii="Times New Roman" w:eastAsia="Times New Roman" w:hAnsi="Times New Roman" w:cs="Times New Roman"/>
          <w:bCs/>
          <w:sz w:val="28"/>
          <w:szCs w:val="28"/>
          <w:lang w:val="en-US"/>
        </w:rPr>
        <w:t>HTX</w:t>
      </w:r>
      <w:r w:rsidR="0001483F" w:rsidRPr="00290FF1">
        <w:rPr>
          <w:rFonts w:ascii="Times New Roman" w:eastAsia="Times New Roman" w:hAnsi="Times New Roman" w:cs="Times New Roman"/>
          <w:bCs/>
          <w:sz w:val="28"/>
          <w:szCs w:val="28"/>
          <w:lang w:val="en-US"/>
        </w:rPr>
        <w:t xml:space="preserve"> để mở rộng các hoạt động hợp tác, liên kết sản xuất kinh doanh, hỗ trợ, góp vốn, góp sức lao động (bao gồm người hết tuổi lao động có thể đóng góp bằng kinh nghiệm, trí tuệ) đóng góp cho HTX phát triển</w:t>
      </w:r>
      <w:r w:rsidR="00355716">
        <w:rPr>
          <w:rFonts w:ascii="Times New Roman" w:eastAsia="Times New Roman" w:hAnsi="Times New Roman" w:cs="Times New Roman"/>
          <w:bCs/>
          <w:sz w:val="28"/>
          <w:szCs w:val="28"/>
          <w:lang w:val="en-US"/>
        </w:rPr>
        <w:t>;</w:t>
      </w:r>
      <w:r w:rsidR="004007E8" w:rsidRPr="00290FF1">
        <w:rPr>
          <w:rFonts w:ascii="Times New Roman" w:eastAsia="Times New Roman" w:hAnsi="Times New Roman" w:cs="Times New Roman"/>
          <w:bCs/>
          <w:sz w:val="28"/>
          <w:szCs w:val="28"/>
          <w:lang w:val="en-US"/>
        </w:rPr>
        <w:t xml:space="preserve"> </w:t>
      </w:r>
      <w:r w:rsidR="00355716">
        <w:rPr>
          <w:rFonts w:ascii="Times New Roman" w:eastAsia="Times New Roman" w:hAnsi="Times New Roman" w:cs="Times New Roman"/>
          <w:bCs/>
          <w:sz w:val="28"/>
          <w:szCs w:val="28"/>
          <w:lang w:val="en-US"/>
        </w:rPr>
        <w:t>t</w:t>
      </w:r>
      <w:r w:rsidR="004007E8" w:rsidRPr="00290FF1">
        <w:rPr>
          <w:rFonts w:ascii="Times New Roman" w:eastAsia="Times New Roman" w:hAnsi="Times New Roman" w:cs="Times New Roman"/>
          <w:bCs/>
          <w:sz w:val="28"/>
          <w:szCs w:val="28"/>
          <w:lang w:val="en-US"/>
        </w:rPr>
        <w:t xml:space="preserve">hành viên liên kết </w:t>
      </w:r>
      <w:r w:rsidR="0001483F" w:rsidRPr="00290FF1">
        <w:rPr>
          <w:rFonts w:ascii="Times New Roman" w:eastAsia="Times New Roman" w:hAnsi="Times New Roman" w:cs="Times New Roman"/>
          <w:bCs/>
          <w:sz w:val="28"/>
          <w:szCs w:val="28"/>
          <w:lang w:val="en-US"/>
        </w:rPr>
        <w:t>chỉ cần đáp ứng một trong các điều kiện về</w:t>
      </w:r>
      <w:r w:rsidR="004007E8" w:rsidRPr="00290FF1">
        <w:rPr>
          <w:rFonts w:ascii="Times New Roman" w:eastAsia="Times New Roman" w:hAnsi="Times New Roman" w:cs="Times New Roman"/>
          <w:bCs/>
          <w:sz w:val="28"/>
          <w:szCs w:val="28"/>
          <w:lang w:val="en-US"/>
        </w:rPr>
        <w:t xml:space="preserve"> </w:t>
      </w:r>
      <w:r w:rsidR="00070184" w:rsidRPr="00290FF1">
        <w:rPr>
          <w:rFonts w:ascii="Times New Roman" w:eastAsia="Times New Roman" w:hAnsi="Times New Roman" w:cs="Times New Roman"/>
          <w:bCs/>
          <w:sz w:val="28"/>
          <w:szCs w:val="28"/>
          <w:lang w:val="en-US"/>
        </w:rPr>
        <w:t>góp vốn</w:t>
      </w:r>
      <w:r w:rsidR="0001483F" w:rsidRPr="00290FF1">
        <w:rPr>
          <w:rFonts w:ascii="Times New Roman" w:eastAsia="Times New Roman" w:hAnsi="Times New Roman" w:cs="Times New Roman"/>
          <w:bCs/>
          <w:sz w:val="28"/>
          <w:szCs w:val="28"/>
          <w:lang w:val="en-US"/>
        </w:rPr>
        <w:t>,</w:t>
      </w:r>
      <w:r w:rsidR="004007E8" w:rsidRPr="00290FF1">
        <w:rPr>
          <w:rFonts w:ascii="Times New Roman" w:eastAsia="Times New Roman" w:hAnsi="Times New Roman" w:cs="Times New Roman"/>
          <w:bCs/>
          <w:sz w:val="28"/>
          <w:szCs w:val="28"/>
          <w:lang w:val="en-US"/>
        </w:rPr>
        <w:t xml:space="preserve"> sử dụng sản phẩm, dịch vụ của </w:t>
      </w:r>
      <w:r w:rsidR="00F92008" w:rsidRPr="00290FF1">
        <w:rPr>
          <w:rFonts w:ascii="Times New Roman" w:eastAsia="Times New Roman" w:hAnsi="Times New Roman" w:cs="Times New Roman"/>
          <w:bCs/>
          <w:sz w:val="28"/>
          <w:szCs w:val="28"/>
          <w:lang w:val="en-US"/>
        </w:rPr>
        <w:t>HTX</w:t>
      </w:r>
      <w:r w:rsidR="004007E8" w:rsidRPr="00290FF1">
        <w:rPr>
          <w:rFonts w:ascii="Times New Roman" w:eastAsia="Times New Roman" w:hAnsi="Times New Roman" w:cs="Times New Roman"/>
          <w:bCs/>
          <w:sz w:val="28"/>
          <w:szCs w:val="28"/>
          <w:lang w:val="en-US"/>
        </w:rPr>
        <w:t>,</w:t>
      </w:r>
      <w:r w:rsidR="0001483F" w:rsidRPr="00290FF1">
        <w:rPr>
          <w:rFonts w:ascii="Times New Roman" w:eastAsia="Times New Roman" w:hAnsi="Times New Roman" w:cs="Times New Roman"/>
          <w:bCs/>
          <w:sz w:val="28"/>
          <w:szCs w:val="28"/>
          <w:lang w:val="en-US"/>
        </w:rPr>
        <w:t xml:space="preserve"> hoặc góp sức lao động cho HTX,</w:t>
      </w:r>
      <w:r w:rsidR="004007E8" w:rsidRPr="00290FF1">
        <w:rPr>
          <w:rFonts w:ascii="Times New Roman" w:eastAsia="Times New Roman" w:hAnsi="Times New Roman" w:cs="Times New Roman"/>
          <w:bCs/>
          <w:sz w:val="28"/>
          <w:szCs w:val="28"/>
          <w:lang w:val="en-US"/>
        </w:rPr>
        <w:t xml:space="preserve"> không tham gia biểu quyết, quản lý, điều hành </w:t>
      </w:r>
      <w:r w:rsidR="00F92008" w:rsidRPr="00290FF1">
        <w:rPr>
          <w:rFonts w:ascii="Times New Roman" w:eastAsia="Times New Roman" w:hAnsi="Times New Roman" w:cs="Times New Roman"/>
          <w:bCs/>
          <w:sz w:val="28"/>
          <w:szCs w:val="28"/>
          <w:lang w:val="en-US"/>
        </w:rPr>
        <w:t>HTX</w:t>
      </w:r>
      <w:r w:rsidR="00355716">
        <w:rPr>
          <w:rFonts w:ascii="Times New Roman" w:eastAsia="Times New Roman" w:hAnsi="Times New Roman" w:cs="Times New Roman"/>
          <w:bCs/>
          <w:sz w:val="28"/>
          <w:szCs w:val="28"/>
          <w:lang w:val="en-US"/>
        </w:rPr>
        <w:t>;</w:t>
      </w:r>
      <w:r w:rsidR="004007E8" w:rsidRPr="00290FF1">
        <w:rPr>
          <w:rFonts w:ascii="Times New Roman" w:eastAsia="Times New Roman" w:hAnsi="Times New Roman" w:cs="Times New Roman"/>
          <w:bCs/>
          <w:sz w:val="28"/>
          <w:szCs w:val="28"/>
          <w:lang w:val="en-US"/>
        </w:rPr>
        <w:t xml:space="preserve"> </w:t>
      </w:r>
      <w:r w:rsidR="00355716">
        <w:rPr>
          <w:rFonts w:ascii="Times New Roman" w:eastAsia="Times New Roman" w:hAnsi="Times New Roman" w:cs="Times New Roman"/>
          <w:bCs/>
          <w:sz w:val="28"/>
          <w:szCs w:val="28"/>
          <w:lang w:val="en-US"/>
        </w:rPr>
        <w:t>k</w:t>
      </w:r>
      <w:r w:rsidR="004007E8" w:rsidRPr="00290FF1">
        <w:rPr>
          <w:rFonts w:ascii="Times New Roman" w:eastAsia="Times New Roman" w:hAnsi="Times New Roman" w:cs="Times New Roman"/>
          <w:bCs/>
          <w:sz w:val="28"/>
          <w:szCs w:val="28"/>
          <w:lang w:val="en-US"/>
        </w:rPr>
        <w:t xml:space="preserve">huyến khích </w:t>
      </w:r>
      <w:r w:rsidR="00F92008" w:rsidRPr="00290FF1">
        <w:rPr>
          <w:rFonts w:ascii="Times New Roman" w:eastAsia="Times New Roman" w:hAnsi="Times New Roman" w:cs="Times New Roman"/>
          <w:bCs/>
          <w:sz w:val="28"/>
          <w:szCs w:val="28"/>
          <w:lang w:val="en-US"/>
        </w:rPr>
        <w:t>HTX</w:t>
      </w:r>
      <w:r w:rsidR="004007E8" w:rsidRPr="00290FF1">
        <w:rPr>
          <w:rFonts w:ascii="Times New Roman" w:eastAsia="Times New Roman" w:hAnsi="Times New Roman" w:cs="Times New Roman"/>
          <w:bCs/>
          <w:sz w:val="28"/>
          <w:szCs w:val="28"/>
          <w:lang w:val="en-US"/>
        </w:rPr>
        <w:t xml:space="preserve"> qu</w:t>
      </w:r>
      <w:r w:rsidR="00355716">
        <w:rPr>
          <w:rFonts w:ascii="Times New Roman" w:eastAsia="Times New Roman" w:hAnsi="Times New Roman" w:cs="Times New Roman"/>
          <w:bCs/>
          <w:sz w:val="28"/>
          <w:szCs w:val="28"/>
          <w:lang w:val="en-US"/>
        </w:rPr>
        <w:t>an tâm đến phát triển cộng đồng;</w:t>
      </w:r>
      <w:r w:rsidR="004007E8" w:rsidRPr="00290FF1">
        <w:rPr>
          <w:rFonts w:ascii="Times New Roman" w:eastAsia="Times New Roman" w:hAnsi="Times New Roman" w:cs="Times New Roman"/>
          <w:bCs/>
          <w:sz w:val="28"/>
          <w:szCs w:val="28"/>
          <w:lang w:val="en-US"/>
        </w:rPr>
        <w:t xml:space="preserve"> </w:t>
      </w:r>
      <w:r w:rsidR="00355716">
        <w:rPr>
          <w:rFonts w:ascii="Times New Roman" w:eastAsia="Times New Roman" w:hAnsi="Times New Roman" w:cs="Times New Roman"/>
          <w:bCs/>
          <w:sz w:val="28"/>
          <w:szCs w:val="28"/>
          <w:lang w:val="en-US"/>
        </w:rPr>
        <w:t>n</w:t>
      </w:r>
      <w:r w:rsidR="004007E8" w:rsidRPr="00290FF1">
        <w:rPr>
          <w:rFonts w:ascii="Times New Roman" w:eastAsia="Times New Roman" w:hAnsi="Times New Roman" w:cs="Times New Roman"/>
          <w:bCs/>
          <w:sz w:val="28"/>
          <w:szCs w:val="28"/>
          <w:lang w:val="en-US"/>
        </w:rPr>
        <w:t xml:space="preserve">âng cao nguyên tắc minh bạch thông tin </w:t>
      </w:r>
      <w:r w:rsidR="00F92008" w:rsidRPr="00290FF1">
        <w:rPr>
          <w:rFonts w:ascii="Times New Roman" w:eastAsia="Times New Roman" w:hAnsi="Times New Roman" w:cs="Times New Roman"/>
          <w:bCs/>
          <w:sz w:val="28"/>
          <w:szCs w:val="28"/>
          <w:lang w:val="en-US"/>
        </w:rPr>
        <w:t>HTX thông qua</w:t>
      </w:r>
      <w:r w:rsidR="004007E8" w:rsidRPr="00290FF1">
        <w:rPr>
          <w:rFonts w:ascii="Times New Roman" w:eastAsia="Times New Roman" w:hAnsi="Times New Roman" w:cs="Times New Roman"/>
          <w:bCs/>
          <w:sz w:val="28"/>
          <w:szCs w:val="28"/>
          <w:lang w:val="en-US"/>
        </w:rPr>
        <w:t xml:space="preserve"> ứng dụng công nghệ thông tin, đảm bảo thông tin cung cấp đến thành viên nhanh chóng, chính xác</w:t>
      </w:r>
      <w:r w:rsidR="00355716">
        <w:rPr>
          <w:rFonts w:ascii="Times New Roman" w:eastAsia="Times New Roman" w:hAnsi="Times New Roman" w:cs="Times New Roman"/>
          <w:bCs/>
          <w:sz w:val="28"/>
          <w:szCs w:val="28"/>
          <w:lang w:val="en-US"/>
        </w:rPr>
        <w:t>, bảo vệ lợi ích cho thành viên;</w:t>
      </w:r>
      <w:r w:rsidR="004007E8" w:rsidRPr="00290FF1">
        <w:rPr>
          <w:rFonts w:ascii="Times New Roman" w:eastAsia="Times New Roman" w:hAnsi="Times New Roman" w:cs="Times New Roman"/>
          <w:bCs/>
          <w:sz w:val="28"/>
          <w:szCs w:val="28"/>
          <w:lang w:val="en-US"/>
        </w:rPr>
        <w:t xml:space="preserve"> </w:t>
      </w:r>
      <w:r w:rsidR="00355716">
        <w:rPr>
          <w:rFonts w:ascii="Times New Roman" w:eastAsia="Times New Roman" w:hAnsi="Times New Roman" w:cs="Times New Roman"/>
          <w:bCs/>
          <w:sz w:val="28"/>
          <w:szCs w:val="28"/>
          <w:lang w:val="en-US"/>
        </w:rPr>
        <w:t>c</w:t>
      </w:r>
      <w:r w:rsidR="004007E8" w:rsidRPr="00290FF1">
        <w:rPr>
          <w:rFonts w:ascii="Times New Roman" w:eastAsia="Times New Roman" w:hAnsi="Times New Roman" w:cs="Times New Roman"/>
          <w:bCs/>
          <w:sz w:val="28"/>
          <w:szCs w:val="28"/>
          <w:lang w:val="en-US"/>
        </w:rPr>
        <w:t xml:space="preserve">hú trọng công tác giáo dục, đào tạo, bồi dưỡng cho thành viên, người lao động của </w:t>
      </w:r>
      <w:r w:rsidR="00F92008" w:rsidRPr="00290FF1">
        <w:rPr>
          <w:rFonts w:ascii="Times New Roman" w:eastAsia="Times New Roman" w:hAnsi="Times New Roman" w:cs="Times New Roman"/>
          <w:bCs/>
          <w:sz w:val="28"/>
          <w:szCs w:val="28"/>
          <w:lang w:val="en-US"/>
        </w:rPr>
        <w:t>HTX</w:t>
      </w:r>
      <w:r w:rsidR="00B207AD" w:rsidRPr="00290FF1">
        <w:rPr>
          <w:rFonts w:ascii="Times New Roman" w:eastAsia="Times New Roman" w:hAnsi="Times New Roman" w:cs="Times New Roman"/>
          <w:bCs/>
          <w:sz w:val="28"/>
          <w:szCs w:val="28"/>
          <w:lang w:val="en-US"/>
        </w:rPr>
        <w:t>.</w:t>
      </w:r>
      <w:r w:rsidRPr="009059BA">
        <w:rPr>
          <w:rFonts w:ascii="Times New Roman" w:eastAsia="Times New Roman" w:hAnsi="Times New Roman" w:cs="Times New Roman"/>
          <w:bCs/>
          <w:sz w:val="28"/>
          <w:szCs w:val="28"/>
          <w:lang w:val="nb-NO"/>
        </w:rPr>
        <w:t xml:space="preserve"> </w:t>
      </w:r>
      <w:r w:rsidR="00B207AD">
        <w:rPr>
          <w:rFonts w:ascii="Times New Roman" w:eastAsia="Times New Roman" w:hAnsi="Times New Roman" w:cs="Times New Roman"/>
          <w:bCs/>
          <w:sz w:val="28"/>
          <w:szCs w:val="28"/>
          <w:lang w:val="nb-NO"/>
        </w:rPr>
        <w:t xml:space="preserve">Các nội dung này </w:t>
      </w:r>
      <w:r w:rsidRPr="009059BA">
        <w:rPr>
          <w:rFonts w:ascii="Times New Roman" w:hAnsi="Times New Roman" w:cs="Times New Roman"/>
          <w:bCs/>
          <w:sz w:val="28"/>
          <w:szCs w:val="28"/>
          <w:lang w:val="nb-NO"/>
        </w:rPr>
        <w:t>được cụ thể hóa tại</w:t>
      </w:r>
      <w:r w:rsidR="00647D7B" w:rsidRPr="009059BA">
        <w:rPr>
          <w:rFonts w:ascii="Times New Roman" w:hAnsi="Times New Roman" w:cs="Times New Roman"/>
          <w:bCs/>
          <w:sz w:val="28"/>
          <w:szCs w:val="28"/>
          <w:lang w:val="nb-NO"/>
        </w:rPr>
        <w:t xml:space="preserve"> quy định nguyên tắc tổ chức, hoạt động của </w:t>
      </w:r>
      <w:r w:rsidR="00877AED">
        <w:rPr>
          <w:rFonts w:ascii="Times New Roman" w:hAnsi="Times New Roman" w:cs="Times New Roman"/>
          <w:bCs/>
          <w:sz w:val="28"/>
          <w:szCs w:val="28"/>
          <w:lang w:val="nb-NO"/>
        </w:rPr>
        <w:t>TCKTHT</w:t>
      </w:r>
      <w:r w:rsidR="00647D7B" w:rsidRPr="009059BA">
        <w:rPr>
          <w:rFonts w:ascii="Times New Roman" w:hAnsi="Times New Roman" w:cs="Times New Roman"/>
          <w:bCs/>
          <w:sz w:val="28"/>
          <w:szCs w:val="28"/>
          <w:lang w:val="nb-NO"/>
        </w:rPr>
        <w:t xml:space="preserve">, điều kiện trở thành thành viên, quyền và nghĩa vụ của thành viên liên kết, chế độ báo cáo cung cấp thông tin của </w:t>
      </w:r>
      <w:r w:rsidR="00877AED">
        <w:rPr>
          <w:rFonts w:ascii="Times New Roman" w:hAnsi="Times New Roman" w:cs="Times New Roman"/>
          <w:bCs/>
          <w:sz w:val="28"/>
          <w:szCs w:val="28"/>
          <w:lang w:val="nb-NO"/>
        </w:rPr>
        <w:t>TCKTHT</w:t>
      </w:r>
      <w:r w:rsidR="00647D7B" w:rsidRPr="009059BA">
        <w:rPr>
          <w:rFonts w:ascii="Times New Roman" w:hAnsi="Times New Roman" w:cs="Times New Roman"/>
          <w:bCs/>
          <w:sz w:val="28"/>
          <w:szCs w:val="28"/>
          <w:lang w:val="nb-NO"/>
        </w:rPr>
        <w:t>.</w:t>
      </w:r>
    </w:p>
    <w:p w14:paraId="252AB604" w14:textId="7C03C7C4" w:rsidR="00AC78C1" w:rsidRPr="009059BA" w:rsidRDefault="00AC78C1" w:rsidP="00871A1F">
      <w:pPr>
        <w:spacing w:before="160" w:after="160" w:line="240" w:lineRule="auto"/>
        <w:ind w:firstLine="567"/>
        <w:jc w:val="both"/>
        <w:rPr>
          <w:rFonts w:ascii="Times New Roman" w:hAnsi="Times New Roman" w:cs="Times New Roman"/>
          <w:sz w:val="28"/>
          <w:szCs w:val="28"/>
          <w:lang w:val="es-ES"/>
        </w:rPr>
      </w:pPr>
      <w:r w:rsidRPr="004C2F90">
        <w:rPr>
          <w:rFonts w:ascii="Times New Roman" w:hAnsi="Times New Roman" w:cs="Times New Roman"/>
          <w:b/>
          <w:bCs/>
          <w:i/>
          <w:sz w:val="28"/>
          <w:szCs w:val="28"/>
          <w:lang w:val="nb-NO"/>
        </w:rPr>
        <w:t xml:space="preserve">Hai là, nhóm chính sách về </w:t>
      </w:r>
      <w:r w:rsidRPr="004C2F90">
        <w:rPr>
          <w:rFonts w:ascii="Times New Roman" w:hAnsi="Times New Roman" w:cs="Times New Roman"/>
          <w:b/>
          <w:bCs/>
          <w:i/>
          <w:sz w:val="28"/>
          <w:szCs w:val="28"/>
          <w:lang w:val="en-US"/>
        </w:rPr>
        <w:t xml:space="preserve">mở rộng phạm vi điều chỉnh và hoàn thiện các quy định về loại hình </w:t>
      </w:r>
      <w:r w:rsidR="005A44C8" w:rsidRPr="004C2F90">
        <w:rPr>
          <w:rFonts w:ascii="Times New Roman" w:hAnsi="Times New Roman" w:cs="Times New Roman"/>
          <w:b/>
          <w:bCs/>
          <w:i/>
          <w:sz w:val="28"/>
          <w:szCs w:val="28"/>
          <w:lang w:val="en-US"/>
        </w:rPr>
        <w:t>TC</w:t>
      </w:r>
      <w:r w:rsidRPr="004C2F90">
        <w:rPr>
          <w:rFonts w:ascii="Times New Roman" w:hAnsi="Times New Roman" w:cs="Times New Roman"/>
          <w:b/>
          <w:bCs/>
          <w:i/>
          <w:sz w:val="28"/>
          <w:szCs w:val="28"/>
          <w:lang w:val="en-US"/>
        </w:rPr>
        <w:t>KTHT, tổ chức đại diện</w:t>
      </w:r>
      <w:r w:rsidR="00290FF1" w:rsidRPr="004C2F90">
        <w:rPr>
          <w:rFonts w:ascii="Times New Roman" w:hAnsi="Times New Roman" w:cs="Times New Roman"/>
          <w:b/>
          <w:bCs/>
          <w:i/>
          <w:sz w:val="28"/>
          <w:szCs w:val="28"/>
          <w:lang w:val="en-US"/>
        </w:rPr>
        <w:t>,</w:t>
      </w:r>
      <w:r w:rsidRPr="009059BA">
        <w:rPr>
          <w:rFonts w:ascii="Times New Roman" w:hAnsi="Times New Roman" w:cs="Times New Roman"/>
          <w:sz w:val="28"/>
          <w:szCs w:val="28"/>
          <w:lang w:val="eu-ES"/>
        </w:rPr>
        <w:t xml:space="preserve"> </w:t>
      </w:r>
      <w:r w:rsidRPr="00290FF1">
        <w:rPr>
          <w:rFonts w:ascii="Times New Roman" w:hAnsi="Times New Roman" w:cs="Times New Roman"/>
          <w:bCs/>
          <w:sz w:val="28"/>
          <w:szCs w:val="28"/>
          <w:lang w:val="nb-NO"/>
        </w:rPr>
        <w:t>bao gồm:</w:t>
      </w:r>
      <w:r w:rsidR="00871A1F" w:rsidRPr="00290FF1">
        <w:rPr>
          <w:rFonts w:ascii="Times New Roman" w:eastAsia="Times New Roman" w:hAnsi="Times New Roman" w:cs="Times New Roman"/>
          <w:sz w:val="28"/>
          <w:szCs w:val="28"/>
          <w:lang w:val="pt-BR"/>
        </w:rPr>
        <w:t xml:space="preserve"> </w:t>
      </w:r>
      <w:r w:rsidR="00F92008" w:rsidRPr="00290FF1">
        <w:rPr>
          <w:rFonts w:ascii="Times New Roman" w:eastAsia="Times New Roman" w:hAnsi="Times New Roman" w:cs="Times New Roman"/>
          <w:sz w:val="28"/>
          <w:szCs w:val="28"/>
          <w:lang w:val="pt-BR"/>
        </w:rPr>
        <w:t>B</w:t>
      </w:r>
      <w:r w:rsidR="00871A1F" w:rsidRPr="00290FF1">
        <w:rPr>
          <w:rFonts w:ascii="Times New Roman" w:hAnsi="Times New Roman" w:cs="Times New Roman"/>
          <w:bCs/>
          <w:sz w:val="28"/>
          <w:szCs w:val="28"/>
          <w:lang w:val="pt-BR"/>
        </w:rPr>
        <w:t xml:space="preserve">ổ sung đối tượng </w:t>
      </w:r>
      <w:r w:rsidR="00B62E57">
        <w:rPr>
          <w:rFonts w:ascii="Times New Roman" w:hAnsi="Times New Roman" w:cs="Times New Roman"/>
          <w:bCs/>
          <w:sz w:val="28"/>
          <w:szCs w:val="28"/>
          <w:lang w:val="pt-BR"/>
        </w:rPr>
        <w:t xml:space="preserve">điều chỉnh của Luật gồm </w:t>
      </w:r>
      <w:r w:rsidR="009059BA" w:rsidRPr="00290FF1">
        <w:rPr>
          <w:rFonts w:ascii="Times New Roman" w:hAnsi="Times New Roman" w:cs="Times New Roman"/>
          <w:bCs/>
          <w:sz w:val="28"/>
          <w:szCs w:val="28"/>
          <w:lang w:val="pt-BR"/>
        </w:rPr>
        <w:t>THT</w:t>
      </w:r>
      <w:r w:rsidR="00871A1F" w:rsidRPr="00290FF1">
        <w:rPr>
          <w:rFonts w:ascii="Times New Roman" w:hAnsi="Times New Roman" w:cs="Times New Roman"/>
          <w:bCs/>
          <w:sz w:val="28"/>
          <w:szCs w:val="28"/>
          <w:lang w:val="pt-BR"/>
        </w:rPr>
        <w:t xml:space="preserve"> hoạt động lâu dài</w:t>
      </w:r>
      <w:r w:rsidR="00B62E57">
        <w:rPr>
          <w:rFonts w:ascii="Times New Roman" w:hAnsi="Times New Roman" w:cs="Times New Roman"/>
          <w:bCs/>
          <w:sz w:val="28"/>
          <w:szCs w:val="28"/>
          <w:lang w:val="pt-BR"/>
        </w:rPr>
        <w:t xml:space="preserve"> có</w:t>
      </w:r>
      <w:r w:rsidR="00871A1F" w:rsidRPr="00290FF1">
        <w:rPr>
          <w:rFonts w:ascii="Times New Roman" w:hAnsi="Times New Roman" w:cs="Times New Roman"/>
          <w:bCs/>
          <w:sz w:val="28"/>
          <w:szCs w:val="28"/>
          <w:lang w:val="pt-BR"/>
        </w:rPr>
        <w:t xml:space="preserve"> đăng ký thành lập, Liên đoàn HTX</w:t>
      </w:r>
      <w:r w:rsidR="00F92008" w:rsidRPr="00290FF1">
        <w:rPr>
          <w:rFonts w:ascii="Times New Roman" w:hAnsi="Times New Roman" w:cs="Times New Roman"/>
          <w:bCs/>
          <w:sz w:val="28"/>
          <w:szCs w:val="28"/>
          <w:lang w:val="pt-BR"/>
        </w:rPr>
        <w:t>;</w:t>
      </w:r>
      <w:r w:rsidR="00871A1F" w:rsidRPr="00290FF1">
        <w:rPr>
          <w:rFonts w:ascii="Times New Roman" w:hAnsi="Times New Roman" w:cs="Times New Roman"/>
          <w:bCs/>
          <w:sz w:val="28"/>
          <w:szCs w:val="28"/>
          <w:lang w:val="pt-BR"/>
        </w:rPr>
        <w:t xml:space="preserve"> hoàn thiện các quy định để làm rõ vị trí và vai trò tổ chức Liên minh HTX Việt Nam phù hợp với bản chất, các quy định hiện hành và hội nhập với thế giớ</w:t>
      </w:r>
      <w:r w:rsidR="00F92008" w:rsidRPr="00290FF1">
        <w:rPr>
          <w:rFonts w:ascii="Times New Roman" w:hAnsi="Times New Roman" w:cs="Times New Roman"/>
          <w:bCs/>
          <w:sz w:val="28"/>
          <w:szCs w:val="28"/>
          <w:lang w:val="pt-BR"/>
        </w:rPr>
        <w:t>i;</w:t>
      </w:r>
      <w:r w:rsidR="006632A5" w:rsidRPr="00290FF1">
        <w:rPr>
          <w:rFonts w:ascii="Times New Roman" w:hAnsi="Times New Roman" w:cs="Times New Roman"/>
          <w:bCs/>
          <w:sz w:val="28"/>
          <w:szCs w:val="28"/>
          <w:lang w:val="pt-BR"/>
        </w:rPr>
        <w:t xml:space="preserve"> </w:t>
      </w:r>
      <w:r w:rsidR="00B62E57">
        <w:rPr>
          <w:rFonts w:ascii="Times New Roman" w:hAnsi="Times New Roman" w:cs="Times New Roman"/>
          <w:bCs/>
          <w:sz w:val="28"/>
          <w:szCs w:val="28"/>
          <w:lang w:val="en-US"/>
        </w:rPr>
        <w:t>h</w:t>
      </w:r>
      <w:r w:rsidR="00871A1F" w:rsidRPr="00290FF1">
        <w:rPr>
          <w:rFonts w:ascii="Times New Roman" w:hAnsi="Times New Roman" w:cs="Times New Roman"/>
          <w:bCs/>
          <w:sz w:val="28"/>
          <w:szCs w:val="28"/>
          <w:lang w:val="en-US"/>
        </w:rPr>
        <w:t>oàn thiện quy định phân loại HTX theo hướng phù hợp với công tác quản lý Nhà nước</w:t>
      </w:r>
      <w:r w:rsidR="00290FF1">
        <w:rPr>
          <w:rFonts w:ascii="Times New Roman" w:hAnsi="Times New Roman" w:cs="Times New Roman"/>
          <w:bCs/>
          <w:sz w:val="28"/>
          <w:szCs w:val="28"/>
          <w:lang w:val="nb-NO"/>
        </w:rPr>
        <w:t>. Các nội dung này</w:t>
      </w:r>
      <w:r w:rsidRPr="009059BA">
        <w:rPr>
          <w:rFonts w:ascii="Times New Roman" w:hAnsi="Times New Roman" w:cs="Times New Roman"/>
          <w:bCs/>
          <w:sz w:val="28"/>
          <w:szCs w:val="28"/>
          <w:lang w:val="nb-NO"/>
        </w:rPr>
        <w:t xml:space="preserve"> được cụ thể hóa tại </w:t>
      </w:r>
      <w:r w:rsidR="00647D7B" w:rsidRPr="009059BA">
        <w:rPr>
          <w:rFonts w:ascii="Times New Roman" w:hAnsi="Times New Roman" w:cs="Times New Roman"/>
          <w:bCs/>
          <w:sz w:val="28"/>
          <w:szCs w:val="28"/>
          <w:lang w:val="nb-NO"/>
        </w:rPr>
        <w:t xml:space="preserve">các Chương về </w:t>
      </w:r>
      <w:r w:rsidR="009059BA" w:rsidRPr="009059BA">
        <w:rPr>
          <w:rFonts w:ascii="Times New Roman" w:hAnsi="Times New Roman" w:cs="Times New Roman"/>
          <w:bCs/>
          <w:sz w:val="28"/>
          <w:szCs w:val="28"/>
          <w:lang w:val="nb-NO"/>
        </w:rPr>
        <w:t>THT</w:t>
      </w:r>
      <w:r w:rsidR="00647D7B" w:rsidRPr="009059BA">
        <w:rPr>
          <w:rFonts w:ascii="Times New Roman" w:hAnsi="Times New Roman" w:cs="Times New Roman"/>
          <w:bCs/>
          <w:sz w:val="28"/>
          <w:szCs w:val="28"/>
          <w:lang w:val="nb-NO"/>
        </w:rPr>
        <w:t xml:space="preserve">, liên đoàn </w:t>
      </w:r>
      <w:r w:rsidR="009059BA" w:rsidRPr="009059BA">
        <w:rPr>
          <w:rFonts w:ascii="Times New Roman" w:hAnsi="Times New Roman" w:cs="Times New Roman"/>
          <w:bCs/>
          <w:sz w:val="28"/>
          <w:szCs w:val="28"/>
          <w:lang w:val="nb-NO"/>
        </w:rPr>
        <w:t>HTX</w:t>
      </w:r>
      <w:r w:rsidR="006335B7" w:rsidRPr="009059BA">
        <w:rPr>
          <w:rFonts w:ascii="Times New Roman" w:hAnsi="Times New Roman" w:cs="Times New Roman"/>
          <w:bCs/>
          <w:sz w:val="28"/>
          <w:szCs w:val="28"/>
          <w:lang w:val="nb-NO"/>
        </w:rPr>
        <w:t xml:space="preserve"> và</w:t>
      </w:r>
      <w:r w:rsidR="00647D7B" w:rsidRPr="009059BA">
        <w:rPr>
          <w:rFonts w:ascii="Times New Roman" w:hAnsi="Times New Roman" w:cs="Times New Roman"/>
          <w:bCs/>
          <w:sz w:val="28"/>
          <w:szCs w:val="28"/>
          <w:lang w:val="nb-NO"/>
        </w:rPr>
        <w:t xml:space="preserve"> </w:t>
      </w:r>
      <w:r w:rsidR="006335B7" w:rsidRPr="009059BA">
        <w:rPr>
          <w:rFonts w:ascii="Times New Roman" w:hAnsi="Times New Roman" w:cs="Times New Roman"/>
          <w:bCs/>
          <w:sz w:val="28"/>
          <w:szCs w:val="28"/>
          <w:lang w:val="nb-NO"/>
        </w:rPr>
        <w:t xml:space="preserve">tổ chức đại diện, liên minh </w:t>
      </w:r>
      <w:r w:rsidR="009059BA" w:rsidRPr="009059BA">
        <w:rPr>
          <w:rFonts w:ascii="Times New Roman" w:hAnsi="Times New Roman" w:cs="Times New Roman"/>
          <w:bCs/>
          <w:sz w:val="28"/>
          <w:szCs w:val="28"/>
          <w:lang w:val="nb-NO"/>
        </w:rPr>
        <w:t>HTX</w:t>
      </w:r>
      <w:r w:rsidR="006335B7" w:rsidRPr="009059BA">
        <w:rPr>
          <w:rFonts w:ascii="Times New Roman" w:hAnsi="Times New Roman" w:cs="Times New Roman"/>
          <w:bCs/>
          <w:sz w:val="28"/>
          <w:szCs w:val="28"/>
          <w:lang w:val="nb-NO"/>
        </w:rPr>
        <w:t>.</w:t>
      </w:r>
    </w:p>
    <w:p w14:paraId="729572A5" w14:textId="73A369F8" w:rsidR="00AC78C1" w:rsidRPr="009059BA" w:rsidRDefault="00AC78C1" w:rsidP="00AC78C1">
      <w:pPr>
        <w:pStyle w:val="BodyTextIndent"/>
        <w:spacing w:before="160" w:after="160"/>
        <w:ind w:firstLine="567"/>
        <w:rPr>
          <w:rFonts w:ascii="Times New Roman" w:hAnsi="Times New Roman"/>
          <w:bCs/>
          <w:sz w:val="28"/>
          <w:szCs w:val="28"/>
          <w:lang w:val="nb-NO"/>
        </w:rPr>
      </w:pPr>
      <w:r w:rsidRPr="004C2F90">
        <w:rPr>
          <w:rFonts w:ascii="Times New Roman" w:hAnsi="Times New Roman"/>
          <w:b/>
          <w:bCs/>
          <w:i/>
          <w:sz w:val="28"/>
          <w:szCs w:val="28"/>
          <w:lang w:val="nb-NO"/>
        </w:rPr>
        <w:t xml:space="preserve">Ba là, nhóm chính sách về </w:t>
      </w:r>
      <w:r w:rsidRPr="004C2F90">
        <w:rPr>
          <w:rFonts w:ascii="Times New Roman" w:hAnsi="Times New Roman"/>
          <w:b/>
          <w:bCs/>
          <w:i/>
          <w:sz w:val="28"/>
          <w:szCs w:val="28"/>
        </w:rPr>
        <w:t>m</w:t>
      </w:r>
      <w:r w:rsidRPr="004C2F90">
        <w:rPr>
          <w:rFonts w:ascii="Times New Roman" w:hAnsi="Times New Roman"/>
          <w:b/>
          <w:bCs/>
          <w:i/>
          <w:sz w:val="28"/>
          <w:szCs w:val="28"/>
          <w:lang w:val="vi-VN"/>
        </w:rPr>
        <w:t>ở rộng thị trường, nâng cao khả năng huy động vốn, tạo động lực cho HTX phát triển</w:t>
      </w:r>
      <w:r w:rsidR="004C2F90">
        <w:rPr>
          <w:rFonts w:ascii="Times New Roman" w:hAnsi="Times New Roman"/>
          <w:bCs/>
          <w:sz w:val="28"/>
          <w:szCs w:val="28"/>
          <w:lang w:val="nb-NO"/>
        </w:rPr>
        <w:t>,</w:t>
      </w:r>
      <w:r w:rsidRPr="004C2F90">
        <w:rPr>
          <w:rFonts w:ascii="Times New Roman" w:hAnsi="Times New Roman"/>
          <w:bCs/>
          <w:sz w:val="28"/>
          <w:szCs w:val="28"/>
          <w:lang w:val="nb-NO"/>
        </w:rPr>
        <w:t xml:space="preserve"> bao gồm:</w:t>
      </w:r>
      <w:r w:rsidR="00F92008" w:rsidRPr="004C2F90">
        <w:rPr>
          <w:rFonts w:ascii="Times New Roman" w:hAnsi="Times New Roman"/>
          <w:sz w:val="28"/>
          <w:szCs w:val="28"/>
        </w:rPr>
        <w:t xml:space="preserve"> Sửa đổi quy định giao </w:t>
      </w:r>
      <w:r w:rsidR="00F92008" w:rsidRPr="004C2F90">
        <w:rPr>
          <w:rFonts w:ascii="Times New Roman" w:hAnsi="Times New Roman"/>
          <w:sz w:val="28"/>
          <w:szCs w:val="28"/>
        </w:rPr>
        <w:lastRenderedPageBreak/>
        <w:t>dịch của HTX, liên hiệp HTX với các đối tượng không phải thành viên theo hướng điều lệ HTX, liên hiệp HTX tự quyết định, sau khi đáp ứng nhu cầu của thành viên</w:t>
      </w:r>
      <w:r w:rsidR="00F8482A">
        <w:rPr>
          <w:rFonts w:ascii="Times New Roman" w:hAnsi="Times New Roman"/>
          <w:sz w:val="28"/>
          <w:szCs w:val="28"/>
        </w:rPr>
        <w:t>;</w:t>
      </w:r>
      <w:r w:rsidR="00F92008" w:rsidRPr="004C2F90">
        <w:rPr>
          <w:rFonts w:ascii="Times New Roman" w:hAnsi="Times New Roman"/>
          <w:sz w:val="28"/>
          <w:szCs w:val="28"/>
        </w:rPr>
        <w:t xml:space="preserve"> </w:t>
      </w:r>
      <w:r w:rsidR="00F8482A">
        <w:rPr>
          <w:rFonts w:ascii="Times New Roman" w:hAnsi="Times New Roman"/>
          <w:sz w:val="28"/>
          <w:szCs w:val="28"/>
        </w:rPr>
        <w:t>b</w:t>
      </w:r>
      <w:r w:rsidR="00F92008" w:rsidRPr="004C2F90">
        <w:rPr>
          <w:rFonts w:ascii="Times New Roman" w:hAnsi="Times New Roman"/>
          <w:sz w:val="28"/>
          <w:szCs w:val="28"/>
        </w:rPr>
        <w:t xml:space="preserve">ổ sung các quy định lợi nhuận thu được từ giao dịch bên ngoài được trích lập quỹ </w:t>
      </w:r>
      <w:r w:rsidR="006335B7" w:rsidRPr="004C2F90">
        <w:rPr>
          <w:rFonts w:ascii="Times New Roman" w:hAnsi="Times New Roman"/>
          <w:sz w:val="28"/>
          <w:szCs w:val="28"/>
        </w:rPr>
        <w:t>chung không chia</w:t>
      </w:r>
      <w:r w:rsidR="00F92008" w:rsidRPr="004C2F90">
        <w:rPr>
          <w:rFonts w:ascii="Times New Roman" w:hAnsi="Times New Roman"/>
          <w:sz w:val="28"/>
          <w:szCs w:val="28"/>
        </w:rPr>
        <w:t xml:space="preserve"> và phải chịu thuế thu nhập doanh nghiệp giống như doanh nghiệp, giao dịch nội bộ HTX, liên hiệp HTX được miễn, giảm thuế thu nhập doanh nghiệp</w:t>
      </w:r>
      <w:r w:rsidR="00F8482A">
        <w:rPr>
          <w:rFonts w:ascii="Times New Roman" w:hAnsi="Times New Roman"/>
          <w:sz w:val="28"/>
          <w:szCs w:val="28"/>
        </w:rPr>
        <w:t>;</w:t>
      </w:r>
      <w:r w:rsidR="00F92008" w:rsidRPr="004C2F90">
        <w:rPr>
          <w:rFonts w:ascii="Times New Roman" w:hAnsi="Times New Roman"/>
          <w:sz w:val="28"/>
          <w:szCs w:val="28"/>
        </w:rPr>
        <w:t xml:space="preserve"> </w:t>
      </w:r>
      <w:r w:rsidR="00F8482A">
        <w:rPr>
          <w:rFonts w:ascii="Times New Roman" w:hAnsi="Times New Roman"/>
          <w:sz w:val="28"/>
          <w:szCs w:val="28"/>
        </w:rPr>
        <w:t>t</w:t>
      </w:r>
      <w:r w:rsidR="00F92008" w:rsidRPr="004C2F90">
        <w:rPr>
          <w:rFonts w:ascii="Times New Roman" w:hAnsi="Times New Roman"/>
          <w:sz w:val="28"/>
          <w:szCs w:val="28"/>
        </w:rPr>
        <w:t>ăng tỷ lệ vốn góp của thành viên theo thông lệ thế giới</w:t>
      </w:r>
      <w:r w:rsidR="00F8482A">
        <w:rPr>
          <w:rFonts w:ascii="Times New Roman" w:hAnsi="Times New Roman"/>
          <w:sz w:val="28"/>
          <w:szCs w:val="28"/>
        </w:rPr>
        <w:t>;</w:t>
      </w:r>
      <w:r w:rsidR="000F38B5">
        <w:rPr>
          <w:rFonts w:ascii="Times New Roman" w:hAnsi="Times New Roman"/>
          <w:sz w:val="28"/>
          <w:szCs w:val="28"/>
        </w:rPr>
        <w:t xml:space="preserve"> b</w:t>
      </w:r>
      <w:r w:rsidR="00F92008" w:rsidRPr="004C2F90">
        <w:rPr>
          <w:rFonts w:ascii="Times New Roman" w:hAnsi="Times New Roman"/>
          <w:sz w:val="28"/>
          <w:szCs w:val="28"/>
        </w:rPr>
        <w:t>ổ sung quy định cho phép thành viên giao dịch, chuyển nhượng vốn góp</w:t>
      </w:r>
      <w:r w:rsidR="006632A5" w:rsidRPr="004C2F90">
        <w:rPr>
          <w:rFonts w:ascii="Times New Roman" w:hAnsi="Times New Roman"/>
          <w:sz w:val="28"/>
          <w:szCs w:val="28"/>
        </w:rPr>
        <w:t xml:space="preserve">; </w:t>
      </w:r>
      <w:r w:rsidR="000F38B5">
        <w:rPr>
          <w:rFonts w:ascii="Times New Roman" w:hAnsi="Times New Roman"/>
          <w:sz w:val="28"/>
          <w:szCs w:val="28"/>
        </w:rPr>
        <w:t>b</w:t>
      </w:r>
      <w:r w:rsidR="00F92008" w:rsidRPr="004C2F90">
        <w:rPr>
          <w:rFonts w:ascii="Times New Roman" w:hAnsi="Times New Roman"/>
          <w:sz w:val="28"/>
          <w:szCs w:val="28"/>
        </w:rPr>
        <w:t xml:space="preserve">ổ sung quy định cho phép HTX, liên hiệp HTX sử dụng quỹ </w:t>
      </w:r>
      <w:r w:rsidR="006632A5" w:rsidRPr="004C2F90">
        <w:rPr>
          <w:rFonts w:ascii="Times New Roman" w:hAnsi="Times New Roman"/>
          <w:sz w:val="28"/>
          <w:szCs w:val="28"/>
        </w:rPr>
        <w:t>chung không chia</w:t>
      </w:r>
      <w:r w:rsidR="00F92008" w:rsidRPr="004C2F90">
        <w:rPr>
          <w:rFonts w:ascii="Times New Roman" w:hAnsi="Times New Roman"/>
          <w:sz w:val="28"/>
          <w:szCs w:val="28"/>
        </w:rPr>
        <w:t xml:space="preserve">, nguồn vốn hình thành tài sản </w:t>
      </w:r>
      <w:r w:rsidR="006632A5" w:rsidRPr="004C2F90">
        <w:rPr>
          <w:rFonts w:ascii="Times New Roman" w:hAnsi="Times New Roman"/>
          <w:sz w:val="28"/>
          <w:szCs w:val="28"/>
        </w:rPr>
        <w:t xml:space="preserve">chung </w:t>
      </w:r>
      <w:r w:rsidR="00F92008" w:rsidRPr="004C2F90">
        <w:rPr>
          <w:rFonts w:ascii="Times New Roman" w:hAnsi="Times New Roman"/>
          <w:sz w:val="28"/>
          <w:szCs w:val="28"/>
        </w:rPr>
        <w:t>không chia tham gia vào hoạt động sản xuất, kinh doanh, ngoại trừ quyền sử dụng đất được Nhà nước giao, cho thuê</w:t>
      </w:r>
      <w:r w:rsidR="00F8482A">
        <w:rPr>
          <w:rFonts w:ascii="Times New Roman" w:hAnsi="Times New Roman"/>
          <w:sz w:val="28"/>
          <w:szCs w:val="28"/>
        </w:rPr>
        <w:t>;</w:t>
      </w:r>
      <w:r w:rsidR="00F92008" w:rsidRPr="004C2F90">
        <w:rPr>
          <w:rFonts w:ascii="Times New Roman" w:hAnsi="Times New Roman"/>
          <w:sz w:val="28"/>
          <w:szCs w:val="28"/>
        </w:rPr>
        <w:t xml:space="preserve"> </w:t>
      </w:r>
      <w:r w:rsidR="00F8482A">
        <w:rPr>
          <w:rFonts w:ascii="Times New Roman" w:hAnsi="Times New Roman"/>
          <w:sz w:val="28"/>
          <w:szCs w:val="28"/>
        </w:rPr>
        <w:t>s</w:t>
      </w:r>
      <w:r w:rsidR="00F92008" w:rsidRPr="004C2F90">
        <w:rPr>
          <w:rFonts w:ascii="Times New Roman" w:hAnsi="Times New Roman"/>
          <w:sz w:val="28"/>
          <w:szCs w:val="28"/>
        </w:rPr>
        <w:t>ửa đổi các quy định về phân phối thu nhập</w:t>
      </w:r>
      <w:r w:rsidR="004C2F90">
        <w:rPr>
          <w:rFonts w:ascii="Times New Roman" w:hAnsi="Times New Roman"/>
          <w:sz w:val="28"/>
          <w:szCs w:val="28"/>
        </w:rPr>
        <w:t>. Các nội dung này</w:t>
      </w:r>
      <w:r w:rsidRPr="009059BA">
        <w:rPr>
          <w:rFonts w:ascii="Times New Roman" w:hAnsi="Times New Roman"/>
          <w:bCs/>
          <w:sz w:val="28"/>
          <w:szCs w:val="28"/>
          <w:lang w:val="nb-NO"/>
        </w:rPr>
        <w:t xml:space="preserve"> được cụ thể hóa tại quy định về </w:t>
      </w:r>
      <w:r w:rsidR="006335B7" w:rsidRPr="009059BA">
        <w:rPr>
          <w:rFonts w:ascii="Times New Roman" w:hAnsi="Times New Roman"/>
          <w:bCs/>
          <w:sz w:val="28"/>
          <w:szCs w:val="28"/>
          <w:lang w:val="nb-NO"/>
        </w:rPr>
        <w:t xml:space="preserve">quyền và nghĩa vụ của </w:t>
      </w:r>
      <w:r w:rsidR="00877AED">
        <w:rPr>
          <w:rFonts w:ascii="Times New Roman" w:hAnsi="Times New Roman"/>
          <w:bCs/>
          <w:sz w:val="28"/>
          <w:szCs w:val="28"/>
          <w:lang w:val="nb-NO"/>
        </w:rPr>
        <w:t>TCKTHT</w:t>
      </w:r>
      <w:r w:rsidR="006335B7" w:rsidRPr="009059BA">
        <w:rPr>
          <w:rFonts w:ascii="Times New Roman" w:hAnsi="Times New Roman"/>
          <w:bCs/>
          <w:sz w:val="28"/>
          <w:szCs w:val="28"/>
          <w:lang w:val="nb-NO"/>
        </w:rPr>
        <w:t>; góp vốn, chuyển nhượng vốn góp; trích lập quỹ chung không chia, phân phối thu nhập</w:t>
      </w:r>
      <w:r w:rsidR="006F0CBD">
        <w:rPr>
          <w:rFonts w:ascii="Times New Roman" w:hAnsi="Times New Roman"/>
          <w:bCs/>
          <w:sz w:val="28"/>
          <w:szCs w:val="28"/>
          <w:lang w:val="nb-NO"/>
        </w:rPr>
        <w:t>;</w:t>
      </w:r>
      <w:r w:rsidR="006335B7" w:rsidRPr="009059BA">
        <w:rPr>
          <w:rFonts w:ascii="Times New Roman" w:hAnsi="Times New Roman"/>
          <w:bCs/>
          <w:sz w:val="28"/>
          <w:szCs w:val="28"/>
          <w:lang w:val="nb-NO"/>
        </w:rPr>
        <w:t xml:space="preserve"> quản lý, sử dụng các quỹ; xử lý tài sản và vốn khi </w:t>
      </w:r>
      <w:r w:rsidR="00877AED">
        <w:rPr>
          <w:rFonts w:ascii="Times New Roman" w:hAnsi="Times New Roman"/>
          <w:bCs/>
          <w:sz w:val="28"/>
          <w:szCs w:val="28"/>
          <w:lang w:val="nb-NO"/>
        </w:rPr>
        <w:t>TCKTHT</w:t>
      </w:r>
      <w:r w:rsidR="006335B7" w:rsidRPr="009059BA">
        <w:rPr>
          <w:rFonts w:ascii="Times New Roman" w:hAnsi="Times New Roman"/>
          <w:bCs/>
          <w:sz w:val="28"/>
          <w:szCs w:val="28"/>
          <w:lang w:val="nb-NO"/>
        </w:rPr>
        <w:t xml:space="preserve"> giải thể</w:t>
      </w:r>
      <w:r w:rsidR="006F0CBD">
        <w:rPr>
          <w:rFonts w:ascii="Times New Roman" w:hAnsi="Times New Roman"/>
          <w:bCs/>
          <w:sz w:val="28"/>
          <w:szCs w:val="28"/>
          <w:lang w:val="nb-NO"/>
        </w:rPr>
        <w:t xml:space="preserve">; </w:t>
      </w:r>
      <w:r w:rsidR="006F0CBD" w:rsidRPr="009059BA">
        <w:rPr>
          <w:rFonts w:ascii="Times New Roman" w:hAnsi="Times New Roman"/>
          <w:bCs/>
          <w:sz w:val="28"/>
          <w:szCs w:val="28"/>
          <w:lang w:val="nb-NO"/>
        </w:rPr>
        <w:t xml:space="preserve">chính sách </w:t>
      </w:r>
      <w:r w:rsidR="006F0CBD">
        <w:rPr>
          <w:rFonts w:ascii="Times New Roman" w:hAnsi="Times New Roman"/>
          <w:bCs/>
          <w:sz w:val="28"/>
          <w:szCs w:val="28"/>
          <w:lang w:val="nb-NO"/>
        </w:rPr>
        <w:t>hỗ trợ của Nhà nước cho các TCKTHT</w:t>
      </w:r>
      <w:r w:rsidR="006335B7" w:rsidRPr="009059BA">
        <w:rPr>
          <w:rFonts w:ascii="Times New Roman" w:hAnsi="Times New Roman"/>
          <w:bCs/>
          <w:sz w:val="28"/>
          <w:szCs w:val="28"/>
          <w:lang w:val="nb-NO"/>
        </w:rPr>
        <w:t>.</w:t>
      </w:r>
    </w:p>
    <w:p w14:paraId="6A5C10CF" w14:textId="7F76F219" w:rsidR="00AC78C1" w:rsidRPr="009059BA" w:rsidRDefault="00AC78C1" w:rsidP="00F92008">
      <w:pPr>
        <w:pStyle w:val="Noidung"/>
        <w:spacing w:line="276" w:lineRule="auto"/>
        <w:rPr>
          <w:rFonts w:eastAsia="Times New Roman"/>
          <w:bCs/>
          <w:szCs w:val="28"/>
          <w:lang w:val="nb-NO"/>
        </w:rPr>
      </w:pPr>
      <w:r w:rsidRPr="00D653E9">
        <w:rPr>
          <w:rFonts w:eastAsia="Times New Roman"/>
          <w:b/>
          <w:bCs/>
          <w:i/>
          <w:szCs w:val="28"/>
          <w:lang w:val="nb-NO"/>
        </w:rPr>
        <w:t xml:space="preserve">Bốn là, nhóm chính sách về </w:t>
      </w:r>
      <w:r w:rsidRPr="00D653E9">
        <w:rPr>
          <w:rFonts w:eastAsia="Times New Roman"/>
          <w:b/>
          <w:bCs/>
          <w:i/>
          <w:szCs w:val="28"/>
        </w:rPr>
        <w:t>hoàn thiện và nâng cao hiệu quả công tác quản lý, điều hành HTX</w:t>
      </w:r>
      <w:r w:rsidR="00D653E9">
        <w:rPr>
          <w:rFonts w:eastAsia="Times New Roman"/>
          <w:bCs/>
          <w:szCs w:val="28"/>
          <w:lang w:val="nb-NO"/>
        </w:rPr>
        <w:t>,</w:t>
      </w:r>
      <w:r w:rsidRPr="009059BA">
        <w:rPr>
          <w:rFonts w:eastAsia="Times New Roman"/>
          <w:bCs/>
          <w:szCs w:val="28"/>
          <w:lang w:val="nb-NO"/>
        </w:rPr>
        <w:t xml:space="preserve"> </w:t>
      </w:r>
      <w:r w:rsidRPr="00D653E9">
        <w:rPr>
          <w:rFonts w:eastAsia="Times New Roman"/>
          <w:bCs/>
          <w:szCs w:val="28"/>
          <w:lang w:val="nb-NO"/>
        </w:rPr>
        <w:t>bao gồm:</w:t>
      </w:r>
      <w:r w:rsidR="00B62E57">
        <w:rPr>
          <w:szCs w:val="28"/>
        </w:rPr>
        <w:t xml:space="preserve"> </w:t>
      </w:r>
      <w:r w:rsidR="00634DBD">
        <w:rPr>
          <w:szCs w:val="28"/>
        </w:rPr>
        <w:t>B</w:t>
      </w:r>
      <w:r w:rsidR="00F92008" w:rsidRPr="00D653E9">
        <w:rPr>
          <w:szCs w:val="28"/>
        </w:rPr>
        <w:t>ổ sung một chương riêng về kiể</w:t>
      </w:r>
      <w:r w:rsidR="00F8482A">
        <w:rPr>
          <w:szCs w:val="28"/>
        </w:rPr>
        <w:t>m toán, trong đó</w:t>
      </w:r>
      <w:r w:rsidR="00F92008" w:rsidRPr="00D653E9">
        <w:rPr>
          <w:szCs w:val="28"/>
        </w:rPr>
        <w:t xml:space="preserve"> </w:t>
      </w:r>
      <w:r w:rsidR="00F8482A">
        <w:rPr>
          <w:szCs w:val="28"/>
        </w:rPr>
        <w:t>q</w:t>
      </w:r>
      <w:r w:rsidR="00F92008" w:rsidRPr="00D653E9">
        <w:rPr>
          <w:szCs w:val="28"/>
        </w:rPr>
        <w:t>uy định về kiểm toán nội bộ, kiểm toán độc lập bảo đảm phù hợp tiêu chuẩn kiểm toán HTX, liên hiệp HTX thế giới, pháp luật về kiểm toán ở nướ</w:t>
      </w:r>
      <w:r w:rsidR="00B973CA">
        <w:rPr>
          <w:szCs w:val="28"/>
        </w:rPr>
        <w:t>c ta</w:t>
      </w:r>
      <w:r w:rsidR="00F8482A">
        <w:rPr>
          <w:szCs w:val="28"/>
        </w:rPr>
        <w:t>;</w:t>
      </w:r>
      <w:r w:rsidR="00F92008" w:rsidRPr="00D653E9">
        <w:rPr>
          <w:szCs w:val="28"/>
        </w:rPr>
        <w:t xml:space="preserve"> </w:t>
      </w:r>
      <w:r w:rsidR="00F8482A">
        <w:rPr>
          <w:szCs w:val="28"/>
        </w:rPr>
        <w:t>h</w:t>
      </w:r>
      <w:r w:rsidR="00F92008" w:rsidRPr="00D653E9">
        <w:rPr>
          <w:szCs w:val="28"/>
        </w:rPr>
        <w:t>oàn thiện các quy định về bộ máy, tổ chức của HTX, liên hiệp HTX cho phép HTX, liên hiệp HTX có nhiều người đại diện theo pháp luậ</w:t>
      </w:r>
      <w:r w:rsidR="00F8482A">
        <w:rPr>
          <w:szCs w:val="28"/>
        </w:rPr>
        <w:t>t;</w:t>
      </w:r>
      <w:r w:rsidR="00F92008" w:rsidRPr="00D653E9">
        <w:rPr>
          <w:szCs w:val="28"/>
        </w:rPr>
        <w:t xml:space="preserve"> </w:t>
      </w:r>
      <w:r w:rsidR="00F8482A">
        <w:rPr>
          <w:szCs w:val="28"/>
        </w:rPr>
        <w:t>h</w:t>
      </w:r>
      <w:r w:rsidR="00F92008" w:rsidRPr="00D653E9">
        <w:rPr>
          <w:szCs w:val="28"/>
        </w:rPr>
        <w:t xml:space="preserve">oàn thiện quy định về tổ chức bộ máy quản lý, điều hành, về trách nhiệm, điều kiện năng lực của Chủ tịch </w:t>
      </w:r>
      <w:r w:rsidR="00877AED" w:rsidRPr="00D653E9">
        <w:rPr>
          <w:szCs w:val="28"/>
        </w:rPr>
        <w:t>Hội đồng quản trị</w:t>
      </w:r>
      <w:r w:rsidR="00F92008" w:rsidRPr="00D653E9">
        <w:rPr>
          <w:szCs w:val="28"/>
        </w:rPr>
        <w:t xml:space="preserve">, thành viên </w:t>
      </w:r>
      <w:r w:rsidR="00877AED" w:rsidRPr="00D653E9">
        <w:rPr>
          <w:szCs w:val="28"/>
        </w:rPr>
        <w:t>Hội đồng quản trị</w:t>
      </w:r>
      <w:r w:rsidR="00F92008" w:rsidRPr="00D653E9">
        <w:rPr>
          <w:szCs w:val="28"/>
        </w:rPr>
        <w:t>, Ban kiểm soát hoặc kiểm soát viên</w:t>
      </w:r>
      <w:r w:rsidR="00F8482A">
        <w:rPr>
          <w:szCs w:val="28"/>
        </w:rPr>
        <w:t>;</w:t>
      </w:r>
      <w:r w:rsidR="00B973CA">
        <w:rPr>
          <w:szCs w:val="28"/>
        </w:rPr>
        <w:t xml:space="preserve"> </w:t>
      </w:r>
      <w:r w:rsidR="00F8482A">
        <w:rPr>
          <w:szCs w:val="28"/>
        </w:rPr>
        <w:t>h</w:t>
      </w:r>
      <w:r w:rsidR="00F92008" w:rsidRPr="00D653E9">
        <w:rPr>
          <w:szCs w:val="28"/>
        </w:rPr>
        <w:t>oàn thiện quy định về tổ chức đại hội thành viên về hình thức tổ chức, tham dự, bỏ phiếu trực tuyến, điện tử, gửi phiếu biểu quyết qua dịch vụ</w:t>
      </w:r>
      <w:r w:rsidR="00B973CA">
        <w:rPr>
          <w:szCs w:val="28"/>
        </w:rPr>
        <w:t xml:space="preserve"> bưu chính,</w:t>
      </w:r>
      <w:r w:rsidR="00F92008" w:rsidRPr="00D653E9">
        <w:rPr>
          <w:szCs w:val="28"/>
        </w:rPr>
        <w:t xml:space="preserve"> HTX thành viên trong liên hiệp HTX được phép bầu nhiều phiếu</w:t>
      </w:r>
      <w:r w:rsidR="00D653E9">
        <w:rPr>
          <w:rFonts w:eastAsia="Times New Roman"/>
          <w:bCs/>
          <w:szCs w:val="28"/>
          <w:lang w:val="nb-NO"/>
        </w:rPr>
        <w:t>.... Các nội dung này</w:t>
      </w:r>
      <w:r w:rsidRPr="009059BA">
        <w:rPr>
          <w:rFonts w:eastAsia="Times New Roman"/>
          <w:bCs/>
          <w:szCs w:val="28"/>
          <w:lang w:val="nb-NO"/>
        </w:rPr>
        <w:t xml:space="preserve"> được cụ thể hóa tại </w:t>
      </w:r>
      <w:r w:rsidR="006335B7" w:rsidRPr="009059BA">
        <w:rPr>
          <w:rFonts w:eastAsia="Times New Roman"/>
          <w:bCs/>
          <w:szCs w:val="28"/>
          <w:lang w:val="nb-NO"/>
        </w:rPr>
        <w:t xml:space="preserve">các Chương tổ chức quản lý và Kiểm toán </w:t>
      </w:r>
      <w:r w:rsidR="00877AED">
        <w:rPr>
          <w:rFonts w:eastAsia="Times New Roman"/>
          <w:bCs/>
          <w:szCs w:val="28"/>
          <w:lang w:val="nb-NO"/>
        </w:rPr>
        <w:t>TCKTHT</w:t>
      </w:r>
      <w:r w:rsidR="001A7C9E">
        <w:rPr>
          <w:rFonts w:eastAsia="Times New Roman"/>
          <w:bCs/>
          <w:szCs w:val="28"/>
          <w:lang w:val="nb-NO"/>
        </w:rPr>
        <w:t>CTCPN</w:t>
      </w:r>
      <w:r w:rsidR="006335B7" w:rsidRPr="009059BA">
        <w:rPr>
          <w:rFonts w:eastAsia="Times New Roman"/>
          <w:bCs/>
          <w:szCs w:val="28"/>
          <w:lang w:val="nb-NO"/>
        </w:rPr>
        <w:t xml:space="preserve">, quy định về quyền của thành viên liên hiệp HTX. </w:t>
      </w:r>
      <w:r w:rsidRPr="009059BA">
        <w:rPr>
          <w:szCs w:val="28"/>
          <w:lang w:val="es-ES"/>
        </w:rPr>
        <w:t xml:space="preserve"> </w:t>
      </w:r>
    </w:p>
    <w:p w14:paraId="68FDD28D" w14:textId="5998FE21" w:rsidR="00AC78C1" w:rsidRPr="009059BA" w:rsidRDefault="00AC78C1" w:rsidP="00F92008">
      <w:pPr>
        <w:pStyle w:val="Noidung"/>
        <w:spacing w:line="276" w:lineRule="auto"/>
        <w:rPr>
          <w:bCs/>
          <w:spacing w:val="-2"/>
          <w:szCs w:val="28"/>
          <w:lang w:val="nb-NO"/>
        </w:rPr>
      </w:pPr>
      <w:r w:rsidRPr="00371368">
        <w:rPr>
          <w:b/>
          <w:bCs/>
          <w:i/>
          <w:spacing w:val="-2"/>
          <w:szCs w:val="28"/>
          <w:lang w:val="nb-NO"/>
        </w:rPr>
        <w:t xml:space="preserve">Năm là, nhóm chính sách về </w:t>
      </w:r>
      <w:r w:rsidRPr="00371368">
        <w:rPr>
          <w:b/>
          <w:bCs/>
          <w:i/>
          <w:spacing w:val="-2"/>
          <w:szCs w:val="28"/>
        </w:rPr>
        <w:t>n</w:t>
      </w:r>
      <w:r w:rsidRPr="00371368">
        <w:rPr>
          <w:b/>
          <w:bCs/>
          <w:i/>
          <w:spacing w:val="-2"/>
          <w:szCs w:val="28"/>
          <w:lang w:val="vi-VN"/>
        </w:rPr>
        <w:t xml:space="preserve">âng cao hiệu lực, hiệu quả quản lý nhà nước trong lĩnh vực </w:t>
      </w:r>
      <w:r w:rsidR="00877AED" w:rsidRPr="00371368">
        <w:rPr>
          <w:b/>
          <w:bCs/>
          <w:i/>
          <w:spacing w:val="-2"/>
          <w:szCs w:val="28"/>
          <w:lang w:val="vi-VN"/>
        </w:rPr>
        <w:t>kinh tế tập thể</w:t>
      </w:r>
      <w:r w:rsidR="00371368">
        <w:rPr>
          <w:b/>
          <w:bCs/>
          <w:i/>
          <w:spacing w:val="-2"/>
          <w:szCs w:val="28"/>
        </w:rPr>
        <w:t>,</w:t>
      </w:r>
      <w:r w:rsidRPr="009059BA">
        <w:rPr>
          <w:bCs/>
          <w:i/>
          <w:spacing w:val="-2"/>
          <w:szCs w:val="28"/>
          <w:lang w:val="nb-NO"/>
        </w:rPr>
        <w:t xml:space="preserve"> </w:t>
      </w:r>
      <w:r w:rsidRPr="00371368">
        <w:rPr>
          <w:bCs/>
          <w:spacing w:val="-2"/>
          <w:szCs w:val="28"/>
          <w:lang w:val="nb-NO"/>
        </w:rPr>
        <w:t>bao gồm</w:t>
      </w:r>
      <w:r w:rsidR="00F92008" w:rsidRPr="00371368">
        <w:rPr>
          <w:bCs/>
          <w:spacing w:val="-2"/>
          <w:szCs w:val="28"/>
          <w:lang w:val="nb-NO"/>
        </w:rPr>
        <w:t xml:space="preserve">: </w:t>
      </w:r>
      <w:r w:rsidR="00634DBD">
        <w:rPr>
          <w:bCs/>
          <w:spacing w:val="-2"/>
          <w:szCs w:val="28"/>
          <w:lang w:val="nb-NO"/>
        </w:rPr>
        <w:t>H</w:t>
      </w:r>
      <w:r w:rsidR="006632A5" w:rsidRPr="00371368">
        <w:rPr>
          <w:bCs/>
          <w:spacing w:val="-2"/>
          <w:szCs w:val="28"/>
          <w:lang w:val="nb-NO"/>
        </w:rPr>
        <w:t xml:space="preserve">oàn thiện các quy định </w:t>
      </w:r>
      <w:r w:rsidR="00F92008" w:rsidRPr="00371368">
        <w:t xml:space="preserve">theo hướng tạo điều kiện cho các </w:t>
      </w:r>
      <w:r w:rsidR="00877AED" w:rsidRPr="00371368">
        <w:t>TCKTHT</w:t>
      </w:r>
      <w:r w:rsidR="00F92008" w:rsidRPr="00371368">
        <w:t xml:space="preserve"> gia nhập cũng như rút lui khỏi thị trường, tăng cường “hậu kiểm” và tạo sân chơi bình đẳng với doanh nghiệp; đẩy mạnh ứng dụng công nghệ thông tin, chuyển đổi số</w:t>
      </w:r>
      <w:r w:rsidR="00B24331">
        <w:t>;</w:t>
      </w:r>
      <w:r w:rsidR="006632A5" w:rsidRPr="00371368">
        <w:t xml:space="preserve"> </w:t>
      </w:r>
      <w:r w:rsidR="001178D1">
        <w:t>h</w:t>
      </w:r>
      <w:r w:rsidR="00F92008" w:rsidRPr="00371368">
        <w:rPr>
          <w:spacing w:val="-2"/>
        </w:rPr>
        <w:t xml:space="preserve">oàn thiện các quy định về chính sách hỗ trợ của Nhà nước tại một chương riêng theo hướng </w:t>
      </w:r>
      <w:bookmarkStart w:id="2" w:name="_Toc82959619"/>
      <w:r w:rsidR="005B7591">
        <w:rPr>
          <w:spacing w:val="-2"/>
        </w:rPr>
        <w:t>b</w:t>
      </w:r>
      <w:r w:rsidR="00F92008" w:rsidRPr="00371368">
        <w:rPr>
          <w:spacing w:val="-2"/>
        </w:rPr>
        <w:t xml:space="preserve">ổ sung nguyên tắc, tiêu chí thực hiện chính sách hỗ trợ của Nhà nước </w:t>
      </w:r>
      <w:bookmarkEnd w:id="2"/>
      <w:r w:rsidR="00DD59A0">
        <w:rPr>
          <w:spacing w:val="-2"/>
        </w:rPr>
        <w:t>nhằm phát huy</w:t>
      </w:r>
      <w:r w:rsidR="00F92008" w:rsidRPr="00371368">
        <w:rPr>
          <w:spacing w:val="-2"/>
        </w:rPr>
        <w:t xml:space="preserve"> bản chất HTX trên cơ sở báo cáo kiểm toán của HTX, liên hiệp HTX</w:t>
      </w:r>
      <w:r w:rsidR="006632A5" w:rsidRPr="00371368">
        <w:rPr>
          <w:spacing w:val="-2"/>
        </w:rPr>
        <w:t xml:space="preserve">; </w:t>
      </w:r>
      <w:r w:rsidR="008B7211" w:rsidRPr="00371368">
        <w:rPr>
          <w:spacing w:val="-2"/>
        </w:rPr>
        <w:t>t</w:t>
      </w:r>
      <w:r w:rsidR="00F92008" w:rsidRPr="00371368">
        <w:rPr>
          <w:spacing w:val="-2"/>
        </w:rPr>
        <w:t>hống nhất các quy định về nội dung chính sách hỗ trợ đang quy định dàn trải</w:t>
      </w:r>
      <w:r w:rsidR="006632A5" w:rsidRPr="00371368">
        <w:rPr>
          <w:spacing w:val="-2"/>
        </w:rPr>
        <w:t xml:space="preserve">; </w:t>
      </w:r>
      <w:r w:rsidR="008B7211" w:rsidRPr="00371368">
        <w:rPr>
          <w:spacing w:val="-2"/>
        </w:rPr>
        <w:t>b</w:t>
      </w:r>
      <w:r w:rsidR="00F92008" w:rsidRPr="00371368">
        <w:rPr>
          <w:spacing w:val="-2"/>
        </w:rPr>
        <w:t xml:space="preserve">ổ sung chính sách hỗ trợ của Nhà nước thúc đẩy </w:t>
      </w:r>
      <w:r w:rsidR="009059BA" w:rsidRPr="00371368">
        <w:rPr>
          <w:spacing w:val="-2"/>
        </w:rPr>
        <w:t>THT</w:t>
      </w:r>
      <w:r w:rsidR="00F92008" w:rsidRPr="00371368">
        <w:rPr>
          <w:spacing w:val="-2"/>
        </w:rPr>
        <w:t xml:space="preserve"> phát triển lên HTX</w:t>
      </w:r>
      <w:r w:rsidR="0097782B">
        <w:rPr>
          <w:spacing w:val="-2"/>
        </w:rPr>
        <w:t>. Các nội dung này</w:t>
      </w:r>
      <w:r w:rsidR="006632A5" w:rsidRPr="009059BA">
        <w:rPr>
          <w:bCs/>
          <w:i/>
          <w:spacing w:val="-2"/>
          <w:szCs w:val="28"/>
          <w:lang w:val="nb-NO"/>
        </w:rPr>
        <w:t xml:space="preserve"> </w:t>
      </w:r>
      <w:r w:rsidR="006632A5" w:rsidRPr="009059BA">
        <w:rPr>
          <w:bCs/>
          <w:spacing w:val="-2"/>
          <w:szCs w:val="28"/>
          <w:lang w:val="nb-NO"/>
        </w:rPr>
        <w:t>đư</w:t>
      </w:r>
      <w:r w:rsidRPr="009059BA">
        <w:rPr>
          <w:bCs/>
          <w:spacing w:val="-2"/>
          <w:szCs w:val="28"/>
          <w:lang w:val="nb-NO"/>
        </w:rPr>
        <w:t xml:space="preserve">ợc cụ thể </w:t>
      </w:r>
      <w:r w:rsidRPr="009059BA">
        <w:rPr>
          <w:bCs/>
          <w:spacing w:val="-2"/>
          <w:szCs w:val="28"/>
          <w:lang w:val="nb-NO"/>
        </w:rPr>
        <w:lastRenderedPageBreak/>
        <w:t xml:space="preserve">hóa tại </w:t>
      </w:r>
      <w:r w:rsidR="006632A5" w:rsidRPr="009059BA">
        <w:rPr>
          <w:bCs/>
          <w:spacing w:val="-2"/>
          <w:szCs w:val="28"/>
          <w:lang w:val="nb-NO"/>
        </w:rPr>
        <w:t xml:space="preserve">Chương thành lập; tổ chức lại, giải thể, phá sản </w:t>
      </w:r>
      <w:r w:rsidR="001F61F6">
        <w:rPr>
          <w:bCs/>
          <w:spacing w:val="-2"/>
          <w:szCs w:val="28"/>
          <w:lang w:val="nb-NO"/>
        </w:rPr>
        <w:t>TCKTHTCTCPN</w:t>
      </w:r>
      <w:r w:rsidR="006632A5" w:rsidRPr="009059BA">
        <w:rPr>
          <w:bCs/>
          <w:spacing w:val="-2"/>
          <w:szCs w:val="28"/>
          <w:lang w:val="nb-NO"/>
        </w:rPr>
        <w:t xml:space="preserve">; quản lý nhà nước và chính sách hỗ trợ đối với </w:t>
      </w:r>
      <w:r w:rsidR="00877AED">
        <w:rPr>
          <w:bCs/>
          <w:spacing w:val="-2"/>
          <w:szCs w:val="28"/>
          <w:lang w:val="nb-NO"/>
        </w:rPr>
        <w:t>TCKTHT</w:t>
      </w:r>
      <w:r w:rsidR="006632A5" w:rsidRPr="009059BA">
        <w:rPr>
          <w:bCs/>
          <w:spacing w:val="-2"/>
          <w:szCs w:val="28"/>
          <w:lang w:val="nb-NO"/>
        </w:rPr>
        <w:t>.</w:t>
      </w:r>
    </w:p>
    <w:p w14:paraId="6C836700" w14:textId="1528A6EE" w:rsidR="00530ADA" w:rsidRPr="009059BA" w:rsidRDefault="00A304FE" w:rsidP="00AC78C1">
      <w:pPr>
        <w:pStyle w:val="BodyTextIndent"/>
        <w:spacing w:before="120" w:after="120"/>
        <w:rPr>
          <w:rFonts w:ascii="Times New Roman" w:hAnsi="Times New Roman"/>
          <w:lang w:val="nl-NL"/>
        </w:rPr>
      </w:pPr>
      <w:r>
        <w:rPr>
          <w:rFonts w:ascii="Times New Roman" w:hAnsi="Times New Roman"/>
          <w:sz w:val="28"/>
          <w:szCs w:val="28"/>
          <w:lang w:val="eu-ES" w:eastAsia="vi-VN"/>
        </w:rPr>
        <w:t xml:space="preserve">Trên cơ sở mục </w:t>
      </w:r>
      <w:r w:rsidR="00634DBD">
        <w:rPr>
          <w:rFonts w:ascii="Times New Roman" w:hAnsi="Times New Roman"/>
          <w:sz w:val="28"/>
          <w:szCs w:val="28"/>
          <w:lang w:val="eu-ES" w:eastAsia="vi-VN"/>
        </w:rPr>
        <w:t>tiêu</w:t>
      </w:r>
      <w:r w:rsidR="00AC78C1" w:rsidRPr="009059BA">
        <w:rPr>
          <w:rFonts w:ascii="Times New Roman" w:hAnsi="Times New Roman"/>
          <w:sz w:val="28"/>
          <w:szCs w:val="28"/>
          <w:lang w:val="eu-ES" w:eastAsia="vi-VN"/>
        </w:rPr>
        <w:t>, quan điểm chỉ đạo</w:t>
      </w:r>
      <w:r w:rsidR="00F35956">
        <w:rPr>
          <w:rFonts w:ascii="Times New Roman" w:hAnsi="Times New Roman"/>
          <w:sz w:val="28"/>
          <w:szCs w:val="28"/>
          <w:lang w:val="eu-ES" w:eastAsia="vi-VN"/>
        </w:rPr>
        <w:t xml:space="preserve">, các nhóm chính sách sửa đổi, </w:t>
      </w:r>
      <w:r w:rsidR="00AC78C1" w:rsidRPr="009059BA">
        <w:rPr>
          <w:rFonts w:ascii="Times New Roman" w:hAnsi="Times New Roman"/>
          <w:sz w:val="28"/>
          <w:szCs w:val="28"/>
          <w:lang w:val="eu-ES" w:eastAsia="vi-VN"/>
        </w:rPr>
        <w:t xml:space="preserve">dự án Luật bao gồm các nội dung </w:t>
      </w:r>
      <w:r w:rsidR="00F35956">
        <w:rPr>
          <w:rFonts w:ascii="Times New Roman" w:hAnsi="Times New Roman"/>
          <w:sz w:val="28"/>
          <w:szCs w:val="28"/>
          <w:lang w:val="eu-ES" w:eastAsia="vi-VN"/>
        </w:rPr>
        <w:t>cụ thể</w:t>
      </w:r>
      <w:r w:rsidR="00AC78C1" w:rsidRPr="009059BA">
        <w:rPr>
          <w:rFonts w:ascii="Times New Roman" w:hAnsi="Times New Roman"/>
          <w:sz w:val="28"/>
          <w:szCs w:val="28"/>
          <w:lang w:val="eu-ES" w:eastAsia="vi-VN"/>
        </w:rPr>
        <w:t xml:space="preserve"> như sau:</w:t>
      </w:r>
    </w:p>
    <w:p w14:paraId="08136DE7" w14:textId="77777777" w:rsidR="00530ADA" w:rsidRPr="009059BA" w:rsidRDefault="00530ADA" w:rsidP="00530ADA">
      <w:pPr>
        <w:pStyle w:val="Heading3"/>
      </w:pPr>
      <w:r w:rsidRPr="009059BA">
        <w:t>2.1</w:t>
      </w:r>
      <w:r w:rsidR="001D651B" w:rsidRPr="009059BA">
        <w:t>.</w:t>
      </w:r>
      <w:r w:rsidRPr="009059BA">
        <w:t xml:space="preserve"> Những quy định chung của Luật</w:t>
      </w:r>
    </w:p>
    <w:p w14:paraId="6C6BF6FB" w14:textId="77777777" w:rsidR="00530ADA" w:rsidRPr="009059BA" w:rsidRDefault="00530ADA" w:rsidP="00530ADA">
      <w:pPr>
        <w:pStyle w:val="Noidung"/>
        <w:rPr>
          <w:spacing w:val="-2"/>
        </w:rPr>
      </w:pPr>
      <w:r w:rsidRPr="009059BA">
        <w:rPr>
          <w:lang w:val="nl-NL"/>
        </w:rPr>
        <w:t xml:space="preserve">- Về </w:t>
      </w:r>
      <w:r w:rsidR="00104B1A" w:rsidRPr="009059BA">
        <w:rPr>
          <w:lang w:val="nl-NL"/>
        </w:rPr>
        <w:t xml:space="preserve">đối tượng và </w:t>
      </w:r>
      <w:r w:rsidRPr="009059BA">
        <w:rPr>
          <w:lang w:val="nl-NL"/>
        </w:rPr>
        <w:t xml:space="preserve">phạm vi điều chỉnh: Được sửa đổi theo hướng </w:t>
      </w:r>
      <w:r w:rsidR="00104B1A" w:rsidRPr="009059BA">
        <w:rPr>
          <w:lang w:val="nl-NL"/>
        </w:rPr>
        <w:t xml:space="preserve">mở rộng phạm vi điều chỉnh, bổ sung đối tượng </w:t>
      </w:r>
      <w:r w:rsidR="009059BA" w:rsidRPr="009059BA">
        <w:rPr>
          <w:spacing w:val="-2"/>
        </w:rPr>
        <w:t>THT</w:t>
      </w:r>
      <w:r w:rsidR="00104B1A" w:rsidRPr="009059BA">
        <w:rPr>
          <w:spacing w:val="-2"/>
        </w:rPr>
        <w:t xml:space="preserve"> và</w:t>
      </w:r>
      <w:r w:rsidRPr="009059BA">
        <w:rPr>
          <w:spacing w:val="-2"/>
        </w:rPr>
        <w:t xml:space="preserve"> liên đoàn </w:t>
      </w:r>
      <w:r w:rsidR="009059BA" w:rsidRPr="009059BA">
        <w:rPr>
          <w:spacing w:val="-2"/>
        </w:rPr>
        <w:t>HTX</w:t>
      </w:r>
      <w:r w:rsidR="00104B1A" w:rsidRPr="009059BA">
        <w:rPr>
          <w:spacing w:val="-2"/>
        </w:rPr>
        <w:t xml:space="preserve">. Các </w:t>
      </w:r>
      <w:r w:rsidR="00877AED">
        <w:rPr>
          <w:spacing w:val="-2"/>
        </w:rPr>
        <w:t>TCKTHT</w:t>
      </w:r>
      <w:r w:rsidR="00104B1A" w:rsidRPr="009059BA">
        <w:rPr>
          <w:spacing w:val="-2"/>
        </w:rPr>
        <w:t xml:space="preserve"> bao gồm: </w:t>
      </w:r>
      <w:r w:rsidR="009059BA" w:rsidRPr="009059BA">
        <w:rPr>
          <w:spacing w:val="-2"/>
        </w:rPr>
        <w:t>THT</w:t>
      </w:r>
      <w:r w:rsidR="00104B1A" w:rsidRPr="009059BA">
        <w:rPr>
          <w:spacing w:val="-2"/>
        </w:rPr>
        <w:t>, HTX, liên hiệp HTX, liên đoàn HTX</w:t>
      </w:r>
      <w:r w:rsidRPr="009059BA">
        <w:rPr>
          <w:spacing w:val="-2"/>
        </w:rPr>
        <w:t>.</w:t>
      </w:r>
    </w:p>
    <w:p w14:paraId="04EEE0A4" w14:textId="77777777" w:rsidR="00104B1A" w:rsidRPr="009059BA" w:rsidRDefault="00104B1A" w:rsidP="00530ADA">
      <w:pPr>
        <w:pStyle w:val="Noidung"/>
        <w:rPr>
          <w:spacing w:val="-2"/>
        </w:rPr>
      </w:pPr>
      <w:r w:rsidRPr="009059BA">
        <w:rPr>
          <w:spacing w:val="-2"/>
        </w:rPr>
        <w:t>- Về Áp dụng Luật này và luật khác: Được bổ sung nhằm giải quyết sự chồng chéo các quy định áp dụng cho Quỹ tín dụng nhân dân đang chịu điều chỉnh đồng thời của Luật HTX và Luật Các tổ chức tín dụng.</w:t>
      </w:r>
    </w:p>
    <w:p w14:paraId="5B2CA4F4" w14:textId="77777777" w:rsidR="00104B1A" w:rsidRPr="009059BA" w:rsidRDefault="00104B1A" w:rsidP="00530ADA">
      <w:pPr>
        <w:pStyle w:val="Noidung"/>
        <w:rPr>
          <w:rFonts w:eastAsia="Times New Roman"/>
          <w:szCs w:val="28"/>
          <w:lang w:val="eu-ES" w:eastAsia="vi-VN"/>
        </w:rPr>
      </w:pPr>
      <w:r w:rsidRPr="009059BA">
        <w:rPr>
          <w:spacing w:val="-2"/>
        </w:rPr>
        <w:t>- Về giải thích từ ngữ:</w:t>
      </w:r>
      <w:r w:rsidRPr="009059BA">
        <w:rPr>
          <w:rFonts w:eastAsia="Times New Roman"/>
          <w:szCs w:val="28"/>
          <w:lang w:val="eu-ES" w:eastAsia="vi-VN"/>
        </w:rPr>
        <w:t xml:space="preserve"> Sửa đổi, chuẩn hóa </w:t>
      </w:r>
      <w:r w:rsidR="007A65B9" w:rsidRPr="009059BA">
        <w:rPr>
          <w:rFonts w:eastAsia="Times New Roman"/>
          <w:szCs w:val="28"/>
          <w:lang w:val="eu-ES" w:eastAsia="vi-VN"/>
        </w:rPr>
        <w:t>07</w:t>
      </w:r>
      <w:r w:rsidRPr="009059BA">
        <w:rPr>
          <w:rFonts w:eastAsia="Times New Roman"/>
          <w:szCs w:val="28"/>
          <w:lang w:val="eu-ES" w:eastAsia="vi-VN"/>
        </w:rPr>
        <w:t xml:space="preserve"> thuật ngữ, bổ sung </w:t>
      </w:r>
      <w:r w:rsidR="007A65B9" w:rsidRPr="009059BA">
        <w:rPr>
          <w:rFonts w:eastAsia="Times New Roman"/>
          <w:szCs w:val="28"/>
          <w:lang w:val="eu-ES" w:eastAsia="vi-VN"/>
        </w:rPr>
        <w:t>2</w:t>
      </w:r>
      <w:r w:rsidR="00223FEA" w:rsidRPr="009059BA">
        <w:rPr>
          <w:rFonts w:eastAsia="Times New Roman"/>
          <w:szCs w:val="28"/>
          <w:lang w:val="eu-ES" w:eastAsia="vi-VN"/>
        </w:rPr>
        <w:t>6</w:t>
      </w:r>
      <w:r w:rsidRPr="009059BA">
        <w:rPr>
          <w:rFonts w:eastAsia="Times New Roman"/>
          <w:szCs w:val="28"/>
          <w:lang w:val="eu-ES" w:eastAsia="vi-VN"/>
        </w:rPr>
        <w:t xml:space="preserve"> thuật ngữ để phù hợp với </w:t>
      </w:r>
      <w:r w:rsidR="007A65B9" w:rsidRPr="009059BA">
        <w:rPr>
          <w:rFonts w:eastAsia="Times New Roman"/>
          <w:szCs w:val="28"/>
          <w:lang w:val="eu-ES" w:eastAsia="vi-VN"/>
        </w:rPr>
        <w:t>các quy định</w:t>
      </w:r>
      <w:r w:rsidRPr="009059BA">
        <w:rPr>
          <w:rFonts w:eastAsia="Times New Roman"/>
          <w:szCs w:val="28"/>
          <w:lang w:val="eu-ES" w:eastAsia="vi-VN"/>
        </w:rPr>
        <w:t xml:space="preserve"> </w:t>
      </w:r>
      <w:r w:rsidR="007A65B9" w:rsidRPr="009059BA">
        <w:rPr>
          <w:rFonts w:eastAsia="Times New Roman"/>
          <w:szCs w:val="28"/>
          <w:lang w:val="eu-ES" w:eastAsia="vi-VN"/>
        </w:rPr>
        <w:t xml:space="preserve">của Luật này và pháp luật </w:t>
      </w:r>
      <w:r w:rsidRPr="009059BA">
        <w:rPr>
          <w:rFonts w:eastAsia="Times New Roman"/>
          <w:szCs w:val="28"/>
          <w:lang w:val="eu-ES" w:eastAsia="vi-VN"/>
        </w:rPr>
        <w:t>có liên quan</w:t>
      </w:r>
      <w:r w:rsidR="007A65B9" w:rsidRPr="009059BA">
        <w:rPr>
          <w:rFonts w:eastAsia="Times New Roman"/>
          <w:szCs w:val="28"/>
          <w:lang w:val="eu-ES" w:eastAsia="vi-VN"/>
        </w:rPr>
        <w:t>.</w:t>
      </w:r>
    </w:p>
    <w:p w14:paraId="5AC11961" w14:textId="77777777" w:rsidR="007A65B9" w:rsidRPr="009059BA" w:rsidRDefault="007A65B9" w:rsidP="00530ADA">
      <w:pPr>
        <w:pStyle w:val="Noidung"/>
        <w:rPr>
          <w:rFonts w:eastAsia="Times New Roman"/>
          <w:szCs w:val="28"/>
          <w:lang w:val="eu-ES" w:eastAsia="vi-VN"/>
        </w:rPr>
      </w:pPr>
      <w:r w:rsidRPr="009059BA">
        <w:rPr>
          <w:rFonts w:eastAsia="Times New Roman"/>
          <w:szCs w:val="28"/>
          <w:lang w:val="eu-ES" w:eastAsia="vi-VN"/>
        </w:rPr>
        <w:t xml:space="preserve">- Về các hành vi bị nghiêm cấm: Sửa đổi tách biệt quy định đối với cơ quan quản lý nhà nước và các </w:t>
      </w:r>
      <w:r w:rsidR="00877AED">
        <w:rPr>
          <w:rFonts w:eastAsia="Times New Roman"/>
          <w:szCs w:val="28"/>
          <w:lang w:val="eu-ES" w:eastAsia="vi-VN"/>
        </w:rPr>
        <w:t>TCKTHT</w:t>
      </w:r>
      <w:r w:rsidRPr="009059BA">
        <w:rPr>
          <w:rFonts w:eastAsia="Times New Roman"/>
          <w:szCs w:val="28"/>
          <w:lang w:val="eu-ES" w:eastAsia="vi-VN"/>
        </w:rPr>
        <w:t xml:space="preserve">, trong đó bổ sung </w:t>
      </w:r>
      <w:r w:rsidR="0060622C">
        <w:rPr>
          <w:rFonts w:eastAsia="Times New Roman"/>
          <w:szCs w:val="28"/>
          <w:lang w:val="eu-ES" w:eastAsia="vi-VN"/>
        </w:rPr>
        <w:t>các hành vi bị cấm</w:t>
      </w:r>
      <w:r w:rsidRPr="009059BA">
        <w:rPr>
          <w:rFonts w:eastAsia="Times New Roman"/>
          <w:szCs w:val="28"/>
          <w:lang w:val="eu-ES" w:eastAsia="vi-VN"/>
        </w:rPr>
        <w:t xml:space="preserve"> </w:t>
      </w:r>
      <w:r w:rsidR="0060622C">
        <w:rPr>
          <w:rFonts w:eastAsia="Times New Roman"/>
          <w:szCs w:val="28"/>
          <w:lang w:val="eu-ES" w:eastAsia="vi-VN"/>
        </w:rPr>
        <w:t xml:space="preserve">liên quan đến </w:t>
      </w:r>
      <w:r w:rsidR="007F02C5">
        <w:rPr>
          <w:rFonts w:eastAsia="Times New Roman"/>
          <w:szCs w:val="28"/>
          <w:lang w:val="eu-ES" w:eastAsia="vi-VN"/>
        </w:rPr>
        <w:t xml:space="preserve">việc </w:t>
      </w:r>
      <w:r w:rsidR="0060622C">
        <w:rPr>
          <w:rFonts w:eastAsia="Times New Roman"/>
          <w:szCs w:val="28"/>
          <w:lang w:val="eu-ES" w:eastAsia="vi-VN"/>
        </w:rPr>
        <w:t>tổ chức thực hiện chính sách</w:t>
      </w:r>
      <w:r w:rsidRPr="009059BA">
        <w:rPr>
          <w:rFonts w:eastAsia="Times New Roman"/>
          <w:szCs w:val="28"/>
          <w:lang w:val="eu-ES" w:eastAsia="vi-VN"/>
        </w:rPr>
        <w:t xml:space="preserve"> hỗ trợ</w:t>
      </w:r>
      <w:r w:rsidR="0060622C">
        <w:rPr>
          <w:rFonts w:eastAsia="Times New Roman"/>
          <w:szCs w:val="28"/>
          <w:lang w:val="eu-ES" w:eastAsia="vi-VN"/>
        </w:rPr>
        <w:t xml:space="preserve"> của các cá nhân, tổ chức</w:t>
      </w:r>
      <w:r w:rsidRPr="009059BA">
        <w:rPr>
          <w:rFonts w:eastAsia="Times New Roman"/>
          <w:szCs w:val="28"/>
          <w:lang w:val="eu-ES" w:eastAsia="vi-VN"/>
        </w:rPr>
        <w:t>.</w:t>
      </w:r>
    </w:p>
    <w:p w14:paraId="3CF777EE" w14:textId="5089E8BC" w:rsidR="00CB57A4" w:rsidRPr="009059BA" w:rsidRDefault="00CB57A4" w:rsidP="00CB57A4">
      <w:pPr>
        <w:pStyle w:val="Noidung"/>
      </w:pPr>
      <w:r w:rsidRPr="009059BA">
        <w:t xml:space="preserve">- Về phân loại </w:t>
      </w:r>
      <w:r w:rsidR="009059BA" w:rsidRPr="009059BA">
        <w:t>THT</w:t>
      </w:r>
      <w:r w:rsidRPr="009059BA">
        <w:t>, HTX, liên hiệp HTX: Bổ sung quy định phân loại theo quy mô số lượng thành viên, doanh thu và tổng nguồn vốn</w:t>
      </w:r>
      <w:r w:rsidR="003A21D3">
        <w:t xml:space="preserve"> </w:t>
      </w:r>
      <w:r w:rsidR="003B1AEC">
        <w:t>trong từng</w:t>
      </w:r>
      <w:r w:rsidR="003A21D3">
        <w:t xml:space="preserve"> lĩnh vực hoạt động của </w:t>
      </w:r>
      <w:r w:rsidR="003A21D3" w:rsidRPr="009059BA">
        <w:t>THT, HTX, liên hiệp HTX</w:t>
      </w:r>
      <w:r w:rsidRPr="009059BA">
        <w:t>.</w:t>
      </w:r>
    </w:p>
    <w:p w14:paraId="7CC0A931" w14:textId="374B1D85" w:rsidR="007A65B9" w:rsidRPr="009059BA" w:rsidRDefault="007A65B9" w:rsidP="007A65B9">
      <w:pPr>
        <w:pStyle w:val="Heading3"/>
      </w:pPr>
      <w:r w:rsidRPr="009059BA">
        <w:t>2.</w:t>
      </w:r>
      <w:r w:rsidR="001D651B" w:rsidRPr="009059BA">
        <w:t>2.</w:t>
      </w:r>
      <w:r w:rsidRPr="009059BA">
        <w:t xml:space="preserve"> </w:t>
      </w:r>
      <w:r w:rsidR="00356238" w:rsidRPr="009059BA">
        <w:t>Q</w:t>
      </w:r>
      <w:r w:rsidRPr="009059BA">
        <w:t xml:space="preserve">uy định về </w:t>
      </w:r>
      <w:r w:rsidR="002E42E2">
        <w:t>tổ chức kinh tế hợp tác có tư cách pháp nhân</w:t>
      </w:r>
    </w:p>
    <w:p w14:paraId="0627C4CD" w14:textId="24FC37E8" w:rsidR="00530ADA" w:rsidRPr="003B1418" w:rsidRDefault="000E36C3" w:rsidP="000E36C3">
      <w:pPr>
        <w:pStyle w:val="Noidung"/>
        <w:rPr>
          <w:rFonts w:eastAsia="Times New Roman"/>
          <w:spacing w:val="-6"/>
          <w:szCs w:val="28"/>
          <w:lang w:val="eu-ES" w:eastAsia="vi-VN"/>
        </w:rPr>
      </w:pPr>
      <w:r w:rsidRPr="003B1418">
        <w:rPr>
          <w:rFonts w:eastAsia="Times New Roman"/>
          <w:spacing w:val="-6"/>
          <w:szCs w:val="28"/>
          <w:lang w:val="eu-ES" w:eastAsia="vi-VN"/>
        </w:rPr>
        <w:t>P</w:t>
      </w:r>
      <w:r w:rsidR="007A65B9" w:rsidRPr="003B1418">
        <w:rPr>
          <w:rFonts w:eastAsia="Times New Roman"/>
          <w:spacing w:val="-6"/>
          <w:szCs w:val="28"/>
          <w:lang w:val="eu-ES" w:eastAsia="vi-VN"/>
        </w:rPr>
        <w:t xml:space="preserve">hần </w:t>
      </w:r>
      <w:r w:rsidR="00356238" w:rsidRPr="003B1418">
        <w:rPr>
          <w:rFonts w:eastAsia="Times New Roman"/>
          <w:spacing w:val="-6"/>
          <w:szCs w:val="28"/>
          <w:lang w:val="eu-ES" w:eastAsia="vi-VN"/>
        </w:rPr>
        <w:t xml:space="preserve">thứ hai </w:t>
      </w:r>
      <w:r w:rsidR="007A65B9" w:rsidRPr="003B1418">
        <w:rPr>
          <w:rFonts w:eastAsia="Times New Roman"/>
          <w:spacing w:val="-6"/>
          <w:szCs w:val="28"/>
          <w:lang w:val="eu-ES" w:eastAsia="vi-VN"/>
        </w:rPr>
        <w:t>này</w:t>
      </w:r>
      <w:r w:rsidR="00356238" w:rsidRPr="003B1418">
        <w:rPr>
          <w:rFonts w:eastAsia="Times New Roman"/>
          <w:spacing w:val="-6"/>
          <w:szCs w:val="28"/>
          <w:lang w:val="eu-ES" w:eastAsia="vi-VN"/>
        </w:rPr>
        <w:t xml:space="preserve"> quy định về </w:t>
      </w:r>
      <w:r w:rsidR="00E64392" w:rsidRPr="003B1418">
        <w:rPr>
          <w:rFonts w:eastAsia="Times New Roman"/>
          <w:spacing w:val="-6"/>
          <w:szCs w:val="28"/>
          <w:lang w:val="eu-ES" w:eastAsia="vi-VN"/>
        </w:rPr>
        <w:t xml:space="preserve">các </w:t>
      </w:r>
      <w:r w:rsidR="001F61F6" w:rsidRPr="003B1418">
        <w:rPr>
          <w:rFonts w:eastAsia="Times New Roman"/>
          <w:spacing w:val="-6"/>
          <w:szCs w:val="28"/>
          <w:lang w:val="eu-ES" w:eastAsia="vi-VN"/>
        </w:rPr>
        <w:t>TCKTHTCTCPN</w:t>
      </w:r>
      <w:r w:rsidR="00EE0EC8" w:rsidRPr="003B1418">
        <w:rPr>
          <w:rFonts w:eastAsia="Times New Roman"/>
          <w:spacing w:val="-6"/>
          <w:szCs w:val="28"/>
          <w:lang w:val="eu-ES" w:eastAsia="vi-VN"/>
        </w:rPr>
        <w:t>,</w:t>
      </w:r>
      <w:r w:rsidR="00356238" w:rsidRPr="003B1418">
        <w:rPr>
          <w:rFonts w:eastAsia="Times New Roman"/>
          <w:spacing w:val="-6"/>
          <w:szCs w:val="28"/>
          <w:lang w:val="eu-ES" w:eastAsia="vi-VN"/>
        </w:rPr>
        <w:t xml:space="preserve"> trong đó nội dung được thiết kế t</w:t>
      </w:r>
      <w:r w:rsidRPr="003B1418">
        <w:rPr>
          <w:rFonts w:eastAsia="Times New Roman"/>
          <w:spacing w:val="-6"/>
          <w:szCs w:val="28"/>
          <w:lang w:val="eu-ES" w:eastAsia="vi-VN"/>
        </w:rPr>
        <w:t>ừ</w:t>
      </w:r>
      <w:r w:rsidR="00356238" w:rsidRPr="003B1418">
        <w:rPr>
          <w:rFonts w:eastAsia="Times New Roman"/>
          <w:spacing w:val="-6"/>
          <w:szCs w:val="28"/>
          <w:lang w:val="eu-ES" w:eastAsia="vi-VN"/>
        </w:rPr>
        <w:t xml:space="preserve"> nhóm những quy định chung </w:t>
      </w:r>
      <w:r w:rsidRPr="003B1418">
        <w:rPr>
          <w:rFonts w:eastAsia="Times New Roman"/>
          <w:spacing w:val="-6"/>
          <w:szCs w:val="28"/>
          <w:lang w:val="eu-ES" w:eastAsia="vi-VN"/>
        </w:rPr>
        <w:t>đến</w:t>
      </w:r>
      <w:r w:rsidR="00356238" w:rsidRPr="003B1418">
        <w:rPr>
          <w:rFonts w:eastAsia="Times New Roman"/>
          <w:spacing w:val="-6"/>
          <w:szCs w:val="28"/>
          <w:lang w:val="eu-ES" w:eastAsia="vi-VN"/>
        </w:rPr>
        <w:t xml:space="preserve"> những quy định riêng cho từng đối tượng.</w:t>
      </w:r>
    </w:p>
    <w:p w14:paraId="3EB593A9" w14:textId="77777777" w:rsidR="00356238" w:rsidRPr="009059BA" w:rsidRDefault="00356238" w:rsidP="000E36C3">
      <w:pPr>
        <w:pStyle w:val="Noidung"/>
        <w:rPr>
          <w:rFonts w:eastAsia="Times New Roman"/>
          <w:b/>
          <w:i/>
          <w:szCs w:val="28"/>
          <w:lang w:val="eu-ES" w:eastAsia="vi-VN"/>
        </w:rPr>
      </w:pPr>
      <w:r w:rsidRPr="009059BA">
        <w:rPr>
          <w:rFonts w:eastAsia="Times New Roman"/>
          <w:b/>
          <w:i/>
          <w:szCs w:val="28"/>
          <w:lang w:val="eu-ES" w:eastAsia="vi-VN"/>
        </w:rPr>
        <w:t>a) Những quy định chung</w:t>
      </w:r>
    </w:p>
    <w:p w14:paraId="56EE9428" w14:textId="77777777" w:rsidR="00356238" w:rsidRPr="009059BA" w:rsidRDefault="00356238" w:rsidP="000E36C3">
      <w:pPr>
        <w:pStyle w:val="Noidung"/>
        <w:rPr>
          <w:rFonts w:eastAsia="Times New Roman"/>
          <w:szCs w:val="28"/>
          <w:lang w:val="eu-ES" w:eastAsia="vi-VN"/>
        </w:rPr>
      </w:pPr>
      <w:r w:rsidRPr="009059BA">
        <w:rPr>
          <w:rFonts w:eastAsia="Times New Roman"/>
          <w:szCs w:val="28"/>
          <w:lang w:val="eu-ES" w:eastAsia="vi-VN"/>
        </w:rPr>
        <w:t xml:space="preserve">- Về nguyên tắc tổ chức hoạt động: Sửa đổi, </w:t>
      </w:r>
      <w:r w:rsidR="009B7150">
        <w:rPr>
          <w:rFonts w:eastAsia="Times New Roman"/>
          <w:szCs w:val="28"/>
          <w:lang w:val="eu-ES" w:eastAsia="vi-VN"/>
        </w:rPr>
        <w:t>làm rõ các</w:t>
      </w:r>
      <w:r w:rsidRPr="009059BA">
        <w:rPr>
          <w:rFonts w:eastAsia="Times New Roman"/>
          <w:szCs w:val="28"/>
          <w:lang w:val="eu-ES" w:eastAsia="vi-VN"/>
        </w:rPr>
        <w:t xml:space="preserve"> nội dung</w:t>
      </w:r>
      <w:r w:rsidR="009B7150">
        <w:rPr>
          <w:rFonts w:eastAsia="Times New Roman"/>
          <w:szCs w:val="28"/>
          <w:lang w:val="eu-ES" w:eastAsia="vi-VN"/>
        </w:rPr>
        <w:t xml:space="preserve"> theo</w:t>
      </w:r>
      <w:r w:rsidRPr="009059BA">
        <w:rPr>
          <w:rFonts w:eastAsia="Times New Roman"/>
          <w:szCs w:val="28"/>
          <w:lang w:val="eu-ES" w:eastAsia="vi-VN"/>
        </w:rPr>
        <w:t xml:space="preserve"> 07 nguyên tắc do tổ chức Liên minh HTX quốc tế (ICA) quy định hiện nay.</w:t>
      </w:r>
    </w:p>
    <w:p w14:paraId="19B6B39A" w14:textId="77777777" w:rsidR="00356238" w:rsidRPr="009059BA" w:rsidRDefault="00356238" w:rsidP="000E36C3">
      <w:pPr>
        <w:pStyle w:val="Noidung"/>
      </w:pPr>
      <w:r w:rsidRPr="009059BA">
        <w:rPr>
          <w:rFonts w:eastAsia="Times New Roman"/>
          <w:szCs w:val="28"/>
          <w:lang w:val="eu-ES" w:eastAsia="vi-VN"/>
        </w:rPr>
        <w:t>- Về quyền và nghĩa vụ của TCKTHT</w:t>
      </w:r>
      <w:r w:rsidR="00E64392">
        <w:rPr>
          <w:rFonts w:eastAsia="Times New Roman"/>
          <w:szCs w:val="28"/>
          <w:lang w:val="eu-ES" w:eastAsia="vi-VN"/>
        </w:rPr>
        <w:t>CTCPN</w:t>
      </w:r>
      <w:r w:rsidRPr="009059BA">
        <w:rPr>
          <w:rFonts w:eastAsia="Times New Roman"/>
          <w:szCs w:val="28"/>
          <w:lang w:val="eu-ES" w:eastAsia="vi-VN"/>
        </w:rPr>
        <w:t xml:space="preserve">: </w:t>
      </w:r>
      <w:r w:rsidR="00CF0B3F">
        <w:rPr>
          <w:szCs w:val="28"/>
        </w:rPr>
        <w:t>S</w:t>
      </w:r>
      <w:r w:rsidR="00CF0B3F" w:rsidRPr="009059BA">
        <w:rPr>
          <w:szCs w:val="28"/>
        </w:rPr>
        <w:t xml:space="preserve">ửa đổi </w:t>
      </w:r>
      <w:r w:rsidR="00CF0B3F">
        <w:rPr>
          <w:szCs w:val="28"/>
        </w:rPr>
        <w:t xml:space="preserve">quy định </w:t>
      </w:r>
      <w:r w:rsidR="00CF0B3F" w:rsidRPr="009059BA">
        <w:rPr>
          <w:szCs w:val="28"/>
        </w:rPr>
        <w:t>g</w:t>
      </w:r>
      <w:r w:rsidR="00CF0B3F" w:rsidRPr="009059BA">
        <w:t>iới hạn tỷ lệ giao dịch bên ngoài do Điều lệ của TCKTHT</w:t>
      </w:r>
      <w:r w:rsidR="00E64392">
        <w:t>CTCPN</w:t>
      </w:r>
      <w:r w:rsidR="00CF0B3F" w:rsidRPr="009059BA">
        <w:t xml:space="preserve"> quy định</w:t>
      </w:r>
      <w:r w:rsidR="00CF0B3F" w:rsidRPr="009059BA">
        <w:rPr>
          <w:rStyle w:val="FootnoteReference"/>
        </w:rPr>
        <w:footnoteReference w:id="17"/>
      </w:r>
      <w:r w:rsidR="003315BF">
        <w:t>, nếu</w:t>
      </w:r>
      <w:r w:rsidR="00E64392">
        <w:t xml:space="preserve"> </w:t>
      </w:r>
      <w:r w:rsidR="00E64392" w:rsidRPr="009059BA">
        <w:t>pháp luậ</w:t>
      </w:r>
      <w:r w:rsidR="00BD65B0">
        <w:t>t chuyên ngành</w:t>
      </w:r>
      <w:r w:rsidR="003315BF">
        <w:t xml:space="preserve"> không có quy định</w:t>
      </w:r>
      <w:r w:rsidR="00CF0B3F">
        <w:t>; b</w:t>
      </w:r>
      <w:r w:rsidR="000E36C3" w:rsidRPr="009059BA">
        <w:rPr>
          <w:rFonts w:eastAsia="Times New Roman"/>
          <w:szCs w:val="28"/>
          <w:lang w:val="eu-ES" w:eastAsia="vi-VN"/>
        </w:rPr>
        <w:t>ổ sung TCKTHT</w:t>
      </w:r>
      <w:r w:rsidR="00E64392">
        <w:rPr>
          <w:rFonts w:eastAsia="Times New Roman"/>
          <w:szCs w:val="28"/>
          <w:lang w:val="eu-ES" w:eastAsia="vi-VN"/>
        </w:rPr>
        <w:t>CTCPN</w:t>
      </w:r>
      <w:r w:rsidR="000E36C3" w:rsidRPr="009059BA">
        <w:rPr>
          <w:rFonts w:eastAsia="Times New Roman"/>
          <w:szCs w:val="28"/>
          <w:lang w:val="eu-ES" w:eastAsia="vi-VN"/>
        </w:rPr>
        <w:t xml:space="preserve"> được quyền y</w:t>
      </w:r>
      <w:r w:rsidR="000E36C3" w:rsidRPr="009059BA">
        <w:rPr>
          <w:szCs w:val="28"/>
        </w:rPr>
        <w:t xml:space="preserve">êu cầu thành viên cung cấp nhu cầu sử dụng sản phẩm, dịch vụ để lên kế hoạch sản xuất kinh doanh; </w:t>
      </w:r>
      <w:r w:rsidR="00E64392">
        <w:rPr>
          <w:szCs w:val="28"/>
        </w:rPr>
        <w:t xml:space="preserve">bổ sung </w:t>
      </w:r>
      <w:r w:rsidR="000E36C3" w:rsidRPr="009059BA">
        <w:rPr>
          <w:szCs w:val="28"/>
        </w:rPr>
        <w:t xml:space="preserve">nghĩa vụ </w:t>
      </w:r>
      <w:r w:rsidR="00E64392">
        <w:rPr>
          <w:szCs w:val="28"/>
        </w:rPr>
        <w:t xml:space="preserve">TCKTHTCTCPN </w:t>
      </w:r>
      <w:r w:rsidR="000E36C3" w:rsidRPr="009059BA">
        <w:rPr>
          <w:szCs w:val="28"/>
        </w:rPr>
        <w:t>phải tham gia là thành viên củ</w:t>
      </w:r>
      <w:r w:rsidR="006F04E7">
        <w:rPr>
          <w:szCs w:val="28"/>
        </w:rPr>
        <w:t>a liên minh HTX,</w:t>
      </w:r>
      <w:r w:rsidR="000E36C3" w:rsidRPr="009059BA">
        <w:rPr>
          <w:szCs w:val="28"/>
        </w:rPr>
        <w:t xml:space="preserve"> phải có nghĩa vụ kết nạp thành viên khi đủ điều kiệ</w:t>
      </w:r>
      <w:r w:rsidR="004C1EA2">
        <w:rPr>
          <w:szCs w:val="28"/>
        </w:rPr>
        <w:t>n</w:t>
      </w:r>
      <w:r w:rsidR="000E36C3" w:rsidRPr="009059BA">
        <w:t>.</w:t>
      </w:r>
    </w:p>
    <w:p w14:paraId="1114D219" w14:textId="77777777" w:rsidR="002F16B0" w:rsidRPr="009059BA" w:rsidRDefault="002F16B0" w:rsidP="000E36C3">
      <w:pPr>
        <w:pStyle w:val="Noidung"/>
        <w:rPr>
          <w:rFonts w:eastAsia="Times New Roman"/>
          <w:szCs w:val="28"/>
          <w:lang w:val="eu-ES" w:eastAsia="vi-VN"/>
        </w:rPr>
      </w:pPr>
      <w:r w:rsidRPr="009059BA">
        <w:rPr>
          <w:rFonts w:eastAsia="Times New Roman"/>
          <w:szCs w:val="28"/>
          <w:lang w:val="eu-ES" w:eastAsia="vi-VN"/>
        </w:rPr>
        <w:t>- Về chế độ báo cáo, công bố thông tin, lưu giữ tài liệu: Sửa đổi, bổ sung nhóm quy định theo hướng TCKTHT</w:t>
      </w:r>
      <w:r w:rsidR="00466415">
        <w:rPr>
          <w:rFonts w:eastAsia="Times New Roman"/>
          <w:szCs w:val="28"/>
          <w:lang w:val="eu-ES" w:eastAsia="vi-VN"/>
        </w:rPr>
        <w:t>CTCPN</w:t>
      </w:r>
      <w:r w:rsidRPr="009059BA">
        <w:rPr>
          <w:rFonts w:eastAsia="Times New Roman"/>
          <w:szCs w:val="28"/>
          <w:lang w:val="eu-ES" w:eastAsia="vi-VN"/>
        </w:rPr>
        <w:t xml:space="preserve"> tự công bố những thông tin cơ bản, tình hình hoạt động sản xuất kinh doanh hàng năm lên cổng thông tin của mình; quy định </w:t>
      </w:r>
      <w:r w:rsidR="00466415">
        <w:rPr>
          <w:rFonts w:eastAsia="Times New Roman"/>
          <w:szCs w:val="28"/>
          <w:lang w:val="eu-ES" w:eastAsia="vi-VN"/>
        </w:rPr>
        <w:t xml:space="preserve">rõ </w:t>
      </w:r>
      <w:r w:rsidRPr="009059BA">
        <w:rPr>
          <w:rFonts w:eastAsia="Times New Roman"/>
          <w:szCs w:val="28"/>
          <w:lang w:val="eu-ES" w:eastAsia="vi-VN"/>
        </w:rPr>
        <w:t>nội dung, hình thức, thời gian phải cung cấp thông tin cho thành viên nhằm minh bạch hóa thông tin của HTX.</w:t>
      </w:r>
    </w:p>
    <w:p w14:paraId="66CCB091" w14:textId="77777777" w:rsidR="002F16B0" w:rsidRPr="009059BA" w:rsidRDefault="002F16B0" w:rsidP="000E36C3">
      <w:pPr>
        <w:pStyle w:val="Noidung"/>
        <w:rPr>
          <w:rFonts w:eastAsia="Times New Roman"/>
          <w:szCs w:val="28"/>
          <w:lang w:val="eu-ES" w:eastAsia="vi-VN"/>
        </w:rPr>
      </w:pPr>
      <w:r w:rsidRPr="009059BA">
        <w:rPr>
          <w:rFonts w:eastAsia="Times New Roman"/>
          <w:szCs w:val="28"/>
          <w:lang w:val="eu-ES" w:eastAsia="vi-VN"/>
        </w:rPr>
        <w:lastRenderedPageBreak/>
        <w:t>- Về góp vốn thành lập TCKTHT</w:t>
      </w:r>
      <w:r w:rsidR="00461E60">
        <w:rPr>
          <w:rFonts w:eastAsia="Times New Roman"/>
          <w:szCs w:val="28"/>
          <w:lang w:val="eu-ES" w:eastAsia="vi-VN"/>
        </w:rPr>
        <w:t>CTCPN</w:t>
      </w:r>
      <w:r w:rsidRPr="009059BA">
        <w:rPr>
          <w:rFonts w:eastAsia="Times New Roman"/>
          <w:szCs w:val="28"/>
          <w:lang w:val="eu-ES" w:eastAsia="vi-VN"/>
        </w:rPr>
        <w:t>: Bổ sung quy định trách nhiệm của thành viên khi chưa góp vốn, chưa góp đủ vốn trong thời gian cam kết.</w:t>
      </w:r>
    </w:p>
    <w:p w14:paraId="559EA050" w14:textId="77777777" w:rsidR="00295BAA" w:rsidRPr="009059BA" w:rsidRDefault="00295BAA" w:rsidP="000E36C3">
      <w:pPr>
        <w:pStyle w:val="Noidung"/>
        <w:rPr>
          <w:lang w:val="it-IT"/>
        </w:rPr>
      </w:pPr>
      <w:r w:rsidRPr="009059BA">
        <w:rPr>
          <w:rFonts w:eastAsia="Times New Roman"/>
          <w:szCs w:val="28"/>
          <w:lang w:val="eu-ES" w:eastAsia="vi-VN"/>
        </w:rPr>
        <w:t xml:space="preserve">- Về chuyển nhượng vốn góp: Bổ sung </w:t>
      </w:r>
      <w:r w:rsidR="002604F7">
        <w:rPr>
          <w:rFonts w:eastAsia="Times New Roman"/>
          <w:szCs w:val="28"/>
          <w:lang w:val="eu-ES" w:eastAsia="vi-VN"/>
        </w:rPr>
        <w:t xml:space="preserve">quy định </w:t>
      </w:r>
      <w:r w:rsidRPr="009059BA">
        <w:rPr>
          <w:rFonts w:eastAsia="Times New Roman"/>
          <w:szCs w:val="28"/>
          <w:lang w:val="eu-ES" w:eastAsia="vi-VN"/>
        </w:rPr>
        <w:t xml:space="preserve">cho phép thành viên </w:t>
      </w:r>
      <w:r w:rsidRPr="009059BA">
        <w:rPr>
          <w:lang w:val="it-IT"/>
        </w:rPr>
        <w:t>chuyển nhượng vốn góp với nhau và được TCKTHT</w:t>
      </w:r>
      <w:r w:rsidR="002604F7">
        <w:rPr>
          <w:lang w:val="it-IT"/>
        </w:rPr>
        <w:t>CTCPN</w:t>
      </w:r>
      <w:r w:rsidRPr="009059BA">
        <w:rPr>
          <w:lang w:val="it-IT"/>
        </w:rPr>
        <w:t xml:space="preserve"> xác nhận.</w:t>
      </w:r>
    </w:p>
    <w:p w14:paraId="4178FDA5" w14:textId="207C055D" w:rsidR="00295BAA" w:rsidRPr="009059BA" w:rsidRDefault="00295BAA" w:rsidP="000E36C3">
      <w:pPr>
        <w:pStyle w:val="Noidung"/>
        <w:rPr>
          <w:b/>
          <w:i/>
          <w:lang w:val="it-IT"/>
        </w:rPr>
      </w:pPr>
      <w:r w:rsidRPr="009059BA">
        <w:rPr>
          <w:b/>
          <w:i/>
          <w:lang w:val="it-IT"/>
        </w:rPr>
        <w:t xml:space="preserve">b) Thành lập </w:t>
      </w:r>
      <w:r w:rsidR="002E42E2" w:rsidRPr="002E42E2">
        <w:rPr>
          <w:b/>
          <w:i/>
          <w:lang w:val="it-IT"/>
        </w:rPr>
        <w:t>tổ chức kinh tế hợp tác có tư cách pháp nhân</w:t>
      </w:r>
    </w:p>
    <w:p w14:paraId="59A781F3" w14:textId="77777777" w:rsidR="00295BAA" w:rsidRPr="009059BA" w:rsidRDefault="00295BAA" w:rsidP="000E36C3">
      <w:pPr>
        <w:pStyle w:val="Noidung"/>
        <w:rPr>
          <w:rFonts w:eastAsia="Times New Roman"/>
          <w:szCs w:val="28"/>
          <w:lang w:val="eu-ES" w:eastAsia="vi-VN"/>
        </w:rPr>
      </w:pPr>
      <w:r w:rsidRPr="009059BA">
        <w:rPr>
          <w:rFonts w:eastAsia="Times New Roman"/>
          <w:szCs w:val="28"/>
          <w:lang w:val="eu-ES" w:eastAsia="vi-VN"/>
        </w:rPr>
        <w:t xml:space="preserve">- Về sáng lập viên: Bổ sung quy định sáng lập viên liên hệ với liên minh HTX để </w:t>
      </w:r>
      <w:r w:rsidR="00CE3F0B">
        <w:rPr>
          <w:rFonts w:eastAsia="Times New Roman"/>
          <w:szCs w:val="28"/>
          <w:lang w:val="eu-ES" w:eastAsia="vi-VN"/>
        </w:rPr>
        <w:t xml:space="preserve">được </w:t>
      </w:r>
      <w:r w:rsidR="00674555">
        <w:rPr>
          <w:rFonts w:eastAsia="Times New Roman"/>
          <w:szCs w:val="28"/>
          <w:lang w:val="eu-ES" w:eastAsia="vi-VN"/>
        </w:rPr>
        <w:t xml:space="preserve">tư vấn, </w:t>
      </w:r>
      <w:r w:rsidRPr="009059BA">
        <w:rPr>
          <w:rFonts w:eastAsia="Times New Roman"/>
          <w:szCs w:val="28"/>
          <w:lang w:val="eu-ES" w:eastAsia="vi-VN"/>
        </w:rPr>
        <w:t>hỗ trợ thành lập.</w:t>
      </w:r>
    </w:p>
    <w:p w14:paraId="0A312D69" w14:textId="77777777" w:rsidR="00295BAA" w:rsidRPr="009059BA" w:rsidRDefault="00295BAA" w:rsidP="000E36C3">
      <w:pPr>
        <w:pStyle w:val="Noidung"/>
        <w:rPr>
          <w:rFonts w:eastAsia="Times New Roman"/>
          <w:szCs w:val="28"/>
          <w:lang w:val="eu-ES" w:eastAsia="vi-VN"/>
        </w:rPr>
      </w:pPr>
      <w:r w:rsidRPr="009059BA">
        <w:rPr>
          <w:rFonts w:eastAsia="Times New Roman"/>
          <w:szCs w:val="28"/>
          <w:lang w:val="eu-ES" w:eastAsia="vi-VN"/>
        </w:rPr>
        <w:t>- Về nội dung Điều lệ: Bổ sung một số nội d</w:t>
      </w:r>
      <w:r w:rsidR="00035E7D">
        <w:rPr>
          <w:rFonts w:eastAsia="Times New Roman"/>
          <w:szCs w:val="28"/>
          <w:lang w:val="eu-ES" w:eastAsia="vi-VN"/>
        </w:rPr>
        <w:t xml:space="preserve">ung bắt buộc ghi trong Điều lệ, như </w:t>
      </w:r>
      <w:r w:rsidRPr="009059BA">
        <w:rPr>
          <w:rFonts w:eastAsia="Times New Roman"/>
          <w:szCs w:val="28"/>
          <w:lang w:val="eu-ES" w:eastAsia="vi-VN"/>
        </w:rPr>
        <w:t>mức phí thành vi</w:t>
      </w:r>
      <w:r w:rsidR="00035E7D">
        <w:rPr>
          <w:rFonts w:eastAsia="Times New Roman"/>
          <w:szCs w:val="28"/>
          <w:lang w:val="eu-ES" w:eastAsia="vi-VN"/>
        </w:rPr>
        <w:t>ên liên kết;</w:t>
      </w:r>
      <w:r w:rsidRPr="009059BA">
        <w:rPr>
          <w:rFonts w:eastAsia="Times New Roman"/>
          <w:szCs w:val="28"/>
          <w:lang w:val="eu-ES" w:eastAsia="vi-VN"/>
        </w:rPr>
        <w:t xml:space="preserve"> số lượng, quyền và nghĩa vụ người đại</w:t>
      </w:r>
      <w:r w:rsidR="00035E7D">
        <w:rPr>
          <w:rFonts w:eastAsia="Times New Roman"/>
          <w:szCs w:val="28"/>
          <w:lang w:val="eu-ES" w:eastAsia="vi-VN"/>
        </w:rPr>
        <w:t xml:space="preserve"> diện; mức tối thiểu của tỷ lệ giao dịch bên trong</w:t>
      </w:r>
      <w:r w:rsidRPr="009059BA">
        <w:rPr>
          <w:rFonts w:eastAsia="Times New Roman"/>
          <w:szCs w:val="28"/>
          <w:lang w:val="eu-ES" w:eastAsia="vi-VN"/>
        </w:rPr>
        <w:t>; điều kiện chấm dứt thành viên liên kết</w:t>
      </w:r>
      <w:r w:rsidR="00035E7D">
        <w:rPr>
          <w:rFonts w:eastAsia="Times New Roman"/>
          <w:szCs w:val="28"/>
          <w:lang w:val="eu-ES" w:eastAsia="vi-VN"/>
        </w:rPr>
        <w:t>,</w:t>
      </w:r>
      <w:r w:rsidRPr="009059BA">
        <w:rPr>
          <w:rFonts w:eastAsia="Times New Roman"/>
          <w:szCs w:val="28"/>
          <w:lang w:val="eu-ES" w:eastAsia="vi-VN"/>
        </w:rPr>
        <w:t>...</w:t>
      </w:r>
    </w:p>
    <w:p w14:paraId="1BA7B85D" w14:textId="77777777" w:rsidR="00860552" w:rsidRPr="009059BA" w:rsidRDefault="00860552" w:rsidP="000E36C3">
      <w:pPr>
        <w:pStyle w:val="Noidung"/>
      </w:pPr>
      <w:r w:rsidRPr="009059BA">
        <w:rPr>
          <w:rFonts w:eastAsia="Times New Roman"/>
          <w:szCs w:val="28"/>
          <w:lang w:val="eu-ES" w:eastAsia="vi-VN"/>
        </w:rPr>
        <w:t xml:space="preserve">- Về nhóm quy định về đăng ký thành lập </w:t>
      </w:r>
      <w:r w:rsidR="00035E7D">
        <w:rPr>
          <w:rFonts w:eastAsia="Times New Roman"/>
          <w:szCs w:val="28"/>
          <w:lang w:val="eu-ES" w:eastAsia="vi-VN"/>
        </w:rPr>
        <w:t>TCKTHTCTCPN</w:t>
      </w:r>
      <w:r w:rsidRPr="009059BA">
        <w:rPr>
          <w:rFonts w:eastAsia="Times New Roman"/>
          <w:szCs w:val="28"/>
          <w:lang w:val="eu-ES" w:eastAsia="vi-VN"/>
        </w:rPr>
        <w:t>: Sửa đổi, bổ sung các quy định hiện hành trên cơ sở cắt giảm thủ tục</w:t>
      </w:r>
      <w:r w:rsidR="006632A5" w:rsidRPr="009059BA">
        <w:rPr>
          <w:rFonts w:eastAsia="Times New Roman"/>
          <w:szCs w:val="28"/>
          <w:lang w:val="eu-ES" w:eastAsia="vi-VN"/>
        </w:rPr>
        <w:t xml:space="preserve"> hành chính</w:t>
      </w:r>
      <w:r w:rsidRPr="009059BA">
        <w:rPr>
          <w:rFonts w:eastAsia="Times New Roman"/>
          <w:szCs w:val="28"/>
          <w:lang w:val="eu-ES" w:eastAsia="vi-VN"/>
        </w:rPr>
        <w:t xml:space="preserve">, tăng cường ứng dụng công nghệ thông tin như: </w:t>
      </w:r>
      <w:r w:rsidR="00980778">
        <w:rPr>
          <w:rFonts w:eastAsia="Times New Roman"/>
          <w:szCs w:val="28"/>
          <w:lang w:val="eu-ES" w:eastAsia="vi-VN"/>
        </w:rPr>
        <w:t>bỏ yêu cầu về</w:t>
      </w:r>
      <w:r w:rsidRPr="009059BA">
        <w:rPr>
          <w:rFonts w:eastAsia="Times New Roman"/>
          <w:szCs w:val="28"/>
          <w:lang w:val="eu-ES" w:eastAsia="vi-VN"/>
        </w:rPr>
        <w:t xml:space="preserve"> Phương án sản xuất kinh</w:t>
      </w:r>
      <w:r w:rsidR="00B157AC">
        <w:rPr>
          <w:rFonts w:eastAsia="Times New Roman"/>
          <w:szCs w:val="28"/>
          <w:lang w:val="eu-ES" w:eastAsia="vi-VN"/>
        </w:rPr>
        <w:t xml:space="preserve"> doanh, sử dụng số định danh</w:t>
      </w:r>
      <w:r w:rsidRPr="009059BA">
        <w:rPr>
          <w:rFonts w:eastAsia="Times New Roman"/>
          <w:szCs w:val="28"/>
          <w:lang w:val="eu-ES" w:eastAsia="vi-VN"/>
        </w:rPr>
        <w:t xml:space="preserve"> cá nhân; bổ sung phương thức đăng ký qua dịch vụ bưu chính, mạng thông tin điện tử; thời gian đăng ký rút từ 05 ngày xuống 03 ngày làm việc; </w:t>
      </w:r>
      <w:r w:rsidR="002856F1" w:rsidRPr="009059BA">
        <w:rPr>
          <w:rFonts w:eastAsia="Times New Roman"/>
          <w:szCs w:val="28"/>
          <w:lang w:val="eu-ES" w:eastAsia="vi-VN"/>
        </w:rPr>
        <w:t xml:space="preserve">bổ sung quy định về mã số của </w:t>
      </w:r>
      <w:r w:rsidR="00877AED">
        <w:rPr>
          <w:rFonts w:eastAsia="Times New Roman"/>
          <w:szCs w:val="28"/>
          <w:lang w:val="eu-ES" w:eastAsia="vi-VN"/>
        </w:rPr>
        <w:t>TCKTHT</w:t>
      </w:r>
      <w:r w:rsidR="00B157AC">
        <w:rPr>
          <w:rFonts w:eastAsia="Times New Roman"/>
          <w:szCs w:val="28"/>
          <w:lang w:val="eu-ES" w:eastAsia="vi-VN"/>
        </w:rPr>
        <w:t>CTCPN</w:t>
      </w:r>
      <w:r w:rsidR="002856F1" w:rsidRPr="009059BA">
        <w:rPr>
          <w:rFonts w:eastAsia="Times New Roman"/>
          <w:szCs w:val="28"/>
          <w:lang w:val="eu-ES" w:eastAsia="vi-VN"/>
        </w:rPr>
        <w:t xml:space="preserve"> ghi trên giấy chứng nhận đăng ký; </w:t>
      </w:r>
      <w:r w:rsidR="004D6225" w:rsidRPr="009059BA">
        <w:rPr>
          <w:rFonts w:eastAsia="Times New Roman"/>
          <w:szCs w:val="28"/>
          <w:lang w:val="eu-ES" w:eastAsia="vi-VN"/>
        </w:rPr>
        <w:t xml:space="preserve">công bố nội dung thông tin đăng ký công khai trên </w:t>
      </w:r>
      <w:r w:rsidR="004D6225" w:rsidRPr="009059BA">
        <w:t xml:space="preserve">Cổng thông tin quốc gia về đăng ký </w:t>
      </w:r>
      <w:r w:rsidR="00877AED">
        <w:t>TCKTHT</w:t>
      </w:r>
      <w:r w:rsidR="004D6225" w:rsidRPr="009059BA">
        <w:t xml:space="preserve"> và cho cơ quan quản lý nhà nước; </w:t>
      </w:r>
      <w:r w:rsidR="00877AED">
        <w:t>TCKTHT</w:t>
      </w:r>
      <w:r w:rsidR="00B157AC">
        <w:t>CTCPN</w:t>
      </w:r>
      <w:r w:rsidR="004D6225" w:rsidRPr="009059BA">
        <w:t xml:space="preserve"> tự quyết định về dấu. </w:t>
      </w:r>
    </w:p>
    <w:p w14:paraId="0C588980" w14:textId="18F60AAD" w:rsidR="008342B5" w:rsidRPr="009059BA" w:rsidRDefault="008342B5" w:rsidP="008342B5">
      <w:pPr>
        <w:pStyle w:val="Noidung"/>
        <w:rPr>
          <w:b/>
          <w:i/>
          <w:lang w:val="it-IT"/>
        </w:rPr>
      </w:pPr>
      <w:r w:rsidRPr="009059BA">
        <w:rPr>
          <w:b/>
          <w:i/>
          <w:lang w:val="it-IT"/>
        </w:rPr>
        <w:t xml:space="preserve">c) Tổ chức quản lý </w:t>
      </w:r>
      <w:r w:rsidR="002E42E2" w:rsidRPr="002E42E2">
        <w:rPr>
          <w:b/>
          <w:i/>
          <w:lang w:val="it-IT"/>
        </w:rPr>
        <w:t>tổ chức kinh tế hợp tác có tư cách pháp nhân</w:t>
      </w:r>
    </w:p>
    <w:p w14:paraId="3B9FB271" w14:textId="77777777" w:rsidR="008342B5" w:rsidRPr="009059BA" w:rsidRDefault="008342B5" w:rsidP="008342B5">
      <w:pPr>
        <w:pStyle w:val="Noidung"/>
        <w:rPr>
          <w:rFonts w:eastAsia="Times New Roman"/>
          <w:szCs w:val="28"/>
          <w:lang w:val="eu-ES" w:eastAsia="vi-VN"/>
        </w:rPr>
      </w:pPr>
      <w:r w:rsidRPr="009059BA">
        <w:rPr>
          <w:rFonts w:eastAsia="Times New Roman"/>
          <w:szCs w:val="28"/>
          <w:lang w:val="eu-ES" w:eastAsia="vi-VN"/>
        </w:rPr>
        <w:t xml:space="preserve">- Về người đại diện: Bổ sung quy định </w:t>
      </w:r>
      <w:r w:rsidR="00B61F9E">
        <w:rPr>
          <w:rFonts w:eastAsia="Times New Roman"/>
          <w:szCs w:val="28"/>
          <w:lang w:val="eu-ES" w:eastAsia="vi-VN"/>
        </w:rPr>
        <w:t xml:space="preserve">TCKTHTCTCPN </w:t>
      </w:r>
      <w:r w:rsidRPr="009059BA">
        <w:rPr>
          <w:rFonts w:eastAsia="Times New Roman"/>
          <w:szCs w:val="28"/>
          <w:lang w:val="eu-ES" w:eastAsia="vi-VN"/>
        </w:rPr>
        <w:t>được phép có nhiều hơn một người đại diện theo pháp luật.</w:t>
      </w:r>
    </w:p>
    <w:p w14:paraId="788D62B4" w14:textId="77777777" w:rsidR="00E15069" w:rsidRPr="009059BA" w:rsidRDefault="008342B5" w:rsidP="008342B5">
      <w:pPr>
        <w:pStyle w:val="Noidung"/>
        <w:rPr>
          <w:rFonts w:eastAsia="Times New Roman"/>
          <w:szCs w:val="28"/>
          <w:lang w:val="eu-ES" w:eastAsia="vi-VN"/>
        </w:rPr>
      </w:pPr>
      <w:r w:rsidRPr="009059BA">
        <w:rPr>
          <w:rFonts w:eastAsia="Times New Roman"/>
          <w:szCs w:val="28"/>
          <w:lang w:val="eu-ES" w:eastAsia="vi-VN"/>
        </w:rPr>
        <w:t>- Về</w:t>
      </w:r>
      <w:r w:rsidR="00CA2417">
        <w:rPr>
          <w:rFonts w:eastAsia="Times New Roman"/>
          <w:szCs w:val="28"/>
          <w:lang w:val="eu-ES" w:eastAsia="vi-VN"/>
        </w:rPr>
        <w:t xml:space="preserve"> tổ chức</w:t>
      </w:r>
      <w:r w:rsidRPr="009059BA">
        <w:rPr>
          <w:rFonts w:eastAsia="Times New Roman"/>
          <w:szCs w:val="28"/>
          <w:lang w:val="eu-ES" w:eastAsia="vi-VN"/>
        </w:rPr>
        <w:t xml:space="preserve"> Đại hội thành viên: Bổ sung quyền và nghĩa vụ của Đại hội thành viên; Giảm </w:t>
      </w:r>
      <w:r w:rsidR="005E4C77" w:rsidRPr="009059BA">
        <w:rPr>
          <w:rFonts w:eastAsia="Times New Roman"/>
          <w:szCs w:val="28"/>
          <w:lang w:val="eu-ES" w:eastAsia="vi-VN"/>
        </w:rPr>
        <w:t xml:space="preserve">điều kiện </w:t>
      </w:r>
      <w:r w:rsidRPr="009059BA">
        <w:rPr>
          <w:rFonts w:eastAsia="Times New Roman"/>
          <w:szCs w:val="28"/>
          <w:lang w:val="eu-ES" w:eastAsia="vi-VN"/>
        </w:rPr>
        <w:t>số lượng thành viên chí</w:t>
      </w:r>
      <w:r w:rsidR="005E4C77">
        <w:rPr>
          <w:rFonts w:eastAsia="Times New Roman"/>
          <w:szCs w:val="28"/>
          <w:lang w:val="eu-ES" w:eastAsia="vi-VN"/>
        </w:rPr>
        <w:t>nh thức tối thiểu được tổ chức Đ</w:t>
      </w:r>
      <w:r w:rsidRPr="009059BA">
        <w:rPr>
          <w:rFonts w:eastAsia="Times New Roman"/>
          <w:szCs w:val="28"/>
          <w:lang w:val="eu-ES" w:eastAsia="vi-VN"/>
        </w:rPr>
        <w:t>ại hội đại biểu</w:t>
      </w:r>
      <w:r w:rsidR="00F07EF6" w:rsidRPr="009059BA">
        <w:rPr>
          <w:rStyle w:val="FootnoteReference"/>
          <w:rFonts w:eastAsia="Times New Roman"/>
          <w:szCs w:val="28"/>
          <w:lang w:val="eu-ES" w:eastAsia="vi-VN"/>
        </w:rPr>
        <w:footnoteReference w:id="18"/>
      </w:r>
      <w:r w:rsidR="00E15069" w:rsidRPr="009059BA">
        <w:rPr>
          <w:rFonts w:eastAsia="Times New Roman"/>
          <w:szCs w:val="28"/>
          <w:lang w:val="eu-ES" w:eastAsia="vi-VN"/>
        </w:rPr>
        <w:t>,</w:t>
      </w:r>
      <w:r w:rsidR="00F07EF6" w:rsidRPr="009059BA">
        <w:rPr>
          <w:rFonts w:eastAsia="Times New Roman"/>
          <w:szCs w:val="28"/>
          <w:lang w:val="eu-ES" w:eastAsia="vi-VN"/>
        </w:rPr>
        <w:t xml:space="preserve"> tỷ lệ số lượng thành viên tham dự để tiến hành đại hội</w:t>
      </w:r>
      <w:r w:rsidR="00F07EF6" w:rsidRPr="009059BA">
        <w:rPr>
          <w:rStyle w:val="FootnoteReference"/>
          <w:rFonts w:eastAsia="Times New Roman"/>
          <w:szCs w:val="28"/>
          <w:lang w:val="eu-ES" w:eastAsia="vi-VN"/>
        </w:rPr>
        <w:footnoteReference w:id="19"/>
      </w:r>
      <w:r w:rsidR="00F07EF6" w:rsidRPr="009059BA">
        <w:rPr>
          <w:rFonts w:eastAsia="Times New Roman"/>
          <w:szCs w:val="28"/>
          <w:lang w:val="eu-ES" w:eastAsia="vi-VN"/>
        </w:rPr>
        <w:t>, tổ chức hội nghị trực tuyến</w:t>
      </w:r>
      <w:r w:rsidR="00CA2417">
        <w:rPr>
          <w:rFonts w:eastAsia="Times New Roman"/>
          <w:szCs w:val="28"/>
          <w:lang w:val="eu-ES" w:eastAsia="vi-VN"/>
        </w:rPr>
        <w:t xml:space="preserve">; </w:t>
      </w:r>
      <w:r w:rsidR="00CA2417" w:rsidRPr="009059BA">
        <w:rPr>
          <w:rFonts w:eastAsia="Times New Roman"/>
          <w:szCs w:val="28"/>
          <w:lang w:val="eu-ES" w:eastAsia="vi-VN"/>
        </w:rPr>
        <w:t xml:space="preserve">hình thức tham dự của đại biểu (trực tiếp, ủy quyền hoặc trực tuyến), bỏ phiếu </w:t>
      </w:r>
      <w:r w:rsidR="00CA2417">
        <w:rPr>
          <w:rFonts w:eastAsia="Times New Roman"/>
          <w:szCs w:val="28"/>
          <w:lang w:val="eu-ES" w:eastAsia="vi-VN"/>
        </w:rPr>
        <w:t xml:space="preserve">biểu quyết </w:t>
      </w:r>
      <w:r w:rsidR="00CA2417" w:rsidRPr="009059BA">
        <w:rPr>
          <w:rFonts w:eastAsia="Times New Roman"/>
          <w:szCs w:val="28"/>
          <w:lang w:val="eu-ES" w:eastAsia="vi-VN"/>
        </w:rPr>
        <w:t>điện tử; giảm tỷ lệ số lượng đại biểu biểu quyết tán thành một số nội dung chính trong Đại hội thành viên</w:t>
      </w:r>
      <w:r w:rsidR="00F07EF6" w:rsidRPr="009059BA">
        <w:rPr>
          <w:rFonts w:eastAsia="Times New Roman"/>
          <w:szCs w:val="28"/>
          <w:lang w:val="eu-ES" w:eastAsia="vi-VN"/>
        </w:rPr>
        <w:t xml:space="preserve"> nhằm </w:t>
      </w:r>
      <w:r w:rsidR="00E15069" w:rsidRPr="009059BA">
        <w:rPr>
          <w:rFonts w:eastAsia="Times New Roman"/>
          <w:szCs w:val="28"/>
          <w:lang w:val="eu-ES" w:eastAsia="vi-VN"/>
        </w:rPr>
        <w:t>tạo điều kiện để tổ chức Đại hội thành viên một cách dễ dàng hơn</w:t>
      </w:r>
      <w:r w:rsidR="00094E98" w:rsidRPr="009059BA">
        <w:rPr>
          <w:rFonts w:eastAsia="Times New Roman"/>
          <w:szCs w:val="28"/>
          <w:lang w:val="eu-ES" w:eastAsia="vi-VN"/>
        </w:rPr>
        <w:t xml:space="preserve">, </w:t>
      </w:r>
      <w:r w:rsidR="007D3C1D">
        <w:rPr>
          <w:rFonts w:eastAsia="Times New Roman"/>
          <w:szCs w:val="28"/>
          <w:lang w:val="eu-ES" w:eastAsia="vi-VN"/>
        </w:rPr>
        <w:t xml:space="preserve">phù hợp với bối cảnh mới và </w:t>
      </w:r>
      <w:r w:rsidR="00094E98" w:rsidRPr="009059BA">
        <w:rPr>
          <w:rFonts w:eastAsia="Times New Roman"/>
          <w:szCs w:val="28"/>
          <w:lang w:val="eu-ES" w:eastAsia="vi-VN"/>
        </w:rPr>
        <w:t>tương ứng với quy định của Luật Doanh nghiệp năm 2020.</w:t>
      </w:r>
    </w:p>
    <w:p w14:paraId="6310826F" w14:textId="77777777" w:rsidR="008342B5" w:rsidRPr="009059BA" w:rsidRDefault="00E15069" w:rsidP="008342B5">
      <w:pPr>
        <w:pStyle w:val="Noidung"/>
        <w:rPr>
          <w:rFonts w:eastAsia="Times New Roman"/>
          <w:szCs w:val="28"/>
          <w:lang w:val="eu-ES" w:eastAsia="vi-VN"/>
        </w:rPr>
      </w:pPr>
      <w:r w:rsidRPr="009059BA">
        <w:rPr>
          <w:rFonts w:eastAsia="Times New Roman"/>
          <w:szCs w:val="28"/>
          <w:lang w:val="eu-ES" w:eastAsia="vi-VN"/>
        </w:rPr>
        <w:t xml:space="preserve">- Về quyền và nghĩa vụ của thành viên Hội đồng quản trị, Chủ tịch Hội đồng quản trị, </w:t>
      </w:r>
      <w:r w:rsidR="00382F02">
        <w:rPr>
          <w:rFonts w:eastAsia="Times New Roman"/>
          <w:szCs w:val="28"/>
          <w:lang w:val="eu-ES" w:eastAsia="vi-VN"/>
        </w:rPr>
        <w:t>Giám đốc (</w:t>
      </w:r>
      <w:r w:rsidRPr="009059BA">
        <w:rPr>
          <w:rFonts w:eastAsia="Times New Roman"/>
          <w:szCs w:val="28"/>
          <w:lang w:val="eu-ES" w:eastAsia="vi-VN"/>
        </w:rPr>
        <w:t>Tổng giám đốc</w:t>
      </w:r>
      <w:r w:rsidR="00382F02">
        <w:rPr>
          <w:rFonts w:eastAsia="Times New Roman"/>
          <w:szCs w:val="28"/>
          <w:lang w:val="eu-ES" w:eastAsia="vi-VN"/>
        </w:rPr>
        <w:t>)</w:t>
      </w:r>
      <w:r w:rsidRPr="009059BA">
        <w:rPr>
          <w:rFonts w:eastAsia="Times New Roman"/>
          <w:szCs w:val="28"/>
          <w:lang w:val="eu-ES" w:eastAsia="vi-VN"/>
        </w:rPr>
        <w:t xml:space="preserve">: bổ sung trách nhiệm cá nhân khi ra quyết định trái </w:t>
      </w:r>
      <w:r w:rsidR="00382F02">
        <w:rPr>
          <w:rFonts w:eastAsia="Times New Roman"/>
          <w:szCs w:val="28"/>
          <w:lang w:val="eu-ES" w:eastAsia="vi-VN"/>
        </w:rPr>
        <w:t>với thẩm quyền, nghị quyết của Đ</w:t>
      </w:r>
      <w:r w:rsidRPr="009059BA">
        <w:rPr>
          <w:rFonts w:eastAsia="Times New Roman"/>
          <w:szCs w:val="28"/>
          <w:lang w:val="eu-ES" w:eastAsia="vi-VN"/>
        </w:rPr>
        <w:t>ại hội thành viên hoặc trong trường hợp vắng mặt.</w:t>
      </w:r>
    </w:p>
    <w:p w14:paraId="0B68BDA9" w14:textId="2DF541CD" w:rsidR="00E15069" w:rsidRPr="009059BA" w:rsidRDefault="00E15069" w:rsidP="008342B5">
      <w:pPr>
        <w:pStyle w:val="Noidung"/>
      </w:pPr>
      <w:r w:rsidRPr="009059BA">
        <w:rPr>
          <w:rFonts w:eastAsia="Times New Roman"/>
          <w:szCs w:val="28"/>
          <w:lang w:val="eu-ES" w:eastAsia="vi-VN"/>
        </w:rPr>
        <w:t xml:space="preserve">- Về </w:t>
      </w:r>
      <w:r w:rsidR="00D3136A" w:rsidRPr="009059BA">
        <w:rPr>
          <w:rFonts w:eastAsia="Times New Roman"/>
          <w:szCs w:val="28"/>
          <w:lang w:val="eu-ES" w:eastAsia="vi-VN"/>
        </w:rPr>
        <w:t xml:space="preserve">ban kiểm soát: bổ sung quy định </w:t>
      </w:r>
      <w:r w:rsidR="00D64F6C">
        <w:rPr>
          <w:rFonts w:eastAsia="Times New Roman"/>
          <w:szCs w:val="28"/>
          <w:lang w:val="eu-ES" w:eastAsia="vi-VN"/>
        </w:rPr>
        <w:t xml:space="preserve">TCKTHTCTCPN </w:t>
      </w:r>
      <w:r w:rsidR="00B60403">
        <w:rPr>
          <w:rFonts w:eastAsia="Times New Roman"/>
          <w:szCs w:val="28"/>
          <w:lang w:val="eu-ES" w:eastAsia="vi-VN"/>
        </w:rPr>
        <w:t>có quy mô siêu nhỏ</w:t>
      </w:r>
      <w:r w:rsidR="001F61F6">
        <w:rPr>
          <w:rFonts w:eastAsia="Times New Roman"/>
          <w:szCs w:val="28"/>
          <w:lang w:val="eu-ES" w:eastAsia="vi-VN"/>
        </w:rPr>
        <w:t>, nhỏ</w:t>
      </w:r>
      <w:r w:rsidR="00B60403">
        <w:rPr>
          <w:rFonts w:eastAsia="Times New Roman"/>
          <w:szCs w:val="28"/>
          <w:lang w:val="eu-ES" w:eastAsia="vi-VN"/>
        </w:rPr>
        <w:t xml:space="preserve"> </w:t>
      </w:r>
      <w:r w:rsidR="00B60403" w:rsidRPr="00DD18F3">
        <w:rPr>
          <w:rFonts w:eastAsia="Times New Roman"/>
          <w:szCs w:val="28"/>
          <w:lang w:val="eu-ES" w:eastAsia="vi-VN"/>
        </w:rPr>
        <w:t>có thể lựa chọn Kiểm soát viên</w:t>
      </w:r>
      <w:r w:rsidR="001F61F6" w:rsidRPr="00DD18F3">
        <w:rPr>
          <w:rFonts w:eastAsia="Times New Roman"/>
          <w:szCs w:val="28"/>
          <w:lang w:val="eu-ES" w:eastAsia="vi-VN"/>
        </w:rPr>
        <w:t xml:space="preserve"> hoặc</w:t>
      </w:r>
      <w:r w:rsidR="00A62DB4" w:rsidRPr="00DD18F3">
        <w:rPr>
          <w:rFonts w:eastAsia="Times New Roman"/>
          <w:szCs w:val="28"/>
          <w:lang w:val="eu-ES" w:eastAsia="vi-VN"/>
        </w:rPr>
        <w:t xml:space="preserve"> B</w:t>
      </w:r>
      <w:r w:rsidR="00D3136A" w:rsidRPr="00DD18F3">
        <w:rPr>
          <w:rFonts w:eastAsia="Times New Roman"/>
          <w:szCs w:val="28"/>
          <w:lang w:val="eu-ES" w:eastAsia="vi-VN"/>
        </w:rPr>
        <w:t>an kiểm soát</w:t>
      </w:r>
      <w:r w:rsidR="00D3136A" w:rsidRPr="009059BA">
        <w:rPr>
          <w:rFonts w:eastAsia="Times New Roman"/>
          <w:szCs w:val="28"/>
          <w:lang w:val="eu-ES" w:eastAsia="vi-VN"/>
        </w:rPr>
        <w:t xml:space="preserve">; bổ sung quyền hạn </w:t>
      </w:r>
      <w:r w:rsidR="00D3136A" w:rsidRPr="009059BA">
        <w:rPr>
          <w:rFonts w:eastAsia="Times New Roman"/>
          <w:szCs w:val="28"/>
          <w:lang w:val="eu-ES" w:eastAsia="vi-VN"/>
        </w:rPr>
        <w:lastRenderedPageBreak/>
        <w:t xml:space="preserve">và nhiệm vụ: </w:t>
      </w:r>
      <w:r w:rsidR="00D3136A" w:rsidRPr="009059BA">
        <w:t>rà soát, kiểm tra và đánh giá hiệu lực và hiệu quả của hệ thống kiểm soát nội bộ, kiểm toán nội bộ, quản lý rủi ro và cảnh báo sớm.</w:t>
      </w:r>
    </w:p>
    <w:p w14:paraId="4C40ADFF" w14:textId="77777777" w:rsidR="008342B5" w:rsidRPr="009059BA" w:rsidRDefault="00D3136A" w:rsidP="008342B5">
      <w:pPr>
        <w:pStyle w:val="Noidung"/>
      </w:pPr>
      <w:r w:rsidRPr="009059BA">
        <w:t xml:space="preserve">- </w:t>
      </w:r>
      <w:r w:rsidR="00E14AF4" w:rsidRPr="009059BA">
        <w:t>B</w:t>
      </w:r>
      <w:r w:rsidRPr="009059BA">
        <w:t xml:space="preserve">ổ sung </w:t>
      </w:r>
      <w:r w:rsidR="00094E98" w:rsidRPr="009059BA">
        <w:t xml:space="preserve">quy định </w:t>
      </w:r>
      <w:r w:rsidR="00E14AF4" w:rsidRPr="009059BA">
        <w:t>điều kiện, tiêu chuẩn một số chức danh quản lý kiể</w:t>
      </w:r>
      <w:r w:rsidR="006B235E">
        <w:t>m soát viên (thành viên B</w:t>
      </w:r>
      <w:r w:rsidR="00E14AF4" w:rsidRPr="009059BA">
        <w:t>an kiể</w:t>
      </w:r>
      <w:r w:rsidR="006B235E">
        <w:t>m soát), G</w:t>
      </w:r>
      <w:r w:rsidR="00E14AF4" w:rsidRPr="009059BA">
        <w:t>iám đốc (hoặ</w:t>
      </w:r>
      <w:r w:rsidR="006B235E">
        <w:t>c T</w:t>
      </w:r>
      <w:r w:rsidR="00E14AF4" w:rsidRPr="009059BA">
        <w:t>ổng giám đốc)</w:t>
      </w:r>
      <w:r w:rsidR="006B235E">
        <w:t xml:space="preserve"> </w:t>
      </w:r>
      <w:r w:rsidR="00094E98" w:rsidRPr="009059BA">
        <w:t xml:space="preserve">nhằm nâng cao </w:t>
      </w:r>
      <w:r w:rsidR="00E14AF4" w:rsidRPr="009059BA">
        <w:t>năng lực</w:t>
      </w:r>
      <w:r w:rsidR="00094E98" w:rsidRPr="009059BA">
        <w:t xml:space="preserve"> </w:t>
      </w:r>
      <w:r w:rsidR="00E14AF4" w:rsidRPr="009059BA">
        <w:t>quản lý, điều hành.</w:t>
      </w:r>
    </w:p>
    <w:p w14:paraId="685FF2EA" w14:textId="77777777" w:rsidR="004D6225" w:rsidRPr="009059BA" w:rsidRDefault="00D3136A" w:rsidP="000E36C3">
      <w:pPr>
        <w:pStyle w:val="Noidung"/>
        <w:rPr>
          <w:b/>
          <w:i/>
          <w:lang w:val="it-IT"/>
        </w:rPr>
      </w:pPr>
      <w:r w:rsidRPr="009059BA">
        <w:rPr>
          <w:b/>
          <w:i/>
          <w:lang w:val="it-IT"/>
        </w:rPr>
        <w:t>d</w:t>
      </w:r>
      <w:r w:rsidR="004D6225" w:rsidRPr="009059BA">
        <w:rPr>
          <w:b/>
          <w:i/>
          <w:lang w:val="it-IT"/>
        </w:rPr>
        <w:t>) Tài sản, tài chính</w:t>
      </w:r>
    </w:p>
    <w:p w14:paraId="43F6EEB2" w14:textId="77777777" w:rsidR="0089536F" w:rsidRPr="009059BA" w:rsidRDefault="004D6225" w:rsidP="000E36C3">
      <w:pPr>
        <w:pStyle w:val="Noidung"/>
      </w:pPr>
      <w:r w:rsidRPr="009059BA">
        <w:t>- Về nhóm quy định chung liên quan đến vốn góp: sửa đổi, làm rõ quy định góp vốn bằng “hiện vật”</w:t>
      </w:r>
      <w:r w:rsidR="0089536F" w:rsidRPr="009059BA">
        <w:t xml:space="preserve">, bổ sung quy định thành viên phải chuyển quyền sở hữu </w:t>
      </w:r>
      <w:r w:rsidR="00A87AE3">
        <w:t xml:space="preserve">đối với phần </w:t>
      </w:r>
      <w:r w:rsidR="0089536F" w:rsidRPr="009059BA">
        <w:t xml:space="preserve">vốn góp cho </w:t>
      </w:r>
      <w:r w:rsidR="00A87AE3">
        <w:t>TCKTHTCTCPN</w:t>
      </w:r>
      <w:r w:rsidR="0089536F" w:rsidRPr="009059BA">
        <w:t>, quy định về định giá vốn góp.</w:t>
      </w:r>
    </w:p>
    <w:p w14:paraId="73300DE2" w14:textId="77777777" w:rsidR="004D6225" w:rsidRPr="009059BA" w:rsidRDefault="0089536F" w:rsidP="000E36C3">
      <w:pPr>
        <w:pStyle w:val="Noidung"/>
      </w:pPr>
      <w:r w:rsidRPr="009059BA">
        <w:t xml:space="preserve">- Về huy động vốn: làm rõ quy định </w:t>
      </w:r>
      <w:r w:rsidR="00BF26F8">
        <w:t xml:space="preserve">TCKTHTCTCPN </w:t>
      </w:r>
      <w:r w:rsidRPr="009059BA">
        <w:t>được phép hoạt động tín dụng nội bộ; huy động vốn vay từ cá nhân, tổ chức bên ngoài nhưng không được vượt quá mức lãi suất quy đị</w:t>
      </w:r>
      <w:r w:rsidR="003D2BBC">
        <w:t>nh;</w:t>
      </w:r>
      <w:r w:rsidRPr="009059BA">
        <w:t xml:space="preserve"> hỗ trợ của Nhà nước được tính vào quỹ chung không chia hoặc tài sản chung không chia.</w:t>
      </w:r>
    </w:p>
    <w:p w14:paraId="15919489" w14:textId="77777777" w:rsidR="0089536F" w:rsidRPr="009059BA" w:rsidRDefault="0089536F" w:rsidP="000E36C3">
      <w:pPr>
        <w:pStyle w:val="Noidung"/>
        <w:rPr>
          <w:rFonts w:eastAsia="Times New Roman"/>
          <w:szCs w:val="28"/>
          <w:lang w:val="eu-ES" w:eastAsia="vi-VN"/>
        </w:rPr>
      </w:pPr>
      <w:r w:rsidRPr="009059BA">
        <w:rPr>
          <w:rFonts w:eastAsia="Times New Roman"/>
          <w:szCs w:val="28"/>
          <w:lang w:val="eu-ES" w:eastAsia="vi-VN"/>
        </w:rPr>
        <w:t>- Về góp vốn, mua cổ phần, thành lập doanh nghiệp: bổ s</w:t>
      </w:r>
      <w:r w:rsidR="006B5F26">
        <w:rPr>
          <w:rFonts w:eastAsia="Times New Roman"/>
          <w:szCs w:val="28"/>
          <w:lang w:val="eu-ES" w:eastAsia="vi-VN"/>
        </w:rPr>
        <w:t>u</w:t>
      </w:r>
      <w:r w:rsidRPr="009059BA">
        <w:rPr>
          <w:rFonts w:eastAsia="Times New Roman"/>
          <w:szCs w:val="28"/>
          <w:lang w:val="eu-ES" w:eastAsia="vi-VN"/>
        </w:rPr>
        <w:t xml:space="preserve">ng quy định chi tiết về điều kiện, thủ tục </w:t>
      </w:r>
      <w:r w:rsidR="001667B9">
        <w:rPr>
          <w:rFonts w:eastAsia="Times New Roman"/>
          <w:szCs w:val="28"/>
          <w:lang w:val="eu-ES" w:eastAsia="vi-VN"/>
        </w:rPr>
        <w:t xml:space="preserve">TCKTHTCTCPN </w:t>
      </w:r>
      <w:r w:rsidRPr="009059BA">
        <w:rPr>
          <w:rFonts w:eastAsia="Times New Roman"/>
          <w:szCs w:val="28"/>
          <w:lang w:val="eu-ES" w:eastAsia="vi-VN"/>
        </w:rPr>
        <w:t>góp vốn, mua cổ phần</w:t>
      </w:r>
      <w:r w:rsidR="001667B9">
        <w:rPr>
          <w:rFonts w:eastAsia="Times New Roman"/>
          <w:szCs w:val="28"/>
          <w:lang w:val="eu-ES" w:eastAsia="vi-VN"/>
        </w:rPr>
        <w:t>,</w:t>
      </w:r>
      <w:r w:rsidRPr="009059BA">
        <w:rPr>
          <w:rFonts w:eastAsia="Times New Roman"/>
          <w:szCs w:val="28"/>
          <w:lang w:val="eu-ES" w:eastAsia="vi-VN"/>
        </w:rPr>
        <w:t xml:space="preserve"> thành lập doanh nghiệp</w:t>
      </w:r>
      <w:r w:rsidR="001667B9">
        <w:rPr>
          <w:rFonts w:eastAsia="Times New Roman"/>
          <w:szCs w:val="28"/>
          <w:lang w:val="eu-ES" w:eastAsia="vi-VN"/>
        </w:rPr>
        <w:t xml:space="preserve"> và mối quan hệ của TCKTHTCTCPN với các doanh nghiệp này</w:t>
      </w:r>
      <w:r w:rsidRPr="009059BA">
        <w:rPr>
          <w:rFonts w:eastAsia="Times New Roman"/>
          <w:szCs w:val="28"/>
          <w:lang w:val="eu-ES" w:eastAsia="vi-VN"/>
        </w:rPr>
        <w:t>.</w:t>
      </w:r>
    </w:p>
    <w:p w14:paraId="0CFC01F2" w14:textId="585D8483" w:rsidR="0089536F" w:rsidRPr="009059BA" w:rsidRDefault="0089536F" w:rsidP="000E36C3">
      <w:pPr>
        <w:pStyle w:val="Noidung"/>
        <w:rPr>
          <w:szCs w:val="28"/>
        </w:rPr>
      </w:pPr>
      <w:r w:rsidRPr="009059BA">
        <w:rPr>
          <w:rFonts w:eastAsia="Times New Roman"/>
          <w:szCs w:val="28"/>
          <w:lang w:val="eu-ES" w:eastAsia="vi-VN"/>
        </w:rPr>
        <w:t>- Về nhóm quy định tài chính: bổ sung quy định hạch toán kế toán riêng giao dịch bên trong và giao dịch bên ngoài</w:t>
      </w:r>
      <w:r w:rsidR="00F36348">
        <w:rPr>
          <w:rFonts w:eastAsia="Times New Roman"/>
          <w:szCs w:val="28"/>
          <w:lang w:val="eu-ES" w:eastAsia="vi-VN"/>
        </w:rPr>
        <w:t xml:space="preserve">; </w:t>
      </w:r>
      <w:r w:rsidRPr="009059BA">
        <w:rPr>
          <w:rFonts w:eastAsia="Times New Roman"/>
          <w:szCs w:val="28"/>
          <w:lang w:val="eu-ES" w:eastAsia="vi-VN"/>
        </w:rPr>
        <w:t>trích lập quỹ chung không chia hằng năm</w:t>
      </w:r>
      <w:r w:rsidR="006B6533">
        <w:rPr>
          <w:rFonts w:eastAsia="Times New Roman"/>
          <w:szCs w:val="28"/>
          <w:lang w:val="eu-ES" w:eastAsia="vi-VN"/>
        </w:rPr>
        <w:t xml:space="preserve"> </w:t>
      </w:r>
      <w:r w:rsidR="006B6533" w:rsidRPr="009059BA">
        <w:rPr>
          <w:rFonts w:eastAsia="Times New Roman"/>
          <w:szCs w:val="28"/>
          <w:lang w:val="eu-ES" w:eastAsia="vi-VN"/>
        </w:rPr>
        <w:t xml:space="preserve">do </w:t>
      </w:r>
      <w:r w:rsidR="006B6533">
        <w:rPr>
          <w:rFonts w:eastAsia="Times New Roman"/>
          <w:szCs w:val="28"/>
          <w:lang w:val="eu-ES" w:eastAsia="vi-VN"/>
        </w:rPr>
        <w:t xml:space="preserve">quỹ này </w:t>
      </w:r>
      <w:r w:rsidR="006B6533" w:rsidRPr="009059BA">
        <w:rPr>
          <w:rFonts w:eastAsia="Times New Roman"/>
          <w:szCs w:val="28"/>
          <w:lang w:val="eu-ES" w:eastAsia="vi-VN"/>
        </w:rPr>
        <w:t>mang tính đặc thù riêng</w:t>
      </w:r>
      <w:r w:rsidR="006B6533">
        <w:rPr>
          <w:rFonts w:eastAsia="Times New Roman"/>
          <w:szCs w:val="28"/>
          <w:lang w:val="eu-ES" w:eastAsia="vi-VN"/>
        </w:rPr>
        <w:t xml:space="preserve"> của các TCKTHT</w:t>
      </w:r>
      <w:r w:rsidR="00F171B3">
        <w:rPr>
          <w:rFonts w:eastAsia="Times New Roman"/>
          <w:szCs w:val="28"/>
          <w:lang w:val="eu-ES" w:eastAsia="vi-VN"/>
        </w:rPr>
        <w:t>CTCPN</w:t>
      </w:r>
      <w:r w:rsidR="0084509E">
        <w:rPr>
          <w:rFonts w:eastAsia="Times New Roman"/>
          <w:szCs w:val="28"/>
          <w:lang w:val="eu-ES" w:eastAsia="vi-VN"/>
        </w:rPr>
        <w:t>,</w:t>
      </w:r>
      <w:r w:rsidRPr="009059BA">
        <w:rPr>
          <w:rFonts w:eastAsia="Times New Roman"/>
          <w:szCs w:val="28"/>
          <w:lang w:val="eu-ES" w:eastAsia="vi-VN"/>
        </w:rPr>
        <w:t xml:space="preserve"> trong đó có phần để lại từ </w:t>
      </w:r>
      <w:r w:rsidR="00F36348">
        <w:rPr>
          <w:rFonts w:eastAsia="Times New Roman"/>
          <w:szCs w:val="28"/>
          <w:lang w:val="eu-ES" w:eastAsia="vi-VN"/>
        </w:rPr>
        <w:t xml:space="preserve">phần </w:t>
      </w:r>
      <w:r w:rsidRPr="009059BA">
        <w:rPr>
          <w:rFonts w:eastAsia="Times New Roman"/>
          <w:szCs w:val="28"/>
          <w:lang w:val="eu-ES" w:eastAsia="vi-VN"/>
        </w:rPr>
        <w:t xml:space="preserve">miễn </w:t>
      </w:r>
      <w:r w:rsidR="00F36348">
        <w:rPr>
          <w:rFonts w:eastAsia="Times New Roman"/>
          <w:szCs w:val="28"/>
          <w:lang w:val="eu-ES" w:eastAsia="vi-VN"/>
        </w:rPr>
        <w:t xml:space="preserve">giảm </w:t>
      </w:r>
      <w:r w:rsidRPr="009059BA">
        <w:rPr>
          <w:rFonts w:eastAsia="Times New Roman"/>
          <w:szCs w:val="28"/>
          <w:lang w:val="eu-ES" w:eastAsia="vi-VN"/>
        </w:rPr>
        <w:t>thuế thu nhập doanh nghiệp đối với giao dịch nội bộ</w:t>
      </w:r>
      <w:r w:rsidR="00F36348">
        <w:rPr>
          <w:rFonts w:eastAsia="Times New Roman"/>
          <w:szCs w:val="28"/>
          <w:lang w:val="eu-ES" w:eastAsia="vi-VN"/>
        </w:rPr>
        <w:t>;</w:t>
      </w:r>
      <w:r w:rsidRPr="009059BA">
        <w:rPr>
          <w:rFonts w:eastAsia="Times New Roman"/>
          <w:szCs w:val="28"/>
          <w:lang w:val="eu-ES" w:eastAsia="vi-VN"/>
        </w:rPr>
        <w:t xml:space="preserve"> phân phối </w:t>
      </w:r>
      <w:r w:rsidR="00822E70">
        <w:rPr>
          <w:rFonts w:eastAsia="Times New Roman"/>
          <w:szCs w:val="28"/>
          <w:lang w:val="eu-ES" w:eastAsia="vi-VN"/>
        </w:rPr>
        <w:t>thu nhập do Điều lệ quy định</w:t>
      </w:r>
      <w:r w:rsidR="00842A85" w:rsidRPr="009059BA">
        <w:rPr>
          <w:rFonts w:eastAsia="Times New Roman"/>
          <w:szCs w:val="28"/>
          <w:lang w:val="eu-ES" w:eastAsia="vi-VN"/>
        </w:rPr>
        <w:t xml:space="preserve">; đối với tài sản chung không chia </w:t>
      </w:r>
      <w:r w:rsidR="00CE07AE" w:rsidRPr="009059BA">
        <w:rPr>
          <w:szCs w:val="28"/>
        </w:rPr>
        <w:t>lạc hậu công nghệ</w:t>
      </w:r>
      <w:r w:rsidR="00CE07AE">
        <w:rPr>
          <w:szCs w:val="28"/>
        </w:rPr>
        <w:t xml:space="preserve">, </w:t>
      </w:r>
      <w:r w:rsidR="006B6533">
        <w:rPr>
          <w:szCs w:val="28"/>
        </w:rPr>
        <w:t>bị</w:t>
      </w:r>
      <w:r w:rsidR="00842A85" w:rsidRPr="009059BA">
        <w:rPr>
          <w:szCs w:val="28"/>
        </w:rPr>
        <w:t xml:space="preserve"> hư hỏng</w:t>
      </w:r>
      <w:r w:rsidR="00F36348">
        <w:rPr>
          <w:szCs w:val="28"/>
        </w:rPr>
        <w:t xml:space="preserve"> không thể </w:t>
      </w:r>
      <w:r w:rsidR="00562556">
        <w:rPr>
          <w:szCs w:val="28"/>
        </w:rPr>
        <w:t>sửa chữa</w:t>
      </w:r>
      <w:r w:rsidR="00842A85" w:rsidRPr="009059BA">
        <w:rPr>
          <w:szCs w:val="28"/>
        </w:rPr>
        <w:t xml:space="preserve">, </w:t>
      </w:r>
      <w:r w:rsidR="00F36348">
        <w:rPr>
          <w:szCs w:val="28"/>
        </w:rPr>
        <w:t>hết khấu hao</w:t>
      </w:r>
      <w:r w:rsidR="00842A85" w:rsidRPr="009059BA">
        <w:rPr>
          <w:szCs w:val="28"/>
        </w:rPr>
        <w:t xml:space="preserve"> thì </w:t>
      </w:r>
      <w:r w:rsidR="00877AED">
        <w:rPr>
          <w:szCs w:val="28"/>
        </w:rPr>
        <w:t>TCKTHT</w:t>
      </w:r>
      <w:r w:rsidR="006B6533">
        <w:rPr>
          <w:szCs w:val="28"/>
        </w:rPr>
        <w:t>CTCPN</w:t>
      </w:r>
      <w:r w:rsidR="00842A85" w:rsidRPr="009059BA">
        <w:rPr>
          <w:szCs w:val="28"/>
        </w:rPr>
        <w:t xml:space="preserve"> được phép </w:t>
      </w:r>
      <w:r w:rsidR="00F36348">
        <w:rPr>
          <w:szCs w:val="28"/>
        </w:rPr>
        <w:t>chuyển nhượng</w:t>
      </w:r>
      <w:r w:rsidR="00842A85" w:rsidRPr="009059BA">
        <w:rPr>
          <w:szCs w:val="28"/>
        </w:rPr>
        <w:t>, thanh lý theo quy định và đưa vào quỹ chung không chia.</w:t>
      </w:r>
    </w:p>
    <w:p w14:paraId="3AE360E7" w14:textId="6B5C5975" w:rsidR="00E14AF4" w:rsidRPr="009059BA" w:rsidRDefault="00E14AF4" w:rsidP="000E36C3">
      <w:pPr>
        <w:pStyle w:val="Noidung"/>
        <w:rPr>
          <w:rFonts w:eastAsia="Times New Roman"/>
          <w:szCs w:val="28"/>
          <w:lang w:val="eu-ES" w:eastAsia="vi-VN"/>
        </w:rPr>
      </w:pPr>
      <w:r w:rsidRPr="00CE07AE">
        <w:rPr>
          <w:szCs w:val="28"/>
        </w:rPr>
        <w:t xml:space="preserve">- Về xử lý quỹ chung không chia, tài sản chung không chia: Sửa đổi, bổ sung quy định Cơ quan quản lý nhà nước </w:t>
      </w:r>
      <w:r w:rsidR="00B12776" w:rsidRPr="00CE07AE">
        <w:rPr>
          <w:szCs w:val="28"/>
        </w:rPr>
        <w:t xml:space="preserve">tại địa phương </w:t>
      </w:r>
      <w:r w:rsidRPr="00CE07AE">
        <w:rPr>
          <w:szCs w:val="28"/>
        </w:rPr>
        <w:t xml:space="preserve">tham gia xử lý khi nhận được thông báo giải thể tự nguyện hoặc bắt buộc từ </w:t>
      </w:r>
      <w:r w:rsidR="00AE7F08" w:rsidRPr="00CE07AE">
        <w:rPr>
          <w:szCs w:val="28"/>
        </w:rPr>
        <w:t>TCKTHTCTCPN</w:t>
      </w:r>
      <w:r w:rsidRPr="00CE07AE">
        <w:rPr>
          <w:szCs w:val="28"/>
        </w:rPr>
        <w:t xml:space="preserve"> hoặc cơ quan đăng ký hoặc </w:t>
      </w:r>
      <w:r w:rsidR="00EE0EC8" w:rsidRPr="00CE07AE">
        <w:rPr>
          <w:szCs w:val="28"/>
        </w:rPr>
        <w:t>T</w:t>
      </w:r>
      <w:r w:rsidRPr="00CE07AE">
        <w:rPr>
          <w:szCs w:val="28"/>
        </w:rPr>
        <w:t xml:space="preserve">òa án. Cơ quan này sẽ tiếp nhận quỹ chung không chia, tài sản chung không chia để bàn giao cho </w:t>
      </w:r>
      <w:r w:rsidR="00AE7F08" w:rsidRPr="00CE07AE">
        <w:rPr>
          <w:szCs w:val="28"/>
        </w:rPr>
        <w:t>TCKTHT</w:t>
      </w:r>
      <w:r w:rsidRPr="00CE07AE">
        <w:rPr>
          <w:szCs w:val="28"/>
        </w:rPr>
        <w:t xml:space="preserve"> khác hoặc liên minh HTX hoặc tổ chức khác hoạt động vì mục tiêu lợi ích cộng đồng dân cư trên địa bàn. Chính phủ quy định Cơ quan quản lý nhà nước </w:t>
      </w:r>
      <w:r w:rsidR="00B12776" w:rsidRPr="00CE07AE">
        <w:rPr>
          <w:szCs w:val="28"/>
        </w:rPr>
        <w:t>tại địa phương.</w:t>
      </w:r>
    </w:p>
    <w:p w14:paraId="40095C67" w14:textId="070BBE77" w:rsidR="00356238" w:rsidRPr="009059BA" w:rsidRDefault="00D3136A" w:rsidP="00CF6FB6">
      <w:pPr>
        <w:pStyle w:val="Noidung"/>
        <w:rPr>
          <w:b/>
          <w:i/>
          <w:lang w:val="it-IT"/>
        </w:rPr>
      </w:pPr>
      <w:r w:rsidRPr="009059BA">
        <w:rPr>
          <w:b/>
          <w:i/>
          <w:lang w:val="it-IT"/>
        </w:rPr>
        <w:t>đ</w:t>
      </w:r>
      <w:r w:rsidR="00842A85" w:rsidRPr="009059BA">
        <w:rPr>
          <w:b/>
          <w:i/>
          <w:lang w:val="it-IT"/>
        </w:rPr>
        <w:t xml:space="preserve">) </w:t>
      </w:r>
      <w:r w:rsidR="002E42E2">
        <w:rPr>
          <w:b/>
          <w:i/>
          <w:lang w:val="it-IT"/>
        </w:rPr>
        <w:t>Hợp tác xã</w:t>
      </w:r>
    </w:p>
    <w:p w14:paraId="422AB721" w14:textId="6FB5331B" w:rsidR="00842A85" w:rsidRPr="009059BA" w:rsidRDefault="003B1C80" w:rsidP="00CF6FB6">
      <w:pPr>
        <w:pStyle w:val="Noidung"/>
        <w:rPr>
          <w:rFonts w:eastAsia="Times New Roman"/>
          <w:szCs w:val="28"/>
          <w:lang w:val="eu-ES" w:eastAsia="vi-VN"/>
        </w:rPr>
      </w:pPr>
      <w:r w:rsidRPr="009059BA">
        <w:rPr>
          <w:rFonts w:eastAsia="Times New Roman"/>
          <w:szCs w:val="28"/>
          <w:lang w:val="eu-ES" w:eastAsia="vi-VN"/>
        </w:rPr>
        <w:t>Ngoài các quy định chung</w:t>
      </w:r>
      <w:r w:rsidR="001C4C6F" w:rsidRPr="009059BA">
        <w:rPr>
          <w:rFonts w:eastAsia="Times New Roman"/>
          <w:szCs w:val="28"/>
          <w:lang w:val="eu-ES" w:eastAsia="vi-VN"/>
        </w:rPr>
        <w:t xml:space="preserve"> của </w:t>
      </w:r>
      <w:r w:rsidR="00AE7F08">
        <w:rPr>
          <w:rFonts w:eastAsia="Times New Roman"/>
          <w:szCs w:val="28"/>
          <w:lang w:val="eu-ES" w:eastAsia="vi-VN"/>
        </w:rPr>
        <w:t>TCKTHTCTCPN</w:t>
      </w:r>
      <w:r w:rsidRPr="009059BA">
        <w:rPr>
          <w:rFonts w:eastAsia="Times New Roman"/>
          <w:szCs w:val="28"/>
          <w:lang w:val="eu-ES" w:eastAsia="vi-VN"/>
        </w:rPr>
        <w:t>, Chương này q</w:t>
      </w:r>
      <w:r w:rsidR="00842A85" w:rsidRPr="009059BA">
        <w:rPr>
          <w:rFonts w:eastAsia="Times New Roman"/>
          <w:szCs w:val="28"/>
          <w:lang w:val="eu-ES" w:eastAsia="vi-VN"/>
        </w:rPr>
        <w:t xml:space="preserve">uy định </w:t>
      </w:r>
      <w:r w:rsidRPr="009059BA">
        <w:rPr>
          <w:rFonts w:eastAsia="Times New Roman"/>
          <w:szCs w:val="28"/>
          <w:lang w:val="eu-ES" w:eastAsia="vi-VN"/>
        </w:rPr>
        <w:t>riêng một số</w:t>
      </w:r>
      <w:r w:rsidR="00842A85" w:rsidRPr="009059BA">
        <w:rPr>
          <w:rFonts w:eastAsia="Times New Roman"/>
          <w:szCs w:val="28"/>
          <w:lang w:val="eu-ES" w:eastAsia="vi-VN"/>
        </w:rPr>
        <w:t xml:space="preserve"> nội dung đối với đối tượng HTX</w:t>
      </w:r>
      <w:r w:rsidRPr="009059BA">
        <w:rPr>
          <w:rFonts w:eastAsia="Times New Roman"/>
          <w:szCs w:val="28"/>
          <w:lang w:val="eu-ES" w:eastAsia="vi-VN"/>
        </w:rPr>
        <w:t>:</w:t>
      </w:r>
    </w:p>
    <w:p w14:paraId="7BC05369" w14:textId="13693BB4" w:rsidR="00481F72" w:rsidRPr="009059BA" w:rsidRDefault="00CF6FB6" w:rsidP="00CF6FB6">
      <w:pPr>
        <w:pStyle w:val="Noidung"/>
        <w:rPr>
          <w:rFonts w:eastAsia="Times New Roman"/>
          <w:szCs w:val="28"/>
          <w:lang w:val="eu-ES" w:eastAsia="vi-VN"/>
        </w:rPr>
      </w:pPr>
      <w:r w:rsidRPr="009059BA">
        <w:rPr>
          <w:rFonts w:eastAsia="Times New Roman"/>
          <w:szCs w:val="28"/>
          <w:lang w:val="eu-ES" w:eastAsia="vi-VN"/>
        </w:rPr>
        <w:t xml:space="preserve">- </w:t>
      </w:r>
      <w:r w:rsidR="00481F72" w:rsidRPr="009059BA">
        <w:rPr>
          <w:rFonts w:eastAsia="Times New Roman"/>
          <w:szCs w:val="28"/>
          <w:lang w:val="eu-ES" w:eastAsia="vi-VN"/>
        </w:rPr>
        <w:t xml:space="preserve">Về định nghĩa HTX: giảm số lượng thành viên tối thiểu thành lập </w:t>
      </w:r>
      <w:r w:rsidR="00F36348">
        <w:rPr>
          <w:rFonts w:eastAsia="Times New Roman"/>
          <w:szCs w:val="28"/>
          <w:lang w:val="eu-ES" w:eastAsia="vi-VN"/>
        </w:rPr>
        <w:t>từ 07 xuống</w:t>
      </w:r>
      <w:r w:rsidR="00481F72" w:rsidRPr="009059BA">
        <w:rPr>
          <w:rFonts w:eastAsia="Times New Roman"/>
          <w:szCs w:val="28"/>
          <w:lang w:val="eu-ES" w:eastAsia="vi-VN"/>
        </w:rPr>
        <w:t xml:space="preserve"> 05 thành viên để tạo điều kiện HTX dễ dàng thành lập, bổ sung HTX thành lập vì mục đích </w:t>
      </w:r>
      <w:r w:rsidR="00F36348" w:rsidRPr="00B55668">
        <w:rPr>
          <w:lang w:eastAsia="vi-VN"/>
        </w:rPr>
        <w:t xml:space="preserve">xây dựng cộng đồng các </w:t>
      </w:r>
      <w:r w:rsidR="00F36348">
        <w:rPr>
          <w:lang w:eastAsia="vi-VN"/>
        </w:rPr>
        <w:t>TCKTHT</w:t>
      </w:r>
      <w:r w:rsidR="00F36348" w:rsidRPr="00B55668">
        <w:rPr>
          <w:lang w:eastAsia="vi-VN"/>
        </w:rPr>
        <w:t xml:space="preserve"> ngày một lớn mạnh, bền vững</w:t>
      </w:r>
      <w:r w:rsidR="00F36348">
        <w:rPr>
          <w:lang w:eastAsia="vi-VN"/>
        </w:rPr>
        <w:t>.</w:t>
      </w:r>
      <w:r w:rsidR="00F36348" w:rsidRPr="009059BA">
        <w:rPr>
          <w:rFonts w:eastAsia="Times New Roman"/>
          <w:szCs w:val="28"/>
          <w:lang w:val="eu-ES" w:eastAsia="vi-VN"/>
        </w:rPr>
        <w:t xml:space="preserve"> </w:t>
      </w:r>
      <w:r w:rsidR="00481F72" w:rsidRPr="009059BA">
        <w:rPr>
          <w:rFonts w:eastAsia="Times New Roman"/>
          <w:szCs w:val="28"/>
          <w:lang w:val="eu-ES" w:eastAsia="vi-VN"/>
        </w:rPr>
        <w:t>HTX là thành viên của liên minh HTX ngay sau khi thành lập.</w:t>
      </w:r>
    </w:p>
    <w:p w14:paraId="1C4CEEF7" w14:textId="799D3552" w:rsidR="00481F72" w:rsidRPr="009059BA" w:rsidRDefault="00CF6FB6" w:rsidP="00CF6FB6">
      <w:pPr>
        <w:pStyle w:val="Noidung"/>
        <w:rPr>
          <w:rFonts w:eastAsia="Times New Roman"/>
          <w:szCs w:val="28"/>
          <w:lang w:val="eu-ES" w:eastAsia="vi-VN"/>
        </w:rPr>
      </w:pPr>
      <w:r w:rsidRPr="009059BA">
        <w:rPr>
          <w:rFonts w:eastAsia="Times New Roman"/>
          <w:szCs w:val="28"/>
          <w:lang w:val="eu-ES" w:eastAsia="vi-VN"/>
        </w:rPr>
        <w:lastRenderedPageBreak/>
        <w:t xml:space="preserve">- </w:t>
      </w:r>
      <w:r w:rsidR="00481F72" w:rsidRPr="009059BA">
        <w:rPr>
          <w:rFonts w:eastAsia="Times New Roman"/>
          <w:szCs w:val="28"/>
          <w:lang w:val="eu-ES" w:eastAsia="vi-VN"/>
        </w:rPr>
        <w:t>Về thành viên HTX: thành viên chính thức và thành viên liên kết của HTX là cá nhân, pháp nhân trong đó cá nhân từ 15 tuổi trở lên</w:t>
      </w:r>
      <w:r w:rsidR="00F07EF6" w:rsidRPr="009059BA">
        <w:rPr>
          <w:rStyle w:val="FootnoteReference"/>
          <w:rFonts w:eastAsia="Times New Roman"/>
          <w:szCs w:val="28"/>
          <w:lang w:val="eu-ES" w:eastAsia="vi-VN"/>
        </w:rPr>
        <w:footnoteReference w:id="20"/>
      </w:r>
      <w:r w:rsidR="00481F72" w:rsidRPr="009059BA">
        <w:rPr>
          <w:rFonts w:eastAsia="Times New Roman"/>
          <w:szCs w:val="28"/>
          <w:lang w:val="eu-ES" w:eastAsia="vi-VN"/>
        </w:rPr>
        <w:t xml:space="preserve">, đại diện của </w:t>
      </w:r>
      <w:r w:rsidR="009059BA" w:rsidRPr="009059BA">
        <w:rPr>
          <w:rFonts w:eastAsia="Times New Roman"/>
          <w:szCs w:val="28"/>
          <w:lang w:val="eu-ES" w:eastAsia="vi-VN"/>
        </w:rPr>
        <w:t>THT</w:t>
      </w:r>
      <w:r w:rsidR="00481F72" w:rsidRPr="009059BA">
        <w:rPr>
          <w:rFonts w:eastAsia="Times New Roman"/>
          <w:szCs w:val="28"/>
          <w:lang w:val="eu-ES" w:eastAsia="vi-VN"/>
        </w:rPr>
        <w:t xml:space="preserve">, hộ gia đình và tổ chức không có tư cách pháp nhân khác. </w:t>
      </w:r>
      <w:r w:rsidR="00745E63" w:rsidRPr="009059BA">
        <w:rPr>
          <w:rFonts w:eastAsia="Times New Roman"/>
          <w:szCs w:val="28"/>
          <w:lang w:val="eu-ES" w:eastAsia="vi-VN"/>
        </w:rPr>
        <w:t xml:space="preserve">Bổ sung quy định quyền và nghĩa vụ thành viên liên kết, trong đó quy định thành viên liên kết không được quyền biểu quyết và tham gia hội đồng quản trị. </w:t>
      </w:r>
      <w:r w:rsidR="00562556">
        <w:rPr>
          <w:rFonts w:eastAsia="Times New Roman"/>
          <w:szCs w:val="28"/>
          <w:lang w:val="eu-ES" w:eastAsia="vi-VN"/>
        </w:rPr>
        <w:t>Luật k</w:t>
      </w:r>
      <w:r w:rsidR="00481F72" w:rsidRPr="009059BA">
        <w:rPr>
          <w:rFonts w:eastAsia="Times New Roman"/>
          <w:szCs w:val="28"/>
          <w:lang w:val="eu-ES" w:eastAsia="vi-VN"/>
        </w:rPr>
        <w:t xml:space="preserve">hông quy </w:t>
      </w:r>
      <w:r w:rsidR="00481F72" w:rsidRPr="00CF117E">
        <w:rPr>
          <w:rFonts w:eastAsia="Times New Roman"/>
          <w:szCs w:val="28"/>
          <w:lang w:val="eu-ES" w:eastAsia="vi-VN"/>
        </w:rPr>
        <w:t>định</w:t>
      </w:r>
      <w:r w:rsidR="00481F72" w:rsidRPr="009059BA">
        <w:rPr>
          <w:rFonts w:eastAsia="Times New Roman"/>
          <w:szCs w:val="28"/>
          <w:lang w:val="eu-ES" w:eastAsia="vi-VN"/>
        </w:rPr>
        <w:t xml:space="preserve"> thời gian tối thiểu sử dụng sản phẩm dịch vụ mà Điều lệ HTX quy đ</w:t>
      </w:r>
      <w:r w:rsidR="003B1C80" w:rsidRPr="009059BA">
        <w:rPr>
          <w:rFonts w:eastAsia="Times New Roman"/>
          <w:szCs w:val="28"/>
          <w:lang w:val="eu-ES" w:eastAsia="vi-VN"/>
        </w:rPr>
        <w:t xml:space="preserve">ịnh, </w:t>
      </w:r>
      <w:r w:rsidR="00B12776">
        <w:rPr>
          <w:rFonts w:eastAsia="Times New Roman"/>
          <w:szCs w:val="28"/>
          <w:lang w:val="eu-ES" w:eastAsia="vi-VN"/>
        </w:rPr>
        <w:t xml:space="preserve">việc </w:t>
      </w:r>
      <w:r w:rsidR="003B1C80" w:rsidRPr="009059BA">
        <w:rPr>
          <w:rFonts w:eastAsia="Times New Roman"/>
          <w:szCs w:val="28"/>
          <w:lang w:val="eu-ES" w:eastAsia="vi-VN"/>
        </w:rPr>
        <w:t>chấm dứt tư cách thành viên do Hội đồng quản trị quyết định.</w:t>
      </w:r>
    </w:p>
    <w:p w14:paraId="4E782B1C" w14:textId="77777777" w:rsidR="00481F72" w:rsidRPr="009059BA" w:rsidRDefault="00CF6FB6" w:rsidP="00CF6FB6">
      <w:pPr>
        <w:pStyle w:val="Noidung"/>
        <w:rPr>
          <w:rFonts w:eastAsia="Times New Roman"/>
          <w:szCs w:val="28"/>
          <w:lang w:val="eu-ES" w:eastAsia="vi-VN"/>
        </w:rPr>
      </w:pPr>
      <w:r w:rsidRPr="009059BA">
        <w:rPr>
          <w:rFonts w:eastAsia="Times New Roman"/>
          <w:szCs w:val="28"/>
          <w:lang w:val="eu-ES" w:eastAsia="vi-VN"/>
        </w:rPr>
        <w:t xml:space="preserve">- </w:t>
      </w:r>
      <w:r w:rsidR="00481F72" w:rsidRPr="009059BA">
        <w:rPr>
          <w:rFonts w:eastAsia="Times New Roman"/>
          <w:szCs w:val="28"/>
          <w:lang w:val="eu-ES" w:eastAsia="vi-VN"/>
        </w:rPr>
        <w:t xml:space="preserve">Về góp vốn của thành viên HTX: tăng tỷ lệ vốn góp tối đa của thành viên </w:t>
      </w:r>
      <w:r w:rsidR="00F36348">
        <w:rPr>
          <w:rFonts w:eastAsia="Times New Roman"/>
          <w:szCs w:val="28"/>
          <w:lang w:val="eu-ES" w:eastAsia="vi-VN"/>
        </w:rPr>
        <w:t>từ 20% lên 30% vốn điều lệ; bổ sung quy định</w:t>
      </w:r>
      <w:r w:rsidR="00481F72" w:rsidRPr="009059BA">
        <w:rPr>
          <w:rFonts w:eastAsia="Times New Roman"/>
          <w:szCs w:val="28"/>
          <w:lang w:val="eu-ES" w:eastAsia="vi-VN"/>
        </w:rPr>
        <w:t xml:space="preserve"> thành viên liên kết được phép góp vốn nhưng tổng tất cả</w:t>
      </w:r>
      <w:r w:rsidR="00F36348">
        <w:rPr>
          <w:rFonts w:eastAsia="Times New Roman"/>
          <w:szCs w:val="28"/>
          <w:lang w:val="eu-ES" w:eastAsia="vi-VN"/>
        </w:rPr>
        <w:t xml:space="preserve"> vốn góp của</w:t>
      </w:r>
      <w:r w:rsidR="00481F72" w:rsidRPr="009059BA">
        <w:rPr>
          <w:rFonts w:eastAsia="Times New Roman"/>
          <w:szCs w:val="28"/>
          <w:lang w:val="eu-ES" w:eastAsia="vi-VN"/>
        </w:rPr>
        <w:t xml:space="preserve"> thành viên liên kết có góp vốn không quá 30% vốn điều lệ.</w:t>
      </w:r>
    </w:p>
    <w:p w14:paraId="731A9F8B" w14:textId="55D4814F" w:rsidR="00481F72" w:rsidRPr="009059BA" w:rsidRDefault="00CF6FB6" w:rsidP="00CF6FB6">
      <w:pPr>
        <w:pStyle w:val="Noidung"/>
        <w:rPr>
          <w:rFonts w:eastAsia="Times New Roman"/>
          <w:szCs w:val="28"/>
          <w:lang w:val="eu-ES" w:eastAsia="vi-VN"/>
        </w:rPr>
      </w:pPr>
      <w:r w:rsidRPr="009059BA">
        <w:rPr>
          <w:rFonts w:eastAsia="Times New Roman"/>
          <w:szCs w:val="28"/>
          <w:lang w:val="eu-ES" w:eastAsia="vi-VN"/>
        </w:rPr>
        <w:t xml:space="preserve">- </w:t>
      </w:r>
      <w:r w:rsidR="00481F72" w:rsidRPr="009059BA">
        <w:rPr>
          <w:rFonts w:eastAsia="Times New Roman"/>
          <w:szCs w:val="28"/>
          <w:lang w:val="eu-ES" w:eastAsia="vi-VN"/>
        </w:rPr>
        <w:t>Về cơ cấu tổ chức HTX: HTX</w:t>
      </w:r>
      <w:r w:rsidRPr="009059BA">
        <w:rPr>
          <w:rFonts w:eastAsia="Times New Roman"/>
          <w:szCs w:val="28"/>
          <w:lang w:val="eu-ES" w:eastAsia="vi-VN"/>
        </w:rPr>
        <w:t xml:space="preserve"> quy mô siêu nhỏ</w:t>
      </w:r>
      <w:r w:rsidR="004C4F0E">
        <w:rPr>
          <w:rStyle w:val="FootnoteReference"/>
          <w:rFonts w:eastAsia="Times New Roman"/>
          <w:szCs w:val="28"/>
          <w:lang w:val="eu-ES" w:eastAsia="vi-VN"/>
        </w:rPr>
        <w:footnoteReference w:id="21"/>
      </w:r>
      <w:r w:rsidR="00481F72" w:rsidRPr="009059BA">
        <w:rPr>
          <w:rFonts w:eastAsia="Times New Roman"/>
          <w:szCs w:val="28"/>
          <w:lang w:val="eu-ES" w:eastAsia="vi-VN"/>
        </w:rPr>
        <w:t xml:space="preserve"> được phép </w:t>
      </w:r>
      <w:r w:rsidRPr="009059BA">
        <w:rPr>
          <w:rFonts w:eastAsia="Times New Roman"/>
          <w:szCs w:val="28"/>
          <w:lang w:val="eu-ES" w:eastAsia="vi-VN"/>
        </w:rPr>
        <w:t xml:space="preserve">lựa chọn cơ cấu tổ chức: Đại hội thành viên, Hội đồng quản trị trong đó thành viên trong </w:t>
      </w:r>
      <w:r w:rsidR="005050E9">
        <w:rPr>
          <w:rFonts w:eastAsia="Times New Roman"/>
          <w:szCs w:val="28"/>
          <w:lang w:val="eu-ES" w:eastAsia="vi-VN"/>
        </w:rPr>
        <w:t>H</w:t>
      </w:r>
      <w:r w:rsidRPr="009059BA">
        <w:rPr>
          <w:rFonts w:eastAsia="Times New Roman"/>
          <w:szCs w:val="28"/>
          <w:lang w:val="eu-ES" w:eastAsia="vi-VN"/>
        </w:rPr>
        <w:t>ội đồng quản trị kiêm Giám đốc</w:t>
      </w:r>
      <w:r w:rsidR="005A44C8" w:rsidRPr="009059BA">
        <w:rPr>
          <w:rFonts w:eastAsia="Times New Roman"/>
          <w:szCs w:val="28"/>
          <w:lang w:val="eu-ES" w:eastAsia="vi-VN"/>
        </w:rPr>
        <w:t>, không bắt buộc phải thành lập Ban Kiểm soát hoặc Kiểm soát viên.</w:t>
      </w:r>
    </w:p>
    <w:p w14:paraId="5F67978C" w14:textId="49BA62FA" w:rsidR="00D3136A" w:rsidRPr="009059BA" w:rsidRDefault="00D3136A" w:rsidP="00D3136A">
      <w:pPr>
        <w:pStyle w:val="Noidung"/>
        <w:rPr>
          <w:b/>
          <w:i/>
          <w:lang w:val="it-IT"/>
        </w:rPr>
      </w:pPr>
      <w:r w:rsidRPr="009059BA">
        <w:rPr>
          <w:b/>
          <w:i/>
          <w:lang w:val="it-IT"/>
        </w:rPr>
        <w:t xml:space="preserve">e) </w:t>
      </w:r>
      <w:r w:rsidR="00745E63" w:rsidRPr="009059BA">
        <w:rPr>
          <w:b/>
          <w:i/>
          <w:lang w:val="it-IT"/>
        </w:rPr>
        <w:t xml:space="preserve">Liên hiệp </w:t>
      </w:r>
      <w:r w:rsidR="002E42E2">
        <w:rPr>
          <w:b/>
          <w:i/>
          <w:lang w:val="it-IT"/>
        </w:rPr>
        <w:t>hợp tác xã</w:t>
      </w:r>
    </w:p>
    <w:p w14:paraId="242DC009" w14:textId="610C6765" w:rsidR="003B1C80" w:rsidRPr="009059BA" w:rsidRDefault="003B1C80" w:rsidP="003B1C80">
      <w:pPr>
        <w:pStyle w:val="Noidung"/>
        <w:rPr>
          <w:rFonts w:eastAsia="Times New Roman"/>
          <w:szCs w:val="28"/>
          <w:lang w:val="eu-ES" w:eastAsia="vi-VN"/>
        </w:rPr>
      </w:pPr>
      <w:r w:rsidRPr="009059BA">
        <w:rPr>
          <w:rFonts w:eastAsia="Times New Roman"/>
          <w:szCs w:val="28"/>
          <w:lang w:val="eu-ES" w:eastAsia="vi-VN"/>
        </w:rPr>
        <w:t>Ngoài các quy định chung</w:t>
      </w:r>
      <w:r w:rsidR="001C4C6F" w:rsidRPr="009059BA">
        <w:rPr>
          <w:rFonts w:eastAsia="Times New Roman"/>
          <w:szCs w:val="28"/>
          <w:lang w:val="eu-ES" w:eastAsia="vi-VN"/>
        </w:rPr>
        <w:t xml:space="preserve"> của </w:t>
      </w:r>
      <w:r w:rsidR="00877AED">
        <w:rPr>
          <w:rFonts w:eastAsia="Times New Roman"/>
          <w:szCs w:val="28"/>
          <w:lang w:val="eu-ES" w:eastAsia="vi-VN"/>
        </w:rPr>
        <w:t>TCKTHT</w:t>
      </w:r>
      <w:r w:rsidR="00AC0006">
        <w:rPr>
          <w:rFonts w:eastAsia="Times New Roman"/>
          <w:szCs w:val="28"/>
          <w:lang w:val="eu-ES" w:eastAsia="vi-VN"/>
        </w:rPr>
        <w:t>CTCPN,</w:t>
      </w:r>
      <w:r w:rsidRPr="009059BA">
        <w:rPr>
          <w:rFonts w:eastAsia="Times New Roman"/>
          <w:szCs w:val="28"/>
          <w:lang w:val="eu-ES" w:eastAsia="vi-VN"/>
        </w:rPr>
        <w:t xml:space="preserve"> Chương này quy định riêng một số nội dung đối với liên hiệp HTX:</w:t>
      </w:r>
    </w:p>
    <w:p w14:paraId="0A2CDB82" w14:textId="4CE4A33C" w:rsidR="00D3136A" w:rsidRPr="009059BA" w:rsidRDefault="00D3136A" w:rsidP="00D3136A">
      <w:pPr>
        <w:pStyle w:val="Noidung"/>
        <w:rPr>
          <w:rFonts w:eastAsia="Times New Roman"/>
          <w:szCs w:val="28"/>
          <w:lang w:val="eu-ES" w:eastAsia="vi-VN"/>
        </w:rPr>
      </w:pPr>
      <w:r w:rsidRPr="009059BA">
        <w:rPr>
          <w:rFonts w:eastAsia="Times New Roman"/>
          <w:szCs w:val="28"/>
          <w:lang w:val="eu-ES" w:eastAsia="vi-VN"/>
        </w:rPr>
        <w:t xml:space="preserve">- Về định nghĩa </w:t>
      </w:r>
      <w:r w:rsidR="00745E63" w:rsidRPr="009059BA">
        <w:rPr>
          <w:rFonts w:eastAsia="Times New Roman"/>
          <w:szCs w:val="28"/>
          <w:lang w:val="eu-ES" w:eastAsia="vi-VN"/>
        </w:rPr>
        <w:t xml:space="preserve">liên hiệp </w:t>
      </w:r>
      <w:r w:rsidRPr="009059BA">
        <w:rPr>
          <w:rFonts w:eastAsia="Times New Roman"/>
          <w:szCs w:val="28"/>
          <w:lang w:val="eu-ES" w:eastAsia="vi-VN"/>
        </w:rPr>
        <w:t>HTX: giảm số lượng thành viên tối thiểu thành lập là 0</w:t>
      </w:r>
      <w:r w:rsidR="00745E63" w:rsidRPr="009059BA">
        <w:rPr>
          <w:rFonts w:eastAsia="Times New Roman"/>
          <w:szCs w:val="28"/>
          <w:lang w:val="eu-ES" w:eastAsia="vi-VN"/>
        </w:rPr>
        <w:t>3</w:t>
      </w:r>
      <w:r w:rsidRPr="009059BA">
        <w:rPr>
          <w:rFonts w:eastAsia="Times New Roman"/>
          <w:szCs w:val="28"/>
          <w:lang w:val="eu-ES" w:eastAsia="vi-VN"/>
        </w:rPr>
        <w:t xml:space="preserve"> thành viên để tạo điều kiện</w:t>
      </w:r>
      <w:r w:rsidR="00745E63" w:rsidRPr="009059BA">
        <w:rPr>
          <w:rFonts w:eastAsia="Times New Roman"/>
          <w:szCs w:val="28"/>
          <w:lang w:val="eu-ES" w:eastAsia="vi-VN"/>
        </w:rPr>
        <w:t xml:space="preserve"> </w:t>
      </w:r>
      <w:r w:rsidR="00380000">
        <w:rPr>
          <w:rFonts w:eastAsia="Times New Roman"/>
          <w:szCs w:val="28"/>
          <w:lang w:val="eu-ES" w:eastAsia="vi-VN"/>
        </w:rPr>
        <w:t xml:space="preserve">cho </w:t>
      </w:r>
      <w:r w:rsidR="00745E63" w:rsidRPr="009059BA">
        <w:rPr>
          <w:rFonts w:eastAsia="Times New Roman"/>
          <w:szCs w:val="28"/>
          <w:lang w:val="eu-ES" w:eastAsia="vi-VN"/>
        </w:rPr>
        <w:t>liên hiệp</w:t>
      </w:r>
      <w:r w:rsidRPr="009059BA">
        <w:rPr>
          <w:rFonts w:eastAsia="Times New Roman"/>
          <w:szCs w:val="28"/>
          <w:lang w:val="eu-ES" w:eastAsia="vi-VN"/>
        </w:rPr>
        <w:t xml:space="preserve"> HTX dễ dàng thành lập</w:t>
      </w:r>
      <w:r w:rsidR="00202EDF">
        <w:rPr>
          <w:rFonts w:eastAsia="Times New Roman"/>
          <w:szCs w:val="28"/>
          <w:lang w:val="eu-ES" w:eastAsia="vi-VN"/>
        </w:rPr>
        <w:t>;</w:t>
      </w:r>
      <w:r w:rsidRPr="009059BA">
        <w:rPr>
          <w:rFonts w:eastAsia="Times New Roman"/>
          <w:szCs w:val="28"/>
          <w:lang w:val="eu-ES" w:eastAsia="vi-VN"/>
        </w:rPr>
        <w:t xml:space="preserve"> bổ sung </w:t>
      </w:r>
      <w:r w:rsidR="00745E63" w:rsidRPr="009059BA">
        <w:rPr>
          <w:rFonts w:eastAsia="Times New Roman"/>
          <w:szCs w:val="28"/>
          <w:lang w:val="eu-ES" w:eastAsia="vi-VN"/>
        </w:rPr>
        <w:t xml:space="preserve">liên hiệp </w:t>
      </w:r>
      <w:r w:rsidRPr="009059BA">
        <w:rPr>
          <w:rFonts w:eastAsia="Times New Roman"/>
          <w:szCs w:val="28"/>
          <w:lang w:val="eu-ES" w:eastAsia="vi-VN"/>
        </w:rPr>
        <w:t>HTX thành lập vì</w:t>
      </w:r>
      <w:r w:rsidR="00F36348">
        <w:rPr>
          <w:rFonts w:eastAsia="Times New Roman"/>
          <w:szCs w:val="28"/>
          <w:lang w:val="eu-ES" w:eastAsia="vi-VN"/>
        </w:rPr>
        <w:t xml:space="preserve"> mục tiêu</w:t>
      </w:r>
      <w:r w:rsidR="00F36348" w:rsidRPr="00F36348">
        <w:rPr>
          <w:lang w:eastAsia="vi-VN"/>
        </w:rPr>
        <w:t xml:space="preserve"> </w:t>
      </w:r>
      <w:r w:rsidR="00F36348" w:rsidRPr="00B55668">
        <w:rPr>
          <w:lang w:eastAsia="vi-VN"/>
        </w:rPr>
        <w:t xml:space="preserve">tạo điều kiện thuận lợi cho thành viên mở rộng quy mô sản xuất, kinh doanh, nâng cao năng lực tham gia thị trường và xây dựng cộng đồng các </w:t>
      </w:r>
      <w:r w:rsidR="00202EDF">
        <w:rPr>
          <w:lang w:eastAsia="vi-VN"/>
        </w:rPr>
        <w:t xml:space="preserve">TCKTHT </w:t>
      </w:r>
      <w:r w:rsidR="00F36348" w:rsidRPr="00B55668">
        <w:rPr>
          <w:lang w:eastAsia="vi-VN"/>
        </w:rPr>
        <w:t>ngày một lớn mạnh, bền vững</w:t>
      </w:r>
      <w:r w:rsidRPr="009059BA">
        <w:rPr>
          <w:rFonts w:eastAsia="Times New Roman"/>
          <w:szCs w:val="28"/>
          <w:lang w:val="eu-ES" w:eastAsia="vi-VN"/>
        </w:rPr>
        <w:t xml:space="preserve">. </w:t>
      </w:r>
      <w:r w:rsidR="00745E63" w:rsidRPr="009059BA">
        <w:rPr>
          <w:rFonts w:eastAsia="Times New Roman"/>
          <w:szCs w:val="28"/>
          <w:lang w:val="eu-ES" w:eastAsia="vi-VN"/>
        </w:rPr>
        <w:t xml:space="preserve">Liên hiệp </w:t>
      </w:r>
      <w:r w:rsidRPr="009059BA">
        <w:rPr>
          <w:rFonts w:eastAsia="Times New Roman"/>
          <w:szCs w:val="28"/>
          <w:lang w:val="eu-ES" w:eastAsia="vi-VN"/>
        </w:rPr>
        <w:t>HTX là thành viên của liên minh HTX ngay sau khi thành lập.</w:t>
      </w:r>
    </w:p>
    <w:p w14:paraId="75EDD394" w14:textId="6AE4079E" w:rsidR="00D3136A" w:rsidRPr="009059BA" w:rsidRDefault="00D3136A" w:rsidP="00D3136A">
      <w:pPr>
        <w:pStyle w:val="Noidung"/>
        <w:rPr>
          <w:rFonts w:eastAsia="Times New Roman"/>
          <w:szCs w:val="28"/>
          <w:lang w:val="eu-ES" w:eastAsia="vi-VN"/>
        </w:rPr>
      </w:pPr>
      <w:r w:rsidRPr="009059BA">
        <w:rPr>
          <w:rFonts w:eastAsia="Times New Roman"/>
          <w:szCs w:val="28"/>
          <w:lang w:val="eu-ES" w:eastAsia="vi-VN"/>
        </w:rPr>
        <w:t xml:space="preserve">- Về thành viên </w:t>
      </w:r>
      <w:r w:rsidR="00CB57A4" w:rsidRPr="009059BA">
        <w:rPr>
          <w:rFonts w:eastAsia="Times New Roman"/>
          <w:szCs w:val="28"/>
          <w:lang w:val="eu-ES" w:eastAsia="vi-VN"/>
        </w:rPr>
        <w:t xml:space="preserve">liên hiệp </w:t>
      </w:r>
      <w:r w:rsidRPr="009059BA">
        <w:rPr>
          <w:rFonts w:eastAsia="Times New Roman"/>
          <w:szCs w:val="28"/>
          <w:lang w:val="eu-ES" w:eastAsia="vi-VN"/>
        </w:rPr>
        <w:t xml:space="preserve">HTX: thành viên chính thức </w:t>
      </w:r>
      <w:r w:rsidR="00745E63" w:rsidRPr="009059BA">
        <w:rPr>
          <w:rFonts w:eastAsia="Times New Roman"/>
          <w:szCs w:val="28"/>
          <w:lang w:val="eu-ES" w:eastAsia="vi-VN"/>
        </w:rPr>
        <w:t xml:space="preserve">là HTX, </w:t>
      </w:r>
      <w:r w:rsidRPr="009059BA">
        <w:rPr>
          <w:rFonts w:eastAsia="Times New Roman"/>
          <w:szCs w:val="28"/>
          <w:lang w:val="eu-ES" w:eastAsia="vi-VN"/>
        </w:rPr>
        <w:t xml:space="preserve">thành viên liên kết </w:t>
      </w:r>
      <w:r w:rsidR="00745E63" w:rsidRPr="009059BA">
        <w:rPr>
          <w:rFonts w:eastAsia="Times New Roman"/>
          <w:szCs w:val="28"/>
          <w:lang w:val="eu-ES" w:eastAsia="vi-VN"/>
        </w:rPr>
        <w:t xml:space="preserve">là </w:t>
      </w:r>
      <w:r w:rsidRPr="009059BA">
        <w:rPr>
          <w:rFonts w:eastAsia="Times New Roman"/>
          <w:szCs w:val="28"/>
          <w:lang w:val="eu-ES" w:eastAsia="vi-VN"/>
        </w:rPr>
        <w:t>pháp nhân. Bổ sung quy định quyền và nghĩa vụ thành viên liên kết</w:t>
      </w:r>
      <w:r w:rsidR="003B1C80" w:rsidRPr="009059BA">
        <w:rPr>
          <w:rFonts w:eastAsia="Times New Roman"/>
          <w:szCs w:val="28"/>
          <w:lang w:val="eu-ES" w:eastAsia="vi-VN"/>
        </w:rPr>
        <w:t>.</w:t>
      </w:r>
      <w:r w:rsidR="00745E63" w:rsidRPr="009059BA">
        <w:rPr>
          <w:rFonts w:eastAsia="Times New Roman"/>
          <w:szCs w:val="28"/>
          <w:lang w:val="eu-ES" w:eastAsia="vi-VN"/>
        </w:rPr>
        <w:t xml:space="preserve"> </w:t>
      </w:r>
      <w:r w:rsidR="003B1C80" w:rsidRPr="009059BA">
        <w:rPr>
          <w:rFonts w:eastAsia="Times New Roman"/>
          <w:szCs w:val="28"/>
          <w:lang w:val="eu-ES" w:eastAsia="vi-VN"/>
        </w:rPr>
        <w:t>T</w:t>
      </w:r>
      <w:r w:rsidR="00745E63" w:rsidRPr="009059BA">
        <w:rPr>
          <w:rFonts w:eastAsia="Times New Roman"/>
          <w:szCs w:val="28"/>
          <w:lang w:val="eu-ES" w:eastAsia="vi-VN"/>
        </w:rPr>
        <w:t>rong đó</w:t>
      </w:r>
      <w:r w:rsidR="003B1C80" w:rsidRPr="009059BA">
        <w:rPr>
          <w:rFonts w:eastAsia="Times New Roman"/>
          <w:szCs w:val="28"/>
          <w:lang w:val="eu-ES" w:eastAsia="vi-VN"/>
        </w:rPr>
        <w:t>,</w:t>
      </w:r>
      <w:r w:rsidR="00745E63" w:rsidRPr="009059BA">
        <w:rPr>
          <w:rFonts w:eastAsia="Times New Roman"/>
          <w:szCs w:val="28"/>
          <w:lang w:val="eu-ES" w:eastAsia="vi-VN"/>
        </w:rPr>
        <w:t xml:space="preserve"> thành viên liên kết không được quyền biểu quyết và tham gia </w:t>
      </w:r>
      <w:r w:rsidR="00F36348">
        <w:rPr>
          <w:rFonts w:eastAsia="Times New Roman"/>
          <w:szCs w:val="28"/>
          <w:lang w:val="eu-ES" w:eastAsia="vi-VN"/>
        </w:rPr>
        <w:t>H</w:t>
      </w:r>
      <w:r w:rsidR="00745E63" w:rsidRPr="009059BA">
        <w:rPr>
          <w:rFonts w:eastAsia="Times New Roman"/>
          <w:szCs w:val="28"/>
          <w:lang w:val="eu-ES" w:eastAsia="vi-VN"/>
        </w:rPr>
        <w:t>ội đồng quản trị</w:t>
      </w:r>
      <w:r w:rsidR="00F36348">
        <w:rPr>
          <w:rFonts w:eastAsia="Times New Roman"/>
          <w:szCs w:val="28"/>
          <w:lang w:val="eu-ES" w:eastAsia="vi-VN"/>
        </w:rPr>
        <w:t>;</w:t>
      </w:r>
      <w:r w:rsidR="003B1C80" w:rsidRPr="009059BA">
        <w:rPr>
          <w:rFonts w:eastAsia="Times New Roman"/>
          <w:szCs w:val="28"/>
          <w:lang w:val="eu-ES" w:eastAsia="vi-VN"/>
        </w:rPr>
        <w:t xml:space="preserve"> thành viên chính thức có quyền </w:t>
      </w:r>
      <w:r w:rsidR="00F36348">
        <w:t>biểu quyết tại Đại hội thành viên,</w:t>
      </w:r>
      <w:r w:rsidR="003B1C80" w:rsidRPr="009059BA">
        <w:t xml:space="preserve"> số lượng phiếu biểu quyết</w:t>
      </w:r>
      <w:r w:rsidR="00CB57A4" w:rsidRPr="009059BA">
        <w:t xml:space="preserve"> </w:t>
      </w:r>
      <w:r w:rsidR="003B1C80" w:rsidRPr="009059BA">
        <w:t>tương ứng theo số lượng thành viên chính thức của các HTX thành viên trong liên hiệp HTX do Điều lệ quy định</w:t>
      </w:r>
      <w:r w:rsidRPr="009059BA">
        <w:rPr>
          <w:rFonts w:eastAsia="Times New Roman"/>
          <w:szCs w:val="28"/>
          <w:lang w:val="eu-ES" w:eastAsia="vi-VN"/>
        </w:rPr>
        <w:t xml:space="preserve">. </w:t>
      </w:r>
      <w:r w:rsidR="00F54502">
        <w:rPr>
          <w:rFonts w:eastAsia="Times New Roman"/>
          <w:szCs w:val="28"/>
          <w:lang w:val="eu-ES" w:eastAsia="vi-VN"/>
        </w:rPr>
        <w:t>Luật k</w:t>
      </w:r>
      <w:r w:rsidR="00EC00E0">
        <w:rPr>
          <w:rFonts w:eastAsia="Times New Roman"/>
          <w:szCs w:val="28"/>
          <w:lang w:val="eu-ES" w:eastAsia="vi-VN"/>
        </w:rPr>
        <w:t>hông quy định về</w:t>
      </w:r>
      <w:r w:rsidR="008D283C">
        <w:rPr>
          <w:rFonts w:eastAsia="Times New Roman"/>
          <w:szCs w:val="28"/>
          <w:lang w:val="eu-ES" w:eastAsia="vi-VN"/>
        </w:rPr>
        <w:t xml:space="preserve"> t</w:t>
      </w:r>
      <w:r w:rsidRPr="009059BA">
        <w:rPr>
          <w:rFonts w:eastAsia="Times New Roman"/>
          <w:szCs w:val="28"/>
          <w:lang w:val="eu-ES" w:eastAsia="vi-VN"/>
        </w:rPr>
        <w:t>hời gian tối thiểu sử dụng sản phẩm dịch vụ</w:t>
      </w:r>
      <w:r w:rsidR="00EC00E0">
        <w:rPr>
          <w:rFonts w:eastAsia="Times New Roman"/>
          <w:szCs w:val="28"/>
          <w:lang w:val="eu-ES" w:eastAsia="vi-VN"/>
        </w:rPr>
        <w:t xml:space="preserve">, </w:t>
      </w:r>
      <w:r w:rsidR="00F54502">
        <w:rPr>
          <w:rFonts w:eastAsia="Times New Roman"/>
          <w:szCs w:val="28"/>
          <w:lang w:val="eu-ES" w:eastAsia="vi-VN"/>
        </w:rPr>
        <w:t xml:space="preserve">mà </w:t>
      </w:r>
      <w:r w:rsidRPr="009059BA">
        <w:rPr>
          <w:rFonts w:eastAsia="Times New Roman"/>
          <w:szCs w:val="28"/>
          <w:lang w:val="eu-ES" w:eastAsia="vi-VN"/>
        </w:rPr>
        <w:t xml:space="preserve">Điều lệ </w:t>
      </w:r>
      <w:r w:rsidR="00301302" w:rsidRPr="009059BA">
        <w:rPr>
          <w:rFonts w:eastAsia="Times New Roman"/>
          <w:szCs w:val="28"/>
          <w:lang w:val="eu-ES" w:eastAsia="vi-VN"/>
        </w:rPr>
        <w:t xml:space="preserve">liên hiệp </w:t>
      </w:r>
      <w:r w:rsidRPr="009059BA">
        <w:rPr>
          <w:rFonts w:eastAsia="Times New Roman"/>
          <w:szCs w:val="28"/>
          <w:lang w:val="eu-ES" w:eastAsia="vi-VN"/>
        </w:rPr>
        <w:t xml:space="preserve">HTX </w:t>
      </w:r>
      <w:r w:rsidR="00F36348">
        <w:rPr>
          <w:rFonts w:eastAsia="Times New Roman"/>
          <w:szCs w:val="28"/>
          <w:lang w:val="eu-ES" w:eastAsia="vi-VN"/>
        </w:rPr>
        <w:t xml:space="preserve">tự </w:t>
      </w:r>
      <w:r w:rsidRPr="009059BA">
        <w:rPr>
          <w:rFonts w:eastAsia="Times New Roman"/>
          <w:szCs w:val="28"/>
          <w:lang w:val="eu-ES" w:eastAsia="vi-VN"/>
        </w:rPr>
        <w:t xml:space="preserve">quy định </w:t>
      </w:r>
      <w:r w:rsidR="00F36348">
        <w:rPr>
          <w:rFonts w:eastAsia="Times New Roman"/>
          <w:szCs w:val="28"/>
          <w:lang w:val="eu-ES" w:eastAsia="vi-VN"/>
        </w:rPr>
        <w:t xml:space="preserve">việc </w:t>
      </w:r>
      <w:r w:rsidRPr="009059BA">
        <w:rPr>
          <w:rFonts w:eastAsia="Times New Roman"/>
          <w:szCs w:val="28"/>
          <w:lang w:val="eu-ES" w:eastAsia="vi-VN"/>
        </w:rPr>
        <w:t>chấm dứt tư cách thành viên</w:t>
      </w:r>
      <w:r w:rsidR="00F36348">
        <w:rPr>
          <w:rFonts w:eastAsia="Times New Roman"/>
          <w:szCs w:val="28"/>
          <w:lang w:val="eu-ES" w:eastAsia="vi-VN"/>
        </w:rPr>
        <w:t xml:space="preserve"> và trách nhiệm</w:t>
      </w:r>
      <w:r w:rsidR="003B1C80" w:rsidRPr="009059BA">
        <w:rPr>
          <w:rFonts w:eastAsia="Times New Roman"/>
          <w:szCs w:val="28"/>
          <w:lang w:val="eu-ES" w:eastAsia="vi-VN"/>
        </w:rPr>
        <w:t xml:space="preserve"> </w:t>
      </w:r>
      <w:r w:rsidR="00F36348">
        <w:rPr>
          <w:rFonts w:eastAsia="Times New Roman"/>
          <w:szCs w:val="28"/>
          <w:lang w:val="eu-ES" w:eastAsia="vi-VN"/>
        </w:rPr>
        <w:t xml:space="preserve">thuộc về </w:t>
      </w:r>
      <w:r w:rsidR="003B1C80" w:rsidRPr="009059BA">
        <w:rPr>
          <w:rFonts w:eastAsia="Times New Roman"/>
          <w:szCs w:val="28"/>
          <w:lang w:val="eu-ES" w:eastAsia="vi-VN"/>
        </w:rPr>
        <w:t>Hội đồng quản trị quyết định</w:t>
      </w:r>
      <w:r w:rsidR="00F36348">
        <w:rPr>
          <w:rStyle w:val="FootnoteReference"/>
          <w:rFonts w:eastAsia="Times New Roman"/>
          <w:szCs w:val="28"/>
          <w:lang w:val="eu-ES" w:eastAsia="vi-VN"/>
        </w:rPr>
        <w:footnoteReference w:id="22"/>
      </w:r>
      <w:r w:rsidRPr="009059BA">
        <w:rPr>
          <w:rFonts w:eastAsia="Times New Roman"/>
          <w:szCs w:val="28"/>
          <w:lang w:val="eu-ES" w:eastAsia="vi-VN"/>
        </w:rPr>
        <w:t>.</w:t>
      </w:r>
    </w:p>
    <w:p w14:paraId="3FDACE4D" w14:textId="23A20117" w:rsidR="00D3136A" w:rsidRPr="009059BA" w:rsidRDefault="00D3136A" w:rsidP="00D3136A">
      <w:pPr>
        <w:pStyle w:val="Noidung"/>
        <w:rPr>
          <w:rFonts w:eastAsia="Times New Roman"/>
          <w:szCs w:val="28"/>
          <w:lang w:val="eu-ES" w:eastAsia="vi-VN"/>
        </w:rPr>
      </w:pPr>
      <w:r w:rsidRPr="009059BA">
        <w:rPr>
          <w:rFonts w:eastAsia="Times New Roman"/>
          <w:szCs w:val="28"/>
          <w:lang w:val="eu-ES" w:eastAsia="vi-VN"/>
        </w:rPr>
        <w:t xml:space="preserve">- Về góp vốn của thành viên </w:t>
      </w:r>
      <w:r w:rsidR="00F54502">
        <w:rPr>
          <w:rFonts w:eastAsia="Times New Roman"/>
          <w:szCs w:val="28"/>
          <w:lang w:val="eu-ES" w:eastAsia="vi-VN"/>
        </w:rPr>
        <w:t xml:space="preserve">liên hiệp </w:t>
      </w:r>
      <w:r w:rsidRPr="009059BA">
        <w:rPr>
          <w:rFonts w:eastAsia="Times New Roman"/>
          <w:szCs w:val="28"/>
          <w:lang w:val="eu-ES" w:eastAsia="vi-VN"/>
        </w:rPr>
        <w:t xml:space="preserve">HTX: tăng tỷ lệ vốn góp tối đa của thành viên </w:t>
      </w:r>
      <w:r w:rsidR="00F36348">
        <w:rPr>
          <w:rFonts w:eastAsia="Times New Roman"/>
          <w:szCs w:val="28"/>
          <w:lang w:val="eu-ES" w:eastAsia="vi-VN"/>
        </w:rPr>
        <w:t xml:space="preserve">từ 30% </w:t>
      </w:r>
      <w:r w:rsidRPr="009059BA">
        <w:rPr>
          <w:rFonts w:eastAsia="Times New Roman"/>
          <w:szCs w:val="28"/>
          <w:lang w:val="eu-ES" w:eastAsia="vi-VN"/>
        </w:rPr>
        <w:t xml:space="preserve">lên </w:t>
      </w:r>
      <w:r w:rsidR="00301302" w:rsidRPr="009059BA">
        <w:rPr>
          <w:rFonts w:eastAsia="Times New Roman"/>
          <w:szCs w:val="28"/>
          <w:lang w:val="eu-ES" w:eastAsia="vi-VN"/>
        </w:rPr>
        <w:t>4</w:t>
      </w:r>
      <w:r w:rsidRPr="009059BA">
        <w:rPr>
          <w:rFonts w:eastAsia="Times New Roman"/>
          <w:szCs w:val="28"/>
          <w:lang w:val="eu-ES" w:eastAsia="vi-VN"/>
        </w:rPr>
        <w:t>0% vốn điều lệ.</w:t>
      </w:r>
    </w:p>
    <w:p w14:paraId="48292B6D" w14:textId="63E7CF45" w:rsidR="005A44C8" w:rsidRPr="009059BA" w:rsidRDefault="005A44C8" w:rsidP="005A44C8">
      <w:pPr>
        <w:pStyle w:val="Noidung"/>
        <w:rPr>
          <w:rFonts w:eastAsia="Times New Roman"/>
          <w:szCs w:val="28"/>
          <w:lang w:val="eu-ES" w:eastAsia="vi-VN"/>
        </w:rPr>
      </w:pPr>
      <w:r w:rsidRPr="009059BA">
        <w:rPr>
          <w:rFonts w:eastAsia="Times New Roman"/>
          <w:szCs w:val="28"/>
          <w:lang w:val="eu-ES" w:eastAsia="vi-VN"/>
        </w:rPr>
        <w:t xml:space="preserve">- Về cơ cấu tổ chức liên hiệp HTX: liên hiệp HTX quy mô siêu nhỏ được phép lựa chọn cơ cấu tổ chức: Đại hội thành viên, Hội đồng quản trị trong đó </w:t>
      </w:r>
      <w:r w:rsidRPr="009059BA">
        <w:rPr>
          <w:rFonts w:eastAsia="Times New Roman"/>
          <w:szCs w:val="28"/>
          <w:lang w:val="eu-ES" w:eastAsia="vi-VN"/>
        </w:rPr>
        <w:lastRenderedPageBreak/>
        <w:t xml:space="preserve">thành viên </w:t>
      </w:r>
      <w:r w:rsidR="00E71549">
        <w:rPr>
          <w:rFonts w:eastAsia="Times New Roman"/>
          <w:szCs w:val="28"/>
          <w:lang w:val="eu-ES" w:eastAsia="vi-VN"/>
        </w:rPr>
        <w:t>H</w:t>
      </w:r>
      <w:r w:rsidRPr="009059BA">
        <w:rPr>
          <w:rFonts w:eastAsia="Times New Roman"/>
          <w:szCs w:val="28"/>
          <w:lang w:val="eu-ES" w:eastAsia="vi-VN"/>
        </w:rPr>
        <w:t xml:space="preserve">ội đồng quản trị kiêm Giám </w:t>
      </w:r>
      <w:r w:rsidR="008B5062">
        <w:rPr>
          <w:rFonts w:eastAsia="Times New Roman"/>
          <w:szCs w:val="28"/>
          <w:lang w:val="eu-ES" w:eastAsia="vi-VN"/>
        </w:rPr>
        <w:t>đốc, có thể lựa chọn</w:t>
      </w:r>
      <w:r w:rsidRPr="009059BA">
        <w:rPr>
          <w:rFonts w:eastAsia="Times New Roman"/>
          <w:szCs w:val="28"/>
          <w:lang w:val="eu-ES" w:eastAsia="vi-VN"/>
        </w:rPr>
        <w:t xml:space="preserve"> </w:t>
      </w:r>
      <w:r w:rsidR="00212A9D">
        <w:rPr>
          <w:rFonts w:eastAsia="Times New Roman"/>
          <w:szCs w:val="28"/>
          <w:lang w:val="eu-ES" w:eastAsia="vi-VN"/>
        </w:rPr>
        <w:t xml:space="preserve">thành lập </w:t>
      </w:r>
      <w:r w:rsidRPr="009059BA">
        <w:rPr>
          <w:rFonts w:eastAsia="Times New Roman"/>
          <w:szCs w:val="28"/>
          <w:lang w:val="eu-ES" w:eastAsia="vi-VN"/>
        </w:rPr>
        <w:t>Ban Kiểm soát hoặc Kiểm soát viên.</w:t>
      </w:r>
    </w:p>
    <w:p w14:paraId="6E73CB10" w14:textId="3B347273" w:rsidR="001C4C6F" w:rsidRPr="009059BA" w:rsidRDefault="001C4C6F" w:rsidP="001C4C6F">
      <w:pPr>
        <w:pStyle w:val="Noidung"/>
        <w:rPr>
          <w:b/>
          <w:i/>
          <w:lang w:val="it-IT"/>
        </w:rPr>
      </w:pPr>
      <w:r w:rsidRPr="009059BA">
        <w:rPr>
          <w:b/>
          <w:i/>
          <w:lang w:val="it-IT"/>
        </w:rPr>
        <w:t xml:space="preserve">g) Liên đoàn </w:t>
      </w:r>
      <w:r w:rsidR="002E42E2">
        <w:rPr>
          <w:b/>
          <w:i/>
          <w:lang w:val="it-IT"/>
        </w:rPr>
        <w:t>hợp tác xã</w:t>
      </w:r>
    </w:p>
    <w:p w14:paraId="6B42162D" w14:textId="625685DD" w:rsidR="001C4C6F" w:rsidRPr="009059BA" w:rsidRDefault="001C4C6F" w:rsidP="001C4C6F">
      <w:pPr>
        <w:pStyle w:val="Noidung"/>
        <w:rPr>
          <w:rFonts w:eastAsia="Times New Roman"/>
          <w:szCs w:val="28"/>
          <w:lang w:val="eu-ES" w:eastAsia="vi-VN"/>
        </w:rPr>
      </w:pPr>
      <w:r w:rsidRPr="009059BA">
        <w:rPr>
          <w:rFonts w:eastAsia="Times New Roman"/>
          <w:szCs w:val="28"/>
          <w:lang w:val="eu-ES" w:eastAsia="vi-VN"/>
        </w:rPr>
        <w:t xml:space="preserve">Ngoài các quy định chung của </w:t>
      </w:r>
      <w:r w:rsidR="003B7C88">
        <w:rPr>
          <w:rFonts w:eastAsia="Times New Roman"/>
          <w:szCs w:val="28"/>
          <w:lang w:val="eu-ES" w:eastAsia="vi-VN"/>
        </w:rPr>
        <w:t>TCKTHTCTCPN</w:t>
      </w:r>
      <w:r w:rsidRPr="009059BA">
        <w:rPr>
          <w:rFonts w:eastAsia="Times New Roman"/>
          <w:szCs w:val="28"/>
          <w:lang w:val="eu-ES" w:eastAsia="vi-VN"/>
        </w:rPr>
        <w:t>, Chương này quy định riêng một số nội dung đối với đối tượng liên đoàn HTX:</w:t>
      </w:r>
    </w:p>
    <w:p w14:paraId="6159B5CE" w14:textId="05A3DEB4" w:rsidR="001C4C6F" w:rsidRPr="009059BA" w:rsidRDefault="001C4C6F" w:rsidP="001C4C6F">
      <w:pPr>
        <w:pStyle w:val="Noidung"/>
      </w:pPr>
      <w:r w:rsidRPr="009059BA">
        <w:rPr>
          <w:rFonts w:eastAsia="Times New Roman"/>
          <w:szCs w:val="28"/>
          <w:lang w:val="eu-ES" w:eastAsia="vi-VN"/>
        </w:rPr>
        <w:t xml:space="preserve">- Về định nghĩa liên đoàn HTX: </w:t>
      </w:r>
      <w:r w:rsidR="00064D82">
        <w:rPr>
          <w:color w:val="000000"/>
          <w:szCs w:val="28"/>
          <w:shd w:val="clear" w:color="auto" w:fill="FFFFFF"/>
        </w:rPr>
        <w:t>L</w:t>
      </w:r>
      <w:r w:rsidR="00064D82" w:rsidRPr="00F83A80">
        <w:rPr>
          <w:color w:val="000000"/>
          <w:szCs w:val="28"/>
          <w:shd w:val="clear" w:color="auto" w:fill="FFFFFF"/>
          <w:lang w:val="vi-VN"/>
        </w:rPr>
        <w:t xml:space="preserve">iên đoàn </w:t>
      </w:r>
      <w:r w:rsidR="00064D82">
        <w:rPr>
          <w:color w:val="000000"/>
          <w:szCs w:val="28"/>
          <w:shd w:val="clear" w:color="auto" w:fill="FFFFFF"/>
        </w:rPr>
        <w:t>HTX</w:t>
      </w:r>
      <w:r w:rsidR="00064D82" w:rsidRPr="00F83A80">
        <w:rPr>
          <w:color w:val="000000"/>
          <w:szCs w:val="28"/>
          <w:shd w:val="clear" w:color="auto" w:fill="FFFFFF"/>
          <w:lang w:val="vi-VN"/>
        </w:rPr>
        <w:t xml:space="preserve"> là </w:t>
      </w:r>
      <w:r w:rsidR="00064D82">
        <w:rPr>
          <w:color w:val="000000"/>
          <w:szCs w:val="28"/>
          <w:shd w:val="clear" w:color="auto" w:fill="FFFFFF"/>
        </w:rPr>
        <w:t>TCKTHT</w:t>
      </w:r>
      <w:r w:rsidR="00064D82" w:rsidRPr="00F83A80">
        <w:rPr>
          <w:color w:val="000000"/>
          <w:szCs w:val="28"/>
          <w:shd w:val="clear" w:color="auto" w:fill="FFFFFF"/>
          <w:lang w:val="vi-VN"/>
        </w:rPr>
        <w:t xml:space="preserve"> có quy mô cấp vùng, cấp quốc gia hoạt động trong lĩnh vực, ngành nghề nhất định, do ít nhất 05 liên hiệp </w:t>
      </w:r>
      <w:r w:rsidR="00064D82">
        <w:rPr>
          <w:color w:val="000000"/>
          <w:szCs w:val="28"/>
          <w:shd w:val="clear" w:color="auto" w:fill="FFFFFF"/>
        </w:rPr>
        <w:t>HTX</w:t>
      </w:r>
      <w:r w:rsidR="00064D82" w:rsidRPr="00F83A80">
        <w:rPr>
          <w:color w:val="000000"/>
          <w:szCs w:val="28"/>
          <w:shd w:val="clear" w:color="auto" w:fill="FFFFFF"/>
          <w:lang w:val="vi-VN"/>
        </w:rPr>
        <w:t xml:space="preserve">, </w:t>
      </w:r>
      <w:r w:rsidR="00064D82">
        <w:rPr>
          <w:color w:val="000000"/>
          <w:szCs w:val="28"/>
          <w:shd w:val="clear" w:color="auto" w:fill="FFFFFF"/>
        </w:rPr>
        <w:t>HTX</w:t>
      </w:r>
      <w:r w:rsidR="00064D82" w:rsidRPr="00F83A80">
        <w:rPr>
          <w:color w:val="000000"/>
          <w:szCs w:val="28"/>
          <w:shd w:val="clear" w:color="auto" w:fill="FFFFFF"/>
          <w:lang w:val="vi-VN"/>
        </w:rPr>
        <w:t xml:space="preserve"> tự nguyện thành lập nhằm mở rộng quy mô sản xuất, kinh doanh và năng lực xuất-nhập khẩu sản phẩm, dịch vụ phục vụ nhu cầu thành viên, đồng thời hỗ trợ, bảo vệ quyền, lợi ích hợp pháp cho thành viên của mình</w:t>
      </w:r>
      <w:r w:rsidR="00064D82" w:rsidRPr="004F033A">
        <w:rPr>
          <w:color w:val="000000"/>
          <w:szCs w:val="28"/>
          <w:shd w:val="clear" w:color="auto" w:fill="FFFFFF"/>
        </w:rPr>
        <w:t>.</w:t>
      </w:r>
    </w:p>
    <w:p w14:paraId="49A08A9C" w14:textId="77777777" w:rsidR="00CB57A4" w:rsidRPr="009059BA" w:rsidRDefault="00CB57A4" w:rsidP="001C4C6F">
      <w:pPr>
        <w:pStyle w:val="Noidung"/>
        <w:rPr>
          <w:rFonts w:eastAsia="Times New Roman"/>
          <w:szCs w:val="28"/>
          <w:lang w:val="eu-ES" w:eastAsia="vi-VN"/>
        </w:rPr>
      </w:pPr>
      <w:r w:rsidRPr="009059BA">
        <w:t>- Về thành viên liên đoàn HTX: bao gồm thành viên chính thức là các HTX, liên hiệp HTX và thành viên liên kết là các tổ chức kinh tế có tư cách pháp nhân</w:t>
      </w:r>
      <w:r w:rsidR="005A44C8" w:rsidRPr="009059BA">
        <w:t xml:space="preserve"> hoặc không có tư cách pháp nhân.</w:t>
      </w:r>
    </w:p>
    <w:p w14:paraId="2EF2564B" w14:textId="00DCFF40" w:rsidR="001C4C6F" w:rsidRPr="009059BA" w:rsidRDefault="001C4C6F" w:rsidP="001C4C6F">
      <w:pPr>
        <w:pStyle w:val="Noidung"/>
        <w:rPr>
          <w:rFonts w:eastAsia="Times New Roman"/>
          <w:szCs w:val="28"/>
          <w:lang w:val="eu-ES" w:eastAsia="vi-VN"/>
        </w:rPr>
      </w:pPr>
      <w:r w:rsidRPr="009059BA">
        <w:rPr>
          <w:rFonts w:eastAsia="Times New Roman"/>
          <w:szCs w:val="28"/>
          <w:lang w:val="eu-ES" w:eastAsia="vi-VN"/>
        </w:rPr>
        <w:t xml:space="preserve">- Về quyền và nghĩa vụ của liên đoàn: ngoài các quyền và nghĩa vụ chung của </w:t>
      </w:r>
      <w:r w:rsidR="001F61F6">
        <w:rPr>
          <w:rFonts w:eastAsia="Times New Roman"/>
          <w:szCs w:val="28"/>
          <w:lang w:val="eu-ES" w:eastAsia="vi-VN"/>
        </w:rPr>
        <w:t>TCKTHTCTCPN</w:t>
      </w:r>
      <w:r w:rsidRPr="009059BA">
        <w:rPr>
          <w:rFonts w:eastAsia="Times New Roman"/>
          <w:szCs w:val="28"/>
          <w:lang w:val="eu-ES" w:eastAsia="vi-VN"/>
        </w:rPr>
        <w:t xml:space="preserve"> thì liên đoàn còn được quy định bổ sung quyền và nghĩa vụ của tổ chức đại diện</w:t>
      </w:r>
      <w:r w:rsidR="00232528">
        <w:rPr>
          <w:rFonts w:eastAsia="Times New Roman"/>
          <w:szCs w:val="28"/>
          <w:lang w:val="eu-ES" w:eastAsia="vi-VN"/>
        </w:rPr>
        <w:t xml:space="preserve"> cho thành viên của mình</w:t>
      </w:r>
      <w:r w:rsidRPr="009059BA">
        <w:rPr>
          <w:rFonts w:eastAsia="Times New Roman"/>
          <w:szCs w:val="28"/>
          <w:lang w:val="eu-ES" w:eastAsia="vi-VN"/>
        </w:rPr>
        <w:t>.</w:t>
      </w:r>
    </w:p>
    <w:p w14:paraId="21E549FF" w14:textId="77777777" w:rsidR="001C4C6F" w:rsidRPr="003B1418" w:rsidRDefault="001C4C6F" w:rsidP="001C4C6F">
      <w:pPr>
        <w:pStyle w:val="Noidung"/>
        <w:rPr>
          <w:spacing w:val="-6"/>
        </w:rPr>
      </w:pPr>
      <w:r w:rsidRPr="003B1418">
        <w:rPr>
          <w:rFonts w:eastAsia="Times New Roman"/>
          <w:spacing w:val="-6"/>
          <w:szCs w:val="28"/>
          <w:lang w:val="eu-ES" w:eastAsia="vi-VN"/>
        </w:rPr>
        <w:t xml:space="preserve">- </w:t>
      </w:r>
      <w:r w:rsidRPr="003B1418">
        <w:rPr>
          <w:spacing w:val="-6"/>
        </w:rPr>
        <w:t>Chính phủ quy định chi tiết về quyền, nghĩa vụ thành viên của liên đoàn HTX.</w:t>
      </w:r>
    </w:p>
    <w:p w14:paraId="745491CD" w14:textId="08B9DBA4" w:rsidR="001C4C6F" w:rsidRPr="002E42E2" w:rsidRDefault="00943D7C" w:rsidP="001C4C6F">
      <w:pPr>
        <w:pStyle w:val="Noidung"/>
        <w:rPr>
          <w:rFonts w:ascii="Times New Roman Bold" w:hAnsi="Times New Roman Bold"/>
          <w:b/>
          <w:i/>
          <w:spacing w:val="-8"/>
          <w:lang w:val="it-IT"/>
        </w:rPr>
      </w:pPr>
      <w:r w:rsidRPr="002E42E2">
        <w:rPr>
          <w:rFonts w:ascii="Times New Roman Bold" w:hAnsi="Times New Roman Bold"/>
          <w:b/>
          <w:i/>
          <w:spacing w:val="-8"/>
          <w:lang w:val="it-IT"/>
        </w:rPr>
        <w:t>h</w:t>
      </w:r>
      <w:r w:rsidR="001C4C6F" w:rsidRPr="002E42E2">
        <w:rPr>
          <w:rFonts w:ascii="Times New Roman Bold" w:hAnsi="Times New Roman Bold"/>
          <w:b/>
          <w:i/>
          <w:spacing w:val="-8"/>
          <w:lang w:val="it-IT"/>
        </w:rPr>
        <w:t xml:space="preserve">) Tổ chức lại, giải thể, phá sản </w:t>
      </w:r>
      <w:r w:rsidR="002E42E2" w:rsidRPr="002E42E2">
        <w:rPr>
          <w:rFonts w:ascii="Times New Roman Bold" w:hAnsi="Times New Roman Bold"/>
          <w:b/>
          <w:i/>
          <w:spacing w:val="-8"/>
          <w:lang w:val="it-IT"/>
        </w:rPr>
        <w:t>tổ chức kinh tế hợp tác có tư cách pháp nhân</w:t>
      </w:r>
    </w:p>
    <w:p w14:paraId="6B6A6154" w14:textId="2DCF4958" w:rsidR="001C4C6F" w:rsidRPr="009059BA" w:rsidRDefault="001C4C6F" w:rsidP="001C4C6F">
      <w:pPr>
        <w:pStyle w:val="Noidung"/>
      </w:pPr>
      <w:r w:rsidRPr="009059BA">
        <w:rPr>
          <w:rFonts w:eastAsia="Times New Roman"/>
          <w:szCs w:val="28"/>
          <w:lang w:val="eu-ES" w:eastAsia="vi-VN"/>
        </w:rPr>
        <w:t xml:space="preserve">- Quy định chi tiết về </w:t>
      </w:r>
      <w:r w:rsidR="004C4F0E">
        <w:rPr>
          <w:rFonts w:eastAsia="Times New Roman"/>
          <w:szCs w:val="28"/>
          <w:lang w:val="eu-ES" w:eastAsia="vi-VN"/>
        </w:rPr>
        <w:t xml:space="preserve">tổ chức lại </w:t>
      </w:r>
      <w:r w:rsidR="004C4F0E">
        <w:t>TCKTHTCTCPN</w:t>
      </w:r>
      <w:r w:rsidR="004C4F0E">
        <w:rPr>
          <w:rFonts w:eastAsia="Times New Roman"/>
          <w:szCs w:val="28"/>
          <w:lang w:val="eu-ES" w:eastAsia="vi-VN"/>
        </w:rPr>
        <w:t xml:space="preserve"> bao gồm </w:t>
      </w:r>
      <w:r w:rsidRPr="009059BA">
        <w:rPr>
          <w:rFonts w:eastAsia="Times New Roman"/>
          <w:szCs w:val="28"/>
          <w:lang w:val="eu-ES" w:eastAsia="vi-VN"/>
        </w:rPr>
        <w:t xml:space="preserve">chia, tách, hợp nhất, sáp nhập theo hướng </w:t>
      </w:r>
      <w:r w:rsidR="00195136" w:rsidRPr="009059BA">
        <w:rPr>
          <w:rFonts w:eastAsia="Times New Roman"/>
          <w:szCs w:val="28"/>
          <w:lang w:val="eu-ES" w:eastAsia="vi-VN"/>
        </w:rPr>
        <w:t xml:space="preserve">chặt chẽ </w:t>
      </w:r>
      <w:r w:rsidR="00DE0D11">
        <w:rPr>
          <w:rFonts w:eastAsia="Times New Roman"/>
          <w:szCs w:val="28"/>
          <w:lang w:val="eu-ES" w:eastAsia="vi-VN"/>
        </w:rPr>
        <w:t>hơn</w:t>
      </w:r>
      <w:r w:rsidRPr="009059BA">
        <w:t>.</w:t>
      </w:r>
    </w:p>
    <w:p w14:paraId="6B24B718" w14:textId="4D0AD334" w:rsidR="00195136" w:rsidRPr="009059BA" w:rsidRDefault="00195136" w:rsidP="001C4C6F">
      <w:pPr>
        <w:pStyle w:val="Noidung"/>
      </w:pPr>
      <w:r w:rsidRPr="009059BA">
        <w:t xml:space="preserve">- Về giải thể tự nguyện </w:t>
      </w:r>
      <w:r w:rsidR="00877AED">
        <w:t>T</w:t>
      </w:r>
      <w:r w:rsidR="00B127A7">
        <w:t>CKT</w:t>
      </w:r>
      <w:r w:rsidR="00CF117E">
        <w:t>HT</w:t>
      </w:r>
      <w:r w:rsidR="00B127A7">
        <w:t>CTCPN:</w:t>
      </w:r>
      <w:r w:rsidRPr="009059BA">
        <w:t xml:space="preserve"> </w:t>
      </w:r>
      <w:r w:rsidR="00717322" w:rsidRPr="009059BA">
        <w:t>Bỏ</w:t>
      </w:r>
      <w:r w:rsidRPr="009059BA">
        <w:t xml:space="preserve"> quy định bắt buộc thành lập hội đồng giải thể</w:t>
      </w:r>
      <w:r w:rsidR="00717322" w:rsidRPr="009059BA">
        <w:t xml:space="preserve">, </w:t>
      </w:r>
      <w:r w:rsidR="00DE0D11">
        <w:t xml:space="preserve">thay vào đó </w:t>
      </w:r>
      <w:r w:rsidR="00717322" w:rsidRPr="009059BA">
        <w:t>H</w:t>
      </w:r>
      <w:r w:rsidRPr="009059BA">
        <w:t>ội đồng quản trị</w:t>
      </w:r>
      <w:r w:rsidR="00717322" w:rsidRPr="009059BA">
        <w:t xml:space="preserve"> </w:t>
      </w:r>
      <w:r w:rsidR="00EB29FF">
        <w:t>TCKTHTCTCPN</w:t>
      </w:r>
      <w:r w:rsidRPr="009059BA">
        <w:t xml:space="preserve"> </w:t>
      </w:r>
      <w:r w:rsidR="00717322" w:rsidRPr="009059BA">
        <w:t>trực tiếp, chịu trách nhiệm chính trong việc</w:t>
      </w:r>
      <w:r w:rsidRPr="009059BA">
        <w:t xml:space="preserve"> tổ chức thực hiện</w:t>
      </w:r>
      <w:r w:rsidR="00717322" w:rsidRPr="009059BA">
        <w:t xml:space="preserve"> giải thể sau khi có nghị quyết của Đại hội thành viên</w:t>
      </w:r>
      <w:r w:rsidRPr="009059BA">
        <w:t xml:space="preserve">; </w:t>
      </w:r>
      <w:r w:rsidR="000154E2">
        <w:t>s</w:t>
      </w:r>
      <w:r w:rsidRPr="009059BA">
        <w:t xml:space="preserve">ửa đổi đăng tải thông tin về việc giải thể lên cổng thông tin đăng ký </w:t>
      </w:r>
      <w:r w:rsidR="005A44C8" w:rsidRPr="009059BA">
        <w:t>TCKTHT</w:t>
      </w:r>
      <w:r w:rsidR="00905FC3" w:rsidRPr="009059BA">
        <w:t xml:space="preserve">, bỏ quy định </w:t>
      </w:r>
      <w:r w:rsidR="00BA611B">
        <w:t xml:space="preserve">bắt buộc </w:t>
      </w:r>
      <w:r w:rsidR="00905FC3" w:rsidRPr="009059BA">
        <w:t>đăng báo địa phương 03 số liên tiếp</w:t>
      </w:r>
      <w:r w:rsidRPr="009059BA">
        <w:t>.</w:t>
      </w:r>
    </w:p>
    <w:p w14:paraId="7A90FCFD" w14:textId="76FF2087" w:rsidR="00195136" w:rsidRPr="009059BA" w:rsidRDefault="00195136" w:rsidP="001C4C6F">
      <w:pPr>
        <w:pStyle w:val="Noidung"/>
      </w:pPr>
      <w:r w:rsidRPr="009059BA">
        <w:t xml:space="preserve">- Về giải thể bắt buộc </w:t>
      </w:r>
      <w:r w:rsidR="00B127A7">
        <w:t>TCKTHTCTCPN:</w:t>
      </w:r>
      <w:r w:rsidRPr="009059BA">
        <w:t xml:space="preserve"> </w:t>
      </w:r>
      <w:r w:rsidR="00905FC3" w:rsidRPr="009059BA">
        <w:t>Bỏ</w:t>
      </w:r>
      <w:r w:rsidRPr="009059BA">
        <w:t xml:space="preserve"> quy định thành lập hội đồng giải thể</w:t>
      </w:r>
      <w:r w:rsidR="00905FC3" w:rsidRPr="009059BA">
        <w:t>.</w:t>
      </w:r>
      <w:r w:rsidR="00717322" w:rsidRPr="009059BA">
        <w:t xml:space="preserve"> Cơ quan đăng ký TCKTHT ra quyết định thu hồi Giấy chứng nhận đăng ký TCKTHT</w:t>
      </w:r>
      <w:r w:rsidR="00F03D77" w:rsidRPr="009059BA">
        <w:t xml:space="preserve"> </w:t>
      </w:r>
      <w:r w:rsidR="00905FC3" w:rsidRPr="009059BA">
        <w:t xml:space="preserve">và đăng tải thông tin giải thể lên Cổng thông tin quốc gia về đăng ký TCKTHT trong thời gian 180 ngày trước khi xóa tên đăng ký. Trong thời gian đó, Hội đồng quản trị của </w:t>
      </w:r>
      <w:r w:rsidR="00CE074B">
        <w:t>TCKTHTCTCPN</w:t>
      </w:r>
      <w:r w:rsidR="00905FC3" w:rsidRPr="009059BA">
        <w:t xml:space="preserve"> phải có trách nhiệm phối hợp với cơ quan chức năng thực hiện giải thể, chịu trách nhiệm trước pháp luật nếu không thực hiện đúng quy định. Chính phủ quy định chi tiết đối với các trường hợp HTX, liên hiệp HTX vướng mắc giải thể trước đây.</w:t>
      </w:r>
    </w:p>
    <w:p w14:paraId="27467E0F" w14:textId="2E47FE5A" w:rsidR="00943D7C" w:rsidRPr="009059BA" w:rsidRDefault="00943D7C" w:rsidP="001C4C6F">
      <w:pPr>
        <w:pStyle w:val="Noidung"/>
      </w:pPr>
      <w:r w:rsidRPr="009059BA">
        <w:t xml:space="preserve">- Bổ sung các hoạt động bị cấm kể từ khi có quyết định giải thể </w:t>
      </w:r>
      <w:r w:rsidR="003D5B2E">
        <w:t>TCKTHTCTCPN</w:t>
      </w:r>
      <w:r w:rsidRPr="009059BA">
        <w:t xml:space="preserve"> như cất giấu, tẩu tán tài sản…; Sửa đổi các trường hợp thu hồi giấy chứng nhận đăng ký </w:t>
      </w:r>
      <w:r w:rsidR="003D5B2E">
        <w:t>TCKTHTCTCPN</w:t>
      </w:r>
      <w:r w:rsidRPr="009059BA">
        <w:t xml:space="preserve">. </w:t>
      </w:r>
    </w:p>
    <w:p w14:paraId="565EBA93" w14:textId="646BDEF4" w:rsidR="00943D7C" w:rsidRPr="009059BA" w:rsidRDefault="00943D7C" w:rsidP="001C4C6F">
      <w:pPr>
        <w:pStyle w:val="Noidung"/>
        <w:rPr>
          <w:b/>
          <w:i/>
          <w:lang w:val="it-IT"/>
        </w:rPr>
      </w:pPr>
      <w:r w:rsidRPr="009059BA">
        <w:rPr>
          <w:b/>
          <w:i/>
          <w:lang w:val="it-IT"/>
        </w:rPr>
        <w:lastRenderedPageBreak/>
        <w:t xml:space="preserve">i) Kiểm toán </w:t>
      </w:r>
      <w:r w:rsidR="002E42E2" w:rsidRPr="002E42E2">
        <w:rPr>
          <w:b/>
          <w:i/>
          <w:lang w:val="it-IT"/>
        </w:rPr>
        <w:t>tổ chức kinh tế hợp tác có tư cách pháp nhân</w:t>
      </w:r>
    </w:p>
    <w:p w14:paraId="0B286AEE" w14:textId="53F445F9" w:rsidR="00943D7C" w:rsidRPr="003B1418" w:rsidRDefault="00943D7C" w:rsidP="00907272">
      <w:pPr>
        <w:shd w:val="clear" w:color="auto" w:fill="FFFFFF"/>
        <w:tabs>
          <w:tab w:val="left" w:pos="851"/>
        </w:tabs>
        <w:spacing w:before="120" w:after="120" w:line="240" w:lineRule="auto"/>
        <w:ind w:firstLine="720"/>
        <w:jc w:val="both"/>
        <w:rPr>
          <w:rFonts w:ascii="Times New Roman" w:eastAsia="Times New Roman" w:hAnsi="Times New Roman" w:cs="Times New Roman"/>
          <w:spacing w:val="-6"/>
          <w:sz w:val="28"/>
          <w:szCs w:val="28"/>
          <w:lang w:val="eu-ES"/>
        </w:rPr>
      </w:pPr>
      <w:r w:rsidRPr="003B1418">
        <w:rPr>
          <w:rFonts w:ascii="Times New Roman" w:eastAsia="Times New Roman" w:hAnsi="Times New Roman" w:cs="Times New Roman"/>
          <w:spacing w:val="-6"/>
          <w:sz w:val="28"/>
          <w:szCs w:val="28"/>
          <w:lang w:val="eu-ES"/>
        </w:rPr>
        <w:t xml:space="preserve">Bổ sung Chương về kiểm toán </w:t>
      </w:r>
      <w:r w:rsidR="003D5B2E" w:rsidRPr="003B1418">
        <w:rPr>
          <w:rFonts w:ascii="Times New Roman" w:eastAsia="Times New Roman" w:hAnsi="Times New Roman" w:cs="Times New Roman"/>
          <w:spacing w:val="-6"/>
          <w:sz w:val="28"/>
          <w:szCs w:val="28"/>
          <w:lang w:val="eu-ES"/>
        </w:rPr>
        <w:t>TCKTHTCTCPN</w:t>
      </w:r>
      <w:r w:rsidR="00A801AD" w:rsidRPr="003B1418">
        <w:rPr>
          <w:rFonts w:ascii="Times New Roman" w:eastAsia="Times New Roman" w:hAnsi="Times New Roman" w:cs="Times New Roman"/>
          <w:spacing w:val="-6"/>
          <w:sz w:val="28"/>
          <w:szCs w:val="28"/>
          <w:lang w:val="eu-ES"/>
        </w:rPr>
        <w:t xml:space="preserve">, </w:t>
      </w:r>
      <w:r w:rsidRPr="003B1418">
        <w:rPr>
          <w:rFonts w:ascii="Times New Roman" w:eastAsia="Times New Roman" w:hAnsi="Times New Roman" w:cs="Times New Roman"/>
          <w:spacing w:val="-6"/>
          <w:sz w:val="28"/>
          <w:szCs w:val="28"/>
          <w:lang w:val="eu-ES"/>
        </w:rPr>
        <w:t xml:space="preserve">trong đó quy định những nội dung kiểm toán đặc thù đối với </w:t>
      </w:r>
      <w:r w:rsidR="00A801AD" w:rsidRPr="003B1418">
        <w:rPr>
          <w:rFonts w:ascii="Times New Roman" w:eastAsia="Times New Roman" w:hAnsi="Times New Roman" w:cs="Times New Roman"/>
          <w:spacing w:val="-6"/>
          <w:sz w:val="28"/>
          <w:szCs w:val="28"/>
          <w:lang w:val="eu-ES"/>
        </w:rPr>
        <w:t>TCKTHTCTCPN</w:t>
      </w:r>
      <w:r w:rsidRPr="003B1418">
        <w:rPr>
          <w:rFonts w:ascii="Times New Roman" w:eastAsia="Times New Roman" w:hAnsi="Times New Roman" w:cs="Times New Roman"/>
          <w:spacing w:val="-6"/>
          <w:sz w:val="28"/>
          <w:szCs w:val="28"/>
          <w:lang w:val="eu-ES"/>
        </w:rPr>
        <w:t xml:space="preserve"> so với luật kiểm toán hiện hành:</w:t>
      </w:r>
    </w:p>
    <w:p w14:paraId="289AD18D" w14:textId="2985DC3F" w:rsidR="00907272" w:rsidRPr="009059BA" w:rsidRDefault="00943D7C" w:rsidP="00907272">
      <w:pPr>
        <w:shd w:val="clear" w:color="auto" w:fill="FFFFFF"/>
        <w:tabs>
          <w:tab w:val="left" w:pos="851"/>
        </w:tabs>
        <w:spacing w:before="120" w:after="120" w:line="240" w:lineRule="auto"/>
        <w:ind w:firstLine="720"/>
        <w:jc w:val="both"/>
        <w:rPr>
          <w:rFonts w:ascii="Times New Roman" w:eastAsia="Times New Roman" w:hAnsi="Times New Roman" w:cs="Times New Roman"/>
          <w:sz w:val="28"/>
          <w:szCs w:val="28"/>
          <w:lang w:val="eu-ES"/>
        </w:rPr>
      </w:pPr>
      <w:r w:rsidRPr="009059BA">
        <w:rPr>
          <w:rFonts w:ascii="Times New Roman" w:eastAsia="Times New Roman" w:hAnsi="Times New Roman" w:cs="Times New Roman"/>
          <w:sz w:val="28"/>
          <w:szCs w:val="28"/>
          <w:lang w:val="eu-ES"/>
        </w:rPr>
        <w:t xml:space="preserve">- Về đối tượng phải kiểm toán: Bổ sung quy định các đối tượng bắt buộc phải kiểm toán như: HTX, liên hiệp </w:t>
      </w:r>
      <w:r w:rsidR="00BA611B">
        <w:rPr>
          <w:rFonts w:ascii="Times New Roman" w:eastAsia="Times New Roman" w:hAnsi="Times New Roman" w:cs="Times New Roman"/>
          <w:sz w:val="28"/>
          <w:szCs w:val="28"/>
          <w:lang w:val="eu-ES"/>
        </w:rPr>
        <w:t xml:space="preserve">HTX </w:t>
      </w:r>
      <w:r w:rsidRPr="009059BA">
        <w:rPr>
          <w:rFonts w:ascii="Times New Roman" w:eastAsia="Times New Roman" w:hAnsi="Times New Roman" w:cs="Times New Roman"/>
          <w:sz w:val="28"/>
          <w:szCs w:val="28"/>
          <w:lang w:val="eu-ES"/>
        </w:rPr>
        <w:t>có quy mô vừa, lớn</w:t>
      </w:r>
      <w:r w:rsidR="00BA611B">
        <w:rPr>
          <w:rFonts w:ascii="Times New Roman" w:eastAsia="Times New Roman" w:hAnsi="Times New Roman" w:cs="Times New Roman"/>
          <w:sz w:val="28"/>
          <w:szCs w:val="28"/>
          <w:lang w:val="eu-ES"/>
        </w:rPr>
        <w:t xml:space="preserve"> và</w:t>
      </w:r>
      <w:r w:rsidRPr="009059BA">
        <w:rPr>
          <w:rFonts w:ascii="Times New Roman" w:eastAsia="Times New Roman" w:hAnsi="Times New Roman" w:cs="Times New Roman"/>
          <w:sz w:val="28"/>
          <w:szCs w:val="28"/>
          <w:lang w:val="eu-ES"/>
        </w:rPr>
        <w:t xml:space="preserve"> liên đoàn HTX; </w:t>
      </w:r>
      <w:r w:rsidR="00BA611B">
        <w:rPr>
          <w:rFonts w:ascii="Times New Roman" w:eastAsia="Times New Roman" w:hAnsi="Times New Roman" w:cs="Times New Roman"/>
          <w:sz w:val="28"/>
          <w:szCs w:val="28"/>
          <w:lang w:val="eu-ES"/>
        </w:rPr>
        <w:t xml:space="preserve">các </w:t>
      </w:r>
      <w:r w:rsidR="00A801AD">
        <w:rPr>
          <w:rFonts w:ascii="Times New Roman" w:eastAsia="Times New Roman" w:hAnsi="Times New Roman" w:cs="Times New Roman"/>
          <w:sz w:val="28"/>
          <w:szCs w:val="28"/>
          <w:lang w:val="eu-ES"/>
        </w:rPr>
        <w:t>TCKTHTCTCPN</w:t>
      </w:r>
      <w:r w:rsidR="00BA611B">
        <w:rPr>
          <w:rFonts w:ascii="Times New Roman" w:eastAsia="Times New Roman" w:hAnsi="Times New Roman" w:cs="Times New Roman"/>
          <w:sz w:val="28"/>
          <w:szCs w:val="28"/>
          <w:lang w:val="eu-ES"/>
        </w:rPr>
        <w:t xml:space="preserve"> </w:t>
      </w:r>
      <w:r w:rsidRPr="009059BA">
        <w:rPr>
          <w:rFonts w:ascii="Times New Roman" w:eastAsia="Times New Roman" w:hAnsi="Times New Roman" w:cs="Times New Roman"/>
          <w:sz w:val="28"/>
          <w:szCs w:val="28"/>
          <w:lang w:val="eu-ES"/>
        </w:rPr>
        <w:t>hoạt động tín dụng nội bộ...</w:t>
      </w:r>
    </w:p>
    <w:p w14:paraId="5665E4B0" w14:textId="5C690CDF" w:rsidR="00943D7C" w:rsidRPr="009059BA" w:rsidRDefault="00943D7C" w:rsidP="00907272">
      <w:pPr>
        <w:shd w:val="clear" w:color="auto" w:fill="FFFFFF"/>
        <w:tabs>
          <w:tab w:val="left" w:pos="851"/>
        </w:tabs>
        <w:spacing w:before="120" w:after="120" w:line="240" w:lineRule="auto"/>
        <w:ind w:firstLine="720"/>
        <w:jc w:val="both"/>
        <w:rPr>
          <w:rFonts w:ascii="Times New Roman" w:eastAsia="Times New Roman" w:hAnsi="Times New Roman" w:cs="Times New Roman"/>
          <w:sz w:val="28"/>
          <w:szCs w:val="28"/>
          <w:lang w:val="eu-ES"/>
        </w:rPr>
      </w:pPr>
      <w:r w:rsidRPr="009059BA">
        <w:rPr>
          <w:rFonts w:ascii="Times New Roman" w:eastAsia="Times New Roman" w:hAnsi="Times New Roman" w:cs="Times New Roman"/>
          <w:sz w:val="28"/>
          <w:szCs w:val="28"/>
          <w:lang w:val="eu-ES"/>
        </w:rPr>
        <w:t xml:space="preserve">- Về nội dung kiểm toán </w:t>
      </w:r>
      <w:r w:rsidR="00A801AD">
        <w:rPr>
          <w:rFonts w:ascii="Times New Roman" w:eastAsia="Times New Roman" w:hAnsi="Times New Roman" w:cs="Times New Roman"/>
          <w:sz w:val="28"/>
          <w:szCs w:val="28"/>
          <w:lang w:val="eu-ES"/>
        </w:rPr>
        <w:t>TCKTHTCTCPN</w:t>
      </w:r>
      <w:r w:rsidRPr="009059BA">
        <w:rPr>
          <w:rFonts w:ascii="Times New Roman" w:eastAsia="Times New Roman" w:hAnsi="Times New Roman" w:cs="Times New Roman"/>
          <w:sz w:val="28"/>
          <w:szCs w:val="28"/>
          <w:lang w:val="eu-ES"/>
        </w:rPr>
        <w:t xml:space="preserve">: theo quy định, chuẩn mực kiểm toán hiện hành như doanh nghiệp; kiểm toán nội bộ </w:t>
      </w:r>
      <w:r w:rsidR="00277D9A">
        <w:rPr>
          <w:rFonts w:ascii="Times New Roman" w:eastAsia="Times New Roman" w:hAnsi="Times New Roman" w:cs="Times New Roman"/>
          <w:sz w:val="28"/>
          <w:szCs w:val="28"/>
          <w:lang w:val="eu-ES"/>
        </w:rPr>
        <w:t xml:space="preserve">TCKTHTCTCPN </w:t>
      </w:r>
      <w:r w:rsidRPr="009059BA">
        <w:rPr>
          <w:rFonts w:ascii="Times New Roman" w:eastAsia="Times New Roman" w:hAnsi="Times New Roman" w:cs="Times New Roman"/>
          <w:sz w:val="28"/>
          <w:szCs w:val="28"/>
          <w:lang w:val="eu-ES"/>
        </w:rPr>
        <w:t>được Nhà nước khuyến khích thực hiện cho mọi đối tượng; các đối tượng bắt buộc phải kiểm toán</w:t>
      </w:r>
      <w:r w:rsidR="00BA611B">
        <w:rPr>
          <w:rFonts w:ascii="Times New Roman" w:eastAsia="Times New Roman" w:hAnsi="Times New Roman" w:cs="Times New Roman"/>
          <w:sz w:val="28"/>
          <w:szCs w:val="28"/>
          <w:lang w:val="eu-ES"/>
        </w:rPr>
        <w:t xml:space="preserve"> của Luật này</w:t>
      </w:r>
      <w:r w:rsidRPr="009059BA">
        <w:rPr>
          <w:rFonts w:ascii="Times New Roman" w:eastAsia="Times New Roman" w:hAnsi="Times New Roman" w:cs="Times New Roman"/>
          <w:sz w:val="28"/>
          <w:szCs w:val="28"/>
          <w:lang w:val="eu-ES"/>
        </w:rPr>
        <w:t xml:space="preserve"> được Nhà nước hỗ trợ</w:t>
      </w:r>
      <w:r w:rsidR="00BA611B">
        <w:rPr>
          <w:rFonts w:ascii="Times New Roman" w:eastAsia="Times New Roman" w:hAnsi="Times New Roman" w:cs="Times New Roman"/>
          <w:sz w:val="28"/>
          <w:szCs w:val="28"/>
          <w:lang w:val="eu-ES"/>
        </w:rPr>
        <w:t xml:space="preserve"> trong một khoảng thời gian nhất định</w:t>
      </w:r>
      <w:r w:rsidRPr="009059BA">
        <w:rPr>
          <w:rFonts w:ascii="Times New Roman" w:eastAsia="Times New Roman" w:hAnsi="Times New Roman" w:cs="Times New Roman"/>
          <w:sz w:val="28"/>
          <w:szCs w:val="28"/>
          <w:lang w:val="eu-ES"/>
        </w:rPr>
        <w:t>.</w:t>
      </w:r>
    </w:p>
    <w:p w14:paraId="1E03254E" w14:textId="77777777" w:rsidR="00943D7C" w:rsidRPr="009059BA" w:rsidRDefault="00943D7C" w:rsidP="00907272">
      <w:pPr>
        <w:shd w:val="clear" w:color="auto" w:fill="FFFFFF"/>
        <w:tabs>
          <w:tab w:val="left" w:pos="851"/>
        </w:tabs>
        <w:spacing w:before="120" w:after="120" w:line="240" w:lineRule="auto"/>
        <w:ind w:firstLine="720"/>
        <w:jc w:val="both"/>
        <w:rPr>
          <w:rFonts w:ascii="Times New Roman" w:eastAsia="Times New Roman" w:hAnsi="Times New Roman" w:cs="Times New Roman"/>
          <w:sz w:val="28"/>
          <w:szCs w:val="28"/>
          <w:lang w:val="eu-ES"/>
        </w:rPr>
      </w:pPr>
      <w:r w:rsidRPr="009059BA">
        <w:rPr>
          <w:rFonts w:ascii="Times New Roman" w:eastAsia="Times New Roman" w:hAnsi="Times New Roman" w:cs="Times New Roman"/>
          <w:sz w:val="28"/>
          <w:szCs w:val="28"/>
          <w:lang w:val="eu-ES"/>
        </w:rPr>
        <w:t>- Về sử dụng báo cáo kiểm toán: bổ sung mục đích báo cáo kiểm toán để công bố, minh bạch thông tin</w:t>
      </w:r>
      <w:r w:rsidR="00E6416A" w:rsidRPr="009059BA">
        <w:rPr>
          <w:rFonts w:ascii="Times New Roman" w:eastAsia="Times New Roman" w:hAnsi="Times New Roman" w:cs="Times New Roman"/>
          <w:sz w:val="28"/>
          <w:szCs w:val="28"/>
          <w:lang w:val="eu-ES"/>
        </w:rPr>
        <w:t xml:space="preserve"> cho thành viên và cơ quan quản lý nhà nước</w:t>
      </w:r>
      <w:r w:rsidRPr="009059BA">
        <w:rPr>
          <w:rFonts w:ascii="Times New Roman" w:eastAsia="Times New Roman" w:hAnsi="Times New Roman" w:cs="Times New Roman"/>
          <w:sz w:val="28"/>
          <w:szCs w:val="28"/>
          <w:lang w:val="eu-ES"/>
        </w:rPr>
        <w:t xml:space="preserve">; căn cứ để Nhà nước xem xét </w:t>
      </w:r>
      <w:r w:rsidR="00E6416A" w:rsidRPr="009059BA">
        <w:rPr>
          <w:rFonts w:ascii="Times New Roman" w:eastAsia="Times New Roman" w:hAnsi="Times New Roman" w:cs="Times New Roman"/>
          <w:sz w:val="28"/>
          <w:szCs w:val="28"/>
          <w:lang w:val="eu-ES"/>
        </w:rPr>
        <w:t xml:space="preserve">hỗ trợ. </w:t>
      </w:r>
    </w:p>
    <w:p w14:paraId="79BAF45A" w14:textId="77777777" w:rsidR="00943D7C" w:rsidRPr="009059BA" w:rsidRDefault="00943D7C" w:rsidP="00907272">
      <w:pPr>
        <w:shd w:val="clear" w:color="auto" w:fill="FFFFFF"/>
        <w:tabs>
          <w:tab w:val="left" w:pos="851"/>
        </w:tabs>
        <w:spacing w:before="120" w:after="120" w:line="240" w:lineRule="auto"/>
        <w:ind w:firstLine="720"/>
        <w:jc w:val="both"/>
        <w:rPr>
          <w:rFonts w:ascii="Times New Roman" w:eastAsia="Times New Roman" w:hAnsi="Times New Roman" w:cs="Times New Roman"/>
          <w:sz w:val="28"/>
          <w:szCs w:val="28"/>
          <w:lang w:val="eu-ES"/>
        </w:rPr>
      </w:pPr>
      <w:r w:rsidRPr="009059BA">
        <w:rPr>
          <w:rFonts w:ascii="Times New Roman" w:eastAsia="Times New Roman" w:hAnsi="Times New Roman" w:cs="Times New Roman"/>
          <w:sz w:val="28"/>
          <w:szCs w:val="28"/>
          <w:lang w:val="eu-ES"/>
        </w:rPr>
        <w:t xml:space="preserve">- Về phạm vi và tần suất kiểm toán: quy định đối tượng, tần suất, nội dung kiểm toán </w:t>
      </w:r>
      <w:r w:rsidR="001D651B" w:rsidRPr="009059BA">
        <w:rPr>
          <w:rFonts w:ascii="Times New Roman" w:eastAsia="Times New Roman" w:hAnsi="Times New Roman" w:cs="Times New Roman"/>
          <w:sz w:val="28"/>
          <w:szCs w:val="28"/>
          <w:lang w:val="eu-ES"/>
        </w:rPr>
        <w:t xml:space="preserve">bắt buộc </w:t>
      </w:r>
      <w:r w:rsidRPr="009059BA">
        <w:rPr>
          <w:rFonts w:ascii="Times New Roman" w:eastAsia="Times New Roman" w:hAnsi="Times New Roman" w:cs="Times New Roman"/>
          <w:sz w:val="28"/>
          <w:szCs w:val="28"/>
          <w:lang w:val="eu-ES"/>
        </w:rPr>
        <w:t>cho từng đối tượng cụ thể.</w:t>
      </w:r>
    </w:p>
    <w:p w14:paraId="143D2ACB" w14:textId="21695BC9" w:rsidR="00E6416A" w:rsidRPr="009059BA" w:rsidRDefault="00E6416A" w:rsidP="00E6416A">
      <w:pPr>
        <w:pStyle w:val="Heading3"/>
      </w:pPr>
      <w:r w:rsidRPr="009059BA">
        <w:t xml:space="preserve">2.3. </w:t>
      </w:r>
      <w:r w:rsidR="009059BA" w:rsidRPr="009059BA">
        <w:t>T</w:t>
      </w:r>
      <w:r w:rsidR="002E42E2">
        <w:t>ổ hợp tác</w:t>
      </w:r>
    </w:p>
    <w:p w14:paraId="099F583C" w14:textId="6E95A9EE" w:rsidR="00E6416A" w:rsidRPr="00904980" w:rsidRDefault="00E6416A" w:rsidP="00907272">
      <w:pPr>
        <w:shd w:val="clear" w:color="auto" w:fill="FFFFFF"/>
        <w:tabs>
          <w:tab w:val="left" w:pos="851"/>
        </w:tabs>
        <w:spacing w:before="120" w:after="120" w:line="240" w:lineRule="auto"/>
        <w:ind w:firstLine="720"/>
        <w:jc w:val="both"/>
        <w:rPr>
          <w:rFonts w:ascii="Times New Roman" w:eastAsia="Times New Roman" w:hAnsi="Times New Roman" w:cs="Times New Roman"/>
          <w:sz w:val="28"/>
          <w:szCs w:val="28"/>
          <w:lang w:val="eu-ES"/>
        </w:rPr>
      </w:pPr>
      <w:r w:rsidRPr="00904980">
        <w:rPr>
          <w:rFonts w:ascii="Times New Roman" w:eastAsia="Times New Roman" w:hAnsi="Times New Roman" w:cs="Times New Roman"/>
          <w:sz w:val="28"/>
          <w:szCs w:val="28"/>
          <w:lang w:val="eu-ES"/>
        </w:rPr>
        <w:t xml:space="preserve">Quy định các nội dung cơ bản về </w:t>
      </w:r>
      <w:r w:rsidR="009059BA" w:rsidRPr="00904980">
        <w:rPr>
          <w:rFonts w:ascii="Times New Roman" w:eastAsia="Times New Roman" w:hAnsi="Times New Roman" w:cs="Times New Roman"/>
          <w:sz w:val="28"/>
          <w:szCs w:val="28"/>
          <w:lang w:val="eu-ES"/>
        </w:rPr>
        <w:t>THT</w:t>
      </w:r>
      <w:r w:rsidRPr="00904980">
        <w:rPr>
          <w:rFonts w:ascii="Times New Roman" w:eastAsia="Times New Roman" w:hAnsi="Times New Roman" w:cs="Times New Roman"/>
          <w:sz w:val="28"/>
          <w:szCs w:val="28"/>
          <w:lang w:val="eu-ES"/>
        </w:rPr>
        <w:t xml:space="preserve"> (như: khái niệm, quyền và nghĩa vụ của </w:t>
      </w:r>
      <w:r w:rsidR="009059BA" w:rsidRPr="00904980">
        <w:rPr>
          <w:rFonts w:ascii="Times New Roman" w:eastAsia="Times New Roman" w:hAnsi="Times New Roman" w:cs="Times New Roman"/>
          <w:sz w:val="28"/>
          <w:szCs w:val="28"/>
          <w:lang w:val="eu-ES"/>
        </w:rPr>
        <w:t>THT</w:t>
      </w:r>
      <w:r w:rsidRPr="00904980">
        <w:rPr>
          <w:rFonts w:ascii="Times New Roman" w:eastAsia="Times New Roman" w:hAnsi="Times New Roman" w:cs="Times New Roman"/>
          <w:sz w:val="28"/>
          <w:szCs w:val="28"/>
          <w:lang w:val="eu-ES"/>
        </w:rPr>
        <w:t xml:space="preserve">, thành viên, thành lập, đăng ký, tổ chức, tài sản và tài chính, chấm dứt hoạt động </w:t>
      </w:r>
      <w:r w:rsidR="009059BA" w:rsidRPr="00904980">
        <w:rPr>
          <w:rFonts w:ascii="Times New Roman" w:eastAsia="Times New Roman" w:hAnsi="Times New Roman" w:cs="Times New Roman"/>
          <w:sz w:val="28"/>
          <w:szCs w:val="28"/>
          <w:lang w:val="eu-ES"/>
        </w:rPr>
        <w:t>THT</w:t>
      </w:r>
      <w:r w:rsidRPr="00904980">
        <w:rPr>
          <w:rFonts w:ascii="Times New Roman" w:eastAsia="Times New Roman" w:hAnsi="Times New Roman" w:cs="Times New Roman"/>
          <w:sz w:val="28"/>
          <w:szCs w:val="28"/>
          <w:lang w:val="eu-ES"/>
        </w:rPr>
        <w:t xml:space="preserve"> và xử lý tài sản chung của </w:t>
      </w:r>
      <w:r w:rsidR="008B0190" w:rsidRPr="00904980">
        <w:rPr>
          <w:rFonts w:ascii="Times New Roman" w:eastAsia="Times New Roman" w:hAnsi="Times New Roman" w:cs="Times New Roman"/>
          <w:sz w:val="28"/>
          <w:szCs w:val="28"/>
          <w:lang w:val="eu-ES"/>
        </w:rPr>
        <w:t>THT</w:t>
      </w:r>
      <w:r w:rsidRPr="00904980">
        <w:rPr>
          <w:rFonts w:ascii="Times New Roman" w:eastAsia="Times New Roman" w:hAnsi="Times New Roman" w:cs="Times New Roman"/>
          <w:sz w:val="28"/>
          <w:szCs w:val="28"/>
          <w:lang w:val="eu-ES"/>
        </w:rPr>
        <w:t xml:space="preserve">) trên cơ sở nội dung </w:t>
      </w:r>
      <w:r w:rsidR="00904980">
        <w:rPr>
          <w:rFonts w:ascii="Times New Roman" w:eastAsia="Times New Roman" w:hAnsi="Times New Roman" w:cs="Times New Roman"/>
          <w:sz w:val="28"/>
          <w:szCs w:val="28"/>
          <w:lang w:val="eu-ES"/>
        </w:rPr>
        <w:t xml:space="preserve">của </w:t>
      </w:r>
      <w:r w:rsidRPr="00904980">
        <w:rPr>
          <w:rFonts w:ascii="Times New Roman" w:eastAsia="Times New Roman" w:hAnsi="Times New Roman" w:cs="Times New Roman"/>
          <w:sz w:val="28"/>
          <w:szCs w:val="28"/>
          <w:lang w:val="eu-ES"/>
        </w:rPr>
        <w:t xml:space="preserve">Nghị định số 77/2019/NĐ-CP về </w:t>
      </w:r>
      <w:r w:rsidR="009059BA" w:rsidRPr="00904980">
        <w:rPr>
          <w:rFonts w:ascii="Times New Roman" w:eastAsia="Times New Roman" w:hAnsi="Times New Roman" w:cs="Times New Roman"/>
          <w:sz w:val="28"/>
          <w:szCs w:val="28"/>
          <w:lang w:val="eu-ES"/>
        </w:rPr>
        <w:t>THT</w:t>
      </w:r>
      <w:r w:rsidRPr="00904980">
        <w:rPr>
          <w:rFonts w:ascii="Times New Roman" w:eastAsia="Times New Roman" w:hAnsi="Times New Roman" w:cs="Times New Roman"/>
          <w:sz w:val="28"/>
          <w:szCs w:val="28"/>
          <w:lang w:val="eu-ES"/>
        </w:rPr>
        <w:t xml:space="preserve"> trong đó có sửa đổi, bổ sung một số nội dung chính sau đây:</w:t>
      </w:r>
    </w:p>
    <w:p w14:paraId="4108A8E6" w14:textId="18581B51" w:rsidR="00E6416A" w:rsidRPr="009059BA" w:rsidRDefault="00E6416A" w:rsidP="00907272">
      <w:pPr>
        <w:shd w:val="clear" w:color="auto" w:fill="FFFFFF"/>
        <w:tabs>
          <w:tab w:val="left" w:pos="851"/>
        </w:tabs>
        <w:spacing w:before="120" w:after="120" w:line="240" w:lineRule="auto"/>
        <w:ind w:firstLine="720"/>
        <w:jc w:val="both"/>
        <w:rPr>
          <w:rFonts w:ascii="Times New Roman" w:eastAsia="Times New Roman" w:hAnsi="Times New Roman" w:cs="Times New Roman"/>
          <w:sz w:val="28"/>
          <w:szCs w:val="28"/>
          <w:lang w:val="eu-ES"/>
        </w:rPr>
      </w:pPr>
      <w:r w:rsidRPr="009059BA">
        <w:rPr>
          <w:rFonts w:ascii="Times New Roman" w:eastAsia="Times New Roman" w:hAnsi="Times New Roman" w:cs="Times New Roman"/>
          <w:sz w:val="28"/>
          <w:szCs w:val="28"/>
          <w:lang w:val="eu-ES"/>
        </w:rPr>
        <w:t xml:space="preserve">- Về thành viên </w:t>
      </w:r>
      <w:r w:rsidR="009059BA" w:rsidRPr="009059BA">
        <w:rPr>
          <w:rFonts w:ascii="Times New Roman" w:eastAsia="Times New Roman" w:hAnsi="Times New Roman" w:cs="Times New Roman"/>
          <w:sz w:val="28"/>
          <w:szCs w:val="28"/>
          <w:lang w:val="eu-ES"/>
        </w:rPr>
        <w:t>THT</w:t>
      </w:r>
      <w:r w:rsidRPr="009059BA">
        <w:rPr>
          <w:rFonts w:ascii="Times New Roman" w:eastAsia="Times New Roman" w:hAnsi="Times New Roman" w:cs="Times New Roman"/>
          <w:sz w:val="28"/>
          <w:szCs w:val="28"/>
          <w:lang w:val="eu-ES"/>
        </w:rPr>
        <w:t xml:space="preserve">: </w:t>
      </w:r>
      <w:r w:rsidR="00F17037">
        <w:rPr>
          <w:rFonts w:ascii="Times New Roman" w:eastAsia="Times New Roman" w:hAnsi="Times New Roman" w:cs="Times New Roman"/>
          <w:sz w:val="28"/>
          <w:szCs w:val="28"/>
          <w:lang w:val="eu-ES"/>
        </w:rPr>
        <w:t>làm rõ quy định</w:t>
      </w:r>
      <w:r w:rsidRPr="009059BA">
        <w:rPr>
          <w:rFonts w:ascii="Times New Roman" w:eastAsia="Times New Roman" w:hAnsi="Times New Roman" w:cs="Times New Roman"/>
          <w:sz w:val="28"/>
          <w:szCs w:val="28"/>
          <w:lang w:val="eu-ES"/>
        </w:rPr>
        <w:t xml:space="preserve"> điều kiện thành viên tham gia </w:t>
      </w:r>
      <w:r w:rsidR="009059BA" w:rsidRPr="009059BA">
        <w:rPr>
          <w:rFonts w:ascii="Times New Roman" w:eastAsia="Times New Roman" w:hAnsi="Times New Roman" w:cs="Times New Roman"/>
          <w:sz w:val="28"/>
          <w:szCs w:val="28"/>
          <w:lang w:val="eu-ES"/>
        </w:rPr>
        <w:t>THT</w:t>
      </w:r>
      <w:r w:rsidRPr="009059BA">
        <w:rPr>
          <w:rFonts w:ascii="Times New Roman" w:eastAsia="Times New Roman" w:hAnsi="Times New Roman" w:cs="Times New Roman"/>
          <w:sz w:val="28"/>
          <w:szCs w:val="28"/>
          <w:lang w:val="eu-ES"/>
        </w:rPr>
        <w:t xml:space="preserve"> phải từ 15 tuổi trở lên </w:t>
      </w:r>
      <w:r w:rsidR="00F07EF6" w:rsidRPr="009059BA">
        <w:rPr>
          <w:rFonts w:ascii="Times New Roman" w:eastAsia="Times New Roman" w:hAnsi="Times New Roman" w:cs="Times New Roman"/>
          <w:sz w:val="28"/>
          <w:szCs w:val="28"/>
          <w:lang w:val="eu-ES"/>
        </w:rPr>
        <w:t>giống như điều kiện tham gia thành viên HTX.</w:t>
      </w:r>
    </w:p>
    <w:p w14:paraId="044454C1" w14:textId="061A154E" w:rsidR="00E14AF4" w:rsidRPr="009059BA" w:rsidRDefault="00E14AF4" w:rsidP="00907272">
      <w:pPr>
        <w:shd w:val="clear" w:color="auto" w:fill="FFFFFF"/>
        <w:tabs>
          <w:tab w:val="left" w:pos="851"/>
        </w:tabs>
        <w:spacing w:before="120" w:after="120" w:line="240" w:lineRule="auto"/>
        <w:ind w:firstLine="720"/>
        <w:jc w:val="both"/>
        <w:rPr>
          <w:rFonts w:ascii="Times New Roman" w:eastAsia="Times New Roman" w:hAnsi="Times New Roman" w:cs="Times New Roman"/>
          <w:sz w:val="28"/>
          <w:szCs w:val="28"/>
          <w:lang w:val="en-US"/>
        </w:rPr>
      </w:pPr>
      <w:r w:rsidRPr="009059BA">
        <w:rPr>
          <w:rFonts w:ascii="Times New Roman" w:eastAsia="Times New Roman" w:hAnsi="Times New Roman" w:cs="Times New Roman"/>
          <w:sz w:val="28"/>
          <w:szCs w:val="28"/>
          <w:lang w:val="eu-ES"/>
        </w:rPr>
        <w:t xml:space="preserve">- Về đăng ký </w:t>
      </w:r>
      <w:r w:rsidR="009059BA" w:rsidRPr="009059BA">
        <w:rPr>
          <w:rFonts w:ascii="Times New Roman" w:eastAsia="Times New Roman" w:hAnsi="Times New Roman" w:cs="Times New Roman"/>
          <w:sz w:val="28"/>
          <w:szCs w:val="28"/>
          <w:lang w:val="eu-ES"/>
        </w:rPr>
        <w:t>THT</w:t>
      </w:r>
      <w:r w:rsidRPr="009059BA">
        <w:rPr>
          <w:rFonts w:ascii="Times New Roman" w:eastAsia="Times New Roman" w:hAnsi="Times New Roman" w:cs="Times New Roman"/>
          <w:sz w:val="28"/>
          <w:szCs w:val="28"/>
          <w:lang w:val="eu-ES"/>
        </w:rPr>
        <w:t xml:space="preserve">: Bổ sung quy định đối với </w:t>
      </w:r>
      <w:r w:rsidR="009059BA" w:rsidRPr="009059BA">
        <w:rPr>
          <w:rFonts w:ascii="Times New Roman" w:eastAsia="Times New Roman" w:hAnsi="Times New Roman" w:cs="Times New Roman"/>
          <w:sz w:val="28"/>
          <w:szCs w:val="28"/>
          <w:lang w:val="eu-ES"/>
        </w:rPr>
        <w:t>THT</w:t>
      </w:r>
      <w:r w:rsidRPr="009059BA">
        <w:rPr>
          <w:rFonts w:ascii="Times New Roman" w:eastAsia="Times New Roman" w:hAnsi="Times New Roman" w:cs="Times New Roman"/>
          <w:sz w:val="28"/>
          <w:szCs w:val="28"/>
          <w:lang w:val="eu-ES"/>
        </w:rPr>
        <w:t xml:space="preserve"> </w:t>
      </w:r>
      <w:r w:rsidRPr="009059BA">
        <w:rPr>
          <w:rFonts w:ascii="Times New Roman" w:eastAsia="Times New Roman" w:hAnsi="Times New Roman" w:cs="Times New Roman"/>
          <w:sz w:val="28"/>
          <w:szCs w:val="28"/>
          <w:lang w:val="en-US"/>
        </w:rPr>
        <w:t xml:space="preserve">có thời gian hợp tác </w:t>
      </w:r>
      <w:r w:rsidR="0050115A" w:rsidRPr="009059BA">
        <w:rPr>
          <w:rFonts w:ascii="Times New Roman" w:eastAsia="Times New Roman" w:hAnsi="Times New Roman" w:cs="Times New Roman"/>
          <w:sz w:val="28"/>
          <w:szCs w:val="28"/>
          <w:lang w:val="en-US"/>
        </w:rPr>
        <w:t>từ</w:t>
      </w:r>
      <w:r w:rsidRPr="009059BA">
        <w:rPr>
          <w:rFonts w:ascii="Times New Roman" w:eastAsia="Times New Roman" w:hAnsi="Times New Roman" w:cs="Times New Roman"/>
          <w:sz w:val="28"/>
          <w:szCs w:val="28"/>
          <w:lang w:val="en-US"/>
        </w:rPr>
        <w:t xml:space="preserve"> 06 tháng </w:t>
      </w:r>
      <w:r w:rsidR="0050115A" w:rsidRPr="009059BA">
        <w:rPr>
          <w:rFonts w:ascii="Times New Roman" w:eastAsia="Times New Roman" w:hAnsi="Times New Roman" w:cs="Times New Roman"/>
          <w:sz w:val="28"/>
          <w:szCs w:val="28"/>
          <w:lang w:val="en-US"/>
        </w:rPr>
        <w:t>hoặc</w:t>
      </w:r>
      <w:r w:rsidRPr="009059BA">
        <w:rPr>
          <w:rFonts w:ascii="Times New Roman" w:eastAsia="Times New Roman" w:hAnsi="Times New Roman" w:cs="Times New Roman"/>
          <w:sz w:val="28"/>
          <w:szCs w:val="28"/>
          <w:lang w:val="en-US"/>
        </w:rPr>
        <w:t xml:space="preserve"> </w:t>
      </w:r>
      <w:r w:rsidR="0050115A" w:rsidRPr="009059BA">
        <w:rPr>
          <w:rFonts w:ascii="Times New Roman" w:eastAsia="Times New Roman" w:hAnsi="Times New Roman" w:cs="Times New Roman"/>
          <w:sz w:val="28"/>
          <w:szCs w:val="28"/>
          <w:lang w:val="en-US"/>
        </w:rPr>
        <w:t xml:space="preserve">có </w:t>
      </w:r>
      <w:r w:rsidRPr="009059BA">
        <w:rPr>
          <w:rFonts w:ascii="Times New Roman" w:eastAsia="Times New Roman" w:hAnsi="Times New Roman" w:cs="Times New Roman"/>
          <w:sz w:val="28"/>
          <w:szCs w:val="28"/>
          <w:lang w:val="en-US"/>
        </w:rPr>
        <w:t xml:space="preserve">góp </w:t>
      </w:r>
      <w:r w:rsidR="0050115A" w:rsidRPr="009059BA">
        <w:rPr>
          <w:rFonts w:ascii="Times New Roman" w:eastAsia="Times New Roman" w:hAnsi="Times New Roman" w:cs="Times New Roman"/>
          <w:sz w:val="28"/>
          <w:szCs w:val="28"/>
          <w:lang w:val="en-US"/>
        </w:rPr>
        <w:t>vốn</w:t>
      </w:r>
      <w:r w:rsidR="00C64C96">
        <w:rPr>
          <w:rFonts w:ascii="Times New Roman" w:eastAsia="Times New Roman" w:hAnsi="Times New Roman" w:cs="Times New Roman"/>
          <w:sz w:val="28"/>
          <w:szCs w:val="28"/>
          <w:lang w:val="en-US"/>
        </w:rPr>
        <w:t xml:space="preserve"> (tài sản chung)</w:t>
      </w:r>
      <w:r w:rsidRPr="009059BA">
        <w:rPr>
          <w:rFonts w:ascii="Times New Roman" w:eastAsia="Times New Roman" w:hAnsi="Times New Roman" w:cs="Times New Roman"/>
          <w:sz w:val="28"/>
          <w:szCs w:val="28"/>
          <w:lang w:val="en-US"/>
        </w:rPr>
        <w:t xml:space="preserve"> thì </w:t>
      </w:r>
      <w:r w:rsidR="009059BA" w:rsidRPr="009059BA">
        <w:rPr>
          <w:rFonts w:ascii="Times New Roman" w:eastAsia="Times New Roman" w:hAnsi="Times New Roman" w:cs="Times New Roman"/>
          <w:sz w:val="28"/>
          <w:szCs w:val="28"/>
          <w:lang w:val="en-US"/>
        </w:rPr>
        <w:t>THT</w:t>
      </w:r>
      <w:r w:rsidRPr="009059BA">
        <w:rPr>
          <w:rFonts w:ascii="Times New Roman" w:eastAsia="Times New Roman" w:hAnsi="Times New Roman" w:cs="Times New Roman"/>
          <w:sz w:val="28"/>
          <w:szCs w:val="28"/>
          <w:lang w:val="en-US"/>
        </w:rPr>
        <w:t xml:space="preserve"> phải đăng ký tại Cơ quan đăng ký kinh doanh</w:t>
      </w:r>
      <w:r w:rsidR="0050115A" w:rsidRPr="009059BA">
        <w:rPr>
          <w:rFonts w:ascii="Times New Roman" w:eastAsia="Times New Roman" w:hAnsi="Times New Roman" w:cs="Times New Roman"/>
          <w:sz w:val="28"/>
          <w:szCs w:val="28"/>
          <w:lang w:val="en-US"/>
        </w:rPr>
        <w:t xml:space="preserve"> để Nhà nước quản lý, hỗ trợ, định hướng phát triển </w:t>
      </w:r>
      <w:r w:rsidR="009059BA" w:rsidRPr="009059BA">
        <w:rPr>
          <w:rFonts w:ascii="Times New Roman" w:eastAsia="Times New Roman" w:hAnsi="Times New Roman" w:cs="Times New Roman"/>
          <w:sz w:val="28"/>
          <w:szCs w:val="28"/>
          <w:lang w:val="en-US"/>
        </w:rPr>
        <w:t>THT</w:t>
      </w:r>
      <w:r w:rsidR="0050115A" w:rsidRPr="009059BA">
        <w:rPr>
          <w:rFonts w:ascii="Times New Roman" w:eastAsia="Times New Roman" w:hAnsi="Times New Roman" w:cs="Times New Roman"/>
          <w:sz w:val="28"/>
          <w:szCs w:val="28"/>
          <w:lang w:val="en-US"/>
        </w:rPr>
        <w:t xml:space="preserve"> lên tổ chức cao hơn.</w:t>
      </w:r>
    </w:p>
    <w:p w14:paraId="4C741162" w14:textId="77777777" w:rsidR="00165CBE" w:rsidRPr="009059BA" w:rsidRDefault="00165CBE" w:rsidP="00907272">
      <w:pPr>
        <w:shd w:val="clear" w:color="auto" w:fill="FFFFFF"/>
        <w:tabs>
          <w:tab w:val="left" w:pos="851"/>
        </w:tabs>
        <w:spacing w:before="120" w:after="120" w:line="240" w:lineRule="auto"/>
        <w:ind w:firstLine="720"/>
        <w:jc w:val="both"/>
        <w:rPr>
          <w:rFonts w:ascii="Times New Roman" w:eastAsia="Times New Roman" w:hAnsi="Times New Roman" w:cs="Times New Roman"/>
          <w:sz w:val="28"/>
          <w:szCs w:val="28"/>
          <w:lang w:val="eu-ES"/>
        </w:rPr>
      </w:pPr>
      <w:r w:rsidRPr="009059BA">
        <w:rPr>
          <w:rFonts w:ascii="Times New Roman" w:eastAsia="Times New Roman" w:hAnsi="Times New Roman" w:cs="Times New Roman"/>
          <w:sz w:val="28"/>
          <w:szCs w:val="28"/>
          <w:lang w:val="en-US"/>
        </w:rPr>
        <w:t xml:space="preserve">- Về chấm dứt hoạt động, chuyển đổi </w:t>
      </w:r>
      <w:r w:rsidR="009059BA" w:rsidRPr="009059BA">
        <w:rPr>
          <w:rFonts w:ascii="Times New Roman" w:eastAsia="Times New Roman" w:hAnsi="Times New Roman" w:cs="Times New Roman"/>
          <w:sz w:val="28"/>
          <w:szCs w:val="28"/>
          <w:lang w:val="en-US"/>
        </w:rPr>
        <w:t>THT</w:t>
      </w:r>
      <w:r w:rsidRPr="009059BA">
        <w:rPr>
          <w:rFonts w:ascii="Times New Roman" w:eastAsia="Times New Roman" w:hAnsi="Times New Roman" w:cs="Times New Roman"/>
          <w:sz w:val="28"/>
          <w:szCs w:val="28"/>
          <w:lang w:val="en-US"/>
        </w:rPr>
        <w:t xml:space="preserve">: Bổ sung quy định những </w:t>
      </w:r>
      <w:r w:rsidR="009059BA" w:rsidRPr="009059BA">
        <w:rPr>
          <w:rFonts w:ascii="Times New Roman" w:eastAsia="Times New Roman" w:hAnsi="Times New Roman" w:cs="Times New Roman"/>
          <w:sz w:val="28"/>
          <w:szCs w:val="28"/>
          <w:lang w:val="en-US"/>
        </w:rPr>
        <w:t>THT</w:t>
      </w:r>
      <w:r w:rsidRPr="009059BA">
        <w:rPr>
          <w:rFonts w:ascii="Times New Roman" w:eastAsia="Times New Roman" w:hAnsi="Times New Roman" w:cs="Times New Roman"/>
          <w:sz w:val="28"/>
          <w:szCs w:val="28"/>
          <w:lang w:val="en-US"/>
        </w:rPr>
        <w:t xml:space="preserve"> có đăng ký phải thông báo đến cơ quan đăng ký kinh doanh khi chấm dứt hoạt động; Bổ sung quy định </w:t>
      </w:r>
      <w:r w:rsidR="009059BA" w:rsidRPr="009059BA">
        <w:rPr>
          <w:rFonts w:ascii="Times New Roman" w:eastAsia="Times New Roman" w:hAnsi="Times New Roman" w:cs="Times New Roman"/>
          <w:sz w:val="28"/>
          <w:szCs w:val="28"/>
          <w:lang w:val="en-US"/>
        </w:rPr>
        <w:t>THT</w:t>
      </w:r>
      <w:r w:rsidRPr="009059BA">
        <w:rPr>
          <w:rFonts w:ascii="Times New Roman" w:eastAsia="Times New Roman" w:hAnsi="Times New Roman" w:cs="Times New Roman"/>
          <w:sz w:val="28"/>
          <w:szCs w:val="28"/>
          <w:lang w:val="en-US"/>
        </w:rPr>
        <w:t xml:space="preserve"> </w:t>
      </w:r>
      <w:r w:rsidR="00505D9A">
        <w:rPr>
          <w:rFonts w:ascii="Times New Roman" w:eastAsia="Times New Roman" w:hAnsi="Times New Roman" w:cs="Times New Roman"/>
          <w:sz w:val="28"/>
          <w:szCs w:val="28"/>
          <w:lang w:val="en-US"/>
        </w:rPr>
        <w:t xml:space="preserve">có thể được phép </w:t>
      </w:r>
      <w:r w:rsidRPr="009059BA">
        <w:rPr>
          <w:rFonts w:ascii="Times New Roman" w:eastAsia="Times New Roman" w:hAnsi="Times New Roman" w:cs="Times New Roman"/>
          <w:sz w:val="28"/>
          <w:szCs w:val="28"/>
          <w:lang w:val="en-US"/>
        </w:rPr>
        <w:t>chuyển đổi thành HTX.</w:t>
      </w:r>
    </w:p>
    <w:p w14:paraId="1BCBA8F5" w14:textId="77777777" w:rsidR="001D651B" w:rsidRPr="009059BA" w:rsidRDefault="001D651B" w:rsidP="001D651B">
      <w:pPr>
        <w:pStyle w:val="Heading3"/>
      </w:pPr>
      <w:r w:rsidRPr="009059BA">
        <w:t>2.</w:t>
      </w:r>
      <w:r w:rsidR="000969B3" w:rsidRPr="009059BA">
        <w:t>4</w:t>
      </w:r>
      <w:r w:rsidRPr="009059BA">
        <w:t>. Các tổ chức đại diện</w:t>
      </w:r>
    </w:p>
    <w:p w14:paraId="6F1D7600" w14:textId="77777777" w:rsidR="00E6416A" w:rsidRPr="009059BA" w:rsidRDefault="00E6416A" w:rsidP="00E6416A">
      <w:pPr>
        <w:shd w:val="clear" w:color="auto" w:fill="FFFFFF"/>
        <w:tabs>
          <w:tab w:val="left" w:pos="851"/>
        </w:tabs>
        <w:spacing w:before="120" w:after="120" w:line="240" w:lineRule="auto"/>
        <w:ind w:firstLine="720"/>
        <w:jc w:val="both"/>
        <w:rPr>
          <w:rFonts w:ascii="Times New Roman" w:eastAsia="Times New Roman" w:hAnsi="Times New Roman" w:cs="Times New Roman"/>
          <w:sz w:val="28"/>
          <w:szCs w:val="28"/>
          <w:lang w:val="eu-ES"/>
        </w:rPr>
      </w:pPr>
      <w:r w:rsidRPr="009059BA">
        <w:rPr>
          <w:rFonts w:ascii="Times New Roman" w:eastAsia="Times New Roman" w:hAnsi="Times New Roman" w:cs="Times New Roman"/>
          <w:sz w:val="28"/>
          <w:szCs w:val="28"/>
          <w:lang w:val="eu-ES"/>
        </w:rPr>
        <w:t xml:space="preserve">- Sửa đổi, bổ sung quy định rõ liên minh HTX là tổ chức </w:t>
      </w:r>
      <w:r w:rsidR="00165CBE" w:rsidRPr="009059BA">
        <w:rPr>
          <w:rFonts w:ascii="Times New Roman" w:eastAsia="Times New Roman" w:hAnsi="Times New Roman" w:cs="Times New Roman"/>
          <w:sz w:val="28"/>
          <w:szCs w:val="28"/>
          <w:lang w:val="eu-ES"/>
        </w:rPr>
        <w:t>đại diện, bảo vệ lợi ích cho thành viên.</w:t>
      </w:r>
    </w:p>
    <w:p w14:paraId="5844C447" w14:textId="69F6C8AF" w:rsidR="000969B3" w:rsidRPr="009059BA" w:rsidRDefault="000969B3" w:rsidP="000969B3">
      <w:pPr>
        <w:pStyle w:val="Heading3"/>
      </w:pPr>
      <w:r w:rsidRPr="009059BA">
        <w:t xml:space="preserve">2.5. Chính sách hỗ trợ và quản lý nhà nước đối với </w:t>
      </w:r>
      <w:r w:rsidR="002E42E2" w:rsidRPr="002E42E2">
        <w:t>tổ chức kinh tế hợp tác</w:t>
      </w:r>
    </w:p>
    <w:p w14:paraId="612AAF62" w14:textId="2F397C1D" w:rsidR="000969B3" w:rsidRPr="009059BA" w:rsidRDefault="000969B3" w:rsidP="00132BDC">
      <w:pPr>
        <w:pStyle w:val="Noidung"/>
        <w:rPr>
          <w:b/>
          <w:i/>
          <w:lang w:val="it-IT"/>
        </w:rPr>
      </w:pPr>
      <w:r w:rsidRPr="009059BA">
        <w:rPr>
          <w:b/>
          <w:i/>
          <w:lang w:val="it-IT"/>
        </w:rPr>
        <w:t xml:space="preserve">a) Chính sách hỗ trợ đối với </w:t>
      </w:r>
      <w:r w:rsidR="002E42E2" w:rsidRPr="002E42E2">
        <w:rPr>
          <w:b/>
          <w:i/>
          <w:lang w:val="it-IT"/>
        </w:rPr>
        <w:t>tổ chức kinh tế hợp tác</w:t>
      </w:r>
    </w:p>
    <w:p w14:paraId="3D972967" w14:textId="4B390D9A" w:rsidR="0020560A" w:rsidRPr="003B1418" w:rsidRDefault="000969B3" w:rsidP="00132BDC">
      <w:pPr>
        <w:shd w:val="clear" w:color="auto" w:fill="FFFFFF"/>
        <w:tabs>
          <w:tab w:val="left" w:pos="851"/>
        </w:tabs>
        <w:spacing w:before="120" w:after="120" w:line="240" w:lineRule="auto"/>
        <w:ind w:firstLine="720"/>
        <w:jc w:val="both"/>
        <w:rPr>
          <w:rFonts w:ascii="Times New Roman" w:eastAsia="Times New Roman" w:hAnsi="Times New Roman" w:cs="Times New Roman"/>
          <w:spacing w:val="-2"/>
          <w:sz w:val="28"/>
          <w:szCs w:val="28"/>
          <w:lang w:val="eu-ES"/>
        </w:rPr>
      </w:pPr>
      <w:r w:rsidRPr="003B1418">
        <w:rPr>
          <w:rFonts w:ascii="Times New Roman" w:eastAsia="Times New Roman" w:hAnsi="Times New Roman" w:cs="Times New Roman"/>
          <w:spacing w:val="-2"/>
          <w:sz w:val="28"/>
          <w:szCs w:val="28"/>
          <w:lang w:val="eu-ES"/>
        </w:rPr>
        <w:lastRenderedPageBreak/>
        <w:t xml:space="preserve">Bổ sung một Chương riêng quy định về </w:t>
      </w:r>
      <w:r w:rsidR="00132BDC" w:rsidRPr="003B1418">
        <w:rPr>
          <w:rFonts w:ascii="Times New Roman" w:eastAsia="Times New Roman" w:hAnsi="Times New Roman" w:cs="Times New Roman"/>
          <w:spacing w:val="-2"/>
          <w:sz w:val="28"/>
          <w:szCs w:val="28"/>
          <w:lang w:val="eu-ES"/>
        </w:rPr>
        <w:t xml:space="preserve">chính sách hỗ trợ đối với TCKTHT trên cơ sở </w:t>
      </w:r>
      <w:r w:rsidR="00976C70" w:rsidRPr="003B1418">
        <w:rPr>
          <w:rFonts w:ascii="Times New Roman" w:eastAsia="Times New Roman" w:hAnsi="Times New Roman" w:cs="Times New Roman"/>
          <w:spacing w:val="-2"/>
          <w:sz w:val="28"/>
          <w:szCs w:val="28"/>
          <w:lang w:val="eu-ES"/>
        </w:rPr>
        <w:t>bổ sung, hoàn thiện</w:t>
      </w:r>
      <w:r w:rsidR="00132BDC" w:rsidRPr="003B1418">
        <w:rPr>
          <w:rFonts w:ascii="Times New Roman" w:eastAsia="Times New Roman" w:hAnsi="Times New Roman" w:cs="Times New Roman"/>
          <w:spacing w:val="-2"/>
          <w:sz w:val="28"/>
          <w:szCs w:val="28"/>
          <w:lang w:val="eu-ES"/>
        </w:rPr>
        <w:t xml:space="preserve"> từ Điều 6 Luật HTX năm 2012, tham khảo Luật Hỗ trợ doanh nghiệp nhỏ và vừa và các quy định, chính sách </w:t>
      </w:r>
      <w:r w:rsidR="00C64C96" w:rsidRPr="003B1418">
        <w:rPr>
          <w:rFonts w:ascii="Times New Roman" w:eastAsia="Times New Roman" w:hAnsi="Times New Roman" w:cs="Times New Roman"/>
          <w:spacing w:val="-2"/>
          <w:sz w:val="28"/>
          <w:szCs w:val="28"/>
          <w:lang w:val="eu-ES"/>
        </w:rPr>
        <w:t xml:space="preserve">khác </w:t>
      </w:r>
      <w:r w:rsidR="00132BDC" w:rsidRPr="003B1418">
        <w:rPr>
          <w:rFonts w:ascii="Times New Roman" w:eastAsia="Times New Roman" w:hAnsi="Times New Roman" w:cs="Times New Roman"/>
          <w:spacing w:val="-2"/>
          <w:sz w:val="28"/>
          <w:szCs w:val="28"/>
          <w:lang w:val="eu-ES"/>
        </w:rPr>
        <w:t>có liên quan</w:t>
      </w:r>
      <w:r w:rsidR="00904980" w:rsidRPr="003B1418">
        <w:rPr>
          <w:rFonts w:ascii="Times New Roman" w:eastAsia="Times New Roman" w:hAnsi="Times New Roman" w:cs="Times New Roman"/>
          <w:spacing w:val="-2"/>
          <w:sz w:val="28"/>
          <w:szCs w:val="28"/>
          <w:lang w:val="eu-ES"/>
        </w:rPr>
        <w:t>,</w:t>
      </w:r>
      <w:r w:rsidR="00132BDC" w:rsidRPr="003B1418">
        <w:rPr>
          <w:rFonts w:ascii="Times New Roman" w:eastAsia="Times New Roman" w:hAnsi="Times New Roman" w:cs="Times New Roman"/>
          <w:spacing w:val="-2"/>
          <w:sz w:val="28"/>
          <w:szCs w:val="28"/>
          <w:lang w:val="eu-ES"/>
        </w:rPr>
        <w:t xml:space="preserve"> </w:t>
      </w:r>
      <w:r w:rsidR="00AA105D" w:rsidRPr="003B1418">
        <w:rPr>
          <w:rFonts w:ascii="Times New Roman" w:eastAsia="Times New Roman" w:hAnsi="Times New Roman" w:cs="Times New Roman"/>
          <w:spacing w:val="-2"/>
          <w:sz w:val="28"/>
          <w:szCs w:val="28"/>
          <w:lang w:val="eu-ES"/>
        </w:rPr>
        <w:t>cụ thể:</w:t>
      </w:r>
      <w:r w:rsidR="00132BDC" w:rsidRPr="003B1418">
        <w:rPr>
          <w:rFonts w:ascii="Times New Roman" w:eastAsia="Times New Roman" w:hAnsi="Times New Roman" w:cs="Times New Roman"/>
          <w:spacing w:val="-2"/>
          <w:sz w:val="28"/>
          <w:szCs w:val="28"/>
          <w:lang w:val="eu-ES"/>
        </w:rPr>
        <w:t xml:space="preserve"> </w:t>
      </w:r>
    </w:p>
    <w:p w14:paraId="6B1C3659" w14:textId="0DA251EC" w:rsidR="0020560A" w:rsidRPr="009059BA" w:rsidRDefault="0020560A" w:rsidP="00132BDC">
      <w:pPr>
        <w:shd w:val="clear" w:color="auto" w:fill="FFFFFF"/>
        <w:tabs>
          <w:tab w:val="left" w:pos="851"/>
        </w:tabs>
        <w:spacing w:before="120" w:after="120" w:line="240" w:lineRule="auto"/>
        <w:ind w:firstLine="720"/>
        <w:jc w:val="both"/>
        <w:rPr>
          <w:rFonts w:ascii="Times New Roman" w:eastAsia="Times New Roman" w:hAnsi="Times New Roman" w:cs="Times New Roman"/>
          <w:sz w:val="28"/>
          <w:szCs w:val="28"/>
          <w:lang w:val="eu-ES"/>
        </w:rPr>
      </w:pPr>
      <w:r w:rsidRPr="009059BA">
        <w:rPr>
          <w:rFonts w:ascii="Times New Roman" w:eastAsia="Times New Roman" w:hAnsi="Times New Roman" w:cs="Times New Roman"/>
          <w:sz w:val="28"/>
          <w:szCs w:val="28"/>
          <w:lang w:val="eu-ES"/>
        </w:rPr>
        <w:t xml:space="preserve">- </w:t>
      </w:r>
      <w:r w:rsidR="00132BDC" w:rsidRPr="009059BA">
        <w:rPr>
          <w:rFonts w:ascii="Times New Roman" w:eastAsia="Times New Roman" w:hAnsi="Times New Roman" w:cs="Times New Roman"/>
          <w:sz w:val="28"/>
          <w:szCs w:val="28"/>
          <w:lang w:val="eu-ES"/>
        </w:rPr>
        <w:t>Bổ sung nguyên tắc</w:t>
      </w:r>
      <w:r w:rsidR="001C7BE9">
        <w:rPr>
          <w:rFonts w:ascii="Times New Roman" w:eastAsia="Times New Roman" w:hAnsi="Times New Roman" w:cs="Times New Roman"/>
          <w:sz w:val="28"/>
          <w:szCs w:val="28"/>
          <w:lang w:val="eu-ES"/>
        </w:rPr>
        <w:t xml:space="preserve"> thực hiện </w:t>
      </w:r>
      <w:r w:rsidR="00C64C96">
        <w:rPr>
          <w:rFonts w:ascii="Times New Roman" w:eastAsia="Times New Roman" w:hAnsi="Times New Roman" w:cs="Times New Roman"/>
          <w:sz w:val="28"/>
          <w:szCs w:val="28"/>
          <w:lang w:val="eu-ES"/>
        </w:rPr>
        <w:t>hỗ trợ</w:t>
      </w:r>
      <w:r w:rsidRPr="009059BA">
        <w:rPr>
          <w:rFonts w:ascii="Times New Roman" w:eastAsia="Times New Roman" w:hAnsi="Times New Roman" w:cs="Times New Roman"/>
          <w:sz w:val="28"/>
          <w:szCs w:val="28"/>
          <w:lang w:val="eu-ES"/>
        </w:rPr>
        <w:t>;</w:t>
      </w:r>
      <w:r w:rsidR="00132BDC" w:rsidRPr="009059BA">
        <w:rPr>
          <w:rFonts w:ascii="Times New Roman" w:eastAsia="Times New Roman" w:hAnsi="Times New Roman" w:cs="Times New Roman"/>
          <w:sz w:val="28"/>
          <w:szCs w:val="28"/>
          <w:lang w:val="eu-ES"/>
        </w:rPr>
        <w:t xml:space="preserve"> bổ sung </w:t>
      </w:r>
      <w:r w:rsidRPr="009059BA">
        <w:rPr>
          <w:rFonts w:ascii="Times New Roman" w:eastAsia="Times New Roman" w:hAnsi="Times New Roman" w:cs="Times New Roman"/>
          <w:sz w:val="28"/>
          <w:szCs w:val="28"/>
          <w:lang w:val="eu-ES"/>
        </w:rPr>
        <w:t>quy định</w:t>
      </w:r>
      <w:r w:rsidR="00132BDC" w:rsidRPr="009059BA">
        <w:rPr>
          <w:rFonts w:ascii="Times New Roman" w:eastAsia="Times New Roman" w:hAnsi="Times New Roman" w:cs="Times New Roman"/>
          <w:sz w:val="28"/>
          <w:szCs w:val="28"/>
          <w:lang w:val="eu-ES"/>
        </w:rPr>
        <w:t xml:space="preserve"> lựa chọn đối tượng </w:t>
      </w:r>
      <w:r w:rsidRPr="009059BA">
        <w:rPr>
          <w:rFonts w:ascii="Times New Roman" w:eastAsia="Times New Roman" w:hAnsi="Times New Roman" w:cs="Times New Roman"/>
          <w:sz w:val="28"/>
          <w:szCs w:val="28"/>
          <w:lang w:val="eu-ES"/>
        </w:rPr>
        <w:t xml:space="preserve">được hỗ trợ phải </w:t>
      </w:r>
      <w:r w:rsidR="00295E0D" w:rsidRPr="009059BA">
        <w:rPr>
          <w:rFonts w:ascii="Times New Roman" w:eastAsia="Times New Roman" w:hAnsi="Times New Roman" w:cs="Times New Roman"/>
          <w:sz w:val="28"/>
          <w:szCs w:val="28"/>
          <w:lang w:val="eu-ES"/>
        </w:rPr>
        <w:t xml:space="preserve">tuân thủ pháp luật và Điều lệ, </w:t>
      </w:r>
      <w:r w:rsidRPr="009059BA">
        <w:rPr>
          <w:rFonts w:ascii="Times New Roman" w:eastAsia="Times New Roman" w:hAnsi="Times New Roman" w:cs="Times New Roman"/>
          <w:sz w:val="28"/>
          <w:szCs w:val="28"/>
          <w:lang w:val="eu-ES"/>
        </w:rPr>
        <w:t xml:space="preserve">đáp ứng một số tiêu chí mang tính đặc trưng của HTX, </w:t>
      </w:r>
      <w:r w:rsidR="00905FC3" w:rsidRPr="009059BA">
        <w:rPr>
          <w:rFonts w:ascii="Times New Roman" w:eastAsia="Times New Roman" w:hAnsi="Times New Roman" w:cs="Times New Roman"/>
          <w:sz w:val="28"/>
          <w:szCs w:val="28"/>
          <w:lang w:val="eu-ES"/>
        </w:rPr>
        <w:t xml:space="preserve">chỉ hỗ trợ </w:t>
      </w:r>
      <w:r w:rsidR="009059BA" w:rsidRPr="009059BA">
        <w:rPr>
          <w:rFonts w:ascii="Times New Roman" w:eastAsia="Times New Roman" w:hAnsi="Times New Roman" w:cs="Times New Roman"/>
          <w:sz w:val="28"/>
          <w:szCs w:val="28"/>
          <w:lang w:val="eu-ES"/>
        </w:rPr>
        <w:t>THT</w:t>
      </w:r>
      <w:r w:rsidR="00905FC3" w:rsidRPr="009059BA">
        <w:rPr>
          <w:rFonts w:ascii="Times New Roman" w:eastAsia="Times New Roman" w:hAnsi="Times New Roman" w:cs="Times New Roman"/>
          <w:sz w:val="28"/>
          <w:szCs w:val="28"/>
          <w:lang w:val="eu-ES"/>
        </w:rPr>
        <w:t xml:space="preserve"> đã</w:t>
      </w:r>
      <w:r w:rsidRPr="009059BA">
        <w:rPr>
          <w:rFonts w:ascii="Times New Roman" w:eastAsia="Times New Roman" w:hAnsi="Times New Roman" w:cs="Times New Roman"/>
          <w:sz w:val="28"/>
          <w:szCs w:val="28"/>
          <w:lang w:val="eu-ES"/>
        </w:rPr>
        <w:t xml:space="preserve"> đăng ký</w:t>
      </w:r>
      <w:r w:rsidR="00905FC3" w:rsidRPr="009059BA">
        <w:rPr>
          <w:rFonts w:ascii="Times New Roman" w:eastAsia="Times New Roman" w:hAnsi="Times New Roman" w:cs="Times New Roman"/>
          <w:sz w:val="28"/>
          <w:szCs w:val="28"/>
          <w:lang w:val="eu-ES"/>
        </w:rPr>
        <w:t xml:space="preserve"> hoạt động</w:t>
      </w:r>
      <w:r w:rsidRPr="009059BA">
        <w:rPr>
          <w:rFonts w:ascii="Times New Roman" w:eastAsia="Times New Roman" w:hAnsi="Times New Roman" w:cs="Times New Roman"/>
          <w:sz w:val="28"/>
          <w:szCs w:val="28"/>
          <w:lang w:val="eu-ES"/>
        </w:rPr>
        <w:t xml:space="preserve">, </w:t>
      </w:r>
      <w:r w:rsidR="00905FC3" w:rsidRPr="009059BA">
        <w:rPr>
          <w:rFonts w:ascii="Times New Roman" w:eastAsia="Times New Roman" w:hAnsi="Times New Roman" w:cs="Times New Roman"/>
          <w:sz w:val="28"/>
          <w:szCs w:val="28"/>
          <w:lang w:val="eu-ES"/>
        </w:rPr>
        <w:t xml:space="preserve">các TCKTHT phải </w:t>
      </w:r>
      <w:r w:rsidRPr="009059BA">
        <w:rPr>
          <w:rFonts w:ascii="Times New Roman" w:eastAsia="Times New Roman" w:hAnsi="Times New Roman" w:cs="Times New Roman"/>
          <w:sz w:val="28"/>
          <w:szCs w:val="28"/>
          <w:lang w:val="eu-ES"/>
        </w:rPr>
        <w:t>có báo cáo kiểm toán để làm căn cứ đánh giá</w:t>
      </w:r>
      <w:r w:rsidR="00905FC3" w:rsidRPr="009059BA">
        <w:rPr>
          <w:rFonts w:ascii="Times New Roman" w:eastAsia="Times New Roman" w:hAnsi="Times New Roman" w:cs="Times New Roman"/>
          <w:sz w:val="28"/>
          <w:szCs w:val="28"/>
          <w:lang w:val="eu-ES"/>
        </w:rPr>
        <w:t xml:space="preserve"> </w:t>
      </w:r>
      <w:r w:rsidR="00295E0D" w:rsidRPr="009059BA">
        <w:rPr>
          <w:rFonts w:ascii="Times New Roman" w:eastAsia="Times New Roman" w:hAnsi="Times New Roman" w:cs="Times New Roman"/>
          <w:sz w:val="28"/>
          <w:szCs w:val="28"/>
          <w:lang w:val="eu-ES"/>
        </w:rPr>
        <w:t xml:space="preserve">trước khi nhận hỗ trợ nhằm hạn chế việc hỗ trợ không đúng đối tượng hoặc </w:t>
      </w:r>
      <w:r w:rsidR="00C64C96">
        <w:rPr>
          <w:rFonts w:ascii="Times New Roman" w:eastAsia="Times New Roman" w:hAnsi="Times New Roman" w:cs="Times New Roman"/>
          <w:sz w:val="28"/>
          <w:szCs w:val="28"/>
          <w:lang w:val="eu-ES"/>
        </w:rPr>
        <w:t xml:space="preserve">ngăn ngừa các </w:t>
      </w:r>
      <w:r w:rsidR="00295E0D" w:rsidRPr="009059BA">
        <w:rPr>
          <w:rFonts w:ascii="Times New Roman" w:eastAsia="Times New Roman" w:hAnsi="Times New Roman" w:cs="Times New Roman"/>
          <w:sz w:val="28"/>
          <w:szCs w:val="28"/>
          <w:lang w:val="eu-ES"/>
        </w:rPr>
        <w:t>đối tượng trục lợi chính sách hỗ trợ của Nhà nước.</w:t>
      </w:r>
    </w:p>
    <w:p w14:paraId="345DDDAF" w14:textId="6C898C0F" w:rsidR="003A5B93" w:rsidRPr="003B1418" w:rsidRDefault="0020560A" w:rsidP="003A5B93">
      <w:pPr>
        <w:shd w:val="clear" w:color="auto" w:fill="FFFFFF"/>
        <w:tabs>
          <w:tab w:val="left" w:pos="851"/>
        </w:tabs>
        <w:spacing w:before="120" w:after="120" w:line="240" w:lineRule="auto"/>
        <w:ind w:firstLine="720"/>
        <w:jc w:val="both"/>
        <w:rPr>
          <w:rFonts w:ascii="Times New Roman" w:eastAsia="Times New Roman" w:hAnsi="Times New Roman" w:cs="Times New Roman"/>
          <w:spacing w:val="-4"/>
          <w:sz w:val="28"/>
          <w:szCs w:val="28"/>
          <w:lang w:val="eu-ES"/>
        </w:rPr>
      </w:pPr>
      <w:r w:rsidRPr="003B1418">
        <w:rPr>
          <w:rFonts w:ascii="Times New Roman" w:eastAsia="Times New Roman" w:hAnsi="Times New Roman" w:cs="Times New Roman"/>
          <w:spacing w:val="-4"/>
          <w:sz w:val="28"/>
          <w:szCs w:val="28"/>
          <w:lang w:val="eu-ES"/>
        </w:rPr>
        <w:t>- Bổ sung quy định chi tiết các nội dung hỗ trợ cho TCKTHT</w:t>
      </w:r>
      <w:r w:rsidR="00292DF3">
        <w:rPr>
          <w:rFonts w:ascii="Times New Roman" w:eastAsia="Times New Roman" w:hAnsi="Times New Roman" w:cs="Times New Roman"/>
          <w:spacing w:val="-4"/>
          <w:sz w:val="28"/>
          <w:szCs w:val="28"/>
          <w:lang w:val="eu-ES"/>
        </w:rPr>
        <w:t>, gồm</w:t>
      </w:r>
      <w:r w:rsidRPr="003B1418">
        <w:rPr>
          <w:rFonts w:ascii="Times New Roman" w:eastAsia="Times New Roman" w:hAnsi="Times New Roman" w:cs="Times New Roman"/>
          <w:spacing w:val="-4"/>
          <w:sz w:val="28"/>
          <w:szCs w:val="28"/>
          <w:lang w:val="eu-ES"/>
        </w:rPr>
        <w:t xml:space="preserve">: Hỗ trợ phát triển nguồn nhân lực, thông tin, tư vấn; </w:t>
      </w:r>
      <w:r w:rsidR="00292DF3">
        <w:rPr>
          <w:rFonts w:ascii="Times New Roman" w:eastAsia="Times New Roman" w:hAnsi="Times New Roman" w:cs="Times New Roman"/>
          <w:spacing w:val="-4"/>
          <w:sz w:val="28"/>
          <w:szCs w:val="28"/>
          <w:lang w:val="eu-ES"/>
        </w:rPr>
        <w:t>h</w:t>
      </w:r>
      <w:r w:rsidR="003A5B93" w:rsidRPr="003B1418">
        <w:rPr>
          <w:rFonts w:ascii="Times New Roman" w:eastAsia="Times New Roman" w:hAnsi="Times New Roman" w:cs="Times New Roman"/>
          <w:spacing w:val="-4"/>
          <w:sz w:val="28"/>
          <w:szCs w:val="28"/>
          <w:lang w:val="eu-ES"/>
        </w:rPr>
        <w:t xml:space="preserve">ỗ trợ ứng dụng khoa học công nghệ, đổi </w:t>
      </w:r>
      <w:r w:rsidR="00292DF3">
        <w:rPr>
          <w:rFonts w:ascii="Times New Roman" w:eastAsia="Times New Roman" w:hAnsi="Times New Roman" w:cs="Times New Roman"/>
          <w:spacing w:val="-4"/>
          <w:sz w:val="28"/>
          <w:szCs w:val="28"/>
          <w:lang w:val="eu-ES"/>
        </w:rPr>
        <w:t>mới sáng tạo và chuyển đổi số; h</w:t>
      </w:r>
      <w:r w:rsidR="003A5B93" w:rsidRPr="003B1418">
        <w:rPr>
          <w:rFonts w:ascii="Times New Roman" w:eastAsia="Times New Roman" w:hAnsi="Times New Roman" w:cs="Times New Roman"/>
          <w:spacing w:val="-4"/>
          <w:sz w:val="28"/>
          <w:szCs w:val="28"/>
          <w:lang w:val="eu-ES"/>
        </w:rPr>
        <w:t>ỗ trợ xây dựng thương hiệu</w:t>
      </w:r>
      <w:r w:rsidR="00292DF3">
        <w:rPr>
          <w:rFonts w:ascii="Times New Roman" w:eastAsia="Times New Roman" w:hAnsi="Times New Roman" w:cs="Times New Roman"/>
          <w:spacing w:val="-4"/>
          <w:sz w:val="28"/>
          <w:szCs w:val="28"/>
          <w:lang w:val="eu-ES"/>
        </w:rPr>
        <w:t>, xúc tiến thương mại, đầu tư; hỗ trợ tín dụng, bảo hiểm; h</w:t>
      </w:r>
      <w:r w:rsidR="003A5B93" w:rsidRPr="003B1418">
        <w:rPr>
          <w:rFonts w:ascii="Times New Roman" w:eastAsia="Times New Roman" w:hAnsi="Times New Roman" w:cs="Times New Roman"/>
          <w:spacing w:val="-4"/>
          <w:sz w:val="28"/>
          <w:szCs w:val="28"/>
          <w:lang w:val="eu-ES"/>
        </w:rPr>
        <w:t>ỗ t</w:t>
      </w:r>
      <w:r w:rsidR="00292DF3">
        <w:rPr>
          <w:rFonts w:ascii="Times New Roman" w:eastAsia="Times New Roman" w:hAnsi="Times New Roman" w:cs="Times New Roman"/>
          <w:spacing w:val="-4"/>
          <w:sz w:val="28"/>
          <w:szCs w:val="28"/>
          <w:lang w:val="eu-ES"/>
        </w:rPr>
        <w:t>rợ tiếp cận mặt bằng sản xuất; ưu đãi thuế, phí và lệ phí; h</w:t>
      </w:r>
      <w:r w:rsidR="003A5B93" w:rsidRPr="003B1418">
        <w:rPr>
          <w:rFonts w:ascii="Times New Roman" w:eastAsia="Times New Roman" w:hAnsi="Times New Roman" w:cs="Times New Roman"/>
          <w:spacing w:val="-4"/>
          <w:sz w:val="28"/>
          <w:szCs w:val="28"/>
          <w:lang w:val="eu-ES"/>
        </w:rPr>
        <w:t>ỗ trợ xây dựng kết cấu hạ tầng, trang</w:t>
      </w:r>
      <w:r w:rsidR="00292DF3">
        <w:rPr>
          <w:rFonts w:ascii="Times New Roman" w:eastAsia="Times New Roman" w:hAnsi="Times New Roman" w:cs="Times New Roman"/>
          <w:spacing w:val="-4"/>
          <w:sz w:val="28"/>
          <w:szCs w:val="28"/>
          <w:lang w:val="eu-ES"/>
        </w:rPr>
        <w:t xml:space="preserve"> thiết bị; h</w:t>
      </w:r>
      <w:r w:rsidR="003A5B93" w:rsidRPr="003B1418">
        <w:rPr>
          <w:rFonts w:ascii="Times New Roman" w:eastAsia="Times New Roman" w:hAnsi="Times New Roman" w:cs="Times New Roman"/>
          <w:spacing w:val="-4"/>
          <w:sz w:val="28"/>
          <w:szCs w:val="28"/>
          <w:lang w:val="eu-ES"/>
        </w:rPr>
        <w:t>ỗ trợ về kiểm toán.</w:t>
      </w:r>
    </w:p>
    <w:p w14:paraId="100E450A" w14:textId="03F66500" w:rsidR="003A5B93" w:rsidRPr="009059BA" w:rsidRDefault="003A5B93" w:rsidP="003A5B93">
      <w:pPr>
        <w:shd w:val="clear" w:color="auto" w:fill="FFFFFF"/>
        <w:tabs>
          <w:tab w:val="left" w:pos="851"/>
        </w:tabs>
        <w:spacing w:before="120" w:after="120" w:line="240" w:lineRule="auto"/>
        <w:ind w:firstLine="720"/>
        <w:jc w:val="both"/>
        <w:rPr>
          <w:rFonts w:ascii="Times New Roman" w:eastAsia="Times New Roman" w:hAnsi="Times New Roman" w:cs="Times New Roman"/>
          <w:sz w:val="28"/>
          <w:szCs w:val="28"/>
          <w:lang w:val="eu-ES"/>
        </w:rPr>
      </w:pPr>
      <w:r w:rsidRPr="009059BA">
        <w:rPr>
          <w:rFonts w:ascii="Times New Roman" w:eastAsia="Times New Roman" w:hAnsi="Times New Roman" w:cs="Times New Roman"/>
          <w:sz w:val="28"/>
          <w:szCs w:val="28"/>
          <w:lang w:val="eu-ES"/>
        </w:rPr>
        <w:t>- Bổ sung quy định về phương thức hỗ trợ của Nhà nước thông qua hình thức dự án đầu tư hoặc phi dự án. Nhà nước hỗ trợ sau đầu tư và theo định mức do Ủy ban nhân dân cấp tỉnh ban hành. Trong thời hạn 36 tháng</w:t>
      </w:r>
      <w:r w:rsidRPr="009059BA">
        <w:rPr>
          <w:rStyle w:val="FootnoteReference"/>
          <w:rFonts w:ascii="Times New Roman" w:eastAsia="Times New Roman" w:hAnsi="Times New Roman" w:cs="Times New Roman"/>
          <w:sz w:val="28"/>
          <w:szCs w:val="28"/>
          <w:lang w:val="eu-ES"/>
        </w:rPr>
        <w:footnoteReference w:id="23"/>
      </w:r>
      <w:r w:rsidRPr="009059BA">
        <w:rPr>
          <w:rFonts w:ascii="Times New Roman" w:eastAsia="Times New Roman" w:hAnsi="Times New Roman" w:cs="Times New Roman"/>
          <w:sz w:val="28"/>
          <w:szCs w:val="28"/>
          <w:lang w:val="eu-ES"/>
        </w:rPr>
        <w:t xml:space="preserve"> kể từ khi Luật HTX (sửa đổi) có hiệu lực thi hành, Nhà nước phê duyệt Chương trình mục tiêu quốc gia hỗ trợ phát triển các TCKTHT nhằm nâng cao hiệu quả, thống nhất các nội dung hỗ trợ cho các TCKTHT, </w:t>
      </w:r>
      <w:r w:rsidR="00F17037">
        <w:rPr>
          <w:rFonts w:ascii="Times New Roman" w:eastAsia="Times New Roman" w:hAnsi="Times New Roman" w:cs="Times New Roman"/>
          <w:sz w:val="28"/>
          <w:szCs w:val="28"/>
          <w:lang w:val="eu-ES"/>
        </w:rPr>
        <w:t>khắc phục</w:t>
      </w:r>
      <w:r w:rsidRPr="009059BA">
        <w:rPr>
          <w:rFonts w:ascii="Times New Roman" w:eastAsia="Times New Roman" w:hAnsi="Times New Roman" w:cs="Times New Roman"/>
          <w:sz w:val="28"/>
          <w:szCs w:val="28"/>
          <w:lang w:val="eu-ES"/>
        </w:rPr>
        <w:t xml:space="preserve"> tình trạng </w:t>
      </w:r>
      <w:r w:rsidR="00C64C96">
        <w:rPr>
          <w:rFonts w:ascii="Times New Roman" w:eastAsia="Times New Roman" w:hAnsi="Times New Roman" w:cs="Times New Roman"/>
          <w:sz w:val="28"/>
          <w:szCs w:val="28"/>
          <w:lang w:val="eu-ES"/>
        </w:rPr>
        <w:t xml:space="preserve">chính sách hỗ trợ </w:t>
      </w:r>
      <w:r w:rsidR="00F17037">
        <w:rPr>
          <w:rFonts w:ascii="Times New Roman" w:eastAsia="Times New Roman" w:hAnsi="Times New Roman" w:cs="Times New Roman"/>
          <w:sz w:val="28"/>
          <w:szCs w:val="28"/>
          <w:lang w:val="eu-ES"/>
        </w:rPr>
        <w:t xml:space="preserve">hiện nay </w:t>
      </w:r>
      <w:r w:rsidR="00C64C96">
        <w:rPr>
          <w:rFonts w:ascii="Times New Roman" w:eastAsia="Times New Roman" w:hAnsi="Times New Roman" w:cs="Times New Roman"/>
          <w:sz w:val="28"/>
          <w:szCs w:val="28"/>
          <w:lang w:val="eu-ES"/>
        </w:rPr>
        <w:t xml:space="preserve">còn </w:t>
      </w:r>
      <w:r w:rsidRPr="009059BA">
        <w:rPr>
          <w:rFonts w:ascii="Times New Roman" w:eastAsia="Times New Roman" w:hAnsi="Times New Roman" w:cs="Times New Roman"/>
          <w:sz w:val="28"/>
          <w:szCs w:val="28"/>
          <w:lang w:val="eu-ES"/>
        </w:rPr>
        <w:t>dàn trải, bị lồng ghép</w:t>
      </w:r>
      <w:r w:rsidR="00C64C96">
        <w:rPr>
          <w:rFonts w:ascii="Times New Roman" w:eastAsia="Times New Roman" w:hAnsi="Times New Roman" w:cs="Times New Roman"/>
          <w:sz w:val="28"/>
          <w:szCs w:val="28"/>
          <w:lang w:val="eu-ES"/>
        </w:rPr>
        <w:t>, thiếu nguồn lực</w:t>
      </w:r>
      <w:r w:rsidR="00F17037">
        <w:rPr>
          <w:rFonts w:ascii="Times New Roman" w:eastAsia="Times New Roman" w:hAnsi="Times New Roman" w:cs="Times New Roman"/>
          <w:sz w:val="28"/>
          <w:szCs w:val="28"/>
          <w:lang w:val="eu-ES"/>
        </w:rPr>
        <w:t xml:space="preserve"> riêng.</w:t>
      </w:r>
    </w:p>
    <w:p w14:paraId="0E7B4888" w14:textId="77777777" w:rsidR="003A5B93" w:rsidRPr="009059BA" w:rsidRDefault="003A5B93" w:rsidP="003A5B93">
      <w:pPr>
        <w:shd w:val="clear" w:color="auto" w:fill="FFFFFF"/>
        <w:tabs>
          <w:tab w:val="left" w:pos="851"/>
        </w:tabs>
        <w:spacing w:before="120" w:after="120" w:line="240" w:lineRule="auto"/>
        <w:ind w:firstLine="720"/>
        <w:jc w:val="both"/>
        <w:rPr>
          <w:rFonts w:ascii="Times New Roman" w:eastAsia="Times New Roman" w:hAnsi="Times New Roman" w:cs="Times New Roman"/>
          <w:sz w:val="28"/>
          <w:szCs w:val="28"/>
          <w:lang w:val="eu-ES"/>
        </w:rPr>
      </w:pPr>
      <w:r w:rsidRPr="009059BA">
        <w:rPr>
          <w:rFonts w:ascii="Times New Roman" w:eastAsia="Times New Roman" w:hAnsi="Times New Roman" w:cs="Times New Roman"/>
          <w:sz w:val="28"/>
          <w:szCs w:val="28"/>
          <w:lang w:val="eu-ES"/>
        </w:rPr>
        <w:t>- Bổ sung quy định về Quỹ Hỗ trợ phát triển HTX làm căn cứ pháp lý cho Nghị định số 45/2021/NĐ-CP về thành lập, tổ chức hoạt động của Quỹ Hỗ trợ phát triển HTX đã được Chính phủ ban hành ngày 31/3/2021.</w:t>
      </w:r>
    </w:p>
    <w:p w14:paraId="2A9A5037" w14:textId="11CC5510" w:rsidR="003A5B93" w:rsidRPr="009059BA" w:rsidRDefault="003A5B93" w:rsidP="00716083">
      <w:pPr>
        <w:pStyle w:val="Noidung"/>
        <w:rPr>
          <w:b/>
          <w:i/>
          <w:lang w:val="it-IT"/>
        </w:rPr>
      </w:pPr>
      <w:r w:rsidRPr="009059BA">
        <w:rPr>
          <w:b/>
          <w:i/>
          <w:lang w:val="it-IT"/>
        </w:rPr>
        <w:t>b</w:t>
      </w:r>
      <w:r w:rsidR="00A83124" w:rsidRPr="009059BA">
        <w:rPr>
          <w:b/>
          <w:i/>
          <w:lang w:val="it-IT"/>
        </w:rPr>
        <w:t xml:space="preserve">) Quản lý nhà nước đối với </w:t>
      </w:r>
      <w:r w:rsidR="002E42E2" w:rsidRPr="002E42E2">
        <w:rPr>
          <w:b/>
          <w:i/>
          <w:lang w:val="it-IT"/>
        </w:rPr>
        <w:t>tổ chức kinh tế hợp tác</w:t>
      </w:r>
    </w:p>
    <w:p w14:paraId="7D041A67" w14:textId="77777777" w:rsidR="00A83124" w:rsidRPr="009059BA" w:rsidRDefault="00295E0D" w:rsidP="003A5B93">
      <w:pPr>
        <w:shd w:val="clear" w:color="auto" w:fill="FFFFFF"/>
        <w:tabs>
          <w:tab w:val="left" w:pos="851"/>
        </w:tabs>
        <w:spacing w:before="120" w:after="120" w:line="240" w:lineRule="auto"/>
        <w:ind w:firstLine="720"/>
        <w:jc w:val="both"/>
        <w:rPr>
          <w:rFonts w:ascii="Times New Roman" w:eastAsia="Times New Roman" w:hAnsi="Times New Roman" w:cs="Times New Roman"/>
          <w:sz w:val="28"/>
          <w:szCs w:val="28"/>
          <w:lang w:val="eu-ES"/>
        </w:rPr>
      </w:pPr>
      <w:r w:rsidRPr="009059BA">
        <w:rPr>
          <w:rFonts w:ascii="Times New Roman" w:eastAsia="Times New Roman" w:hAnsi="Times New Roman" w:cs="Times New Roman"/>
          <w:sz w:val="28"/>
          <w:szCs w:val="28"/>
          <w:lang w:val="eu-ES"/>
        </w:rPr>
        <w:t xml:space="preserve">- Bổ sung quy định </w:t>
      </w:r>
      <w:r w:rsidR="00A83124" w:rsidRPr="009059BA">
        <w:rPr>
          <w:rFonts w:ascii="Times New Roman" w:eastAsia="Times New Roman" w:hAnsi="Times New Roman" w:cs="Times New Roman"/>
          <w:sz w:val="28"/>
          <w:szCs w:val="28"/>
          <w:lang w:val="eu-ES"/>
        </w:rPr>
        <w:t>các bộ, ngành, cơ quan liên quan, địa phương phải liên kết, chia sẻ thông tin về quản lý nhà nước trên nền tảng Cơ sở dữ liệu quốc gia về đăng ký TCKTHT.</w:t>
      </w:r>
    </w:p>
    <w:p w14:paraId="2175EC1D" w14:textId="77777777" w:rsidR="00A83124" w:rsidRPr="009059BA" w:rsidRDefault="00A83124" w:rsidP="00716083">
      <w:pPr>
        <w:pStyle w:val="Noidung"/>
        <w:rPr>
          <w:b/>
          <w:i/>
          <w:lang w:val="it-IT"/>
        </w:rPr>
      </w:pPr>
      <w:r w:rsidRPr="009059BA">
        <w:rPr>
          <w:b/>
          <w:i/>
          <w:lang w:val="it-IT"/>
        </w:rPr>
        <w:t>2.6 Tổ chức thi hành</w:t>
      </w:r>
    </w:p>
    <w:p w14:paraId="43EFD067" w14:textId="77777777" w:rsidR="00A83124" w:rsidRPr="009059BA" w:rsidRDefault="00A83124" w:rsidP="003A5B93">
      <w:pPr>
        <w:shd w:val="clear" w:color="auto" w:fill="FFFFFF"/>
        <w:tabs>
          <w:tab w:val="left" w:pos="851"/>
        </w:tabs>
        <w:spacing w:before="120" w:after="120" w:line="240" w:lineRule="auto"/>
        <w:ind w:firstLine="720"/>
        <w:jc w:val="both"/>
        <w:rPr>
          <w:rFonts w:ascii="Times New Roman" w:eastAsia="Times New Roman" w:hAnsi="Times New Roman" w:cs="Times New Roman"/>
          <w:sz w:val="28"/>
          <w:szCs w:val="28"/>
          <w:lang w:val="eu-ES"/>
        </w:rPr>
      </w:pPr>
      <w:r w:rsidRPr="009059BA">
        <w:rPr>
          <w:rFonts w:ascii="Times New Roman" w:eastAsia="Times New Roman" w:hAnsi="Times New Roman" w:cs="Times New Roman"/>
          <w:sz w:val="28"/>
          <w:szCs w:val="28"/>
          <w:lang w:val="eu-ES"/>
        </w:rPr>
        <w:t xml:space="preserve">- Bổ sung quy định thời hạn các </w:t>
      </w:r>
      <w:r w:rsidR="009059BA" w:rsidRPr="009059BA">
        <w:rPr>
          <w:rFonts w:ascii="Times New Roman" w:eastAsia="Times New Roman" w:hAnsi="Times New Roman" w:cs="Times New Roman"/>
          <w:sz w:val="28"/>
          <w:szCs w:val="28"/>
          <w:lang w:val="eu-ES"/>
        </w:rPr>
        <w:t>THT</w:t>
      </w:r>
      <w:r w:rsidR="00716083" w:rsidRPr="009059BA">
        <w:rPr>
          <w:rFonts w:ascii="Times New Roman" w:eastAsia="Times New Roman" w:hAnsi="Times New Roman" w:cs="Times New Roman"/>
          <w:sz w:val="28"/>
          <w:szCs w:val="28"/>
          <w:lang w:val="eu-ES"/>
        </w:rPr>
        <w:t xml:space="preserve">, </w:t>
      </w:r>
      <w:r w:rsidRPr="009059BA">
        <w:rPr>
          <w:rFonts w:ascii="Times New Roman" w:eastAsia="Times New Roman" w:hAnsi="Times New Roman" w:cs="Times New Roman"/>
          <w:sz w:val="28"/>
          <w:szCs w:val="28"/>
          <w:lang w:val="eu-ES"/>
        </w:rPr>
        <w:t>HTX, liên hiệp HTX</w:t>
      </w:r>
      <w:r w:rsidR="00716083" w:rsidRPr="009059BA">
        <w:rPr>
          <w:rFonts w:ascii="Times New Roman" w:eastAsia="Times New Roman" w:hAnsi="Times New Roman" w:cs="Times New Roman"/>
          <w:sz w:val="28"/>
          <w:szCs w:val="28"/>
          <w:lang w:val="eu-ES"/>
        </w:rPr>
        <w:t xml:space="preserve"> tổ chức lại</w:t>
      </w:r>
      <w:r w:rsidR="009C7B3B" w:rsidRPr="009059BA">
        <w:rPr>
          <w:rFonts w:ascii="Times New Roman" w:eastAsia="Times New Roman" w:hAnsi="Times New Roman" w:cs="Times New Roman"/>
          <w:sz w:val="28"/>
          <w:szCs w:val="28"/>
          <w:lang w:val="eu-ES"/>
        </w:rPr>
        <w:t xml:space="preserve"> hoạt động</w:t>
      </w:r>
      <w:r w:rsidR="00716083" w:rsidRPr="009059BA">
        <w:rPr>
          <w:rFonts w:ascii="Times New Roman" w:eastAsia="Times New Roman" w:hAnsi="Times New Roman" w:cs="Times New Roman"/>
          <w:sz w:val="28"/>
          <w:szCs w:val="28"/>
          <w:lang w:val="eu-ES"/>
        </w:rPr>
        <w:t xml:space="preserve"> </w:t>
      </w:r>
      <w:r w:rsidR="009C7B3B" w:rsidRPr="009059BA">
        <w:rPr>
          <w:rFonts w:ascii="Times New Roman" w:eastAsia="Times New Roman" w:hAnsi="Times New Roman" w:cs="Times New Roman"/>
          <w:sz w:val="28"/>
          <w:szCs w:val="28"/>
          <w:lang w:val="eu-ES"/>
        </w:rPr>
        <w:t xml:space="preserve">trước khi Luật này </w:t>
      </w:r>
      <w:r w:rsidR="00716083" w:rsidRPr="009059BA">
        <w:rPr>
          <w:rFonts w:ascii="Times New Roman" w:eastAsia="Times New Roman" w:hAnsi="Times New Roman" w:cs="Times New Roman"/>
          <w:sz w:val="28"/>
          <w:szCs w:val="28"/>
          <w:lang w:val="eu-ES"/>
        </w:rPr>
        <w:t>có hiệu lực phải đăng ký lại theo quy định.</w:t>
      </w:r>
    </w:p>
    <w:p w14:paraId="621ADE47" w14:textId="77777777" w:rsidR="00176CD1" w:rsidRPr="009059BA" w:rsidRDefault="00176CD1" w:rsidP="00176CD1">
      <w:pPr>
        <w:pStyle w:val="Heading1"/>
        <w:rPr>
          <w:rFonts w:ascii="Times New Roman" w:hAnsi="Times New Roman"/>
        </w:rPr>
      </w:pPr>
      <w:r w:rsidRPr="009059BA">
        <w:rPr>
          <w:rFonts w:ascii="Times New Roman" w:hAnsi="Times New Roman"/>
        </w:rPr>
        <w:t>V. NHỮNG VẤN ĐỀ XIN Ý KIẾN</w:t>
      </w:r>
    </w:p>
    <w:p w14:paraId="3BCE21FC" w14:textId="77777777" w:rsidR="00176CD1" w:rsidRPr="009059BA" w:rsidRDefault="00176CD1" w:rsidP="00176CD1">
      <w:pPr>
        <w:pStyle w:val="ListParagraph"/>
        <w:spacing w:before="120"/>
        <w:ind w:left="0" w:firstLine="720"/>
        <w:contextualSpacing w:val="0"/>
        <w:jc w:val="both"/>
        <w:rPr>
          <w:w w:val="106"/>
          <w:sz w:val="28"/>
          <w:szCs w:val="28"/>
          <w:lang w:val="pt-BR"/>
        </w:rPr>
      </w:pPr>
      <w:r w:rsidRPr="009059BA">
        <w:rPr>
          <w:w w:val="106"/>
          <w:sz w:val="28"/>
          <w:szCs w:val="28"/>
          <w:lang w:val="pt-BR"/>
        </w:rPr>
        <w:t xml:space="preserve">Trong quá trình xây dựng Luật </w:t>
      </w:r>
      <w:r w:rsidR="00223FEA" w:rsidRPr="009059BA">
        <w:rPr>
          <w:w w:val="106"/>
          <w:sz w:val="28"/>
          <w:szCs w:val="28"/>
          <w:lang w:val="pt-BR"/>
        </w:rPr>
        <w:t>HTX</w:t>
      </w:r>
      <w:r w:rsidRPr="009059BA">
        <w:rPr>
          <w:w w:val="106"/>
          <w:sz w:val="28"/>
          <w:szCs w:val="28"/>
          <w:lang w:val="pt-BR"/>
        </w:rPr>
        <w:t xml:space="preserve"> (sửa đổi) còn một số vấn đề có ý kiến khác nhau, </w:t>
      </w:r>
      <w:r w:rsidR="00FE3EFB" w:rsidRPr="009059BA">
        <w:rPr>
          <w:w w:val="106"/>
          <w:sz w:val="28"/>
          <w:szCs w:val="28"/>
          <w:lang w:val="pt-BR"/>
        </w:rPr>
        <w:t>Cơ quan chủ trì soạn thảo</w:t>
      </w:r>
      <w:r w:rsidR="00604E87" w:rsidRPr="009059BA">
        <w:rPr>
          <w:w w:val="106"/>
          <w:sz w:val="28"/>
          <w:szCs w:val="28"/>
          <w:lang w:val="pt-BR"/>
        </w:rPr>
        <w:t xml:space="preserve"> cần xin ý kiến</w:t>
      </w:r>
      <w:r w:rsidRPr="009059BA">
        <w:rPr>
          <w:w w:val="106"/>
          <w:sz w:val="28"/>
          <w:szCs w:val="28"/>
          <w:lang w:val="pt-BR"/>
        </w:rPr>
        <w:t>:</w:t>
      </w:r>
    </w:p>
    <w:p w14:paraId="6DFA925E" w14:textId="77777777" w:rsidR="00176CD1" w:rsidRPr="009059BA" w:rsidRDefault="00176CD1" w:rsidP="00176CD1">
      <w:pPr>
        <w:pStyle w:val="BodyTextIndent"/>
        <w:spacing w:before="160" w:after="160"/>
        <w:ind w:firstLine="567"/>
        <w:rPr>
          <w:rFonts w:ascii="Times New Roman" w:hAnsi="Times New Roman"/>
          <w:b/>
          <w:sz w:val="28"/>
          <w:szCs w:val="28"/>
          <w:lang w:val="eu-ES"/>
        </w:rPr>
      </w:pPr>
      <w:r w:rsidRPr="009059BA">
        <w:rPr>
          <w:rFonts w:ascii="Times New Roman" w:hAnsi="Times New Roman"/>
          <w:b/>
          <w:sz w:val="28"/>
          <w:szCs w:val="28"/>
          <w:lang w:val="eu-ES"/>
        </w:rPr>
        <w:t>1. Về tên Luật</w:t>
      </w:r>
    </w:p>
    <w:p w14:paraId="40CE077A" w14:textId="23DEA3B4" w:rsidR="00295E0D" w:rsidRPr="009059BA" w:rsidRDefault="00C64C96" w:rsidP="00187414">
      <w:pPr>
        <w:pStyle w:val="BodyTextIndent"/>
        <w:spacing w:before="160" w:after="160"/>
        <w:ind w:firstLine="567"/>
        <w:rPr>
          <w:rFonts w:ascii="Times New Roman" w:hAnsi="Times New Roman"/>
          <w:i/>
          <w:sz w:val="28"/>
          <w:szCs w:val="28"/>
          <w:lang w:val="eu-ES"/>
        </w:rPr>
      </w:pPr>
      <w:r w:rsidRPr="009059BA">
        <w:rPr>
          <w:rFonts w:ascii="Times New Roman" w:hAnsi="Times New Roman"/>
          <w:i/>
          <w:sz w:val="28"/>
          <w:szCs w:val="28"/>
          <w:lang w:val="eu-ES"/>
        </w:rPr>
        <w:t xml:space="preserve"> </w:t>
      </w:r>
      <w:r w:rsidR="00FA28C8" w:rsidRPr="009059BA">
        <w:rPr>
          <w:rFonts w:ascii="Times New Roman" w:hAnsi="Times New Roman"/>
          <w:i/>
          <w:sz w:val="28"/>
          <w:szCs w:val="28"/>
          <w:lang w:val="eu-ES"/>
        </w:rPr>
        <w:t xml:space="preserve">(i) </w:t>
      </w:r>
      <w:r w:rsidR="00295E0D" w:rsidRPr="009059BA">
        <w:rPr>
          <w:rFonts w:ascii="Times New Roman" w:hAnsi="Times New Roman"/>
          <w:i/>
          <w:sz w:val="28"/>
          <w:szCs w:val="28"/>
          <w:lang w:val="eu-ES"/>
        </w:rPr>
        <w:t>Phương án 1: Tên Luật H</w:t>
      </w:r>
      <w:r w:rsidR="002E42E2">
        <w:rPr>
          <w:rFonts w:ascii="Times New Roman" w:hAnsi="Times New Roman"/>
          <w:i/>
          <w:sz w:val="28"/>
          <w:szCs w:val="28"/>
          <w:lang w:val="eu-ES"/>
        </w:rPr>
        <w:t>ợp tác xã</w:t>
      </w:r>
      <w:r w:rsidR="00295E0D" w:rsidRPr="009059BA">
        <w:rPr>
          <w:rFonts w:ascii="Times New Roman" w:hAnsi="Times New Roman"/>
          <w:i/>
          <w:sz w:val="28"/>
          <w:szCs w:val="28"/>
          <w:lang w:val="eu-ES"/>
        </w:rPr>
        <w:t xml:space="preserve"> (sửa đổi)</w:t>
      </w:r>
    </w:p>
    <w:p w14:paraId="3B019961" w14:textId="77777777" w:rsidR="00295E0D" w:rsidRPr="009059BA" w:rsidRDefault="00295E0D" w:rsidP="00295E0D">
      <w:pPr>
        <w:pStyle w:val="ListParagraph"/>
        <w:spacing w:before="120"/>
        <w:ind w:left="0" w:firstLine="720"/>
        <w:contextualSpacing w:val="0"/>
        <w:jc w:val="both"/>
        <w:rPr>
          <w:w w:val="106"/>
          <w:sz w:val="28"/>
          <w:szCs w:val="28"/>
          <w:lang w:val="pt-BR"/>
        </w:rPr>
      </w:pPr>
      <w:r w:rsidRPr="009059BA">
        <w:rPr>
          <w:w w:val="106"/>
          <w:sz w:val="28"/>
          <w:szCs w:val="28"/>
          <w:lang w:val="pt-BR"/>
        </w:rPr>
        <w:lastRenderedPageBreak/>
        <w:t>Phương</w:t>
      </w:r>
      <w:r w:rsidR="00FA5C9A">
        <w:rPr>
          <w:w w:val="106"/>
          <w:sz w:val="28"/>
          <w:szCs w:val="28"/>
          <w:lang w:val="pt-BR"/>
        </w:rPr>
        <w:t xml:space="preserve"> án này giữ nguyên tên Luật HTX</w:t>
      </w:r>
      <w:r w:rsidR="0085091E" w:rsidRPr="009059BA">
        <w:rPr>
          <w:w w:val="106"/>
          <w:sz w:val="28"/>
          <w:szCs w:val="28"/>
          <w:lang w:val="pt-BR"/>
        </w:rPr>
        <w:t>, không làm thay đổi đến việc dẫn chiếu các văn bản quy phạm pháp luật có liên quan đến Luật HTX. Mặc dù Dự thảo Luật mở rộng đối tượng điều chỉnh nhưng đối tượng HTX là nòng cốt, hạt nhân</w:t>
      </w:r>
      <w:r w:rsidR="00A748F0" w:rsidRPr="009059BA">
        <w:rPr>
          <w:w w:val="106"/>
          <w:sz w:val="28"/>
          <w:szCs w:val="28"/>
          <w:lang w:val="pt-BR"/>
        </w:rPr>
        <w:t xml:space="preserve"> </w:t>
      </w:r>
      <w:r w:rsidR="006A21BF">
        <w:rPr>
          <w:w w:val="106"/>
          <w:sz w:val="28"/>
          <w:szCs w:val="28"/>
          <w:lang w:val="pt-BR"/>
        </w:rPr>
        <w:t>còn các đối tượng</w:t>
      </w:r>
      <w:r w:rsidR="0085091E" w:rsidRPr="009059BA">
        <w:rPr>
          <w:w w:val="106"/>
          <w:sz w:val="28"/>
          <w:szCs w:val="28"/>
          <w:lang w:val="pt-BR"/>
        </w:rPr>
        <w:t xml:space="preserve"> </w:t>
      </w:r>
      <w:r w:rsidR="009059BA" w:rsidRPr="009059BA">
        <w:rPr>
          <w:w w:val="106"/>
          <w:sz w:val="28"/>
          <w:szCs w:val="28"/>
          <w:lang w:val="pt-BR"/>
        </w:rPr>
        <w:t>THT</w:t>
      </w:r>
      <w:r w:rsidR="0085091E" w:rsidRPr="009059BA">
        <w:rPr>
          <w:w w:val="106"/>
          <w:sz w:val="28"/>
          <w:szCs w:val="28"/>
          <w:lang w:val="pt-BR"/>
        </w:rPr>
        <w:t xml:space="preserve">, liên hiệp HTX, </w:t>
      </w:r>
      <w:r w:rsidR="006A21BF">
        <w:rPr>
          <w:w w:val="106"/>
          <w:sz w:val="28"/>
          <w:szCs w:val="28"/>
          <w:lang w:val="pt-BR"/>
        </w:rPr>
        <w:t>liên đoàn HTX</w:t>
      </w:r>
      <w:r w:rsidR="0085091E" w:rsidRPr="009059BA">
        <w:rPr>
          <w:w w:val="106"/>
          <w:sz w:val="28"/>
          <w:szCs w:val="28"/>
          <w:lang w:val="pt-BR"/>
        </w:rPr>
        <w:t xml:space="preserve"> là các hình thức phái sinh.</w:t>
      </w:r>
    </w:p>
    <w:p w14:paraId="4765F1B5" w14:textId="77777777" w:rsidR="00FA28C8" w:rsidRPr="009059BA" w:rsidRDefault="00FA28C8" w:rsidP="00295E0D">
      <w:pPr>
        <w:pStyle w:val="ListParagraph"/>
        <w:spacing w:before="120"/>
        <w:ind w:left="0" w:firstLine="720"/>
        <w:contextualSpacing w:val="0"/>
        <w:jc w:val="both"/>
        <w:rPr>
          <w:w w:val="106"/>
          <w:sz w:val="28"/>
          <w:szCs w:val="28"/>
          <w:lang w:val="pt-BR"/>
        </w:rPr>
      </w:pPr>
      <w:r w:rsidRPr="009059BA">
        <w:rPr>
          <w:w w:val="106"/>
          <w:sz w:val="28"/>
          <w:szCs w:val="28"/>
          <w:lang w:val="pt-BR"/>
        </w:rPr>
        <w:t xml:space="preserve">Tuy nhiên, </w:t>
      </w:r>
      <w:r w:rsidR="00C64C96">
        <w:rPr>
          <w:w w:val="106"/>
          <w:sz w:val="28"/>
          <w:szCs w:val="28"/>
          <w:lang w:val="pt-BR"/>
        </w:rPr>
        <w:t>có ý kiến cho rằng</w:t>
      </w:r>
      <w:r w:rsidRPr="009059BA">
        <w:rPr>
          <w:w w:val="106"/>
          <w:sz w:val="28"/>
          <w:szCs w:val="28"/>
          <w:lang w:val="pt-BR"/>
        </w:rPr>
        <w:t xml:space="preserve"> </w:t>
      </w:r>
      <w:r w:rsidR="00C64C96">
        <w:rPr>
          <w:w w:val="106"/>
          <w:sz w:val="28"/>
          <w:szCs w:val="28"/>
          <w:lang w:val="pt-BR"/>
        </w:rPr>
        <w:t xml:space="preserve">tên Luật HTX </w:t>
      </w:r>
      <w:r w:rsidRPr="009059BA">
        <w:rPr>
          <w:w w:val="106"/>
          <w:sz w:val="28"/>
          <w:szCs w:val="28"/>
          <w:lang w:val="pt-BR"/>
        </w:rPr>
        <w:t>chưa thực sự bao quát hết các đối tượng điểu chỉnh</w:t>
      </w:r>
      <w:r w:rsidR="00A748F0" w:rsidRPr="009059BA">
        <w:rPr>
          <w:w w:val="106"/>
          <w:sz w:val="28"/>
          <w:szCs w:val="28"/>
          <w:lang w:val="pt-BR"/>
        </w:rPr>
        <w:t>, chưa phản ánh tính đa dạng, nhiều loại hình của các TCKTHT đang hoạt động trong khu vực kinh tế tập thể</w:t>
      </w:r>
      <w:r w:rsidRPr="009059BA">
        <w:rPr>
          <w:w w:val="106"/>
          <w:sz w:val="28"/>
          <w:szCs w:val="28"/>
          <w:lang w:val="pt-BR"/>
        </w:rPr>
        <w:t>. Thiết kế Dự thảo Luật thì phần nội dung</w:t>
      </w:r>
      <w:r w:rsidR="00555830">
        <w:rPr>
          <w:w w:val="106"/>
          <w:sz w:val="28"/>
          <w:szCs w:val="28"/>
          <w:lang w:val="pt-BR"/>
        </w:rPr>
        <w:t xml:space="preserve"> quy định HTX chưa</w:t>
      </w:r>
      <w:r w:rsidR="00A748F0" w:rsidRPr="009059BA">
        <w:rPr>
          <w:w w:val="106"/>
          <w:sz w:val="28"/>
          <w:szCs w:val="28"/>
          <w:lang w:val="pt-BR"/>
        </w:rPr>
        <w:t xml:space="preserve"> chiếm phần lớn, chỉ tương đương với quy định của liên hiệp HTX.</w:t>
      </w:r>
    </w:p>
    <w:p w14:paraId="2CF693EF" w14:textId="2C69F839" w:rsidR="0085091E" w:rsidRPr="009059BA" w:rsidRDefault="00FA28C8" w:rsidP="00187414">
      <w:pPr>
        <w:pStyle w:val="BodyTextIndent"/>
        <w:spacing w:before="160" w:after="160"/>
        <w:ind w:firstLine="567"/>
        <w:rPr>
          <w:rFonts w:ascii="Times New Roman" w:hAnsi="Times New Roman"/>
          <w:i/>
          <w:sz w:val="28"/>
          <w:szCs w:val="28"/>
          <w:lang w:val="eu-ES"/>
        </w:rPr>
      </w:pPr>
      <w:r w:rsidRPr="009059BA">
        <w:rPr>
          <w:rFonts w:ascii="Times New Roman" w:hAnsi="Times New Roman"/>
          <w:i/>
          <w:sz w:val="28"/>
          <w:szCs w:val="28"/>
          <w:lang w:val="eu-ES"/>
        </w:rPr>
        <w:t xml:space="preserve">(ii) </w:t>
      </w:r>
      <w:r w:rsidR="0085091E" w:rsidRPr="009059BA">
        <w:rPr>
          <w:rFonts w:ascii="Times New Roman" w:hAnsi="Times New Roman"/>
          <w:i/>
          <w:sz w:val="28"/>
          <w:szCs w:val="28"/>
          <w:lang w:val="eu-ES"/>
        </w:rPr>
        <w:t xml:space="preserve">Phương án 2: Tên Luật Các </w:t>
      </w:r>
      <w:r w:rsidR="002E42E2">
        <w:rPr>
          <w:rFonts w:ascii="Times New Roman" w:hAnsi="Times New Roman"/>
          <w:i/>
          <w:sz w:val="28"/>
          <w:szCs w:val="28"/>
          <w:lang w:val="eu-ES"/>
        </w:rPr>
        <w:t>tổ chức kinh tế hợp tác</w:t>
      </w:r>
    </w:p>
    <w:p w14:paraId="0A95EFE0" w14:textId="396FBCF8" w:rsidR="0085091E" w:rsidRPr="009059BA" w:rsidRDefault="0085091E" w:rsidP="0085091E">
      <w:pPr>
        <w:pStyle w:val="ListParagraph"/>
        <w:spacing w:before="120"/>
        <w:ind w:left="0" w:firstLine="720"/>
        <w:contextualSpacing w:val="0"/>
        <w:jc w:val="both"/>
        <w:rPr>
          <w:w w:val="106"/>
          <w:sz w:val="28"/>
          <w:szCs w:val="28"/>
          <w:lang w:val="pt-BR"/>
        </w:rPr>
      </w:pPr>
      <w:r w:rsidRPr="009059BA">
        <w:rPr>
          <w:w w:val="106"/>
          <w:sz w:val="28"/>
          <w:szCs w:val="28"/>
          <w:lang w:val="pt-BR"/>
        </w:rPr>
        <w:t xml:space="preserve">Phương án này </w:t>
      </w:r>
      <w:r w:rsidR="00FE3EFB" w:rsidRPr="009059BA">
        <w:rPr>
          <w:w w:val="106"/>
          <w:sz w:val="28"/>
          <w:szCs w:val="28"/>
          <w:lang w:val="pt-BR"/>
        </w:rPr>
        <w:t xml:space="preserve">được </w:t>
      </w:r>
      <w:r w:rsidR="00C64C96">
        <w:rPr>
          <w:w w:val="106"/>
          <w:sz w:val="28"/>
          <w:szCs w:val="28"/>
          <w:lang w:val="pt-BR"/>
        </w:rPr>
        <w:t>Cơ quan chủ trì soạn thảo</w:t>
      </w:r>
      <w:r w:rsidR="00FE3EFB" w:rsidRPr="009059BA">
        <w:rPr>
          <w:w w:val="106"/>
          <w:sz w:val="28"/>
          <w:szCs w:val="28"/>
          <w:lang w:val="pt-BR"/>
        </w:rPr>
        <w:t xml:space="preserve"> đề xuất lựa chọn do </w:t>
      </w:r>
      <w:r w:rsidRPr="009059BA">
        <w:rPr>
          <w:w w:val="106"/>
          <w:sz w:val="28"/>
          <w:szCs w:val="28"/>
          <w:lang w:val="pt-BR"/>
        </w:rPr>
        <w:t xml:space="preserve">phù hợp với đối tượng, phạm vi điều chỉnh </w:t>
      </w:r>
      <w:r w:rsidR="00FA28C8" w:rsidRPr="009059BA">
        <w:rPr>
          <w:w w:val="106"/>
          <w:sz w:val="28"/>
          <w:szCs w:val="28"/>
          <w:lang w:val="pt-BR"/>
        </w:rPr>
        <w:t xml:space="preserve">và thiết kế </w:t>
      </w:r>
      <w:r w:rsidR="00C64C96">
        <w:rPr>
          <w:w w:val="106"/>
          <w:sz w:val="28"/>
          <w:szCs w:val="28"/>
          <w:lang w:val="pt-BR"/>
        </w:rPr>
        <w:t xml:space="preserve">nội dung dự thảo </w:t>
      </w:r>
      <w:r w:rsidRPr="009059BA">
        <w:rPr>
          <w:w w:val="106"/>
          <w:sz w:val="28"/>
          <w:szCs w:val="28"/>
          <w:lang w:val="pt-BR"/>
        </w:rPr>
        <w:t>Luật</w:t>
      </w:r>
      <w:r w:rsidR="00C64C96">
        <w:rPr>
          <w:w w:val="106"/>
          <w:sz w:val="28"/>
          <w:szCs w:val="28"/>
          <w:lang w:val="pt-BR"/>
        </w:rPr>
        <w:t>.</w:t>
      </w:r>
      <w:r w:rsidRPr="009059BA">
        <w:rPr>
          <w:w w:val="106"/>
          <w:sz w:val="28"/>
          <w:szCs w:val="28"/>
          <w:lang w:val="pt-BR"/>
        </w:rPr>
        <w:t xml:space="preserve"> </w:t>
      </w:r>
      <w:r w:rsidR="00C64C96">
        <w:rPr>
          <w:w w:val="106"/>
          <w:sz w:val="28"/>
          <w:szCs w:val="28"/>
          <w:lang w:val="pt-BR"/>
        </w:rPr>
        <w:t>C</w:t>
      </w:r>
      <w:r w:rsidRPr="009059BA">
        <w:rPr>
          <w:w w:val="106"/>
          <w:sz w:val="28"/>
          <w:szCs w:val="28"/>
          <w:lang w:val="pt-BR"/>
        </w:rPr>
        <w:t xml:space="preserve">ác </w:t>
      </w:r>
      <w:r w:rsidR="00877AED">
        <w:rPr>
          <w:w w:val="106"/>
          <w:sz w:val="28"/>
          <w:szCs w:val="28"/>
          <w:lang w:val="pt-BR"/>
        </w:rPr>
        <w:t>TCKTHT</w:t>
      </w:r>
      <w:r w:rsidR="006B0255">
        <w:rPr>
          <w:w w:val="106"/>
          <w:sz w:val="28"/>
          <w:szCs w:val="28"/>
          <w:lang w:val="pt-BR"/>
        </w:rPr>
        <w:t xml:space="preserve"> gồm</w:t>
      </w:r>
      <w:r w:rsidRPr="009059BA">
        <w:rPr>
          <w:w w:val="106"/>
          <w:sz w:val="28"/>
          <w:szCs w:val="28"/>
          <w:lang w:val="pt-BR"/>
        </w:rPr>
        <w:t xml:space="preserve"> </w:t>
      </w:r>
      <w:r w:rsidR="009059BA" w:rsidRPr="009059BA">
        <w:rPr>
          <w:w w:val="106"/>
          <w:sz w:val="28"/>
          <w:szCs w:val="28"/>
          <w:lang w:val="pt-BR"/>
        </w:rPr>
        <w:t>THT</w:t>
      </w:r>
      <w:r w:rsidRPr="009059BA">
        <w:rPr>
          <w:w w:val="106"/>
          <w:sz w:val="28"/>
          <w:szCs w:val="28"/>
          <w:lang w:val="pt-BR"/>
        </w:rPr>
        <w:t>, HTX, liên hiệp HTX, liên đoàn HTX</w:t>
      </w:r>
      <w:r w:rsidR="00C64C96">
        <w:rPr>
          <w:w w:val="106"/>
          <w:sz w:val="28"/>
          <w:szCs w:val="28"/>
          <w:lang w:val="pt-BR"/>
        </w:rPr>
        <w:t xml:space="preserve"> là các tổ chức</w:t>
      </w:r>
      <w:r w:rsidRPr="009059BA">
        <w:rPr>
          <w:w w:val="106"/>
          <w:sz w:val="28"/>
          <w:szCs w:val="28"/>
          <w:lang w:val="pt-BR"/>
        </w:rPr>
        <w:t xml:space="preserve"> có cùng hoặc tương đối giống nhau về </w:t>
      </w:r>
      <w:r w:rsidR="002D0485">
        <w:rPr>
          <w:w w:val="106"/>
          <w:sz w:val="28"/>
          <w:szCs w:val="28"/>
          <w:lang w:val="pt-BR"/>
        </w:rPr>
        <w:t xml:space="preserve">bản chất, về </w:t>
      </w:r>
      <w:r w:rsidRPr="009059BA">
        <w:rPr>
          <w:w w:val="106"/>
          <w:sz w:val="28"/>
          <w:szCs w:val="28"/>
          <w:lang w:val="pt-BR"/>
        </w:rPr>
        <w:t xml:space="preserve">nguyên tắc tổ chức, quản lý, hoạt động </w:t>
      </w:r>
      <w:r w:rsidR="00FA28C8" w:rsidRPr="009059BA">
        <w:rPr>
          <w:w w:val="106"/>
          <w:sz w:val="28"/>
          <w:szCs w:val="28"/>
          <w:lang w:val="pt-BR"/>
        </w:rPr>
        <w:t>phục vụ</w:t>
      </w:r>
      <w:r w:rsidRPr="009059BA">
        <w:rPr>
          <w:w w:val="106"/>
          <w:sz w:val="28"/>
          <w:szCs w:val="28"/>
          <w:lang w:val="pt-BR"/>
        </w:rPr>
        <w:t xml:space="preserve"> các thành viên</w:t>
      </w:r>
      <w:r w:rsidR="00F17037">
        <w:rPr>
          <w:w w:val="106"/>
          <w:sz w:val="28"/>
          <w:szCs w:val="28"/>
          <w:lang w:val="pt-BR"/>
        </w:rPr>
        <w:t>.</w:t>
      </w:r>
      <w:r w:rsidRPr="009059BA">
        <w:rPr>
          <w:w w:val="106"/>
          <w:sz w:val="28"/>
          <w:szCs w:val="28"/>
          <w:lang w:val="pt-BR"/>
        </w:rPr>
        <w:t xml:space="preserve"> </w:t>
      </w:r>
      <w:r w:rsidR="00F17037">
        <w:rPr>
          <w:w w:val="106"/>
          <w:sz w:val="28"/>
          <w:szCs w:val="28"/>
          <w:lang w:val="pt-BR"/>
        </w:rPr>
        <w:t>T</w:t>
      </w:r>
      <w:r w:rsidR="00FA28C8" w:rsidRPr="009059BA">
        <w:rPr>
          <w:w w:val="106"/>
          <w:sz w:val="28"/>
          <w:szCs w:val="28"/>
          <w:lang w:val="pt-BR"/>
        </w:rPr>
        <w:t xml:space="preserve">hành viên </w:t>
      </w:r>
      <w:r w:rsidR="00F17037" w:rsidRPr="009059BA">
        <w:rPr>
          <w:w w:val="106"/>
          <w:sz w:val="28"/>
          <w:szCs w:val="28"/>
          <w:lang w:val="pt-BR"/>
        </w:rPr>
        <w:t xml:space="preserve">liên kết, hợp tác dân chủ </w:t>
      </w:r>
      <w:r w:rsidR="00F17037">
        <w:rPr>
          <w:w w:val="106"/>
          <w:sz w:val="28"/>
          <w:szCs w:val="28"/>
          <w:lang w:val="pt-BR"/>
        </w:rPr>
        <w:t xml:space="preserve">với </w:t>
      </w:r>
      <w:r w:rsidR="00FA28C8" w:rsidRPr="009059BA">
        <w:rPr>
          <w:w w:val="106"/>
          <w:sz w:val="28"/>
          <w:szCs w:val="28"/>
          <w:lang w:val="pt-BR"/>
        </w:rPr>
        <w:t xml:space="preserve">nhau trong một tổ chức nhằm </w:t>
      </w:r>
      <w:r w:rsidRPr="009059BA">
        <w:rPr>
          <w:w w:val="106"/>
          <w:sz w:val="28"/>
          <w:szCs w:val="28"/>
          <w:lang w:val="pt-BR"/>
        </w:rPr>
        <w:t xml:space="preserve">đáp ứng </w:t>
      </w:r>
      <w:r w:rsidR="00FA28C8" w:rsidRPr="009059BA">
        <w:rPr>
          <w:w w:val="106"/>
          <w:sz w:val="28"/>
          <w:szCs w:val="28"/>
          <w:lang w:val="pt-BR"/>
        </w:rPr>
        <w:t xml:space="preserve">nhu cầu chung về </w:t>
      </w:r>
      <w:r w:rsidRPr="009059BA">
        <w:rPr>
          <w:w w:val="106"/>
          <w:sz w:val="28"/>
          <w:szCs w:val="28"/>
          <w:lang w:val="pt-BR"/>
        </w:rPr>
        <w:t>kinh tế, văn hóa, xã hội. Các thành viên cùng góp tài sản, góp sức lao động để thực hiện những công việc nhất định, cùng hưởng lợi và cùng chịu trách nhiệm.</w:t>
      </w:r>
    </w:p>
    <w:p w14:paraId="352012C2" w14:textId="3C7695E1" w:rsidR="00FA28C8" w:rsidRPr="00CF117E" w:rsidRDefault="00FA28C8" w:rsidP="0085091E">
      <w:pPr>
        <w:pStyle w:val="ListParagraph"/>
        <w:spacing w:before="120"/>
        <w:ind w:left="0" w:firstLine="720"/>
        <w:contextualSpacing w:val="0"/>
        <w:jc w:val="both"/>
        <w:rPr>
          <w:spacing w:val="-2"/>
          <w:w w:val="106"/>
          <w:sz w:val="28"/>
          <w:szCs w:val="28"/>
          <w:lang w:val="pt-BR"/>
        </w:rPr>
      </w:pPr>
      <w:r w:rsidRPr="00CF117E">
        <w:rPr>
          <w:spacing w:val="-2"/>
          <w:w w:val="106"/>
          <w:sz w:val="28"/>
          <w:szCs w:val="28"/>
          <w:lang w:val="pt-BR"/>
        </w:rPr>
        <w:t xml:space="preserve">Phương án này cũng </w:t>
      </w:r>
      <w:r w:rsidR="00076A6E" w:rsidRPr="00CF117E">
        <w:rPr>
          <w:spacing w:val="-2"/>
          <w:w w:val="106"/>
          <w:sz w:val="28"/>
          <w:szCs w:val="28"/>
          <w:lang w:val="pt-BR"/>
        </w:rPr>
        <w:t>tương tự như</w:t>
      </w:r>
      <w:r w:rsidRPr="00CF117E">
        <w:rPr>
          <w:spacing w:val="-2"/>
          <w:w w:val="106"/>
          <w:sz w:val="28"/>
          <w:szCs w:val="28"/>
          <w:lang w:val="pt-BR"/>
        </w:rPr>
        <w:t xml:space="preserve"> Luật Các tổ chức tín dụng, Luật Doanh nghiệp</w:t>
      </w:r>
      <w:r w:rsidR="00B60159" w:rsidRPr="00CF117E">
        <w:rPr>
          <w:spacing w:val="-2"/>
          <w:w w:val="106"/>
          <w:sz w:val="28"/>
          <w:szCs w:val="28"/>
          <w:lang w:val="pt-BR"/>
        </w:rPr>
        <w:t xml:space="preserve">. Các Luật này </w:t>
      </w:r>
      <w:r w:rsidRPr="00CF117E">
        <w:rPr>
          <w:spacing w:val="-2"/>
          <w:w w:val="106"/>
          <w:sz w:val="28"/>
          <w:szCs w:val="28"/>
          <w:lang w:val="pt-BR"/>
        </w:rPr>
        <w:t>cũng được đặt tên trên cơ sở các loại hình tổ chức tín dụng, doanh nghiệp khác nhau được quy định chung trong cùng một Luật.</w:t>
      </w:r>
    </w:p>
    <w:p w14:paraId="2A7C60AA" w14:textId="77777777" w:rsidR="00FA28C8" w:rsidRPr="00840864" w:rsidRDefault="00FA28C8" w:rsidP="0085091E">
      <w:pPr>
        <w:pStyle w:val="ListParagraph"/>
        <w:spacing w:before="120"/>
        <w:ind w:left="0" w:firstLine="720"/>
        <w:contextualSpacing w:val="0"/>
        <w:jc w:val="both"/>
        <w:rPr>
          <w:spacing w:val="-4"/>
          <w:w w:val="106"/>
          <w:sz w:val="28"/>
          <w:szCs w:val="28"/>
          <w:lang w:val="pt-BR"/>
        </w:rPr>
      </w:pPr>
      <w:r w:rsidRPr="00840864">
        <w:rPr>
          <w:spacing w:val="-4"/>
          <w:w w:val="106"/>
          <w:sz w:val="28"/>
          <w:szCs w:val="28"/>
          <w:lang w:val="pt-BR"/>
        </w:rPr>
        <w:t xml:space="preserve">Tuy nhiên, Phương </w:t>
      </w:r>
      <w:r w:rsidR="00A748F0" w:rsidRPr="00840864">
        <w:rPr>
          <w:spacing w:val="-4"/>
          <w:w w:val="106"/>
          <w:sz w:val="28"/>
          <w:szCs w:val="28"/>
          <w:lang w:val="pt-BR"/>
        </w:rPr>
        <w:t>án này ảnh hưởng đến tính thống nhất của văn bản quy phạm pháp luật, các chính sách hiện hành</w:t>
      </w:r>
      <w:r w:rsidR="00A748F0" w:rsidRPr="00840864">
        <w:rPr>
          <w:rStyle w:val="FootnoteReference"/>
          <w:spacing w:val="-4"/>
          <w:w w:val="106"/>
          <w:sz w:val="28"/>
          <w:szCs w:val="28"/>
          <w:lang w:val="pt-BR"/>
        </w:rPr>
        <w:footnoteReference w:id="24"/>
      </w:r>
      <w:r w:rsidR="00A748F0" w:rsidRPr="00840864">
        <w:rPr>
          <w:spacing w:val="-4"/>
          <w:w w:val="106"/>
          <w:sz w:val="28"/>
          <w:szCs w:val="28"/>
          <w:lang w:val="pt-BR"/>
        </w:rPr>
        <w:t xml:space="preserve">, cần </w:t>
      </w:r>
      <w:r w:rsidR="0094301F" w:rsidRPr="00840864">
        <w:rPr>
          <w:spacing w:val="-4"/>
          <w:w w:val="106"/>
          <w:sz w:val="28"/>
          <w:szCs w:val="28"/>
          <w:lang w:val="pt-BR"/>
        </w:rPr>
        <w:t xml:space="preserve">sửa đổi, </w:t>
      </w:r>
      <w:r w:rsidR="00A748F0" w:rsidRPr="00840864">
        <w:rPr>
          <w:spacing w:val="-4"/>
          <w:w w:val="106"/>
          <w:sz w:val="28"/>
          <w:szCs w:val="28"/>
          <w:lang w:val="pt-BR"/>
        </w:rPr>
        <w:t>điều chỉnh</w:t>
      </w:r>
      <w:r w:rsidR="0094301F" w:rsidRPr="00840864">
        <w:rPr>
          <w:spacing w:val="-4"/>
          <w:w w:val="106"/>
          <w:sz w:val="28"/>
          <w:szCs w:val="28"/>
          <w:lang w:val="pt-BR"/>
        </w:rPr>
        <w:t xml:space="preserve"> lại</w:t>
      </w:r>
      <w:r w:rsidR="00A748F0" w:rsidRPr="00840864">
        <w:rPr>
          <w:spacing w:val="-4"/>
          <w:w w:val="106"/>
          <w:sz w:val="28"/>
          <w:szCs w:val="28"/>
          <w:lang w:val="pt-BR"/>
        </w:rPr>
        <w:t xml:space="preserve"> </w:t>
      </w:r>
      <w:r w:rsidR="0094301F" w:rsidRPr="00840864">
        <w:rPr>
          <w:spacing w:val="-4"/>
          <w:w w:val="106"/>
          <w:sz w:val="28"/>
          <w:szCs w:val="28"/>
          <w:lang w:val="pt-BR"/>
        </w:rPr>
        <w:t xml:space="preserve">cho </w:t>
      </w:r>
      <w:r w:rsidR="00A748F0" w:rsidRPr="00840864">
        <w:rPr>
          <w:spacing w:val="-4"/>
          <w:w w:val="106"/>
          <w:sz w:val="28"/>
          <w:szCs w:val="28"/>
          <w:lang w:val="pt-BR"/>
        </w:rPr>
        <w:t>đồng bộ</w:t>
      </w:r>
      <w:r w:rsidR="00223FEA" w:rsidRPr="00840864">
        <w:rPr>
          <w:spacing w:val="-4"/>
          <w:w w:val="106"/>
          <w:sz w:val="28"/>
          <w:szCs w:val="28"/>
          <w:lang w:val="pt-BR"/>
        </w:rPr>
        <w:t>, thống nhất</w:t>
      </w:r>
      <w:r w:rsidR="0094301F" w:rsidRPr="00840864">
        <w:rPr>
          <w:spacing w:val="-4"/>
          <w:w w:val="106"/>
          <w:sz w:val="28"/>
          <w:szCs w:val="28"/>
          <w:lang w:val="pt-BR"/>
        </w:rPr>
        <w:t>.</w:t>
      </w:r>
      <w:r w:rsidR="00A748F0" w:rsidRPr="00840864">
        <w:rPr>
          <w:spacing w:val="-4"/>
          <w:w w:val="106"/>
          <w:sz w:val="28"/>
          <w:szCs w:val="28"/>
          <w:lang w:val="pt-BR"/>
        </w:rPr>
        <w:t xml:space="preserve"> </w:t>
      </w:r>
      <w:r w:rsidR="0094301F" w:rsidRPr="00840864">
        <w:rPr>
          <w:spacing w:val="-4"/>
          <w:w w:val="106"/>
          <w:sz w:val="28"/>
          <w:szCs w:val="28"/>
          <w:lang w:val="pt-BR"/>
        </w:rPr>
        <w:t>Một số tên gọi gắn với HTX như: Liên minh HTX, Quỹ hỗ trợ phát triển HTX... cũng cần nghiên cứu, xem xét, sửa đổi cho phù hợp.</w:t>
      </w:r>
    </w:p>
    <w:p w14:paraId="0095187A" w14:textId="52A837B8" w:rsidR="00223FEA" w:rsidRPr="002E42E2" w:rsidRDefault="008F099D" w:rsidP="00223FEA">
      <w:pPr>
        <w:pStyle w:val="BodyTextIndent"/>
        <w:spacing w:before="160" w:after="160"/>
        <w:ind w:firstLine="567"/>
        <w:rPr>
          <w:rFonts w:ascii="Times New Roman Bold" w:hAnsi="Times New Roman Bold"/>
          <w:b/>
          <w:spacing w:val="-6"/>
          <w:sz w:val="28"/>
          <w:szCs w:val="28"/>
          <w:lang w:val="eu-ES"/>
        </w:rPr>
      </w:pPr>
      <w:r w:rsidRPr="002E42E2">
        <w:rPr>
          <w:rFonts w:ascii="Times New Roman Bold" w:hAnsi="Times New Roman Bold"/>
          <w:b/>
          <w:spacing w:val="-6"/>
          <w:sz w:val="28"/>
          <w:szCs w:val="28"/>
          <w:lang w:val="eu-ES"/>
        </w:rPr>
        <w:t>2</w:t>
      </w:r>
      <w:r w:rsidR="00223FEA" w:rsidRPr="002E42E2">
        <w:rPr>
          <w:rFonts w:ascii="Times New Roman Bold" w:hAnsi="Times New Roman Bold"/>
          <w:b/>
          <w:spacing w:val="-6"/>
          <w:sz w:val="28"/>
          <w:szCs w:val="28"/>
          <w:lang w:val="eu-ES"/>
        </w:rPr>
        <w:t xml:space="preserve">. Về phân phối thu nhập của </w:t>
      </w:r>
      <w:r w:rsidR="002E42E2" w:rsidRPr="002E42E2">
        <w:rPr>
          <w:rFonts w:ascii="Times New Roman Bold" w:hAnsi="Times New Roman Bold"/>
          <w:b/>
          <w:spacing w:val="-6"/>
          <w:sz w:val="28"/>
          <w:szCs w:val="28"/>
          <w:lang w:val="eu-ES"/>
        </w:rPr>
        <w:t>tổ chức kinh tế hợp tác có tư cách pháp nhân</w:t>
      </w:r>
    </w:p>
    <w:p w14:paraId="72D8B511" w14:textId="45586F0F" w:rsidR="00840864" w:rsidRDefault="00AB739B" w:rsidP="00E45688">
      <w:pPr>
        <w:pStyle w:val="BodyTextIndent"/>
        <w:spacing w:before="160" w:after="160"/>
        <w:ind w:firstLine="709"/>
        <w:rPr>
          <w:rFonts w:ascii="Times New Roman" w:hAnsi="Times New Roman"/>
          <w:i/>
          <w:sz w:val="28"/>
          <w:szCs w:val="28"/>
          <w:lang w:val="eu-ES"/>
        </w:rPr>
      </w:pPr>
      <w:r w:rsidRPr="009059BA">
        <w:rPr>
          <w:rFonts w:ascii="Times New Roman" w:hAnsi="Times New Roman"/>
          <w:sz w:val="28"/>
          <w:szCs w:val="28"/>
          <w:lang w:val="eu-ES"/>
        </w:rPr>
        <w:t xml:space="preserve">Thiết kế Luật HTX (sửa đổi) quy định </w:t>
      </w:r>
      <w:r w:rsidR="001B2CD4">
        <w:rPr>
          <w:rFonts w:ascii="Times New Roman" w:hAnsi="Times New Roman"/>
          <w:sz w:val="28"/>
          <w:szCs w:val="28"/>
          <w:lang w:val="eu-ES"/>
        </w:rPr>
        <w:t xml:space="preserve">tách </w:t>
      </w:r>
      <w:r w:rsidRPr="009059BA">
        <w:rPr>
          <w:rFonts w:ascii="Times New Roman" w:hAnsi="Times New Roman"/>
          <w:sz w:val="28"/>
          <w:szCs w:val="28"/>
          <w:lang w:val="eu-ES"/>
        </w:rPr>
        <w:t xml:space="preserve">riêng giao dịch bên trong và giao dịch bên ngoài </w:t>
      </w:r>
      <w:r w:rsidR="001B2CD4">
        <w:rPr>
          <w:rFonts w:ascii="Times New Roman" w:hAnsi="Times New Roman"/>
          <w:sz w:val="28"/>
          <w:szCs w:val="28"/>
          <w:lang w:val="eu-ES"/>
        </w:rPr>
        <w:t xml:space="preserve">để </w:t>
      </w:r>
      <w:r w:rsidRPr="009059BA">
        <w:rPr>
          <w:rFonts w:ascii="Times New Roman" w:hAnsi="Times New Roman"/>
          <w:sz w:val="28"/>
          <w:szCs w:val="28"/>
          <w:lang w:val="eu-ES"/>
        </w:rPr>
        <w:t xml:space="preserve">phù hợp với </w:t>
      </w:r>
      <w:r w:rsidR="00BB33C6">
        <w:rPr>
          <w:rFonts w:ascii="Times New Roman" w:hAnsi="Times New Roman"/>
          <w:sz w:val="28"/>
          <w:szCs w:val="28"/>
          <w:lang w:val="eu-ES"/>
        </w:rPr>
        <w:t xml:space="preserve">tình hình </w:t>
      </w:r>
      <w:r w:rsidRPr="009059BA">
        <w:rPr>
          <w:rFonts w:ascii="Times New Roman" w:hAnsi="Times New Roman"/>
          <w:sz w:val="28"/>
          <w:szCs w:val="28"/>
          <w:lang w:val="eu-ES"/>
        </w:rPr>
        <w:t>thực tế</w:t>
      </w:r>
      <w:r w:rsidR="001B2CD4">
        <w:rPr>
          <w:rFonts w:ascii="Times New Roman" w:hAnsi="Times New Roman"/>
          <w:sz w:val="28"/>
          <w:szCs w:val="28"/>
          <w:lang w:val="eu-ES"/>
        </w:rPr>
        <w:t xml:space="preserve"> hiện nay ở nước ta.</w:t>
      </w:r>
      <w:r w:rsidRPr="009059BA">
        <w:rPr>
          <w:rFonts w:ascii="Times New Roman" w:hAnsi="Times New Roman"/>
          <w:sz w:val="28"/>
          <w:szCs w:val="28"/>
          <w:lang w:val="eu-ES"/>
        </w:rPr>
        <w:t xml:space="preserve"> </w:t>
      </w:r>
      <w:r w:rsidR="001B2CD4">
        <w:rPr>
          <w:rFonts w:ascii="Times New Roman" w:hAnsi="Times New Roman"/>
          <w:sz w:val="28"/>
          <w:szCs w:val="28"/>
          <w:lang w:val="eu-ES"/>
        </w:rPr>
        <w:t>C</w:t>
      </w:r>
      <w:r w:rsidRPr="009059BA">
        <w:rPr>
          <w:rFonts w:ascii="Times New Roman" w:hAnsi="Times New Roman"/>
          <w:sz w:val="28"/>
          <w:szCs w:val="28"/>
          <w:lang w:val="eu-ES"/>
        </w:rPr>
        <w:t xml:space="preserve">ác HTX, liên hiệp HTX </w:t>
      </w:r>
      <w:r w:rsidR="00BB33C6">
        <w:rPr>
          <w:rFonts w:ascii="Times New Roman" w:hAnsi="Times New Roman"/>
          <w:sz w:val="28"/>
          <w:szCs w:val="28"/>
          <w:lang w:val="eu-ES"/>
        </w:rPr>
        <w:t xml:space="preserve">ở </w:t>
      </w:r>
      <w:r w:rsidRPr="009059BA">
        <w:rPr>
          <w:rFonts w:ascii="Times New Roman" w:hAnsi="Times New Roman"/>
          <w:sz w:val="28"/>
          <w:szCs w:val="28"/>
          <w:lang w:val="eu-ES"/>
        </w:rPr>
        <w:t xml:space="preserve">ngoài phục vụ thành viên (giao dịch bên trong) còn phục vụ </w:t>
      </w:r>
      <w:r w:rsidR="001B2CD4">
        <w:rPr>
          <w:rFonts w:ascii="Times New Roman" w:hAnsi="Times New Roman"/>
          <w:sz w:val="28"/>
          <w:szCs w:val="28"/>
          <w:lang w:val="eu-ES"/>
        </w:rPr>
        <w:t>khách hàng không phải thành viên</w:t>
      </w:r>
      <w:r w:rsidRPr="009059BA">
        <w:rPr>
          <w:rFonts w:ascii="Times New Roman" w:hAnsi="Times New Roman"/>
          <w:sz w:val="28"/>
          <w:szCs w:val="28"/>
          <w:lang w:val="eu-ES"/>
        </w:rPr>
        <w:t xml:space="preserve"> (giao dịch bên ngoài). Phần giao dịch bên trong, phục vụ thành viên </w:t>
      </w:r>
      <w:r w:rsidR="003634F3">
        <w:rPr>
          <w:rFonts w:ascii="Times New Roman" w:hAnsi="Times New Roman"/>
          <w:sz w:val="28"/>
          <w:szCs w:val="28"/>
          <w:lang w:val="eu-ES"/>
        </w:rPr>
        <w:t>thể hiện bản chất tương hỗ giữa các thành viên</w:t>
      </w:r>
      <w:r w:rsidR="009B0D43">
        <w:rPr>
          <w:rFonts w:ascii="Times New Roman" w:hAnsi="Times New Roman"/>
          <w:sz w:val="28"/>
          <w:szCs w:val="28"/>
          <w:lang w:val="eu-ES"/>
        </w:rPr>
        <w:t xml:space="preserve"> của TCKTHT</w:t>
      </w:r>
      <w:r w:rsidRPr="009059BA">
        <w:rPr>
          <w:rFonts w:ascii="Times New Roman" w:hAnsi="Times New Roman"/>
          <w:sz w:val="28"/>
          <w:szCs w:val="28"/>
          <w:lang w:val="eu-ES"/>
        </w:rPr>
        <w:t xml:space="preserve"> và được Nhà nước khuyến khích, hỗ trợ thông qua miễn</w:t>
      </w:r>
      <w:r w:rsidR="00237165">
        <w:rPr>
          <w:rFonts w:ascii="Times New Roman" w:hAnsi="Times New Roman"/>
          <w:sz w:val="28"/>
          <w:szCs w:val="28"/>
          <w:lang w:val="eu-ES"/>
        </w:rPr>
        <w:t xml:space="preserve">, </w:t>
      </w:r>
      <w:r w:rsidRPr="009059BA">
        <w:rPr>
          <w:rFonts w:ascii="Times New Roman" w:hAnsi="Times New Roman"/>
          <w:sz w:val="28"/>
          <w:szCs w:val="28"/>
          <w:lang w:val="eu-ES"/>
        </w:rPr>
        <w:t xml:space="preserve">giảm thuế thu nhập </w:t>
      </w:r>
      <w:r w:rsidR="00BB33C6">
        <w:rPr>
          <w:rFonts w:ascii="Times New Roman" w:hAnsi="Times New Roman"/>
          <w:sz w:val="28"/>
          <w:szCs w:val="28"/>
          <w:lang w:val="eu-ES"/>
        </w:rPr>
        <w:t>doanh nghiệp</w:t>
      </w:r>
      <w:r w:rsidRPr="009059BA">
        <w:rPr>
          <w:rFonts w:ascii="Times New Roman" w:hAnsi="Times New Roman"/>
          <w:sz w:val="28"/>
          <w:szCs w:val="28"/>
          <w:lang w:val="eu-ES"/>
        </w:rPr>
        <w:t xml:space="preserve">. Phần giao dịch bên ngoài được Nhà nước đối xử bình đẳng, phải chịu thuế thu nhập doanh nghiệp giống như doanh nghiệp. Tuy nhiên, </w:t>
      </w:r>
      <w:r w:rsidRPr="009059BA">
        <w:rPr>
          <w:rFonts w:ascii="Times New Roman" w:hAnsi="Times New Roman"/>
          <w:sz w:val="28"/>
          <w:szCs w:val="28"/>
          <w:lang w:val="eu-ES"/>
        </w:rPr>
        <w:lastRenderedPageBreak/>
        <w:t xml:space="preserve">để hạn chế việc </w:t>
      </w:r>
      <w:r w:rsidR="009B0D43">
        <w:rPr>
          <w:rFonts w:ascii="Times New Roman" w:hAnsi="Times New Roman"/>
          <w:sz w:val="28"/>
          <w:szCs w:val="28"/>
          <w:lang w:val="eu-ES"/>
        </w:rPr>
        <w:t>TCKTHT</w:t>
      </w:r>
      <w:r w:rsidRPr="009059BA">
        <w:rPr>
          <w:rFonts w:ascii="Times New Roman" w:hAnsi="Times New Roman"/>
          <w:sz w:val="28"/>
          <w:szCs w:val="28"/>
          <w:lang w:val="eu-ES"/>
        </w:rPr>
        <w:t xml:space="preserve"> chỉ tập trung các hoạt động phục vụ khách hàng bên ngoài,</w:t>
      </w:r>
      <w:r w:rsidR="00923D14">
        <w:rPr>
          <w:rFonts w:ascii="Times New Roman" w:hAnsi="Times New Roman"/>
          <w:sz w:val="28"/>
          <w:szCs w:val="28"/>
          <w:lang w:val="eu-ES"/>
        </w:rPr>
        <w:t xml:space="preserve"> xa rời nguyên tắc </w:t>
      </w:r>
      <w:r w:rsidRPr="009059BA">
        <w:rPr>
          <w:rFonts w:ascii="Times New Roman" w:hAnsi="Times New Roman"/>
          <w:sz w:val="28"/>
          <w:szCs w:val="28"/>
          <w:lang w:val="eu-ES"/>
        </w:rPr>
        <w:t xml:space="preserve">phục vụ </w:t>
      </w:r>
      <w:r w:rsidR="009B0D43">
        <w:rPr>
          <w:rFonts w:ascii="Times New Roman" w:hAnsi="Times New Roman"/>
          <w:sz w:val="28"/>
          <w:szCs w:val="28"/>
          <w:lang w:val="eu-ES"/>
        </w:rPr>
        <w:t xml:space="preserve">và phát triển </w:t>
      </w:r>
      <w:r w:rsidRPr="009059BA">
        <w:rPr>
          <w:rFonts w:ascii="Times New Roman" w:hAnsi="Times New Roman"/>
          <w:sz w:val="28"/>
          <w:szCs w:val="28"/>
          <w:lang w:val="eu-ES"/>
        </w:rPr>
        <w:t>thành viên</w:t>
      </w:r>
      <w:r w:rsidR="009B0D43">
        <w:rPr>
          <w:rFonts w:ascii="Times New Roman" w:hAnsi="Times New Roman"/>
          <w:sz w:val="28"/>
          <w:szCs w:val="28"/>
          <w:lang w:val="eu-ES"/>
        </w:rPr>
        <w:t>,</w:t>
      </w:r>
      <w:r w:rsidRPr="009059BA">
        <w:rPr>
          <w:rFonts w:ascii="Times New Roman" w:hAnsi="Times New Roman"/>
          <w:sz w:val="28"/>
          <w:szCs w:val="28"/>
          <w:lang w:val="eu-ES"/>
        </w:rPr>
        <w:t xml:space="preserve"> thì </w:t>
      </w:r>
      <w:r w:rsidR="00180CF4">
        <w:rPr>
          <w:rFonts w:ascii="Times New Roman" w:hAnsi="Times New Roman"/>
          <w:sz w:val="28"/>
          <w:szCs w:val="28"/>
          <w:lang w:val="eu-ES"/>
        </w:rPr>
        <w:t>lợi nhuận từ</w:t>
      </w:r>
      <w:r w:rsidRPr="009059BA">
        <w:rPr>
          <w:rFonts w:ascii="Times New Roman" w:hAnsi="Times New Roman"/>
          <w:sz w:val="28"/>
          <w:szCs w:val="28"/>
          <w:lang w:val="eu-ES"/>
        </w:rPr>
        <w:t xml:space="preserve"> giao dịch bên ngoài phải trí</w:t>
      </w:r>
      <w:r w:rsidR="009B0D43">
        <w:rPr>
          <w:rFonts w:ascii="Times New Roman" w:hAnsi="Times New Roman"/>
          <w:sz w:val="28"/>
          <w:szCs w:val="28"/>
          <w:lang w:val="eu-ES"/>
        </w:rPr>
        <w:t xml:space="preserve">ch lập vào quỹ chung không chia để </w:t>
      </w:r>
      <w:r w:rsidR="00180CF4">
        <w:rPr>
          <w:rFonts w:ascii="Times New Roman" w:hAnsi="Times New Roman"/>
          <w:sz w:val="28"/>
          <w:szCs w:val="28"/>
          <w:lang w:val="eu-ES"/>
        </w:rPr>
        <w:t>dự phòng tài chính</w:t>
      </w:r>
      <w:r w:rsidR="009B0D43">
        <w:rPr>
          <w:rFonts w:ascii="Times New Roman" w:hAnsi="Times New Roman"/>
          <w:sz w:val="28"/>
          <w:szCs w:val="28"/>
          <w:lang w:val="eu-ES"/>
        </w:rPr>
        <w:t xml:space="preserve"> và </w:t>
      </w:r>
      <w:r w:rsidR="001B2CD4">
        <w:rPr>
          <w:rFonts w:ascii="Times New Roman" w:hAnsi="Times New Roman"/>
          <w:sz w:val="28"/>
          <w:szCs w:val="28"/>
          <w:lang w:val="eu-ES"/>
        </w:rPr>
        <w:t xml:space="preserve">đầu tư </w:t>
      </w:r>
      <w:r w:rsidR="009B0D43">
        <w:rPr>
          <w:rFonts w:ascii="Times New Roman" w:hAnsi="Times New Roman"/>
          <w:sz w:val="28"/>
          <w:szCs w:val="28"/>
          <w:lang w:val="eu-ES"/>
        </w:rPr>
        <w:t>phát triển tài sản chung không chia của các TCKTHT</w:t>
      </w:r>
      <w:r w:rsidRPr="009059BA">
        <w:rPr>
          <w:rFonts w:ascii="Times New Roman" w:hAnsi="Times New Roman"/>
          <w:sz w:val="28"/>
          <w:szCs w:val="28"/>
          <w:lang w:val="eu-ES"/>
        </w:rPr>
        <w:t>.</w:t>
      </w:r>
      <w:r w:rsidR="00FE3EFB" w:rsidRPr="009059BA">
        <w:rPr>
          <w:rFonts w:ascii="Times New Roman" w:hAnsi="Times New Roman"/>
          <w:sz w:val="28"/>
          <w:szCs w:val="28"/>
          <w:lang w:val="eu-ES"/>
        </w:rPr>
        <w:t xml:space="preserve"> Với giải pháp này</w:t>
      </w:r>
      <w:r w:rsidR="005067BF">
        <w:rPr>
          <w:rFonts w:ascii="Times New Roman" w:hAnsi="Times New Roman"/>
          <w:sz w:val="28"/>
          <w:szCs w:val="28"/>
          <w:lang w:val="eu-ES"/>
        </w:rPr>
        <w:t>,</w:t>
      </w:r>
      <w:r w:rsidR="00FE3EFB" w:rsidRPr="009059BA">
        <w:rPr>
          <w:rFonts w:ascii="Times New Roman" w:hAnsi="Times New Roman"/>
          <w:sz w:val="28"/>
          <w:szCs w:val="28"/>
          <w:lang w:val="eu-ES"/>
        </w:rPr>
        <w:t xml:space="preserve"> </w:t>
      </w:r>
      <w:r w:rsidR="00133CAC">
        <w:rPr>
          <w:rFonts w:ascii="Times New Roman" w:hAnsi="Times New Roman"/>
          <w:sz w:val="28"/>
          <w:szCs w:val="28"/>
          <w:lang w:val="eu-ES"/>
        </w:rPr>
        <w:t xml:space="preserve">Nhà nước </w:t>
      </w:r>
      <w:r w:rsidR="005067BF">
        <w:rPr>
          <w:rFonts w:ascii="Times New Roman" w:hAnsi="Times New Roman"/>
          <w:sz w:val="28"/>
          <w:szCs w:val="28"/>
          <w:lang w:val="eu-ES"/>
        </w:rPr>
        <w:t xml:space="preserve">một mặt </w:t>
      </w:r>
      <w:r w:rsidR="00133CAC">
        <w:rPr>
          <w:rFonts w:ascii="Times New Roman" w:hAnsi="Times New Roman"/>
          <w:sz w:val="28"/>
          <w:szCs w:val="28"/>
          <w:lang w:val="eu-ES"/>
        </w:rPr>
        <w:t xml:space="preserve">không can thiệp trực tiếp vào hoạt động sản xuất, kinh doanh của TCKTHT (như đối với quy định hiện nay về </w:t>
      </w:r>
      <w:r w:rsidR="00FE3EFB" w:rsidRPr="009059BA">
        <w:rPr>
          <w:rFonts w:ascii="Times New Roman" w:hAnsi="Times New Roman"/>
          <w:sz w:val="28"/>
          <w:szCs w:val="28"/>
          <w:lang w:val="eu-ES"/>
        </w:rPr>
        <w:t>tỷ lệ tối đa cung ứng sản phẩm, dịch vụ đối với khách hàng không phải là thành viên</w:t>
      </w:r>
      <w:r w:rsidR="00FE3EFB" w:rsidRPr="009059BA">
        <w:rPr>
          <w:rStyle w:val="FootnoteReference"/>
          <w:rFonts w:ascii="Times New Roman" w:hAnsi="Times New Roman"/>
          <w:sz w:val="28"/>
          <w:szCs w:val="28"/>
          <w:lang w:val="eu-ES"/>
        </w:rPr>
        <w:footnoteReference w:id="25"/>
      </w:r>
      <w:r w:rsidR="005067BF">
        <w:rPr>
          <w:rFonts w:ascii="Times New Roman" w:hAnsi="Times New Roman"/>
          <w:sz w:val="28"/>
          <w:szCs w:val="28"/>
          <w:lang w:val="eu-ES"/>
        </w:rPr>
        <w:t xml:space="preserve">), mặt khác vẫn tạo điều kiện thuận lợi để các TCKTHT phát triển </w:t>
      </w:r>
      <w:r w:rsidR="001B2CD4">
        <w:rPr>
          <w:rFonts w:ascii="Times New Roman" w:hAnsi="Times New Roman"/>
          <w:sz w:val="28"/>
          <w:szCs w:val="28"/>
          <w:lang w:val="eu-ES"/>
        </w:rPr>
        <w:t xml:space="preserve">mở rộng </w:t>
      </w:r>
      <w:r w:rsidR="005067BF">
        <w:rPr>
          <w:rFonts w:ascii="Times New Roman" w:hAnsi="Times New Roman"/>
          <w:sz w:val="28"/>
          <w:szCs w:val="28"/>
          <w:lang w:val="eu-ES"/>
        </w:rPr>
        <w:t xml:space="preserve">thị trường, tạo nguồn thu nhập để tăng tích lũy và tài sản chung không chia của mình; qua đó tạo nền tảng cho sự phát triển </w:t>
      </w:r>
      <w:r w:rsidR="00E517BE">
        <w:rPr>
          <w:rFonts w:ascii="Times New Roman" w:hAnsi="Times New Roman"/>
          <w:sz w:val="28"/>
          <w:szCs w:val="28"/>
          <w:lang w:val="eu-ES"/>
        </w:rPr>
        <w:t>ổn định</w:t>
      </w:r>
      <w:r w:rsidR="005067BF">
        <w:rPr>
          <w:rFonts w:ascii="Times New Roman" w:hAnsi="Times New Roman"/>
          <w:sz w:val="28"/>
          <w:szCs w:val="28"/>
          <w:lang w:val="eu-ES"/>
        </w:rPr>
        <w:t xml:space="preserve"> và bền vững của</w:t>
      </w:r>
      <w:r w:rsidR="00171249">
        <w:rPr>
          <w:rFonts w:ascii="Times New Roman" w:hAnsi="Times New Roman"/>
          <w:sz w:val="28"/>
          <w:szCs w:val="28"/>
          <w:lang w:val="eu-ES"/>
        </w:rPr>
        <w:t xml:space="preserve"> các TCKTHT,</w:t>
      </w:r>
      <w:r w:rsidR="005067BF">
        <w:rPr>
          <w:rFonts w:ascii="Times New Roman" w:hAnsi="Times New Roman"/>
          <w:sz w:val="28"/>
          <w:szCs w:val="28"/>
          <w:lang w:val="eu-ES"/>
        </w:rPr>
        <w:t xml:space="preserve"> khu vực KTTT</w:t>
      </w:r>
      <w:r w:rsidR="00171249">
        <w:rPr>
          <w:rFonts w:ascii="Times New Roman" w:hAnsi="Times New Roman"/>
          <w:sz w:val="28"/>
          <w:szCs w:val="28"/>
          <w:lang w:val="eu-ES"/>
        </w:rPr>
        <w:t xml:space="preserve"> ở Việt Nam.</w:t>
      </w:r>
    </w:p>
    <w:p w14:paraId="7EA74895" w14:textId="54014232" w:rsidR="00FE3EFB" w:rsidRPr="009059BA" w:rsidRDefault="00FE3EFB" w:rsidP="00E45688">
      <w:pPr>
        <w:pStyle w:val="BodyTextIndent"/>
        <w:spacing w:before="160" w:after="160"/>
        <w:ind w:firstLine="709"/>
        <w:rPr>
          <w:rFonts w:ascii="Times New Roman" w:hAnsi="Times New Roman"/>
          <w:i/>
          <w:sz w:val="28"/>
          <w:szCs w:val="28"/>
          <w:lang w:val="eu-ES"/>
        </w:rPr>
      </w:pPr>
      <w:r w:rsidRPr="009059BA">
        <w:rPr>
          <w:rFonts w:ascii="Times New Roman" w:hAnsi="Times New Roman"/>
          <w:i/>
          <w:sz w:val="28"/>
          <w:szCs w:val="28"/>
          <w:lang w:val="eu-ES"/>
        </w:rPr>
        <w:t xml:space="preserve">(i) Phương án 1: Trích 100% lợi nhuận hằng năm của </w:t>
      </w:r>
      <w:r w:rsidR="002E17F4">
        <w:rPr>
          <w:rFonts w:ascii="Times New Roman" w:hAnsi="Times New Roman"/>
          <w:i/>
          <w:sz w:val="28"/>
          <w:szCs w:val="28"/>
          <w:lang w:val="eu-ES"/>
        </w:rPr>
        <w:t xml:space="preserve">TCKTHTCTCPN </w:t>
      </w:r>
      <w:r w:rsidRPr="009059BA">
        <w:rPr>
          <w:rFonts w:ascii="Times New Roman" w:hAnsi="Times New Roman"/>
          <w:i/>
          <w:sz w:val="28"/>
          <w:szCs w:val="28"/>
          <w:lang w:val="eu-ES"/>
        </w:rPr>
        <w:t>vào quỹ chung không chia</w:t>
      </w:r>
      <w:r w:rsidR="00604E87" w:rsidRPr="009059BA">
        <w:rPr>
          <w:rFonts w:ascii="Times New Roman" w:hAnsi="Times New Roman"/>
          <w:i/>
          <w:sz w:val="28"/>
          <w:szCs w:val="28"/>
          <w:lang w:val="eu-ES"/>
        </w:rPr>
        <w:t>.</w:t>
      </w:r>
    </w:p>
    <w:p w14:paraId="729867CC" w14:textId="5DA2BEFC" w:rsidR="00604E87" w:rsidRPr="009059BA" w:rsidRDefault="00604E87" w:rsidP="00E45688">
      <w:pPr>
        <w:pStyle w:val="BodyTextIndent"/>
        <w:spacing w:before="160" w:after="160"/>
        <w:ind w:firstLine="709"/>
        <w:rPr>
          <w:rFonts w:ascii="Times New Roman" w:hAnsi="Times New Roman"/>
          <w:sz w:val="28"/>
          <w:szCs w:val="28"/>
          <w:lang w:val="eu-ES"/>
        </w:rPr>
      </w:pPr>
      <w:r w:rsidRPr="009059BA">
        <w:rPr>
          <w:rFonts w:ascii="Times New Roman" w:hAnsi="Times New Roman"/>
          <w:sz w:val="28"/>
          <w:szCs w:val="28"/>
          <w:lang w:val="eu-ES"/>
        </w:rPr>
        <w:t xml:space="preserve">Phương án này giống với quy định của Luật HTX </w:t>
      </w:r>
      <w:r w:rsidR="00BB33C6">
        <w:rPr>
          <w:rFonts w:ascii="Times New Roman" w:hAnsi="Times New Roman"/>
          <w:sz w:val="28"/>
          <w:szCs w:val="28"/>
          <w:lang w:val="eu-ES"/>
        </w:rPr>
        <w:t xml:space="preserve">của </w:t>
      </w:r>
      <w:r w:rsidRPr="009059BA">
        <w:rPr>
          <w:rFonts w:ascii="Times New Roman" w:hAnsi="Times New Roman"/>
          <w:sz w:val="28"/>
          <w:szCs w:val="28"/>
          <w:lang w:val="eu-ES"/>
        </w:rPr>
        <w:t xml:space="preserve">Canada, không khuyến khích HTX hoạt động phục vụ khách hàng bên ngoài. Tuy nhiên, chưa phù hợp với tình hình thực tế tại Việt </w:t>
      </w:r>
      <w:r w:rsidR="001B2CD4">
        <w:rPr>
          <w:rFonts w:ascii="Times New Roman" w:hAnsi="Times New Roman"/>
          <w:sz w:val="28"/>
          <w:szCs w:val="28"/>
          <w:lang w:val="eu-ES"/>
        </w:rPr>
        <w:t>N</w:t>
      </w:r>
      <w:r w:rsidRPr="009059BA">
        <w:rPr>
          <w:rFonts w:ascii="Times New Roman" w:hAnsi="Times New Roman"/>
          <w:sz w:val="28"/>
          <w:szCs w:val="28"/>
          <w:lang w:val="eu-ES"/>
        </w:rPr>
        <w:t xml:space="preserve">am, </w:t>
      </w:r>
      <w:r w:rsidR="00607860">
        <w:rPr>
          <w:rFonts w:ascii="Times New Roman" w:hAnsi="Times New Roman"/>
          <w:sz w:val="28"/>
          <w:szCs w:val="28"/>
          <w:lang w:val="eu-ES"/>
        </w:rPr>
        <w:t xml:space="preserve">khi </w:t>
      </w:r>
      <w:r w:rsidR="00080A6A">
        <w:rPr>
          <w:rFonts w:ascii="Times New Roman" w:hAnsi="Times New Roman"/>
          <w:sz w:val="28"/>
          <w:szCs w:val="28"/>
          <w:lang w:val="eu-ES"/>
        </w:rPr>
        <w:t>các TCKTHT</w:t>
      </w:r>
      <w:r w:rsidR="001662CB">
        <w:rPr>
          <w:rFonts w:ascii="Times New Roman" w:hAnsi="Times New Roman"/>
          <w:sz w:val="28"/>
          <w:szCs w:val="28"/>
          <w:lang w:val="eu-ES"/>
        </w:rPr>
        <w:t>CTCPN</w:t>
      </w:r>
      <w:r w:rsidR="00607860">
        <w:rPr>
          <w:rFonts w:ascii="Times New Roman" w:hAnsi="Times New Roman"/>
          <w:sz w:val="28"/>
          <w:szCs w:val="28"/>
          <w:lang w:val="eu-ES"/>
        </w:rPr>
        <w:t xml:space="preserve"> đa số</w:t>
      </w:r>
      <w:r w:rsidRPr="009059BA">
        <w:rPr>
          <w:rFonts w:ascii="Times New Roman" w:hAnsi="Times New Roman"/>
          <w:sz w:val="28"/>
          <w:szCs w:val="28"/>
          <w:lang w:val="eu-ES"/>
        </w:rPr>
        <w:t xml:space="preserve"> quy mô </w:t>
      </w:r>
      <w:r w:rsidR="00607860">
        <w:rPr>
          <w:rFonts w:ascii="Times New Roman" w:hAnsi="Times New Roman"/>
          <w:sz w:val="28"/>
          <w:szCs w:val="28"/>
          <w:lang w:val="eu-ES"/>
        </w:rPr>
        <w:t xml:space="preserve">còn </w:t>
      </w:r>
      <w:r w:rsidRPr="009059BA">
        <w:rPr>
          <w:rFonts w:ascii="Times New Roman" w:hAnsi="Times New Roman"/>
          <w:sz w:val="28"/>
          <w:szCs w:val="28"/>
          <w:lang w:val="eu-ES"/>
        </w:rPr>
        <w:t xml:space="preserve">nhỏ, đang trong giai đoạn tích lũy tư bản, tìm kiếm lợi nhuận bên ngoài song song với phục vụ thành viên. Do vậy, </w:t>
      </w:r>
      <w:r w:rsidR="00BB33C6">
        <w:rPr>
          <w:rFonts w:ascii="Times New Roman" w:hAnsi="Times New Roman"/>
          <w:sz w:val="28"/>
          <w:szCs w:val="28"/>
          <w:lang w:val="eu-ES"/>
        </w:rPr>
        <w:t xml:space="preserve">quy định này sẽ </w:t>
      </w:r>
      <w:r w:rsidRPr="009059BA">
        <w:rPr>
          <w:rFonts w:ascii="Times New Roman" w:hAnsi="Times New Roman"/>
          <w:sz w:val="28"/>
          <w:szCs w:val="28"/>
          <w:lang w:val="eu-ES"/>
        </w:rPr>
        <w:t>không khuyến khích được cá nhân, phá</w:t>
      </w:r>
      <w:r w:rsidR="00607860">
        <w:rPr>
          <w:rFonts w:ascii="Times New Roman" w:hAnsi="Times New Roman"/>
          <w:sz w:val="28"/>
          <w:szCs w:val="28"/>
          <w:lang w:val="eu-ES"/>
        </w:rPr>
        <w:t>p nhân tham gia và thành lập các TCKTHT</w:t>
      </w:r>
      <w:r w:rsidR="001662CB">
        <w:rPr>
          <w:rFonts w:ascii="Times New Roman" w:hAnsi="Times New Roman"/>
          <w:sz w:val="28"/>
          <w:szCs w:val="28"/>
          <w:lang w:val="eu-ES"/>
        </w:rPr>
        <w:t>CTCPN</w:t>
      </w:r>
      <w:r w:rsidRPr="009059BA">
        <w:rPr>
          <w:rFonts w:ascii="Times New Roman" w:hAnsi="Times New Roman"/>
          <w:sz w:val="28"/>
          <w:szCs w:val="28"/>
          <w:lang w:val="eu-ES"/>
        </w:rPr>
        <w:t xml:space="preserve">. </w:t>
      </w:r>
    </w:p>
    <w:p w14:paraId="5BD2FE0F" w14:textId="77777777" w:rsidR="00604E87" w:rsidRPr="009059BA" w:rsidRDefault="00604E87" w:rsidP="00E45688">
      <w:pPr>
        <w:pStyle w:val="BodyTextIndent"/>
        <w:spacing w:before="160" w:after="160"/>
        <w:ind w:firstLine="709"/>
        <w:rPr>
          <w:rFonts w:ascii="Times New Roman" w:hAnsi="Times New Roman"/>
          <w:i/>
          <w:sz w:val="28"/>
          <w:szCs w:val="28"/>
          <w:lang w:val="eu-ES"/>
        </w:rPr>
      </w:pPr>
      <w:r w:rsidRPr="009059BA">
        <w:rPr>
          <w:rFonts w:ascii="Times New Roman" w:hAnsi="Times New Roman"/>
          <w:i/>
          <w:sz w:val="28"/>
          <w:szCs w:val="28"/>
          <w:lang w:val="eu-ES"/>
        </w:rPr>
        <w:t>(ii) Phương án 2: Trích một phần lợi nhuận hằng năm đưa vào quỹ chung không chia theo tỷ lệ như sau: 5% đối với HTX, 10% đối với liên hiệp HTX, 15% đối với liên đoàn HTX.</w:t>
      </w:r>
    </w:p>
    <w:p w14:paraId="48697684" w14:textId="06CCF8EB" w:rsidR="00FE3EFB" w:rsidRPr="009059BA" w:rsidRDefault="00187414" w:rsidP="00E45688">
      <w:pPr>
        <w:pStyle w:val="BodyTextIndent"/>
        <w:spacing w:before="160" w:after="160"/>
        <w:ind w:firstLine="709"/>
        <w:rPr>
          <w:rFonts w:ascii="Times New Roman" w:hAnsi="Times New Roman"/>
          <w:sz w:val="28"/>
          <w:szCs w:val="28"/>
          <w:lang w:val="eu-ES"/>
        </w:rPr>
      </w:pPr>
      <w:r w:rsidRPr="009059BA">
        <w:rPr>
          <w:rFonts w:ascii="Times New Roman" w:hAnsi="Times New Roman"/>
          <w:sz w:val="28"/>
          <w:szCs w:val="28"/>
        </w:rPr>
        <w:t xml:space="preserve">Phương án này được </w:t>
      </w:r>
      <w:r w:rsidR="00C64C96">
        <w:rPr>
          <w:rFonts w:ascii="Times New Roman" w:hAnsi="Times New Roman"/>
          <w:sz w:val="28"/>
          <w:szCs w:val="28"/>
        </w:rPr>
        <w:t>Cơ quan chủ trì soạn thảo</w:t>
      </w:r>
      <w:r w:rsidRPr="009059BA">
        <w:rPr>
          <w:rFonts w:ascii="Times New Roman" w:hAnsi="Times New Roman"/>
          <w:sz w:val="28"/>
          <w:szCs w:val="28"/>
        </w:rPr>
        <w:t xml:space="preserve"> đề xuất. </w:t>
      </w:r>
      <w:r w:rsidR="00604E87" w:rsidRPr="009059BA">
        <w:rPr>
          <w:rFonts w:ascii="Times New Roman" w:hAnsi="Times New Roman"/>
          <w:sz w:val="28"/>
          <w:szCs w:val="28"/>
          <w:lang w:val="eu-ES"/>
        </w:rPr>
        <w:t xml:space="preserve">Quy định này </w:t>
      </w:r>
      <w:r w:rsidR="00642AB0">
        <w:rPr>
          <w:rFonts w:ascii="Times New Roman" w:hAnsi="Times New Roman"/>
          <w:sz w:val="28"/>
          <w:szCs w:val="28"/>
          <w:lang w:val="eu-ES"/>
        </w:rPr>
        <w:t>vừa tạo được động lực cho các thành viên tham gia TCKTHT</w:t>
      </w:r>
      <w:r w:rsidR="00960CCE">
        <w:rPr>
          <w:rFonts w:ascii="Times New Roman" w:hAnsi="Times New Roman"/>
          <w:sz w:val="28"/>
          <w:szCs w:val="28"/>
          <w:lang w:val="eu-ES"/>
        </w:rPr>
        <w:t>CTCPN</w:t>
      </w:r>
      <w:r w:rsidR="00642AB0">
        <w:rPr>
          <w:rFonts w:ascii="Times New Roman" w:hAnsi="Times New Roman"/>
          <w:sz w:val="28"/>
          <w:szCs w:val="28"/>
          <w:lang w:val="eu-ES"/>
        </w:rPr>
        <w:t>, đồng thời vẫn</w:t>
      </w:r>
      <w:r w:rsidR="00642AB0" w:rsidRPr="009059BA">
        <w:rPr>
          <w:rFonts w:ascii="Times New Roman" w:hAnsi="Times New Roman"/>
          <w:sz w:val="28"/>
          <w:szCs w:val="28"/>
          <w:lang w:val="eu-ES"/>
        </w:rPr>
        <w:t xml:space="preserve"> </w:t>
      </w:r>
      <w:r w:rsidR="00515752">
        <w:rPr>
          <w:rFonts w:ascii="Times New Roman" w:hAnsi="Times New Roman"/>
          <w:sz w:val="28"/>
          <w:szCs w:val="28"/>
          <w:lang w:val="eu-ES"/>
        </w:rPr>
        <w:t>giúp định hướng các TCKTHT</w:t>
      </w:r>
      <w:r w:rsidR="00960CCE">
        <w:rPr>
          <w:rFonts w:ascii="Times New Roman" w:hAnsi="Times New Roman"/>
          <w:sz w:val="28"/>
          <w:szCs w:val="28"/>
          <w:lang w:val="eu-ES"/>
        </w:rPr>
        <w:t>CTCPN</w:t>
      </w:r>
      <w:r w:rsidR="00604E87" w:rsidRPr="009059BA">
        <w:rPr>
          <w:rFonts w:ascii="Times New Roman" w:hAnsi="Times New Roman"/>
          <w:sz w:val="28"/>
          <w:szCs w:val="28"/>
          <w:lang w:val="eu-ES"/>
        </w:rPr>
        <w:t xml:space="preserve"> hoạt động phục vụ thành viên</w:t>
      </w:r>
      <w:r w:rsidRPr="009059BA">
        <w:rPr>
          <w:rFonts w:ascii="Times New Roman" w:hAnsi="Times New Roman"/>
          <w:sz w:val="28"/>
          <w:szCs w:val="28"/>
          <w:lang w:val="eu-ES"/>
        </w:rPr>
        <w:t>.</w:t>
      </w:r>
    </w:p>
    <w:p w14:paraId="10F48378" w14:textId="4014C863" w:rsidR="00FE3EFB" w:rsidRPr="009059BA" w:rsidRDefault="00187414" w:rsidP="00E45688">
      <w:pPr>
        <w:pStyle w:val="BodyTextIndent"/>
        <w:spacing w:before="160" w:after="160"/>
        <w:ind w:firstLine="709"/>
        <w:rPr>
          <w:rFonts w:ascii="Times New Roman" w:hAnsi="Times New Roman"/>
          <w:sz w:val="28"/>
          <w:szCs w:val="28"/>
          <w:lang w:val="eu-ES"/>
        </w:rPr>
      </w:pPr>
      <w:r w:rsidRPr="009059BA">
        <w:rPr>
          <w:rFonts w:ascii="Times New Roman" w:hAnsi="Times New Roman"/>
          <w:sz w:val="28"/>
          <w:szCs w:val="28"/>
          <w:lang w:val="eu-ES"/>
        </w:rPr>
        <w:t>Tỷ lệ này tăng dần đối với các</w:t>
      </w:r>
      <w:r w:rsidR="00642AB0">
        <w:rPr>
          <w:rFonts w:ascii="Times New Roman" w:hAnsi="Times New Roman"/>
          <w:sz w:val="28"/>
          <w:szCs w:val="28"/>
          <w:lang w:val="eu-ES"/>
        </w:rPr>
        <w:t xml:space="preserve"> loại</w:t>
      </w:r>
      <w:r w:rsidRPr="009059BA">
        <w:rPr>
          <w:rFonts w:ascii="Times New Roman" w:hAnsi="Times New Roman"/>
          <w:sz w:val="28"/>
          <w:szCs w:val="28"/>
          <w:lang w:val="eu-ES"/>
        </w:rPr>
        <w:t xml:space="preserve"> hình TCKTHT</w:t>
      </w:r>
      <w:r w:rsidR="00960CCE">
        <w:rPr>
          <w:rFonts w:ascii="Times New Roman" w:hAnsi="Times New Roman"/>
          <w:sz w:val="28"/>
          <w:szCs w:val="28"/>
          <w:lang w:val="eu-ES"/>
        </w:rPr>
        <w:t>CTCPN</w:t>
      </w:r>
      <w:r w:rsidRPr="009059BA">
        <w:rPr>
          <w:rFonts w:ascii="Times New Roman" w:hAnsi="Times New Roman"/>
          <w:sz w:val="28"/>
          <w:szCs w:val="28"/>
          <w:lang w:val="eu-ES"/>
        </w:rPr>
        <w:t xml:space="preserve"> có </w:t>
      </w:r>
      <w:r w:rsidR="00BB33C6">
        <w:rPr>
          <w:rFonts w:ascii="Times New Roman" w:hAnsi="Times New Roman"/>
          <w:sz w:val="28"/>
          <w:szCs w:val="28"/>
          <w:lang w:val="eu-ES"/>
        </w:rPr>
        <w:t>quy mô lớn hơn là liên hiệp HTX và</w:t>
      </w:r>
      <w:r w:rsidRPr="009059BA">
        <w:rPr>
          <w:rFonts w:ascii="Times New Roman" w:hAnsi="Times New Roman"/>
          <w:sz w:val="28"/>
          <w:szCs w:val="28"/>
          <w:lang w:val="eu-ES"/>
        </w:rPr>
        <w:t xml:space="preserve"> liên đoàn HTX </w:t>
      </w:r>
      <w:r w:rsidR="00A83A79">
        <w:rPr>
          <w:rFonts w:ascii="Times New Roman" w:hAnsi="Times New Roman"/>
          <w:sz w:val="28"/>
          <w:szCs w:val="28"/>
          <w:lang w:val="eu-ES"/>
        </w:rPr>
        <w:t>theo nguyên tắc</w:t>
      </w:r>
      <w:r w:rsidR="00BB33C6">
        <w:rPr>
          <w:rFonts w:ascii="Times New Roman" w:hAnsi="Times New Roman"/>
          <w:sz w:val="28"/>
          <w:szCs w:val="28"/>
          <w:lang w:val="eu-ES"/>
        </w:rPr>
        <w:t xml:space="preserve"> tổ chức</w:t>
      </w:r>
      <w:r w:rsidR="00BF1B20">
        <w:rPr>
          <w:rFonts w:ascii="Times New Roman" w:hAnsi="Times New Roman"/>
          <w:sz w:val="28"/>
          <w:szCs w:val="28"/>
          <w:lang w:val="eu-ES"/>
        </w:rPr>
        <w:t xml:space="preserve"> </w:t>
      </w:r>
      <w:r w:rsidR="00BF1B20" w:rsidRPr="005E7302">
        <w:rPr>
          <w:rFonts w:ascii="Times New Roman" w:hAnsi="Times New Roman"/>
          <w:sz w:val="28"/>
          <w:szCs w:val="28"/>
          <w:lang w:val="eu-ES"/>
        </w:rPr>
        <w:t>càng cao,</w:t>
      </w:r>
      <w:r w:rsidRPr="005E7302">
        <w:rPr>
          <w:rFonts w:ascii="Times New Roman" w:hAnsi="Times New Roman"/>
          <w:sz w:val="28"/>
          <w:szCs w:val="28"/>
          <w:lang w:val="eu-ES"/>
        </w:rPr>
        <w:t xml:space="preserve"> </w:t>
      </w:r>
      <w:r w:rsidR="00960CCE">
        <w:rPr>
          <w:rFonts w:ascii="Times New Roman" w:hAnsi="Times New Roman"/>
          <w:sz w:val="28"/>
          <w:szCs w:val="28"/>
          <w:lang w:val="eu-ES"/>
        </w:rPr>
        <w:t xml:space="preserve">càng </w:t>
      </w:r>
      <w:r w:rsidR="005E7302" w:rsidRPr="005E7302">
        <w:rPr>
          <w:rFonts w:ascii="Times New Roman" w:hAnsi="Times New Roman"/>
          <w:sz w:val="28"/>
          <w:szCs w:val="28"/>
          <w:lang w:val="eu-ES"/>
        </w:rPr>
        <w:t xml:space="preserve">có nhiều thành viên thì </w:t>
      </w:r>
      <w:r w:rsidR="00960CCE">
        <w:rPr>
          <w:rFonts w:ascii="Times New Roman" w:hAnsi="Times New Roman"/>
          <w:sz w:val="28"/>
          <w:szCs w:val="28"/>
          <w:lang w:val="eu-ES"/>
        </w:rPr>
        <w:t>đòi hỏi nguồn vốn quỹ, tài sản chung không chia càng lớn để có thể đáp ứng nhu c</w:t>
      </w:r>
      <w:r w:rsidR="00826FF0">
        <w:rPr>
          <w:rFonts w:ascii="Times New Roman" w:hAnsi="Times New Roman"/>
          <w:sz w:val="28"/>
          <w:szCs w:val="28"/>
          <w:lang w:val="eu-ES"/>
        </w:rPr>
        <w:t>ầu cung cấp sản phẩm, dịch vụ</w:t>
      </w:r>
      <w:r w:rsidR="00960CCE">
        <w:rPr>
          <w:rFonts w:ascii="Times New Roman" w:hAnsi="Times New Roman"/>
          <w:sz w:val="28"/>
          <w:szCs w:val="28"/>
          <w:lang w:val="eu-ES"/>
        </w:rPr>
        <w:t xml:space="preserve"> cho số lượng thành viên lớn</w:t>
      </w:r>
      <w:r w:rsidR="00BA467C">
        <w:rPr>
          <w:rFonts w:ascii="Times New Roman" w:hAnsi="Times New Roman"/>
          <w:sz w:val="28"/>
          <w:szCs w:val="28"/>
          <w:lang w:val="eu-ES"/>
        </w:rPr>
        <w:t xml:space="preserve"> hơn</w:t>
      </w:r>
      <w:r w:rsidRPr="005E7302">
        <w:rPr>
          <w:rFonts w:ascii="Times New Roman" w:hAnsi="Times New Roman"/>
          <w:sz w:val="28"/>
          <w:szCs w:val="28"/>
          <w:lang w:val="eu-ES"/>
        </w:rPr>
        <w:t>.</w:t>
      </w:r>
    </w:p>
    <w:p w14:paraId="0F643A16" w14:textId="2758B3A5" w:rsidR="00187414" w:rsidRPr="009059BA" w:rsidRDefault="00187414" w:rsidP="00E45688">
      <w:pPr>
        <w:pStyle w:val="BodyTextIndent"/>
        <w:spacing w:before="160" w:after="160"/>
        <w:ind w:firstLine="709"/>
        <w:rPr>
          <w:rFonts w:ascii="Times New Roman" w:hAnsi="Times New Roman"/>
          <w:sz w:val="28"/>
          <w:szCs w:val="28"/>
          <w:lang w:val="eu-ES"/>
        </w:rPr>
      </w:pPr>
      <w:r w:rsidRPr="009059BA">
        <w:rPr>
          <w:rFonts w:ascii="Times New Roman" w:hAnsi="Times New Roman"/>
          <w:sz w:val="28"/>
          <w:szCs w:val="28"/>
          <w:lang w:val="eu-ES"/>
        </w:rPr>
        <w:t xml:space="preserve">Tuy nhiên, </w:t>
      </w:r>
      <w:r w:rsidR="00BF1B20">
        <w:rPr>
          <w:rFonts w:ascii="Times New Roman" w:hAnsi="Times New Roman"/>
          <w:sz w:val="28"/>
          <w:szCs w:val="28"/>
          <w:lang w:val="eu-ES"/>
        </w:rPr>
        <w:t>một số</w:t>
      </w:r>
      <w:r w:rsidRPr="009059BA">
        <w:rPr>
          <w:rFonts w:ascii="Times New Roman" w:hAnsi="Times New Roman"/>
          <w:sz w:val="28"/>
          <w:szCs w:val="28"/>
          <w:lang w:val="eu-ES"/>
        </w:rPr>
        <w:t xml:space="preserve"> ý kiến cho rằng tỷ lệ này còn thấp.</w:t>
      </w:r>
    </w:p>
    <w:p w14:paraId="131506E8" w14:textId="1F580C6B" w:rsidR="00187414" w:rsidRPr="009059BA" w:rsidRDefault="00187414" w:rsidP="00E45688">
      <w:pPr>
        <w:pStyle w:val="BodyTextIndent"/>
        <w:spacing w:before="160" w:after="160"/>
        <w:ind w:firstLine="709"/>
        <w:rPr>
          <w:rFonts w:ascii="Times New Roman" w:hAnsi="Times New Roman"/>
          <w:i/>
          <w:sz w:val="28"/>
          <w:szCs w:val="28"/>
          <w:lang w:val="eu-ES"/>
        </w:rPr>
      </w:pPr>
      <w:r w:rsidRPr="009059BA">
        <w:rPr>
          <w:rFonts w:ascii="Times New Roman" w:hAnsi="Times New Roman"/>
          <w:i/>
          <w:sz w:val="28"/>
          <w:szCs w:val="28"/>
          <w:lang w:val="eu-ES"/>
        </w:rPr>
        <w:t>(iii) Phương án 3: Trích một phần lợi nhuận hằng năm đưa vào quỹ chung không chia theo tỷ lệ như sau: 20% đối với HTX, 25% đối với liên hiệp HTX, 30% đối với liên đoàn HTX</w:t>
      </w:r>
      <w:r w:rsidR="00D972BA">
        <w:rPr>
          <w:rFonts w:ascii="Times New Roman" w:hAnsi="Times New Roman"/>
          <w:i/>
          <w:sz w:val="28"/>
          <w:szCs w:val="28"/>
          <w:lang w:val="eu-ES"/>
        </w:rPr>
        <w:t>.</w:t>
      </w:r>
    </w:p>
    <w:p w14:paraId="28B6AC81" w14:textId="374A14CC" w:rsidR="00187414" w:rsidRPr="00E45688" w:rsidRDefault="00187414" w:rsidP="00E45688">
      <w:pPr>
        <w:pStyle w:val="BodyTextIndent"/>
        <w:spacing w:before="160" w:after="160"/>
        <w:ind w:firstLine="709"/>
        <w:rPr>
          <w:rFonts w:ascii="Times New Roman" w:hAnsi="Times New Roman"/>
          <w:spacing w:val="-4"/>
          <w:sz w:val="28"/>
          <w:szCs w:val="28"/>
          <w:lang w:val="eu-ES"/>
        </w:rPr>
      </w:pPr>
      <w:r w:rsidRPr="00E45688">
        <w:rPr>
          <w:rFonts w:ascii="Times New Roman" w:hAnsi="Times New Roman"/>
          <w:spacing w:val="-4"/>
          <w:sz w:val="28"/>
          <w:szCs w:val="28"/>
          <w:lang w:val="eu-ES"/>
        </w:rPr>
        <w:t>Có ý kiến cho rằng tỷ lệ này phải cao hơn</w:t>
      </w:r>
      <w:r w:rsidR="001B2CD4">
        <w:rPr>
          <w:rFonts w:ascii="Times New Roman" w:hAnsi="Times New Roman"/>
          <w:spacing w:val="-4"/>
          <w:sz w:val="28"/>
          <w:szCs w:val="28"/>
          <w:lang w:val="eu-ES"/>
        </w:rPr>
        <w:t>.</w:t>
      </w:r>
      <w:r w:rsidRPr="00E45688">
        <w:rPr>
          <w:rFonts w:ascii="Times New Roman" w:hAnsi="Times New Roman"/>
          <w:spacing w:val="-4"/>
          <w:sz w:val="28"/>
          <w:szCs w:val="28"/>
          <w:lang w:val="eu-ES"/>
        </w:rPr>
        <w:t xml:space="preserve"> </w:t>
      </w:r>
      <w:r w:rsidR="001B2CD4">
        <w:rPr>
          <w:rFonts w:ascii="Times New Roman" w:hAnsi="Times New Roman"/>
          <w:spacing w:val="-4"/>
          <w:sz w:val="28"/>
          <w:szCs w:val="28"/>
          <w:lang w:val="eu-ES"/>
        </w:rPr>
        <w:t>T</w:t>
      </w:r>
      <w:r w:rsidRPr="00E45688">
        <w:rPr>
          <w:rFonts w:ascii="Times New Roman" w:hAnsi="Times New Roman"/>
          <w:spacing w:val="-4"/>
          <w:sz w:val="28"/>
          <w:szCs w:val="28"/>
          <w:lang w:val="eu-ES"/>
        </w:rPr>
        <w:t xml:space="preserve">ỷ </w:t>
      </w:r>
      <w:r w:rsidR="001803B2" w:rsidRPr="00E45688">
        <w:rPr>
          <w:rFonts w:ascii="Times New Roman" w:hAnsi="Times New Roman"/>
          <w:spacing w:val="-4"/>
          <w:sz w:val="28"/>
          <w:szCs w:val="28"/>
          <w:lang w:val="eu-ES"/>
        </w:rPr>
        <w:t xml:space="preserve">lệ </w:t>
      </w:r>
      <w:r w:rsidRPr="00E45688">
        <w:rPr>
          <w:rFonts w:ascii="Times New Roman" w:hAnsi="Times New Roman"/>
          <w:spacing w:val="-4"/>
          <w:sz w:val="28"/>
          <w:szCs w:val="28"/>
          <w:lang w:val="eu-ES"/>
        </w:rPr>
        <w:t>trích lập vào quỹ chung không chia từ giao dịch bên ngoài</w:t>
      </w:r>
      <w:r w:rsidR="001B2CD4">
        <w:rPr>
          <w:rFonts w:ascii="Times New Roman" w:hAnsi="Times New Roman"/>
          <w:spacing w:val="-4"/>
          <w:sz w:val="28"/>
          <w:szCs w:val="28"/>
          <w:lang w:val="eu-ES"/>
        </w:rPr>
        <w:t xml:space="preserve"> theo phương án 2</w:t>
      </w:r>
      <w:r w:rsidRPr="00E45688">
        <w:rPr>
          <w:rFonts w:ascii="Times New Roman" w:hAnsi="Times New Roman"/>
          <w:spacing w:val="-4"/>
          <w:sz w:val="28"/>
          <w:szCs w:val="28"/>
          <w:lang w:val="eu-ES"/>
        </w:rPr>
        <w:t xml:space="preserve"> đang thấp hơn so với giao dịch bên trong. Phần miễn thuế thu nhập doanh nghiệp đối với thặng dư </w:t>
      </w:r>
      <w:r w:rsidR="001B2CD4">
        <w:rPr>
          <w:rFonts w:ascii="Times New Roman" w:hAnsi="Times New Roman"/>
          <w:spacing w:val="-4"/>
          <w:sz w:val="28"/>
          <w:szCs w:val="28"/>
          <w:lang w:val="eu-ES"/>
        </w:rPr>
        <w:t>(</w:t>
      </w:r>
      <w:r w:rsidR="001B2CD4" w:rsidRPr="00E45688">
        <w:rPr>
          <w:rFonts w:ascii="Times New Roman" w:hAnsi="Times New Roman"/>
          <w:spacing w:val="-4"/>
          <w:sz w:val="28"/>
          <w:szCs w:val="28"/>
          <w:lang w:val="eu-ES"/>
        </w:rPr>
        <w:t xml:space="preserve">tương đương </w:t>
      </w:r>
      <w:r w:rsidR="001B2CD4" w:rsidRPr="00E45688">
        <w:rPr>
          <w:rFonts w:ascii="Times New Roman" w:hAnsi="Times New Roman"/>
          <w:spacing w:val="-4"/>
          <w:sz w:val="28"/>
          <w:szCs w:val="28"/>
          <w:lang w:val="eu-ES"/>
        </w:rPr>
        <w:lastRenderedPageBreak/>
        <w:t>20% thặng dư</w:t>
      </w:r>
      <w:r w:rsidR="001B2CD4">
        <w:rPr>
          <w:rFonts w:ascii="Times New Roman" w:hAnsi="Times New Roman"/>
          <w:spacing w:val="-4"/>
          <w:sz w:val="28"/>
          <w:szCs w:val="28"/>
          <w:lang w:val="eu-ES"/>
        </w:rPr>
        <w:t>)</w:t>
      </w:r>
      <w:r w:rsidR="001B2CD4" w:rsidRPr="00E45688">
        <w:rPr>
          <w:rFonts w:ascii="Times New Roman" w:hAnsi="Times New Roman"/>
          <w:spacing w:val="-4"/>
          <w:sz w:val="28"/>
          <w:szCs w:val="28"/>
          <w:lang w:val="eu-ES"/>
        </w:rPr>
        <w:t xml:space="preserve"> </w:t>
      </w:r>
      <w:r w:rsidRPr="00E45688">
        <w:rPr>
          <w:rFonts w:ascii="Times New Roman" w:hAnsi="Times New Roman"/>
          <w:spacing w:val="-4"/>
          <w:sz w:val="28"/>
          <w:szCs w:val="28"/>
          <w:lang w:val="eu-ES"/>
        </w:rPr>
        <w:t>từ giao dịch bên trong phải để lại vào quỹ chung không chia</w:t>
      </w:r>
      <w:r w:rsidR="004078D2" w:rsidRPr="00E45688">
        <w:rPr>
          <w:rStyle w:val="FootnoteReference"/>
          <w:rFonts w:ascii="Times New Roman" w:hAnsi="Times New Roman"/>
          <w:spacing w:val="-4"/>
          <w:sz w:val="28"/>
          <w:szCs w:val="28"/>
          <w:lang w:val="eu-ES"/>
        </w:rPr>
        <w:footnoteReference w:id="26"/>
      </w:r>
      <w:r w:rsidRPr="00E45688">
        <w:rPr>
          <w:rFonts w:ascii="Times New Roman" w:hAnsi="Times New Roman"/>
          <w:spacing w:val="-4"/>
          <w:sz w:val="28"/>
          <w:szCs w:val="28"/>
          <w:lang w:val="eu-ES"/>
        </w:rPr>
        <w:t xml:space="preserve">. Do đó, </w:t>
      </w:r>
      <w:r w:rsidR="001803B2" w:rsidRPr="00E45688">
        <w:rPr>
          <w:rFonts w:ascii="Times New Roman" w:hAnsi="Times New Roman"/>
          <w:spacing w:val="-4"/>
          <w:sz w:val="28"/>
          <w:szCs w:val="28"/>
          <w:lang w:val="eu-ES"/>
        </w:rPr>
        <w:t xml:space="preserve">cần </w:t>
      </w:r>
      <w:r w:rsidRPr="00E45688">
        <w:rPr>
          <w:rFonts w:ascii="Times New Roman" w:hAnsi="Times New Roman"/>
          <w:spacing w:val="-4"/>
          <w:sz w:val="28"/>
          <w:szCs w:val="28"/>
          <w:lang w:val="eu-ES"/>
        </w:rPr>
        <w:t xml:space="preserve">quy định tỷ lệ trích lập tối thiểu 20% lợi nhuận </w:t>
      </w:r>
      <w:r w:rsidR="001B2CD4" w:rsidRPr="00E45688">
        <w:rPr>
          <w:rFonts w:ascii="Times New Roman" w:hAnsi="Times New Roman"/>
          <w:spacing w:val="-4"/>
          <w:sz w:val="28"/>
          <w:szCs w:val="28"/>
          <w:lang w:val="eu-ES"/>
        </w:rPr>
        <w:t xml:space="preserve">từ phần giao dịch bên ngoài </w:t>
      </w:r>
      <w:r w:rsidRPr="00E45688">
        <w:rPr>
          <w:rFonts w:ascii="Times New Roman" w:hAnsi="Times New Roman"/>
          <w:spacing w:val="-4"/>
          <w:sz w:val="28"/>
          <w:szCs w:val="28"/>
          <w:lang w:val="eu-ES"/>
        </w:rPr>
        <w:t>đối với HTX</w:t>
      </w:r>
      <w:r w:rsidR="004078D2" w:rsidRPr="00E45688">
        <w:rPr>
          <w:rFonts w:ascii="Times New Roman" w:hAnsi="Times New Roman"/>
          <w:spacing w:val="-4"/>
          <w:sz w:val="28"/>
          <w:szCs w:val="28"/>
          <w:lang w:val="eu-ES"/>
        </w:rPr>
        <w:t>. Quy định tỷ lệ trích lập quỹ chung cao giúp</w:t>
      </w:r>
      <w:r w:rsidRPr="00E45688">
        <w:rPr>
          <w:rFonts w:ascii="Times New Roman" w:hAnsi="Times New Roman"/>
          <w:spacing w:val="-4"/>
          <w:sz w:val="28"/>
          <w:szCs w:val="28"/>
          <w:lang w:val="eu-ES"/>
        </w:rPr>
        <w:t xml:space="preserve"> nâng cao hiệu lực, hiệu quả trong việc định hướng các HTX hoạt động </w:t>
      </w:r>
      <w:r w:rsidR="004078D2" w:rsidRPr="00E45688">
        <w:rPr>
          <w:rFonts w:ascii="Times New Roman" w:hAnsi="Times New Roman"/>
          <w:spacing w:val="-4"/>
          <w:sz w:val="28"/>
          <w:szCs w:val="28"/>
          <w:lang w:val="eu-ES"/>
        </w:rPr>
        <w:t xml:space="preserve">phục vụ </w:t>
      </w:r>
      <w:r w:rsidRPr="00E45688">
        <w:rPr>
          <w:rFonts w:ascii="Times New Roman" w:hAnsi="Times New Roman"/>
          <w:spacing w:val="-4"/>
          <w:sz w:val="28"/>
          <w:szCs w:val="28"/>
          <w:lang w:val="eu-ES"/>
        </w:rPr>
        <w:t>bên ngoài quay trở lại vào phục vụ thành viên.</w:t>
      </w:r>
    </w:p>
    <w:p w14:paraId="03048983" w14:textId="77777777" w:rsidR="00997CA6" w:rsidRPr="009059BA" w:rsidRDefault="008F099D" w:rsidP="00471DA2">
      <w:pPr>
        <w:spacing w:before="120" w:after="120" w:line="240" w:lineRule="auto"/>
        <w:ind w:firstLine="567"/>
        <w:jc w:val="both"/>
        <w:rPr>
          <w:rFonts w:ascii="Times New Roman" w:eastAsia="Times New Roman" w:hAnsi="Times New Roman" w:cs="Times New Roman"/>
          <w:b/>
          <w:sz w:val="28"/>
          <w:szCs w:val="28"/>
          <w:lang w:val="eu-ES"/>
        </w:rPr>
      </w:pPr>
      <w:r>
        <w:rPr>
          <w:rFonts w:ascii="Times New Roman" w:eastAsia="Times New Roman" w:hAnsi="Times New Roman" w:cs="Times New Roman"/>
          <w:b/>
          <w:sz w:val="28"/>
          <w:szCs w:val="28"/>
          <w:lang w:val="eu-ES"/>
        </w:rPr>
        <w:t>3</w:t>
      </w:r>
      <w:r w:rsidR="00223FEA" w:rsidRPr="009059BA">
        <w:rPr>
          <w:rFonts w:ascii="Times New Roman" w:eastAsia="Times New Roman" w:hAnsi="Times New Roman" w:cs="Times New Roman"/>
          <w:b/>
          <w:sz w:val="28"/>
          <w:szCs w:val="28"/>
          <w:lang w:val="eu-ES"/>
        </w:rPr>
        <w:t>. Về xử lý tài sản chung không chia</w:t>
      </w:r>
    </w:p>
    <w:p w14:paraId="601C265A" w14:textId="0C427E70" w:rsidR="00223FEA" w:rsidRPr="009059BA" w:rsidRDefault="00223FEA" w:rsidP="00E45688">
      <w:pPr>
        <w:pStyle w:val="BodyTextIndent"/>
        <w:spacing w:before="160" w:after="160"/>
        <w:ind w:firstLine="709"/>
        <w:rPr>
          <w:rFonts w:ascii="Times New Roman" w:hAnsi="Times New Roman"/>
          <w:i/>
          <w:sz w:val="28"/>
          <w:szCs w:val="28"/>
          <w:lang w:val="eu-ES"/>
        </w:rPr>
      </w:pPr>
      <w:r w:rsidRPr="009059BA">
        <w:rPr>
          <w:rFonts w:ascii="Times New Roman" w:hAnsi="Times New Roman"/>
          <w:i/>
          <w:sz w:val="28"/>
          <w:szCs w:val="28"/>
          <w:lang w:val="eu-ES"/>
        </w:rPr>
        <w:t xml:space="preserve">(i) Phương án 1: </w:t>
      </w:r>
      <w:r w:rsidR="00877AED">
        <w:rPr>
          <w:rFonts w:ascii="Times New Roman" w:hAnsi="Times New Roman"/>
          <w:i/>
          <w:sz w:val="28"/>
          <w:szCs w:val="28"/>
          <w:lang w:val="eu-ES"/>
        </w:rPr>
        <w:t>TCKTHT</w:t>
      </w:r>
      <w:r w:rsidR="001803B2">
        <w:rPr>
          <w:rFonts w:ascii="Times New Roman" w:hAnsi="Times New Roman"/>
          <w:i/>
          <w:sz w:val="28"/>
          <w:szCs w:val="28"/>
          <w:lang w:val="eu-ES"/>
        </w:rPr>
        <w:t>CTCPN</w:t>
      </w:r>
      <w:r w:rsidR="00C87E55" w:rsidRPr="009059BA">
        <w:rPr>
          <w:rFonts w:ascii="Times New Roman" w:hAnsi="Times New Roman"/>
          <w:i/>
          <w:sz w:val="28"/>
          <w:szCs w:val="28"/>
          <w:lang w:val="eu-ES"/>
        </w:rPr>
        <w:t xml:space="preserve"> </w:t>
      </w:r>
      <w:r w:rsidRPr="009059BA">
        <w:rPr>
          <w:rFonts w:ascii="Times New Roman" w:hAnsi="Times New Roman"/>
          <w:i/>
          <w:sz w:val="28"/>
          <w:szCs w:val="28"/>
          <w:lang w:val="eu-ES"/>
        </w:rPr>
        <w:t>được phép bán</w:t>
      </w:r>
      <w:r w:rsidR="001E29B8" w:rsidRPr="009059BA">
        <w:rPr>
          <w:rFonts w:ascii="Times New Roman" w:hAnsi="Times New Roman"/>
          <w:i/>
          <w:sz w:val="28"/>
          <w:szCs w:val="28"/>
          <w:lang w:val="eu-ES"/>
        </w:rPr>
        <w:t xml:space="preserve"> trong quá trình hoạt động</w:t>
      </w:r>
      <w:r w:rsidR="00C87E55" w:rsidRPr="009059BA">
        <w:rPr>
          <w:rFonts w:ascii="Times New Roman" w:hAnsi="Times New Roman"/>
          <w:i/>
          <w:sz w:val="28"/>
          <w:szCs w:val="28"/>
          <w:lang w:val="eu-ES"/>
        </w:rPr>
        <w:t xml:space="preserve"> tài sản chung không chia</w:t>
      </w:r>
      <w:r w:rsidR="008365F9" w:rsidRPr="009059BA">
        <w:rPr>
          <w:rFonts w:ascii="Times New Roman" w:hAnsi="Times New Roman"/>
          <w:i/>
          <w:sz w:val="28"/>
          <w:szCs w:val="28"/>
          <w:lang w:val="eu-ES"/>
        </w:rPr>
        <w:t xml:space="preserve">. Quỹ chung không chia được phép sử dụng theo quy định của Điều lệ để bù đắp trong trường hợp </w:t>
      </w:r>
      <w:r w:rsidR="001803B2">
        <w:rPr>
          <w:rFonts w:ascii="Times New Roman" w:hAnsi="Times New Roman"/>
          <w:i/>
          <w:sz w:val="28"/>
          <w:szCs w:val="28"/>
          <w:lang w:val="eu-ES"/>
        </w:rPr>
        <w:t xml:space="preserve">TCKTHTCTCPN </w:t>
      </w:r>
      <w:r w:rsidR="008365F9" w:rsidRPr="009059BA">
        <w:rPr>
          <w:rFonts w:ascii="Times New Roman" w:hAnsi="Times New Roman"/>
          <w:i/>
          <w:sz w:val="28"/>
          <w:szCs w:val="28"/>
          <w:lang w:val="eu-ES"/>
        </w:rPr>
        <w:t xml:space="preserve">đã xử lý giảm lỗ nhưng vẫn không đủ. </w:t>
      </w:r>
    </w:p>
    <w:p w14:paraId="32F83AA4" w14:textId="0628D1BE" w:rsidR="001E29B8" w:rsidRPr="009059BA" w:rsidRDefault="00604E87" w:rsidP="00E45688">
      <w:pPr>
        <w:pStyle w:val="NormalWeb"/>
        <w:spacing w:before="120" w:beforeAutospacing="0" w:after="120" w:afterAutospacing="0"/>
        <w:ind w:firstLine="709"/>
        <w:jc w:val="both"/>
        <w:rPr>
          <w:i/>
          <w:sz w:val="28"/>
          <w:szCs w:val="28"/>
        </w:rPr>
      </w:pPr>
      <w:r w:rsidRPr="009059BA">
        <w:rPr>
          <w:sz w:val="28"/>
          <w:szCs w:val="28"/>
        </w:rPr>
        <w:t xml:space="preserve">Phương án này được </w:t>
      </w:r>
      <w:r w:rsidR="00C64C96">
        <w:rPr>
          <w:sz w:val="28"/>
          <w:szCs w:val="28"/>
        </w:rPr>
        <w:t>Cơ quan chủ trì soạn thảo</w:t>
      </w:r>
      <w:r w:rsidRPr="009059BA">
        <w:rPr>
          <w:sz w:val="28"/>
          <w:szCs w:val="28"/>
        </w:rPr>
        <w:t xml:space="preserve"> đề xuất</w:t>
      </w:r>
      <w:r w:rsidR="00FA4716" w:rsidRPr="009059BA">
        <w:rPr>
          <w:sz w:val="28"/>
          <w:szCs w:val="28"/>
        </w:rPr>
        <w:t xml:space="preserve"> trong Dự thảo Luật</w:t>
      </w:r>
      <w:r w:rsidR="00B07124">
        <w:rPr>
          <w:sz w:val="28"/>
          <w:szCs w:val="28"/>
        </w:rPr>
        <w:t xml:space="preserve"> theo hướng:</w:t>
      </w:r>
      <w:r w:rsidR="00FA4716" w:rsidRPr="009059BA">
        <w:rPr>
          <w:sz w:val="28"/>
          <w:szCs w:val="28"/>
        </w:rPr>
        <w:t xml:space="preserve"> </w:t>
      </w:r>
      <w:r w:rsidR="001E29B8" w:rsidRPr="00B07124">
        <w:rPr>
          <w:sz w:val="28"/>
          <w:szCs w:val="28"/>
        </w:rPr>
        <w:t xml:space="preserve">Trường hợp tài sản chung </w:t>
      </w:r>
      <w:r w:rsidR="00C17709" w:rsidRPr="00B07124">
        <w:rPr>
          <w:sz w:val="28"/>
          <w:szCs w:val="28"/>
          <w:lang w:val="vi-VN"/>
        </w:rPr>
        <w:t>không chia lạc hậu công nghệ, hết khấu hao hoặc hư hỏng không thể sửa chữa</w:t>
      </w:r>
      <w:r w:rsidR="001E29B8" w:rsidRPr="00B07124">
        <w:rPr>
          <w:sz w:val="28"/>
          <w:szCs w:val="28"/>
        </w:rPr>
        <w:t xml:space="preserve">, </w:t>
      </w:r>
      <w:r w:rsidR="00877AED" w:rsidRPr="00B07124">
        <w:rPr>
          <w:sz w:val="28"/>
          <w:szCs w:val="28"/>
        </w:rPr>
        <w:t>TCKTHT</w:t>
      </w:r>
      <w:r w:rsidR="001803B2" w:rsidRPr="00B07124">
        <w:rPr>
          <w:sz w:val="28"/>
          <w:szCs w:val="28"/>
        </w:rPr>
        <w:t>CTCPN</w:t>
      </w:r>
      <w:r w:rsidR="002E097A" w:rsidRPr="00B07124">
        <w:rPr>
          <w:sz w:val="28"/>
          <w:szCs w:val="28"/>
        </w:rPr>
        <w:t xml:space="preserve"> được phép </w:t>
      </w:r>
      <w:r w:rsidR="00B07124" w:rsidRPr="00B07124">
        <w:rPr>
          <w:sz w:val="28"/>
          <w:szCs w:val="28"/>
        </w:rPr>
        <w:t>chuyển nhượng cho tổ chức kinh tế hợp tác khác hoặc</w:t>
      </w:r>
      <w:r w:rsidR="00A721A9" w:rsidRPr="00B07124">
        <w:rPr>
          <w:sz w:val="28"/>
          <w:szCs w:val="28"/>
        </w:rPr>
        <w:t xml:space="preserve"> </w:t>
      </w:r>
      <w:r w:rsidR="002E097A" w:rsidRPr="00B07124">
        <w:rPr>
          <w:sz w:val="28"/>
          <w:szCs w:val="28"/>
        </w:rPr>
        <w:t xml:space="preserve">thanh lý </w:t>
      </w:r>
      <w:r w:rsidR="001E29B8" w:rsidRPr="00B07124">
        <w:rPr>
          <w:sz w:val="28"/>
          <w:szCs w:val="28"/>
        </w:rPr>
        <w:t>khi Đại hội thành viên</w:t>
      </w:r>
      <w:r w:rsidR="003D35C3" w:rsidRPr="00B07124">
        <w:rPr>
          <w:sz w:val="28"/>
          <w:szCs w:val="28"/>
        </w:rPr>
        <w:t xml:space="preserve"> và</w:t>
      </w:r>
      <w:r w:rsidR="00C87E55" w:rsidRPr="00B07124">
        <w:rPr>
          <w:sz w:val="28"/>
          <w:szCs w:val="28"/>
        </w:rPr>
        <w:t xml:space="preserve"> Cơ quan quản lý nhà nước </w:t>
      </w:r>
      <w:r w:rsidR="008F099D" w:rsidRPr="00B07124">
        <w:rPr>
          <w:sz w:val="28"/>
          <w:szCs w:val="28"/>
        </w:rPr>
        <w:t>tại địa phương đồng ý</w:t>
      </w:r>
      <w:r w:rsidR="001E29B8" w:rsidRPr="00B07124">
        <w:rPr>
          <w:sz w:val="28"/>
          <w:szCs w:val="28"/>
        </w:rPr>
        <w:t xml:space="preserve">. Số tiền </w:t>
      </w:r>
      <w:r w:rsidR="00DA3C8A" w:rsidRPr="00B07124">
        <w:rPr>
          <w:sz w:val="28"/>
          <w:szCs w:val="28"/>
        </w:rPr>
        <w:t>thu được</w:t>
      </w:r>
      <w:r w:rsidR="001E29B8" w:rsidRPr="00B07124">
        <w:rPr>
          <w:sz w:val="28"/>
          <w:szCs w:val="28"/>
        </w:rPr>
        <w:t xml:space="preserve"> phải đưa vào quỹ chung không chia của </w:t>
      </w:r>
      <w:r w:rsidR="00877AED" w:rsidRPr="00B07124">
        <w:rPr>
          <w:sz w:val="28"/>
          <w:szCs w:val="28"/>
        </w:rPr>
        <w:t>TCKTHT</w:t>
      </w:r>
      <w:r w:rsidR="001803B2" w:rsidRPr="00B07124">
        <w:rPr>
          <w:sz w:val="28"/>
          <w:szCs w:val="28"/>
        </w:rPr>
        <w:t>CTCPN</w:t>
      </w:r>
      <w:r w:rsidR="004078D2">
        <w:rPr>
          <w:i/>
          <w:sz w:val="28"/>
          <w:szCs w:val="28"/>
        </w:rPr>
        <w:t>.</w:t>
      </w:r>
    </w:p>
    <w:p w14:paraId="77EE7E4A" w14:textId="7D48DBA1" w:rsidR="008365F9" w:rsidRPr="009059BA" w:rsidRDefault="008365F9" w:rsidP="00E45688">
      <w:pPr>
        <w:pStyle w:val="NormalWeb"/>
        <w:spacing w:before="120" w:beforeAutospacing="0" w:after="120" w:afterAutospacing="0"/>
        <w:ind w:firstLine="709"/>
        <w:jc w:val="both"/>
        <w:rPr>
          <w:i/>
          <w:sz w:val="28"/>
          <w:szCs w:val="28"/>
        </w:rPr>
      </w:pPr>
      <w:r w:rsidRPr="009059BA">
        <w:rPr>
          <w:i/>
          <w:sz w:val="28"/>
          <w:szCs w:val="28"/>
        </w:rPr>
        <w:t>“</w:t>
      </w:r>
      <w:r w:rsidRPr="009059BA">
        <w:rPr>
          <w:i/>
          <w:sz w:val="28"/>
          <w:szCs w:val="28"/>
          <w:lang w:val="vi-VN"/>
        </w:rPr>
        <w:t xml:space="preserve">Kết thúc năm tài chính, nếu phát sinh lỗ thì </w:t>
      </w:r>
      <w:r w:rsidR="00877AED">
        <w:rPr>
          <w:i/>
          <w:sz w:val="28"/>
          <w:szCs w:val="28"/>
          <w:lang w:val="vi-VN"/>
        </w:rPr>
        <w:t>TCKTHT</w:t>
      </w:r>
      <w:r w:rsidR="001803B2">
        <w:rPr>
          <w:i/>
          <w:sz w:val="28"/>
          <w:szCs w:val="28"/>
        </w:rPr>
        <w:t>CTCPN</w:t>
      </w:r>
      <w:r w:rsidRPr="009059BA">
        <w:rPr>
          <w:i/>
          <w:sz w:val="28"/>
          <w:szCs w:val="28"/>
          <w:lang w:val="vi-VN"/>
        </w:rPr>
        <w:t xml:space="preserve"> phải xử lý giảm lỗ theo quy định của pháp luật. Trường hợp đã xử lý giảm lỗ nhưng vẫn không đủ thì sử dụng quỹ chung không chia theo quy định của Điều lệ của </w:t>
      </w:r>
      <w:r w:rsidR="00877AED">
        <w:rPr>
          <w:i/>
          <w:sz w:val="28"/>
          <w:szCs w:val="28"/>
          <w:lang w:val="vi-VN"/>
        </w:rPr>
        <w:t>TCKTHT</w:t>
      </w:r>
      <w:r w:rsidR="001803B2">
        <w:rPr>
          <w:i/>
          <w:sz w:val="28"/>
          <w:szCs w:val="28"/>
        </w:rPr>
        <w:t>CTCPN</w:t>
      </w:r>
      <w:r w:rsidRPr="009059BA">
        <w:rPr>
          <w:i/>
          <w:sz w:val="28"/>
          <w:szCs w:val="28"/>
          <w:lang w:val="vi-VN"/>
        </w:rPr>
        <w:t xml:space="preserve"> để bù đắp; nếu vẫn chưa đủ thì khoản lỗ còn lại được chuyển sang năm sau; khoản lỗ này được trừ vào thu nhập tính thuế. Thời gian được chuyển các khoản lỗ thực hiện theo quy định của pháp luật về thuế</w:t>
      </w:r>
      <w:r w:rsidRPr="009059BA">
        <w:rPr>
          <w:i/>
          <w:sz w:val="28"/>
          <w:szCs w:val="28"/>
        </w:rPr>
        <w:t>”</w:t>
      </w:r>
      <w:r w:rsidR="004078D2">
        <w:rPr>
          <w:i/>
          <w:sz w:val="28"/>
          <w:szCs w:val="28"/>
        </w:rPr>
        <w:t>.</w:t>
      </w:r>
    </w:p>
    <w:p w14:paraId="136FDF7C" w14:textId="6CE7F51C" w:rsidR="008365F9" w:rsidRPr="009059BA" w:rsidRDefault="001E29B8" w:rsidP="00E45688">
      <w:pPr>
        <w:pStyle w:val="NormalWeb"/>
        <w:spacing w:before="120" w:beforeAutospacing="0" w:after="120" w:afterAutospacing="0"/>
        <w:ind w:firstLine="709"/>
        <w:jc w:val="both"/>
        <w:rPr>
          <w:sz w:val="28"/>
          <w:szCs w:val="28"/>
        </w:rPr>
      </w:pPr>
      <w:r w:rsidRPr="009059BA">
        <w:rPr>
          <w:sz w:val="28"/>
          <w:szCs w:val="28"/>
        </w:rPr>
        <w:t xml:space="preserve">Phương án này giúp cho </w:t>
      </w:r>
      <w:r w:rsidR="00C87E55" w:rsidRPr="009059BA">
        <w:rPr>
          <w:sz w:val="28"/>
          <w:szCs w:val="28"/>
        </w:rPr>
        <w:t xml:space="preserve">việc </w:t>
      </w:r>
      <w:r w:rsidRPr="009059BA">
        <w:rPr>
          <w:sz w:val="28"/>
          <w:szCs w:val="28"/>
        </w:rPr>
        <w:t>sử dụng tài sản chung không chia hiệu quả hơn, tránh lãng phí</w:t>
      </w:r>
      <w:r w:rsidR="00C87E55" w:rsidRPr="009059BA">
        <w:rPr>
          <w:sz w:val="28"/>
          <w:szCs w:val="28"/>
        </w:rPr>
        <w:t xml:space="preserve"> trong quá trình hoạt động</w:t>
      </w:r>
      <w:r w:rsidRPr="009059BA">
        <w:rPr>
          <w:sz w:val="28"/>
          <w:szCs w:val="28"/>
        </w:rPr>
        <w:t>, đáp ứng nhu cầu</w:t>
      </w:r>
      <w:r w:rsidR="00C17709" w:rsidRPr="009059BA">
        <w:rPr>
          <w:sz w:val="28"/>
          <w:szCs w:val="28"/>
        </w:rPr>
        <w:t xml:space="preserve"> sản xuất kinh doanh theo tình hình thực tế</w:t>
      </w:r>
      <w:r w:rsidRPr="009059BA">
        <w:rPr>
          <w:sz w:val="28"/>
          <w:szCs w:val="28"/>
        </w:rPr>
        <w:t xml:space="preserve"> của </w:t>
      </w:r>
      <w:r w:rsidR="00CC6625">
        <w:rPr>
          <w:sz w:val="28"/>
          <w:szCs w:val="28"/>
        </w:rPr>
        <w:t xml:space="preserve">TCKTHTCTCPN </w:t>
      </w:r>
      <w:r w:rsidRPr="009059BA">
        <w:rPr>
          <w:sz w:val="28"/>
          <w:szCs w:val="28"/>
        </w:rPr>
        <w:t>trong bối cảnh cuộc cánh mạng công nghiệp lần thứ 4 diễn ra nhanh chóng. Quy định tiền bán, thanh lý tài sản chung không chia đưa vào quỹ chung không chia bảo đảm</w:t>
      </w:r>
      <w:r w:rsidR="00C87E55" w:rsidRPr="009059BA">
        <w:rPr>
          <w:sz w:val="28"/>
          <w:szCs w:val="28"/>
        </w:rPr>
        <w:t xml:space="preserve"> tiền</w:t>
      </w:r>
      <w:r w:rsidRPr="009059BA">
        <w:rPr>
          <w:sz w:val="28"/>
          <w:szCs w:val="28"/>
        </w:rPr>
        <w:t xml:space="preserve"> </w:t>
      </w:r>
      <w:r w:rsidR="00C87E55" w:rsidRPr="009059BA">
        <w:rPr>
          <w:sz w:val="28"/>
          <w:szCs w:val="28"/>
        </w:rPr>
        <w:t>hỗ trợ</w:t>
      </w:r>
      <w:r w:rsidRPr="009059BA">
        <w:rPr>
          <w:sz w:val="28"/>
          <w:szCs w:val="28"/>
        </w:rPr>
        <w:t xml:space="preserve"> </w:t>
      </w:r>
      <w:r w:rsidR="00C87E55" w:rsidRPr="009059BA">
        <w:rPr>
          <w:sz w:val="28"/>
          <w:szCs w:val="28"/>
        </w:rPr>
        <w:t xml:space="preserve">của Nhà nước không </w:t>
      </w:r>
      <w:r w:rsidR="004078D2">
        <w:rPr>
          <w:sz w:val="28"/>
          <w:szCs w:val="28"/>
        </w:rPr>
        <w:t xml:space="preserve">bị </w:t>
      </w:r>
      <w:r w:rsidR="00C87E55" w:rsidRPr="009059BA">
        <w:rPr>
          <w:sz w:val="28"/>
          <w:szCs w:val="28"/>
        </w:rPr>
        <w:t>mất đi.</w:t>
      </w:r>
      <w:r w:rsidR="00FA4716" w:rsidRPr="009059BA">
        <w:rPr>
          <w:sz w:val="28"/>
          <w:szCs w:val="28"/>
        </w:rPr>
        <w:t xml:space="preserve"> </w:t>
      </w:r>
      <w:r w:rsidR="008365F9" w:rsidRPr="009059BA">
        <w:rPr>
          <w:sz w:val="28"/>
          <w:szCs w:val="28"/>
        </w:rPr>
        <w:t xml:space="preserve">Quỹ chung không chia ngoài mục đích đầu tư phát triển còn được dùng để dự phòng tài chính trong trường hợp </w:t>
      </w:r>
      <w:r w:rsidR="00CC6625">
        <w:rPr>
          <w:sz w:val="28"/>
          <w:szCs w:val="28"/>
        </w:rPr>
        <w:t xml:space="preserve">TCKTHTCTCPN </w:t>
      </w:r>
      <w:r w:rsidR="008365F9" w:rsidRPr="009059BA">
        <w:rPr>
          <w:sz w:val="28"/>
          <w:szCs w:val="28"/>
        </w:rPr>
        <w:t xml:space="preserve">hoạt động thua lỗ. </w:t>
      </w:r>
    </w:p>
    <w:p w14:paraId="45DD629A" w14:textId="78867772" w:rsidR="001E29B8" w:rsidRPr="009059BA" w:rsidRDefault="001E29B8" w:rsidP="00E45688">
      <w:pPr>
        <w:pStyle w:val="NormalWeb"/>
        <w:spacing w:before="120" w:beforeAutospacing="0" w:after="120" w:afterAutospacing="0"/>
        <w:ind w:firstLine="709"/>
        <w:jc w:val="both"/>
        <w:rPr>
          <w:sz w:val="28"/>
          <w:szCs w:val="28"/>
        </w:rPr>
      </w:pPr>
      <w:r w:rsidRPr="009059BA">
        <w:rPr>
          <w:sz w:val="28"/>
          <w:szCs w:val="28"/>
        </w:rPr>
        <w:t xml:space="preserve">Tuy nhiên, </w:t>
      </w:r>
      <w:r w:rsidR="00C17709" w:rsidRPr="009059BA">
        <w:rPr>
          <w:sz w:val="28"/>
          <w:szCs w:val="28"/>
        </w:rPr>
        <w:t xml:space="preserve">việc xác định tình trạng tài sản chung không chia </w:t>
      </w:r>
      <w:r w:rsidR="004078D2">
        <w:rPr>
          <w:sz w:val="28"/>
          <w:szCs w:val="28"/>
        </w:rPr>
        <w:t xml:space="preserve">là </w:t>
      </w:r>
      <w:r w:rsidR="00C17709" w:rsidRPr="009059BA">
        <w:rPr>
          <w:sz w:val="28"/>
          <w:szCs w:val="28"/>
        </w:rPr>
        <w:t>lạc hậu công nghệ, không sử dụng</w:t>
      </w:r>
      <w:r w:rsidR="009C5904">
        <w:rPr>
          <w:sz w:val="28"/>
          <w:szCs w:val="28"/>
        </w:rPr>
        <w:t xml:space="preserve"> được</w:t>
      </w:r>
      <w:r w:rsidR="00C17709" w:rsidRPr="009059BA">
        <w:rPr>
          <w:sz w:val="28"/>
          <w:szCs w:val="28"/>
        </w:rPr>
        <w:t xml:space="preserve"> </w:t>
      </w:r>
      <w:r w:rsidR="004078D2">
        <w:rPr>
          <w:sz w:val="28"/>
          <w:szCs w:val="28"/>
        </w:rPr>
        <w:t>do</w:t>
      </w:r>
      <w:r w:rsidR="00C17709" w:rsidRPr="009059BA">
        <w:rPr>
          <w:sz w:val="28"/>
          <w:szCs w:val="28"/>
        </w:rPr>
        <w:t xml:space="preserve"> nguyên nhân khách quan sẽ khó khăn, </w:t>
      </w:r>
      <w:r w:rsidRPr="009059BA">
        <w:rPr>
          <w:sz w:val="28"/>
          <w:szCs w:val="28"/>
        </w:rPr>
        <w:t>nguy cơ thất thoát tài sản chung không chia do Nhà nước hỗ trợ là có thể xảy ra.</w:t>
      </w:r>
      <w:r w:rsidR="00FA4716" w:rsidRPr="009059BA">
        <w:rPr>
          <w:sz w:val="28"/>
          <w:szCs w:val="28"/>
        </w:rPr>
        <w:t xml:space="preserve"> </w:t>
      </w:r>
    </w:p>
    <w:p w14:paraId="591C7D85" w14:textId="1AD6B3D7" w:rsidR="00C87E55" w:rsidRPr="009059BA" w:rsidRDefault="00C87E55" w:rsidP="00E45688">
      <w:pPr>
        <w:pStyle w:val="BodyTextIndent"/>
        <w:spacing w:before="160" w:after="160"/>
        <w:ind w:firstLine="709"/>
        <w:rPr>
          <w:rFonts w:ascii="Times New Roman" w:hAnsi="Times New Roman"/>
          <w:i/>
          <w:sz w:val="28"/>
          <w:szCs w:val="28"/>
          <w:lang w:val="eu-ES"/>
        </w:rPr>
      </w:pPr>
      <w:r w:rsidRPr="009059BA">
        <w:rPr>
          <w:rFonts w:ascii="Times New Roman" w:hAnsi="Times New Roman"/>
          <w:i/>
          <w:sz w:val="28"/>
          <w:szCs w:val="28"/>
          <w:lang w:val="eu-ES"/>
        </w:rPr>
        <w:t>(i</w:t>
      </w:r>
      <w:r w:rsidR="00187414" w:rsidRPr="009059BA">
        <w:rPr>
          <w:rFonts w:ascii="Times New Roman" w:hAnsi="Times New Roman"/>
          <w:i/>
          <w:sz w:val="28"/>
          <w:szCs w:val="28"/>
          <w:lang w:val="eu-ES"/>
        </w:rPr>
        <w:t>i</w:t>
      </w:r>
      <w:r w:rsidRPr="009059BA">
        <w:rPr>
          <w:rFonts w:ascii="Times New Roman" w:hAnsi="Times New Roman"/>
          <w:i/>
          <w:sz w:val="28"/>
          <w:szCs w:val="28"/>
          <w:lang w:val="eu-ES"/>
        </w:rPr>
        <w:t xml:space="preserve">) Phương án 2: Tài sản chung không chia của </w:t>
      </w:r>
      <w:r w:rsidR="00955D68">
        <w:rPr>
          <w:rFonts w:ascii="Times New Roman" w:hAnsi="Times New Roman"/>
          <w:i/>
          <w:sz w:val="28"/>
          <w:szCs w:val="28"/>
          <w:lang w:val="eu-ES"/>
        </w:rPr>
        <w:t xml:space="preserve">TCKTHTCTCPN </w:t>
      </w:r>
      <w:r w:rsidRPr="009059BA">
        <w:rPr>
          <w:rFonts w:ascii="Times New Roman" w:hAnsi="Times New Roman"/>
          <w:i/>
          <w:sz w:val="28"/>
          <w:szCs w:val="28"/>
          <w:lang w:val="eu-ES"/>
        </w:rPr>
        <w:t>không được phép bán</w:t>
      </w:r>
      <w:r w:rsidR="00E50090" w:rsidRPr="009059BA">
        <w:rPr>
          <w:rFonts w:ascii="Times New Roman" w:hAnsi="Times New Roman"/>
          <w:i/>
          <w:sz w:val="28"/>
          <w:szCs w:val="28"/>
          <w:lang w:val="eu-ES"/>
        </w:rPr>
        <w:t>, xử lý lỗ</w:t>
      </w:r>
      <w:r w:rsidRPr="009059BA">
        <w:rPr>
          <w:rFonts w:ascii="Times New Roman" w:hAnsi="Times New Roman"/>
          <w:i/>
          <w:sz w:val="28"/>
          <w:szCs w:val="28"/>
          <w:lang w:val="eu-ES"/>
        </w:rPr>
        <w:t xml:space="preserve"> trong quá trình hoạt động.</w:t>
      </w:r>
      <w:r w:rsidR="00FA4716" w:rsidRPr="009059BA">
        <w:rPr>
          <w:rFonts w:ascii="Times New Roman" w:hAnsi="Times New Roman"/>
          <w:i/>
          <w:sz w:val="28"/>
          <w:szCs w:val="28"/>
          <w:lang w:val="eu-ES"/>
        </w:rPr>
        <w:t xml:space="preserve"> </w:t>
      </w:r>
    </w:p>
    <w:p w14:paraId="35082D69" w14:textId="34E42D25" w:rsidR="00E50090" w:rsidRPr="009059BA" w:rsidRDefault="007D4069" w:rsidP="00E45688">
      <w:pPr>
        <w:pStyle w:val="NormalWeb"/>
        <w:spacing w:before="120" w:beforeAutospacing="0" w:after="120" w:afterAutospacing="0"/>
        <w:ind w:firstLine="709"/>
        <w:jc w:val="both"/>
        <w:rPr>
          <w:sz w:val="28"/>
          <w:szCs w:val="28"/>
        </w:rPr>
      </w:pPr>
      <w:r>
        <w:rPr>
          <w:sz w:val="28"/>
          <w:szCs w:val="28"/>
        </w:rPr>
        <w:t>Phương án này giữ như</w:t>
      </w:r>
      <w:r w:rsidR="00C17709" w:rsidRPr="009059BA">
        <w:rPr>
          <w:sz w:val="28"/>
          <w:szCs w:val="28"/>
        </w:rPr>
        <w:t xml:space="preserve"> quy định hiện nay, không cho phép </w:t>
      </w:r>
      <w:r w:rsidR="00955D68">
        <w:rPr>
          <w:sz w:val="28"/>
          <w:szCs w:val="28"/>
        </w:rPr>
        <w:t xml:space="preserve">TCKTHTCTCPN </w:t>
      </w:r>
      <w:r w:rsidR="00C17709" w:rsidRPr="009059BA">
        <w:rPr>
          <w:sz w:val="28"/>
          <w:szCs w:val="28"/>
        </w:rPr>
        <w:t xml:space="preserve">bán tài sản chung không chia trong bất kỳ trường hợp nào, kể cả </w:t>
      </w:r>
      <w:r w:rsidR="00034811">
        <w:rPr>
          <w:sz w:val="28"/>
          <w:szCs w:val="28"/>
        </w:rPr>
        <w:t>khi</w:t>
      </w:r>
      <w:r w:rsidR="00C17709" w:rsidRPr="009059BA">
        <w:rPr>
          <w:sz w:val="28"/>
          <w:szCs w:val="28"/>
        </w:rPr>
        <w:t xml:space="preserve"> tài sản hết khấu hao. Tài sản chung không chia chỉ được xử lý khi </w:t>
      </w:r>
      <w:r w:rsidR="00955D68">
        <w:rPr>
          <w:sz w:val="28"/>
          <w:szCs w:val="28"/>
        </w:rPr>
        <w:lastRenderedPageBreak/>
        <w:t xml:space="preserve">TCKTHTCTCPN </w:t>
      </w:r>
      <w:r w:rsidR="00C17709" w:rsidRPr="009059BA">
        <w:rPr>
          <w:sz w:val="28"/>
          <w:szCs w:val="28"/>
        </w:rPr>
        <w:t>giải thể, phá</w:t>
      </w:r>
      <w:r w:rsidR="00E50090" w:rsidRPr="009059BA">
        <w:rPr>
          <w:sz w:val="28"/>
          <w:szCs w:val="28"/>
        </w:rPr>
        <w:t xml:space="preserve"> sản nhằm bảo toàn vốn của Nhà nước đã hỗ trợ cho </w:t>
      </w:r>
      <w:r w:rsidR="00877AED">
        <w:rPr>
          <w:sz w:val="28"/>
          <w:szCs w:val="28"/>
        </w:rPr>
        <w:t>TCKTHT</w:t>
      </w:r>
      <w:r w:rsidR="009A5ECD">
        <w:rPr>
          <w:sz w:val="28"/>
          <w:szCs w:val="28"/>
        </w:rPr>
        <w:t>CTCPN</w:t>
      </w:r>
      <w:r w:rsidR="00E50090" w:rsidRPr="009059BA">
        <w:rPr>
          <w:sz w:val="28"/>
          <w:szCs w:val="28"/>
        </w:rPr>
        <w:t>.</w:t>
      </w:r>
    </w:p>
    <w:p w14:paraId="15C2E3AC" w14:textId="449FE512" w:rsidR="00E50090" w:rsidRPr="009059BA" w:rsidRDefault="00E50090" w:rsidP="00E45688">
      <w:pPr>
        <w:pStyle w:val="NormalWeb"/>
        <w:spacing w:before="120" w:beforeAutospacing="0" w:after="120" w:afterAutospacing="0"/>
        <w:ind w:firstLine="709"/>
        <w:jc w:val="both"/>
        <w:rPr>
          <w:sz w:val="28"/>
          <w:szCs w:val="28"/>
        </w:rPr>
      </w:pPr>
      <w:r w:rsidRPr="009059BA">
        <w:rPr>
          <w:sz w:val="28"/>
          <w:szCs w:val="28"/>
        </w:rPr>
        <w:t xml:space="preserve">Tuy nhiên, quy định cứng này đã hạn chế việc sử dụng tài sản chung không chia một cách có hiệu quả. Nhiều tài sản </w:t>
      </w:r>
      <w:r w:rsidR="00E71541">
        <w:rPr>
          <w:sz w:val="28"/>
          <w:szCs w:val="28"/>
        </w:rPr>
        <w:t>chung</w:t>
      </w:r>
      <w:r w:rsidRPr="009059BA">
        <w:rPr>
          <w:sz w:val="28"/>
          <w:szCs w:val="28"/>
        </w:rPr>
        <w:t xml:space="preserve"> do hư hỏng, hết khấu hao, lạc hậu</w:t>
      </w:r>
      <w:r w:rsidR="004078D2">
        <w:rPr>
          <w:sz w:val="28"/>
          <w:szCs w:val="28"/>
        </w:rPr>
        <w:t xml:space="preserve"> nhưng HTX, liên HTX không được bán, phải</w:t>
      </w:r>
      <w:r w:rsidRPr="009059BA">
        <w:rPr>
          <w:sz w:val="28"/>
          <w:szCs w:val="28"/>
        </w:rPr>
        <w:t xml:space="preserve"> </w:t>
      </w:r>
      <w:r w:rsidR="004078D2">
        <w:rPr>
          <w:sz w:val="28"/>
          <w:szCs w:val="28"/>
        </w:rPr>
        <w:t xml:space="preserve">lưu giữ, </w:t>
      </w:r>
      <w:r w:rsidRPr="009059BA">
        <w:rPr>
          <w:sz w:val="28"/>
          <w:szCs w:val="28"/>
        </w:rPr>
        <w:t>bảo vệ</w:t>
      </w:r>
      <w:r w:rsidR="004078D2">
        <w:rPr>
          <w:sz w:val="28"/>
          <w:szCs w:val="28"/>
        </w:rPr>
        <w:t xml:space="preserve"> tài sản</w:t>
      </w:r>
      <w:r w:rsidR="00057E66">
        <w:rPr>
          <w:sz w:val="28"/>
          <w:szCs w:val="28"/>
        </w:rPr>
        <w:t xml:space="preserve"> đã</w:t>
      </w:r>
      <w:r w:rsidR="004078D2">
        <w:rPr>
          <w:sz w:val="28"/>
          <w:szCs w:val="28"/>
        </w:rPr>
        <w:t xml:space="preserve"> gây lãng phí</w:t>
      </w:r>
      <w:r w:rsidR="00057E66">
        <w:rPr>
          <w:sz w:val="28"/>
          <w:szCs w:val="28"/>
        </w:rPr>
        <w:t xml:space="preserve">, thậm chí tốn kém cho các </w:t>
      </w:r>
      <w:r w:rsidR="006E689D">
        <w:rPr>
          <w:sz w:val="28"/>
          <w:szCs w:val="28"/>
        </w:rPr>
        <w:t>tổ chức này</w:t>
      </w:r>
      <w:r w:rsidR="004078D2">
        <w:rPr>
          <w:sz w:val="28"/>
          <w:szCs w:val="28"/>
        </w:rPr>
        <w:t>.</w:t>
      </w:r>
    </w:p>
    <w:p w14:paraId="70A4FEBF" w14:textId="2A434FD1" w:rsidR="002F3FC5" w:rsidRPr="009059BA" w:rsidRDefault="00586151" w:rsidP="00E45688">
      <w:pPr>
        <w:spacing w:before="120" w:after="120" w:line="240" w:lineRule="auto"/>
        <w:ind w:firstLine="709"/>
        <w:jc w:val="both"/>
        <w:rPr>
          <w:rFonts w:ascii="Times New Roman" w:eastAsia="Calibri" w:hAnsi="Times New Roman" w:cs="Times New Roman"/>
          <w:iCs/>
          <w:sz w:val="28"/>
          <w:szCs w:val="28"/>
          <w:lang w:val="eu-ES" w:eastAsia="en-GB"/>
        </w:rPr>
      </w:pPr>
      <w:r w:rsidRPr="009059BA">
        <w:rPr>
          <w:rFonts w:ascii="Times New Roman" w:eastAsia="Times New Roman" w:hAnsi="Times New Roman" w:cs="Times New Roman"/>
          <w:sz w:val="28"/>
          <w:szCs w:val="28"/>
          <w:lang w:val="eu-ES"/>
        </w:rPr>
        <w:t xml:space="preserve">Trên </w:t>
      </w:r>
      <w:r w:rsidR="002F3FC5" w:rsidRPr="009059BA">
        <w:rPr>
          <w:rFonts w:ascii="Times New Roman" w:eastAsia="Times New Roman" w:hAnsi="Times New Roman" w:cs="Times New Roman"/>
          <w:sz w:val="28"/>
          <w:szCs w:val="28"/>
          <w:lang w:val="eu-ES"/>
        </w:rPr>
        <w:t>đây là Tờ trình Dự án</w:t>
      </w:r>
      <w:r w:rsidRPr="009059BA">
        <w:rPr>
          <w:rFonts w:ascii="Times New Roman" w:eastAsia="Times New Roman" w:hAnsi="Times New Roman" w:cs="Times New Roman"/>
          <w:sz w:val="28"/>
          <w:szCs w:val="28"/>
          <w:lang w:val="eu-ES"/>
        </w:rPr>
        <w:t xml:space="preserve"> Luật </w:t>
      </w:r>
      <w:r w:rsidR="009059BA" w:rsidRPr="009059BA">
        <w:rPr>
          <w:rFonts w:ascii="Times New Roman" w:eastAsia="Times New Roman" w:hAnsi="Times New Roman" w:cs="Times New Roman"/>
          <w:sz w:val="28"/>
          <w:szCs w:val="28"/>
          <w:lang w:val="eu-ES"/>
        </w:rPr>
        <w:t>HTX</w:t>
      </w:r>
      <w:r w:rsidR="002F3FC5" w:rsidRPr="009059BA">
        <w:rPr>
          <w:rFonts w:ascii="Times New Roman" w:eastAsia="Times New Roman" w:hAnsi="Times New Roman" w:cs="Times New Roman"/>
          <w:sz w:val="28"/>
          <w:szCs w:val="28"/>
          <w:lang w:val="eu-ES"/>
        </w:rPr>
        <w:t xml:space="preserve"> (sửa đổi), </w:t>
      </w:r>
      <w:r w:rsidR="00840864">
        <w:rPr>
          <w:rFonts w:ascii="Times New Roman" w:eastAsia="Times New Roman" w:hAnsi="Times New Roman" w:cs="Times New Roman"/>
          <w:sz w:val="28"/>
          <w:szCs w:val="28"/>
          <w:lang w:val="eu-ES"/>
        </w:rPr>
        <w:t xml:space="preserve">Bộ Kế hoạch và Đầu tư </w:t>
      </w:r>
      <w:r w:rsidR="006373FA">
        <w:rPr>
          <w:rFonts w:ascii="Times New Roman" w:eastAsia="Times New Roman" w:hAnsi="Times New Roman" w:cs="Times New Roman"/>
          <w:sz w:val="28"/>
          <w:szCs w:val="28"/>
          <w:lang w:val="eu-ES"/>
        </w:rPr>
        <w:t xml:space="preserve">kính </w:t>
      </w:r>
      <w:r w:rsidR="00840864">
        <w:rPr>
          <w:rFonts w:ascii="Times New Roman" w:eastAsia="Times New Roman" w:hAnsi="Times New Roman" w:cs="Times New Roman"/>
          <w:sz w:val="28"/>
          <w:szCs w:val="28"/>
          <w:lang w:val="eu-ES"/>
        </w:rPr>
        <w:t>trình Chính phủ</w:t>
      </w:r>
      <w:r w:rsidR="007A3F67">
        <w:rPr>
          <w:rFonts w:ascii="Times New Roman" w:eastAsia="Times New Roman" w:hAnsi="Times New Roman" w:cs="Times New Roman"/>
          <w:sz w:val="28"/>
          <w:szCs w:val="28"/>
          <w:lang w:val="eu-ES"/>
        </w:rPr>
        <w:t xml:space="preserve"> xem xét, quyết định</w:t>
      </w:r>
      <w:r w:rsidR="00840864">
        <w:rPr>
          <w:rFonts w:ascii="Times New Roman" w:eastAsia="Times New Roman" w:hAnsi="Times New Roman" w:cs="Times New Roman"/>
          <w:sz w:val="28"/>
          <w:szCs w:val="28"/>
          <w:lang w:val="eu-ES"/>
        </w:rPr>
        <w:t>.</w:t>
      </w:r>
      <w:r w:rsidR="006373FA">
        <w:rPr>
          <w:rFonts w:ascii="Times New Roman" w:eastAsia="Times New Roman" w:hAnsi="Times New Roman" w:cs="Times New Roman"/>
          <w:sz w:val="28"/>
          <w:szCs w:val="28"/>
          <w:lang w:val="eu-ES"/>
        </w:rPr>
        <w:t>/.</w:t>
      </w:r>
    </w:p>
    <w:p w14:paraId="04CDC73F" w14:textId="6D195224" w:rsidR="00A512B3" w:rsidRDefault="006373FA" w:rsidP="00E45688">
      <w:pPr>
        <w:spacing w:before="120" w:after="120" w:line="240" w:lineRule="auto"/>
        <w:ind w:firstLine="709"/>
        <w:jc w:val="both"/>
        <w:rPr>
          <w:rFonts w:ascii="Times New Roman" w:hAnsi="Times New Roman" w:cs="Times New Roman"/>
          <w:i/>
          <w:kern w:val="28"/>
          <w:sz w:val="28"/>
          <w:szCs w:val="28"/>
          <w:lang w:val="eu-ES"/>
        </w:rPr>
      </w:pPr>
      <w:r>
        <w:rPr>
          <w:rFonts w:ascii="Times New Roman" w:hAnsi="Times New Roman" w:cs="Times New Roman"/>
          <w:i/>
          <w:kern w:val="28"/>
          <w:sz w:val="28"/>
          <w:szCs w:val="28"/>
          <w:lang w:val="eu-ES"/>
        </w:rPr>
        <w:t>(</w:t>
      </w:r>
      <w:r w:rsidR="00A40869">
        <w:rPr>
          <w:rFonts w:ascii="Times New Roman" w:hAnsi="Times New Roman" w:cs="Times New Roman"/>
          <w:i/>
          <w:kern w:val="28"/>
          <w:sz w:val="28"/>
          <w:szCs w:val="28"/>
          <w:lang w:val="eu-ES"/>
        </w:rPr>
        <w:t xml:space="preserve">Tài liệu </w:t>
      </w:r>
      <w:r w:rsidR="003C5C22" w:rsidRPr="009059BA">
        <w:rPr>
          <w:rFonts w:ascii="Times New Roman" w:hAnsi="Times New Roman" w:cs="Times New Roman"/>
          <w:i/>
          <w:kern w:val="28"/>
          <w:sz w:val="28"/>
          <w:szCs w:val="28"/>
          <w:lang w:val="eu-ES"/>
        </w:rPr>
        <w:t>gửi kèm</w:t>
      </w:r>
      <w:r w:rsidR="00A40869">
        <w:rPr>
          <w:rFonts w:ascii="Times New Roman" w:hAnsi="Times New Roman" w:cs="Times New Roman"/>
          <w:i/>
          <w:kern w:val="28"/>
          <w:sz w:val="28"/>
          <w:szCs w:val="28"/>
          <w:lang w:val="eu-ES"/>
        </w:rPr>
        <w:t>:</w:t>
      </w:r>
      <w:r w:rsidR="003C5C22" w:rsidRPr="009059BA">
        <w:rPr>
          <w:rFonts w:ascii="Times New Roman" w:hAnsi="Times New Roman" w:cs="Times New Roman"/>
          <w:i/>
          <w:kern w:val="28"/>
          <w:sz w:val="28"/>
          <w:szCs w:val="28"/>
          <w:lang w:val="eu-ES"/>
        </w:rPr>
        <w:t xml:space="preserve"> </w:t>
      </w:r>
      <w:r w:rsidR="00646F0D" w:rsidRPr="009059BA">
        <w:rPr>
          <w:rFonts w:ascii="Times New Roman" w:hAnsi="Times New Roman" w:cs="Times New Roman"/>
          <w:i/>
          <w:kern w:val="28"/>
          <w:sz w:val="28"/>
          <w:szCs w:val="28"/>
          <w:lang w:val="eu-ES"/>
        </w:rPr>
        <w:t xml:space="preserve">Dự thảo Luật </w:t>
      </w:r>
      <w:r w:rsidR="009059BA" w:rsidRPr="009059BA">
        <w:rPr>
          <w:rFonts w:ascii="Times New Roman" w:hAnsi="Times New Roman" w:cs="Times New Roman"/>
          <w:i/>
          <w:kern w:val="28"/>
          <w:sz w:val="28"/>
          <w:szCs w:val="28"/>
          <w:lang w:val="eu-ES"/>
        </w:rPr>
        <w:t>HTX</w:t>
      </w:r>
      <w:r w:rsidR="00646F0D" w:rsidRPr="009059BA">
        <w:rPr>
          <w:rFonts w:ascii="Times New Roman" w:hAnsi="Times New Roman" w:cs="Times New Roman"/>
          <w:i/>
          <w:kern w:val="28"/>
          <w:sz w:val="28"/>
          <w:szCs w:val="28"/>
          <w:lang w:val="eu-ES"/>
        </w:rPr>
        <w:t xml:space="preserve"> (sửa đổi</w:t>
      </w:r>
      <w:r w:rsidR="00A40869">
        <w:rPr>
          <w:rFonts w:ascii="Times New Roman" w:hAnsi="Times New Roman" w:cs="Times New Roman"/>
          <w:i/>
          <w:kern w:val="28"/>
          <w:sz w:val="28"/>
          <w:szCs w:val="28"/>
          <w:lang w:val="eu-ES"/>
        </w:rPr>
        <w:t>)</w:t>
      </w:r>
      <w:r w:rsidRPr="00315C1E">
        <w:rPr>
          <w:rFonts w:ascii="Times New Roman" w:hAnsi="Times New Roman" w:cs="Times New Roman"/>
          <w:i/>
          <w:kern w:val="28"/>
          <w:sz w:val="28"/>
          <w:szCs w:val="28"/>
          <w:lang w:val="eu-ES"/>
        </w:rPr>
        <w:t>)</w:t>
      </w:r>
    </w:p>
    <w:p w14:paraId="0597AF7B" w14:textId="77777777" w:rsidR="00904980" w:rsidRPr="009059BA" w:rsidRDefault="00904980" w:rsidP="00586151">
      <w:pPr>
        <w:spacing w:before="120" w:after="120" w:line="240" w:lineRule="auto"/>
        <w:ind w:firstLine="567"/>
        <w:jc w:val="both"/>
        <w:rPr>
          <w:rFonts w:ascii="Times New Roman" w:hAnsi="Times New Roman" w:cs="Times New Roman"/>
          <w:i/>
          <w:kern w:val="28"/>
          <w:sz w:val="28"/>
          <w:szCs w:val="28"/>
          <w:lang w:val="eu-ES"/>
        </w:rPr>
      </w:pPr>
    </w:p>
    <w:tbl>
      <w:tblPr>
        <w:tblW w:w="0" w:type="auto"/>
        <w:tblLook w:val="01E0" w:firstRow="1" w:lastRow="1" w:firstColumn="1" w:lastColumn="1" w:noHBand="0" w:noVBand="0"/>
      </w:tblPr>
      <w:tblGrid>
        <w:gridCol w:w="4939"/>
        <w:gridCol w:w="4132"/>
      </w:tblGrid>
      <w:tr w:rsidR="00586151" w:rsidRPr="009059BA" w14:paraId="0CB66784" w14:textId="77777777" w:rsidTr="00840864">
        <w:tc>
          <w:tcPr>
            <w:tcW w:w="4939" w:type="dxa"/>
          </w:tcPr>
          <w:p w14:paraId="6561780D" w14:textId="77777777" w:rsidR="00586151" w:rsidRPr="009059BA" w:rsidRDefault="00586151" w:rsidP="0090730B">
            <w:pPr>
              <w:pStyle w:val="BodyTextIndent"/>
              <w:widowControl w:val="0"/>
              <w:ind w:firstLine="0"/>
              <w:jc w:val="left"/>
              <w:rPr>
                <w:rFonts w:ascii="Times New Roman" w:hAnsi="Times New Roman"/>
                <w:b/>
                <w:i/>
                <w:sz w:val="26"/>
                <w:szCs w:val="28"/>
                <w:lang w:val="vi-VN"/>
              </w:rPr>
            </w:pPr>
            <w:r w:rsidRPr="009059BA">
              <w:rPr>
                <w:rFonts w:ascii="Times New Roman" w:hAnsi="Times New Roman"/>
                <w:b/>
                <w:i/>
                <w:szCs w:val="28"/>
                <w:lang w:val="vi-VN"/>
              </w:rPr>
              <w:t>Nơi nhận:</w:t>
            </w:r>
          </w:p>
          <w:p w14:paraId="67478574" w14:textId="77777777" w:rsidR="008D2E20" w:rsidRPr="009059BA" w:rsidRDefault="002F7734" w:rsidP="0090730B">
            <w:pPr>
              <w:pStyle w:val="BodyTextIndent"/>
              <w:widowControl w:val="0"/>
              <w:ind w:firstLine="0"/>
              <w:jc w:val="left"/>
              <w:rPr>
                <w:rFonts w:ascii="Times New Roman" w:eastAsiaTheme="minorEastAsia" w:hAnsi="Times New Roman"/>
                <w:sz w:val="22"/>
                <w:szCs w:val="24"/>
                <w:lang w:val="eu-ES"/>
              </w:rPr>
            </w:pPr>
            <w:r w:rsidRPr="009059BA">
              <w:rPr>
                <w:rFonts w:ascii="Times New Roman" w:eastAsiaTheme="minorEastAsia" w:hAnsi="Times New Roman"/>
                <w:sz w:val="22"/>
                <w:szCs w:val="24"/>
                <w:lang w:val="eu-ES"/>
              </w:rPr>
              <w:t>- Như trên</w:t>
            </w:r>
            <w:r w:rsidR="00D32882" w:rsidRPr="009059BA">
              <w:rPr>
                <w:rFonts w:ascii="Times New Roman" w:eastAsiaTheme="minorEastAsia" w:hAnsi="Times New Roman"/>
                <w:sz w:val="22"/>
                <w:szCs w:val="24"/>
                <w:lang w:val="eu-ES"/>
              </w:rPr>
              <w:t>;</w:t>
            </w:r>
          </w:p>
          <w:p w14:paraId="3DD7A136" w14:textId="77777777" w:rsidR="002F7734" w:rsidRPr="009059BA" w:rsidRDefault="002F7734" w:rsidP="0090730B">
            <w:pPr>
              <w:pStyle w:val="BodyTextIndent"/>
              <w:widowControl w:val="0"/>
              <w:ind w:firstLine="0"/>
              <w:jc w:val="left"/>
              <w:rPr>
                <w:rFonts w:ascii="Times New Roman" w:eastAsiaTheme="minorEastAsia" w:hAnsi="Times New Roman"/>
                <w:sz w:val="22"/>
                <w:szCs w:val="24"/>
                <w:lang w:val="eu-ES"/>
              </w:rPr>
            </w:pPr>
            <w:r w:rsidRPr="009059BA">
              <w:rPr>
                <w:rFonts w:ascii="Times New Roman" w:eastAsiaTheme="minorEastAsia" w:hAnsi="Times New Roman"/>
                <w:sz w:val="22"/>
                <w:szCs w:val="24"/>
                <w:lang w:val="eu-ES"/>
              </w:rPr>
              <w:t>- Thủ tướng Chính phủ;</w:t>
            </w:r>
          </w:p>
          <w:p w14:paraId="145067F1" w14:textId="77777777" w:rsidR="002F7734" w:rsidRPr="009059BA" w:rsidRDefault="002F7734" w:rsidP="0090730B">
            <w:pPr>
              <w:pStyle w:val="BodyTextIndent"/>
              <w:widowControl w:val="0"/>
              <w:ind w:firstLine="0"/>
              <w:jc w:val="left"/>
              <w:rPr>
                <w:rFonts w:ascii="Times New Roman" w:eastAsiaTheme="minorEastAsia" w:hAnsi="Times New Roman"/>
                <w:sz w:val="22"/>
                <w:szCs w:val="24"/>
                <w:lang w:val="eu-ES"/>
              </w:rPr>
            </w:pPr>
            <w:r w:rsidRPr="009059BA">
              <w:rPr>
                <w:rFonts w:ascii="Times New Roman" w:eastAsiaTheme="minorEastAsia" w:hAnsi="Times New Roman"/>
                <w:sz w:val="22"/>
                <w:szCs w:val="24"/>
                <w:lang w:val="eu-ES"/>
              </w:rPr>
              <w:t>- Các Phó Thủ tướng Chính phủ;</w:t>
            </w:r>
          </w:p>
          <w:p w14:paraId="6BB03B6D" w14:textId="77777777" w:rsidR="00471DA2" w:rsidRPr="009059BA" w:rsidRDefault="002F7734" w:rsidP="002F7734">
            <w:pPr>
              <w:pStyle w:val="BodyTextIndent"/>
              <w:widowControl w:val="0"/>
              <w:ind w:firstLine="0"/>
              <w:jc w:val="left"/>
              <w:rPr>
                <w:rFonts w:ascii="Times New Roman" w:eastAsiaTheme="minorEastAsia" w:hAnsi="Times New Roman"/>
                <w:sz w:val="22"/>
                <w:szCs w:val="24"/>
                <w:lang w:val="eu-ES"/>
              </w:rPr>
            </w:pPr>
            <w:r w:rsidRPr="009059BA">
              <w:rPr>
                <w:rFonts w:ascii="Times New Roman" w:eastAsiaTheme="minorEastAsia" w:hAnsi="Times New Roman"/>
                <w:sz w:val="22"/>
                <w:szCs w:val="24"/>
                <w:lang w:val="eu-ES"/>
              </w:rPr>
              <w:t xml:space="preserve">- </w:t>
            </w:r>
            <w:r w:rsidR="00471DA2" w:rsidRPr="009059BA">
              <w:rPr>
                <w:rFonts w:ascii="Times New Roman" w:eastAsiaTheme="minorEastAsia" w:hAnsi="Times New Roman"/>
                <w:sz w:val="22"/>
                <w:szCs w:val="24"/>
                <w:lang w:val="eu-ES"/>
              </w:rPr>
              <w:t>Ủy ban Kinh tế của Quốc hội;</w:t>
            </w:r>
          </w:p>
          <w:p w14:paraId="62E4AB3F" w14:textId="77777777" w:rsidR="00471DA2" w:rsidRPr="009059BA" w:rsidRDefault="00471DA2" w:rsidP="00471DA2">
            <w:pPr>
              <w:pStyle w:val="BodyTextIndent"/>
              <w:widowControl w:val="0"/>
              <w:ind w:firstLine="0"/>
              <w:rPr>
                <w:rFonts w:ascii="Times New Roman" w:eastAsiaTheme="minorEastAsia" w:hAnsi="Times New Roman"/>
                <w:sz w:val="22"/>
                <w:szCs w:val="24"/>
                <w:lang w:val="eu-ES"/>
              </w:rPr>
            </w:pPr>
            <w:r w:rsidRPr="009059BA">
              <w:rPr>
                <w:rFonts w:ascii="Times New Roman" w:eastAsiaTheme="minorEastAsia" w:hAnsi="Times New Roman"/>
                <w:sz w:val="22"/>
                <w:szCs w:val="24"/>
                <w:lang w:val="eu-ES"/>
              </w:rPr>
              <w:t>- Ủy ban Pháp luật của Quốc hội;</w:t>
            </w:r>
          </w:p>
          <w:p w14:paraId="798A8A64" w14:textId="77777777" w:rsidR="005B3D4F" w:rsidRDefault="005B3D4F" w:rsidP="005B3D4F">
            <w:pPr>
              <w:pStyle w:val="BodyTextIndent"/>
              <w:widowControl w:val="0"/>
              <w:ind w:firstLine="0"/>
              <w:jc w:val="left"/>
              <w:rPr>
                <w:rFonts w:ascii="Times New Roman" w:eastAsiaTheme="minorEastAsia" w:hAnsi="Times New Roman"/>
                <w:sz w:val="22"/>
                <w:szCs w:val="24"/>
                <w:lang w:val="eu-ES"/>
              </w:rPr>
            </w:pPr>
            <w:r w:rsidRPr="009059BA">
              <w:rPr>
                <w:rFonts w:ascii="Times New Roman" w:eastAsiaTheme="minorEastAsia" w:hAnsi="Times New Roman"/>
                <w:sz w:val="22"/>
                <w:szCs w:val="24"/>
                <w:lang w:val="eu-ES"/>
              </w:rPr>
              <w:t>- Các Bộ: Tư pháp, Công an, Tài chính</w:t>
            </w:r>
            <w:r w:rsidR="00A40869">
              <w:rPr>
                <w:rFonts w:ascii="Times New Roman" w:eastAsiaTheme="minorEastAsia" w:hAnsi="Times New Roman"/>
                <w:sz w:val="22"/>
                <w:szCs w:val="24"/>
                <w:lang w:val="eu-ES"/>
              </w:rPr>
              <w:t>, Ngoại giao</w:t>
            </w:r>
            <w:r w:rsidRPr="009059BA">
              <w:rPr>
                <w:rFonts w:ascii="Times New Roman" w:eastAsiaTheme="minorEastAsia" w:hAnsi="Times New Roman"/>
                <w:sz w:val="22"/>
                <w:szCs w:val="24"/>
                <w:lang w:val="eu-ES"/>
              </w:rPr>
              <w:t>;</w:t>
            </w:r>
          </w:p>
          <w:p w14:paraId="52EC1DDB" w14:textId="31BAAE2A" w:rsidR="008D2E20" w:rsidRDefault="00A40869" w:rsidP="0090730B">
            <w:pPr>
              <w:pStyle w:val="BodyTextIndent"/>
              <w:widowControl w:val="0"/>
              <w:ind w:firstLine="0"/>
              <w:jc w:val="left"/>
              <w:rPr>
                <w:rFonts w:ascii="Times New Roman" w:eastAsiaTheme="minorEastAsia" w:hAnsi="Times New Roman"/>
                <w:sz w:val="22"/>
                <w:szCs w:val="24"/>
                <w:lang w:val="eu-ES"/>
              </w:rPr>
            </w:pPr>
            <w:r>
              <w:rPr>
                <w:rFonts w:ascii="Times New Roman" w:eastAsiaTheme="minorEastAsia" w:hAnsi="Times New Roman"/>
                <w:sz w:val="22"/>
                <w:szCs w:val="24"/>
                <w:lang w:val="eu-ES"/>
              </w:rPr>
              <w:t>-</w:t>
            </w:r>
            <w:r w:rsidR="008D2E20" w:rsidRPr="009059BA">
              <w:rPr>
                <w:rFonts w:ascii="Times New Roman" w:eastAsiaTheme="minorEastAsia" w:hAnsi="Times New Roman"/>
                <w:sz w:val="22"/>
                <w:szCs w:val="24"/>
                <w:lang w:val="eu-ES"/>
              </w:rPr>
              <w:t xml:space="preserve"> Văn phòng Chính phủ</w:t>
            </w:r>
            <w:r w:rsidR="004E544F" w:rsidRPr="009059BA">
              <w:rPr>
                <w:rFonts w:ascii="Times New Roman" w:eastAsiaTheme="minorEastAsia" w:hAnsi="Times New Roman"/>
                <w:sz w:val="22"/>
                <w:szCs w:val="24"/>
                <w:lang w:val="eu-ES"/>
              </w:rPr>
              <w:t>;</w:t>
            </w:r>
          </w:p>
          <w:p w14:paraId="47423A64" w14:textId="215F726D" w:rsidR="00586151" w:rsidRPr="009059BA" w:rsidRDefault="0053225D" w:rsidP="004078D2">
            <w:pPr>
              <w:pStyle w:val="BodyTextIndent"/>
              <w:widowControl w:val="0"/>
              <w:ind w:firstLine="0"/>
              <w:jc w:val="left"/>
              <w:rPr>
                <w:rFonts w:ascii="Times New Roman" w:hAnsi="Times New Roman"/>
                <w:sz w:val="28"/>
                <w:szCs w:val="28"/>
                <w:lang w:val="eu-ES"/>
              </w:rPr>
            </w:pPr>
            <w:r w:rsidRPr="009059BA">
              <w:rPr>
                <w:rFonts w:ascii="Times New Roman" w:eastAsiaTheme="minorEastAsia" w:hAnsi="Times New Roman"/>
                <w:sz w:val="22"/>
                <w:szCs w:val="24"/>
                <w:lang w:val="eu-ES"/>
              </w:rPr>
              <w:t>- Lưu: VT,</w:t>
            </w:r>
            <w:r w:rsidR="002F7734" w:rsidRPr="009059BA">
              <w:rPr>
                <w:rFonts w:ascii="Times New Roman" w:eastAsiaTheme="minorEastAsia" w:hAnsi="Times New Roman"/>
                <w:sz w:val="22"/>
                <w:szCs w:val="24"/>
                <w:lang w:val="eu-ES"/>
              </w:rPr>
              <w:t xml:space="preserve"> </w:t>
            </w:r>
            <w:r w:rsidR="00D04E89">
              <w:rPr>
                <w:rFonts w:ascii="Times New Roman" w:eastAsiaTheme="minorEastAsia" w:hAnsi="Times New Roman"/>
                <w:sz w:val="22"/>
                <w:szCs w:val="24"/>
                <w:lang w:val="eu-ES"/>
              </w:rPr>
              <w:t>PT</w:t>
            </w:r>
            <w:r w:rsidR="004078D2">
              <w:rPr>
                <w:rFonts w:ascii="Times New Roman" w:eastAsiaTheme="minorEastAsia" w:hAnsi="Times New Roman"/>
                <w:sz w:val="22"/>
                <w:szCs w:val="24"/>
                <w:lang w:val="eu-ES"/>
              </w:rPr>
              <w:t>HTX</w:t>
            </w:r>
            <w:r w:rsidR="005B3D4F" w:rsidRPr="009059BA">
              <w:rPr>
                <w:rFonts w:ascii="Times New Roman" w:eastAsiaTheme="minorEastAsia" w:hAnsi="Times New Roman"/>
                <w:sz w:val="22"/>
                <w:szCs w:val="24"/>
                <w:lang w:val="eu-ES"/>
              </w:rPr>
              <w:t xml:space="preserve"> (02)</w:t>
            </w:r>
            <w:r w:rsidR="008D2E20" w:rsidRPr="009059BA">
              <w:rPr>
                <w:rFonts w:ascii="Times New Roman" w:eastAsiaTheme="minorEastAsia" w:hAnsi="Times New Roman"/>
                <w:sz w:val="22"/>
                <w:szCs w:val="24"/>
                <w:lang w:val="eu-ES"/>
              </w:rPr>
              <w:t>.</w:t>
            </w:r>
          </w:p>
        </w:tc>
        <w:tc>
          <w:tcPr>
            <w:tcW w:w="4132" w:type="dxa"/>
          </w:tcPr>
          <w:p w14:paraId="52C6F461" w14:textId="77777777" w:rsidR="00425727" w:rsidRPr="009059BA" w:rsidRDefault="00586151" w:rsidP="00425727">
            <w:pPr>
              <w:spacing w:after="0" w:line="240" w:lineRule="auto"/>
              <w:ind w:hanging="93"/>
              <w:jc w:val="center"/>
              <w:rPr>
                <w:rFonts w:ascii="Times New Roman" w:eastAsia="Times New Roman" w:hAnsi="Times New Roman" w:cs="Times New Roman"/>
                <w:b/>
                <w:sz w:val="28"/>
                <w:szCs w:val="28"/>
                <w:lang w:val="eu-ES"/>
              </w:rPr>
            </w:pPr>
            <w:r w:rsidRPr="009059BA">
              <w:rPr>
                <w:rFonts w:ascii="Times New Roman" w:eastAsia="Times New Roman" w:hAnsi="Times New Roman" w:cs="Times New Roman"/>
                <w:b/>
                <w:sz w:val="28"/>
                <w:szCs w:val="28"/>
              </w:rPr>
              <w:t>BỘ TRƯỞNG</w:t>
            </w:r>
          </w:p>
          <w:p w14:paraId="359A1637" w14:textId="77777777" w:rsidR="00425727" w:rsidRPr="009059BA" w:rsidRDefault="00425727" w:rsidP="00425727">
            <w:pPr>
              <w:spacing w:after="0" w:line="240" w:lineRule="auto"/>
              <w:ind w:hanging="93"/>
              <w:jc w:val="center"/>
              <w:rPr>
                <w:rFonts w:ascii="Times New Roman" w:eastAsia="Times New Roman" w:hAnsi="Times New Roman" w:cs="Times New Roman"/>
                <w:b/>
                <w:sz w:val="28"/>
                <w:szCs w:val="28"/>
                <w:lang w:val="eu-ES"/>
              </w:rPr>
            </w:pPr>
          </w:p>
          <w:p w14:paraId="735301D0" w14:textId="77777777" w:rsidR="00425727" w:rsidRPr="009059BA" w:rsidRDefault="00425727" w:rsidP="00425727">
            <w:pPr>
              <w:spacing w:after="0" w:line="240" w:lineRule="auto"/>
              <w:ind w:hanging="93"/>
              <w:jc w:val="center"/>
              <w:rPr>
                <w:rFonts w:ascii="Times New Roman" w:eastAsia="Times New Roman" w:hAnsi="Times New Roman" w:cs="Times New Roman"/>
                <w:b/>
                <w:sz w:val="28"/>
                <w:szCs w:val="28"/>
                <w:lang w:val="eu-ES"/>
              </w:rPr>
            </w:pPr>
          </w:p>
          <w:p w14:paraId="52796D7D" w14:textId="77777777" w:rsidR="00903065" w:rsidRPr="009059BA" w:rsidRDefault="00903065" w:rsidP="00425727">
            <w:pPr>
              <w:spacing w:after="0" w:line="240" w:lineRule="auto"/>
              <w:ind w:hanging="93"/>
              <w:jc w:val="center"/>
              <w:rPr>
                <w:rFonts w:ascii="Times New Roman" w:eastAsia="Times New Roman" w:hAnsi="Times New Roman" w:cs="Times New Roman"/>
                <w:b/>
                <w:sz w:val="28"/>
                <w:szCs w:val="28"/>
                <w:lang w:val="eu-ES"/>
              </w:rPr>
            </w:pPr>
          </w:p>
          <w:p w14:paraId="176A4807" w14:textId="77777777" w:rsidR="00425727" w:rsidRPr="009059BA" w:rsidRDefault="00425727" w:rsidP="00425727">
            <w:pPr>
              <w:spacing w:after="0" w:line="240" w:lineRule="auto"/>
              <w:ind w:hanging="93"/>
              <w:jc w:val="center"/>
              <w:rPr>
                <w:rFonts w:ascii="Times New Roman" w:eastAsia="Times New Roman" w:hAnsi="Times New Roman" w:cs="Times New Roman"/>
                <w:b/>
                <w:sz w:val="28"/>
                <w:szCs w:val="28"/>
                <w:lang w:val="eu-ES"/>
              </w:rPr>
            </w:pPr>
          </w:p>
          <w:p w14:paraId="6359F26F" w14:textId="77777777" w:rsidR="00586151" w:rsidRPr="009059BA" w:rsidRDefault="008874CF" w:rsidP="00425727">
            <w:pPr>
              <w:spacing w:after="0" w:line="240" w:lineRule="auto"/>
              <w:ind w:hanging="93"/>
              <w:jc w:val="center"/>
              <w:rPr>
                <w:rFonts w:ascii="Times New Roman" w:eastAsia="Times New Roman" w:hAnsi="Times New Roman" w:cs="Times New Roman"/>
                <w:b/>
                <w:sz w:val="28"/>
                <w:szCs w:val="28"/>
                <w:lang w:val="eu-ES"/>
              </w:rPr>
            </w:pPr>
            <w:r w:rsidRPr="009059BA">
              <w:rPr>
                <w:rFonts w:ascii="Times New Roman" w:eastAsia="Times New Roman" w:hAnsi="Times New Roman" w:cs="Times New Roman"/>
                <w:b/>
                <w:sz w:val="28"/>
                <w:szCs w:val="28"/>
                <w:lang w:val="eu-ES"/>
              </w:rPr>
              <w:t>Nguyễn Chí Dũng</w:t>
            </w:r>
          </w:p>
        </w:tc>
      </w:tr>
    </w:tbl>
    <w:p w14:paraId="4CADE89A" w14:textId="77777777" w:rsidR="001113E0" w:rsidRPr="009059BA" w:rsidRDefault="001113E0" w:rsidP="0090730B">
      <w:pPr>
        <w:jc w:val="center"/>
        <w:rPr>
          <w:rFonts w:ascii="Times New Roman" w:hAnsi="Times New Roman" w:cs="Times New Roman"/>
        </w:rPr>
      </w:pPr>
    </w:p>
    <w:sectPr w:rsidR="001113E0" w:rsidRPr="009059BA" w:rsidSect="00907272">
      <w:headerReference w:type="default" r:id="rId8"/>
      <w:footerReference w:type="default" r:id="rId9"/>
      <w:pgSz w:w="11906" w:h="16838"/>
      <w:pgMar w:top="1077" w:right="1134"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93218" w14:textId="77777777" w:rsidR="000B0C10" w:rsidRDefault="000B0C10" w:rsidP="00E336BD">
      <w:pPr>
        <w:spacing w:after="0" w:line="240" w:lineRule="auto"/>
      </w:pPr>
      <w:r>
        <w:separator/>
      </w:r>
    </w:p>
  </w:endnote>
  <w:endnote w:type="continuationSeparator" w:id="0">
    <w:p w14:paraId="0E3C08A6" w14:textId="77777777" w:rsidR="000B0C10" w:rsidRDefault="000B0C10" w:rsidP="00E3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688B" w14:textId="77777777" w:rsidR="00F51717" w:rsidRDefault="00F51717">
    <w:pPr>
      <w:pStyle w:val="Footer"/>
      <w:jc w:val="right"/>
    </w:pPr>
  </w:p>
  <w:p w14:paraId="509C93DB" w14:textId="77777777" w:rsidR="00F51717" w:rsidRDefault="00F51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AB0AD" w14:textId="77777777" w:rsidR="000B0C10" w:rsidRDefault="000B0C10" w:rsidP="00E336BD">
      <w:pPr>
        <w:spacing w:after="0" w:line="240" w:lineRule="auto"/>
      </w:pPr>
      <w:r>
        <w:separator/>
      </w:r>
    </w:p>
  </w:footnote>
  <w:footnote w:type="continuationSeparator" w:id="0">
    <w:p w14:paraId="6E9631CF" w14:textId="77777777" w:rsidR="000B0C10" w:rsidRDefault="000B0C10" w:rsidP="00E336BD">
      <w:pPr>
        <w:spacing w:after="0" w:line="240" w:lineRule="auto"/>
      </w:pPr>
      <w:r>
        <w:continuationSeparator/>
      </w:r>
    </w:p>
  </w:footnote>
  <w:footnote w:id="1">
    <w:p w14:paraId="384A9510" w14:textId="77777777" w:rsidR="00F51717" w:rsidRDefault="00F51717">
      <w:pPr>
        <w:pStyle w:val="FootnoteText"/>
      </w:pPr>
      <w:r>
        <w:rPr>
          <w:rStyle w:val="FootnoteReference"/>
        </w:rPr>
        <w:footnoteRef/>
      </w:r>
      <w:r>
        <w:t xml:space="preserve"> Tại </w:t>
      </w:r>
      <w:r>
        <w:rPr>
          <w:szCs w:val="26"/>
        </w:rPr>
        <w:t>Hội nghị tổng kết 20 năm thực hiện Nghị quyết số 13/NQ-TW về kinh tế tập thể và 10 năm thi hành Luật HTX năm 2012 ngày 15/02/2022 của Chính phủ.</w:t>
      </w:r>
    </w:p>
  </w:footnote>
  <w:footnote w:id="2">
    <w:p w14:paraId="20454C80" w14:textId="77777777" w:rsidR="00F51717" w:rsidRDefault="00F51717" w:rsidP="003B3448">
      <w:pPr>
        <w:pStyle w:val="FootnoteText"/>
      </w:pPr>
      <w:r>
        <w:rPr>
          <w:rStyle w:val="FootnoteReference"/>
        </w:rPr>
        <w:footnoteRef/>
      </w:r>
      <w:r>
        <w:t xml:space="preserve"> Số lượng thành viên tối thiểu khi thành lập là 05 thành viên đối với HTX và 03 thành viên đối với liên hiệp HTX.</w:t>
      </w:r>
    </w:p>
  </w:footnote>
  <w:footnote w:id="3">
    <w:p w14:paraId="1D947B22" w14:textId="77777777" w:rsidR="00F51717" w:rsidRDefault="00F51717">
      <w:pPr>
        <w:pStyle w:val="FootnoteText"/>
      </w:pPr>
      <w:r>
        <w:rPr>
          <w:rStyle w:val="FootnoteReference"/>
        </w:rPr>
        <w:footnoteRef/>
      </w:r>
      <w:r>
        <w:t xml:space="preserve"> Luật HTX Singapore quy định cá nhân trở thành thành viên HTX từ 16 tuổi trở lên hoặc 12 tuổi trở lên đối với HTX trường học.</w:t>
      </w:r>
    </w:p>
  </w:footnote>
  <w:footnote w:id="4">
    <w:p w14:paraId="64447668" w14:textId="77777777" w:rsidR="00F51717" w:rsidRDefault="00F51717" w:rsidP="00E50B11">
      <w:pPr>
        <w:pStyle w:val="FootnoteText"/>
        <w:spacing w:before="60" w:after="60"/>
      </w:pPr>
      <w:r>
        <w:rPr>
          <w:rStyle w:val="FootnoteReference"/>
        </w:rPr>
        <w:footnoteRef/>
      </w:r>
      <w:r>
        <w:t xml:space="preserve"> Ví dụ: HTX Nông nghiệp Thanh niên Như Cố ở Bắc Kạn có 11 thành viên nhưng có hơn 100 thành viên liên kết là cá nhân, hộ gia đình. Thành viên liên kết được đào tạo, hướng dẫn kỹ thuật trồng cây, ưu đãi về giá thu mua, cung cấp sản phẩm cho HTX sơ chế, chế biến, đóng gói tiêu thụ ra bên ngoài thị trường. </w:t>
      </w:r>
    </w:p>
  </w:footnote>
  <w:footnote w:id="5">
    <w:p w14:paraId="317F5052" w14:textId="77777777" w:rsidR="00F51717" w:rsidRDefault="00F51717" w:rsidP="008049AE">
      <w:pPr>
        <w:pStyle w:val="FootnoteText"/>
      </w:pPr>
      <w:r>
        <w:rPr>
          <w:rStyle w:val="FootnoteReference"/>
        </w:rPr>
        <w:footnoteRef/>
      </w:r>
      <w:r>
        <w:t xml:space="preserve"> Hiện nay, người đại diện hoặc thành viên THT phải đăng ký hộ kinh doanh cá thể để thực hiện nghĩa vụ nộp thuế cho Nhà nước.</w:t>
      </w:r>
    </w:p>
  </w:footnote>
  <w:footnote w:id="6">
    <w:p w14:paraId="7C3919C6" w14:textId="77777777" w:rsidR="00F51717" w:rsidRDefault="00F51717">
      <w:pPr>
        <w:pStyle w:val="FootnoteText"/>
      </w:pPr>
      <w:r>
        <w:rPr>
          <w:rStyle w:val="FootnoteReference"/>
        </w:rPr>
        <w:footnoteRef/>
      </w:r>
      <w:r>
        <w:t xml:space="preserve"> Luật Doanh nghiệp năm 2020 sửa đổi giảm tỷ lệ này xuống 50%</w:t>
      </w:r>
      <w:r w:rsidRPr="003C7DFB">
        <w:t xml:space="preserve"> </w:t>
      </w:r>
      <w:r>
        <w:t>tổng số thành viên lần 1 và 33% tổng số thành viên lần 2.</w:t>
      </w:r>
    </w:p>
  </w:footnote>
  <w:footnote w:id="7">
    <w:p w14:paraId="359EC5C7" w14:textId="77777777" w:rsidR="00F51717" w:rsidRPr="00BA2765" w:rsidRDefault="00F51717" w:rsidP="009C01CF">
      <w:pPr>
        <w:pStyle w:val="FootnoteText"/>
      </w:pPr>
      <w:r w:rsidRPr="00BA2765">
        <w:rPr>
          <w:rStyle w:val="FootnoteReference"/>
        </w:rPr>
        <w:footnoteRef/>
      </w:r>
      <w:r w:rsidRPr="00BA2765">
        <w:t xml:space="preserve"> Khoản 1, 2 Điều 3 Luật </w:t>
      </w:r>
      <w:r>
        <w:t>HTX</w:t>
      </w:r>
      <w:r w:rsidRPr="00BA2765">
        <w:t xml:space="preserve"> năm 2012</w:t>
      </w:r>
    </w:p>
  </w:footnote>
  <w:footnote w:id="8">
    <w:p w14:paraId="27163F15" w14:textId="77777777" w:rsidR="00F51717" w:rsidRPr="00BA2765" w:rsidRDefault="00F51717" w:rsidP="009C01CF">
      <w:pPr>
        <w:pStyle w:val="FootnoteText"/>
      </w:pPr>
      <w:r w:rsidRPr="00BA2765">
        <w:rPr>
          <w:rStyle w:val="FootnoteReference"/>
        </w:rPr>
        <w:footnoteRef/>
      </w:r>
      <w:r w:rsidRPr="00BA2765">
        <w:t xml:space="preserve"> Điều 81,87 Bộ luật Dân sự năm 2015</w:t>
      </w:r>
    </w:p>
  </w:footnote>
  <w:footnote w:id="9">
    <w:p w14:paraId="1B7ECFAA" w14:textId="77777777" w:rsidR="00F51717" w:rsidRPr="00701857" w:rsidRDefault="00F51717" w:rsidP="009C01CF">
      <w:pPr>
        <w:pStyle w:val="FootnoteText"/>
      </w:pPr>
      <w:r w:rsidRPr="00701857">
        <w:rPr>
          <w:rStyle w:val="FootnoteReference"/>
        </w:rPr>
        <w:footnoteRef/>
      </w:r>
      <w:r w:rsidRPr="00701857">
        <w:t xml:space="preserve"> Điều 74, 87 Bộ luật Dân sự năm 2015</w:t>
      </w:r>
    </w:p>
  </w:footnote>
  <w:footnote w:id="10">
    <w:p w14:paraId="6AF167B9" w14:textId="77777777" w:rsidR="00F51717" w:rsidRDefault="00F51717">
      <w:pPr>
        <w:pStyle w:val="FootnoteText"/>
      </w:pPr>
      <w:r>
        <w:rPr>
          <w:rStyle w:val="FootnoteReference"/>
        </w:rPr>
        <w:footnoteRef/>
      </w:r>
      <w:r>
        <w:t xml:space="preserve"> </w:t>
      </w:r>
      <w:r w:rsidRPr="007B4A0D">
        <w:rPr>
          <w:lang w:val="pt-BR"/>
        </w:rPr>
        <w:t xml:space="preserve">Theo </w:t>
      </w:r>
      <w:r>
        <w:t>đó</w:t>
      </w:r>
      <w:r w:rsidRPr="007B4A0D">
        <w:rPr>
          <w:lang w:val="pt-BR"/>
        </w:rPr>
        <w:t>, tài sản là vật (tuỳ theo cách phân chia) bao gồm vật chính, vật phụ, vật đồng bộ, vật đặc định…; còn tài sản là hiện vật thì không rõ nghĩa.</w:t>
      </w:r>
    </w:p>
  </w:footnote>
  <w:footnote w:id="11">
    <w:p w14:paraId="233FF804" w14:textId="51BD780B" w:rsidR="00562556" w:rsidRDefault="00562556">
      <w:pPr>
        <w:pStyle w:val="FootnoteText"/>
      </w:pPr>
      <w:r>
        <w:rPr>
          <w:rStyle w:val="FootnoteReference"/>
        </w:rPr>
        <w:footnoteRef/>
      </w:r>
      <w:r>
        <w:t xml:space="preserve"> Theo quan điểm chỉ đạo của Ban chấp hành Trung ương tại Hội nghị Trung ương 5, khóa XIII</w:t>
      </w:r>
    </w:p>
  </w:footnote>
  <w:footnote w:id="12">
    <w:p w14:paraId="4D575503" w14:textId="77777777" w:rsidR="00F51717" w:rsidRDefault="00F51717" w:rsidP="001519F3">
      <w:pPr>
        <w:pStyle w:val="FootnoteText"/>
      </w:pPr>
      <w:r>
        <w:rPr>
          <w:rStyle w:val="FootnoteReference"/>
        </w:rPr>
        <w:footnoteRef/>
      </w:r>
      <w:r>
        <w:t xml:space="preserve"> </w:t>
      </w:r>
      <w:r w:rsidRPr="00221A8B">
        <w:t>https://khaosat.me/survey/khao-sat-mot-so-noi-dung-du-thao-luat-htx-sua-doi-ba09e7d</w:t>
      </w:r>
    </w:p>
  </w:footnote>
  <w:footnote w:id="13">
    <w:p w14:paraId="381957F0" w14:textId="3205AB1E" w:rsidR="00131265" w:rsidRDefault="00131265">
      <w:pPr>
        <w:pStyle w:val="FootnoteText"/>
      </w:pPr>
      <w:r>
        <w:rPr>
          <w:rStyle w:val="FootnoteReference"/>
        </w:rPr>
        <w:footnoteRef/>
      </w:r>
      <w:r>
        <w:t xml:space="preserve"> Các Điều 22, 61, 63, 64.</w:t>
      </w:r>
    </w:p>
  </w:footnote>
  <w:footnote w:id="14">
    <w:p w14:paraId="5B887E5F" w14:textId="16CED479" w:rsidR="003B1418" w:rsidRDefault="003B1418">
      <w:pPr>
        <w:pStyle w:val="FootnoteText"/>
      </w:pPr>
      <w:r>
        <w:rPr>
          <w:rStyle w:val="FootnoteReference"/>
        </w:rPr>
        <w:footnoteRef/>
      </w:r>
      <w:r>
        <w:t xml:space="preserve"> Sửa đổi 60 Điều của Luật HTX năm 2012, trong đó 10 Điều tách ra thành 20 Điều. Tổng cộng có 70 Điều.</w:t>
      </w:r>
    </w:p>
  </w:footnote>
  <w:footnote w:id="15">
    <w:p w14:paraId="0DAAC534" w14:textId="77777777" w:rsidR="00F51717" w:rsidRDefault="00F51717">
      <w:pPr>
        <w:pStyle w:val="FootnoteText"/>
      </w:pPr>
      <w:r>
        <w:rPr>
          <w:rStyle w:val="FootnoteReference"/>
        </w:rPr>
        <w:footnoteRef/>
      </w:r>
      <w:r>
        <w:t xml:space="preserve"> </w:t>
      </w:r>
      <w:r w:rsidRPr="00FB3138">
        <w:t>Luật HTX năm 2012 bao gồm 11 Chương, 64 Điều</w:t>
      </w:r>
    </w:p>
  </w:footnote>
  <w:footnote w:id="16">
    <w:p w14:paraId="6B5C10CA" w14:textId="77777777" w:rsidR="00F51717" w:rsidRDefault="00F51717">
      <w:pPr>
        <w:pStyle w:val="FootnoteText"/>
      </w:pPr>
      <w:r>
        <w:rPr>
          <w:rStyle w:val="FootnoteReference"/>
        </w:rPr>
        <w:footnoteRef/>
      </w:r>
      <w:r>
        <w:t xml:space="preserve"> TCKTHT có tư cách pháp nhân b</w:t>
      </w:r>
      <w:r w:rsidRPr="00966A8B">
        <w:rPr>
          <w:lang w:val="nl-NL"/>
        </w:rPr>
        <w:t>ao gồm HTX, liên hiệp HTX, liên đoàn HTX</w:t>
      </w:r>
    </w:p>
  </w:footnote>
  <w:footnote w:id="17">
    <w:p w14:paraId="45FCF85D" w14:textId="77777777" w:rsidR="00F51717" w:rsidRDefault="00F51717" w:rsidP="00CF0B3F">
      <w:pPr>
        <w:pStyle w:val="FootnoteText"/>
      </w:pPr>
      <w:r>
        <w:rPr>
          <w:rStyle w:val="FootnoteReference"/>
        </w:rPr>
        <w:footnoteRef/>
      </w:r>
      <w:r>
        <w:t xml:space="preserve"> Luật HTX năm 2012 quy định Chính phủ chi tiết, Nghị định 107/NĐ-CP quy định tỷ lệ không quá 50%.</w:t>
      </w:r>
    </w:p>
  </w:footnote>
  <w:footnote w:id="18">
    <w:p w14:paraId="14D0DFAE" w14:textId="77777777" w:rsidR="00F51717" w:rsidRDefault="00F51717">
      <w:pPr>
        <w:pStyle w:val="FootnoteText"/>
      </w:pPr>
      <w:r>
        <w:rPr>
          <w:rStyle w:val="FootnoteReference"/>
        </w:rPr>
        <w:footnoteRef/>
      </w:r>
      <w:r>
        <w:t xml:space="preserve"> Giảm từ 100 xuống 50 thành viên so với Luật HTX năm 2012.</w:t>
      </w:r>
    </w:p>
  </w:footnote>
  <w:footnote w:id="19">
    <w:p w14:paraId="2C21CC29" w14:textId="77777777" w:rsidR="00F51717" w:rsidRDefault="00F51717">
      <w:pPr>
        <w:pStyle w:val="FootnoteText"/>
      </w:pPr>
      <w:r>
        <w:rPr>
          <w:rStyle w:val="FootnoteReference"/>
        </w:rPr>
        <w:footnoteRef/>
      </w:r>
      <w:r>
        <w:t xml:space="preserve"> Đại hội thành viên được tiến hành khi có ít nhất từ 75% xuống 50% tổng số thành viên tham dự khi triệu tập lần 1 và 50% xuống 33% tổng số thành viên tham dự khi triệu tập lần 2 so với Luật HTX năm 2012. </w:t>
      </w:r>
    </w:p>
  </w:footnote>
  <w:footnote w:id="20">
    <w:p w14:paraId="27A21258" w14:textId="77777777" w:rsidR="00F51717" w:rsidRDefault="00F51717">
      <w:pPr>
        <w:pStyle w:val="FootnoteText"/>
      </w:pPr>
      <w:r>
        <w:rPr>
          <w:rStyle w:val="FootnoteReference"/>
        </w:rPr>
        <w:footnoteRef/>
      </w:r>
      <w:r>
        <w:t xml:space="preserve"> </w:t>
      </w:r>
      <w:r w:rsidRPr="00F07EF6">
        <w:t xml:space="preserve">Người từ 15 tuổi trở lên được </w:t>
      </w:r>
      <w:r w:rsidRPr="00F07EF6">
        <w:rPr>
          <w:color w:val="000000"/>
          <w:shd w:val="clear" w:color="auto" w:fill="FFFFFF"/>
        </w:rPr>
        <w:t xml:space="preserve">tự mình xác lập, thực hiện giao dịch dân sự theo quy định </w:t>
      </w:r>
      <w:r>
        <w:rPr>
          <w:color w:val="000000"/>
          <w:shd w:val="clear" w:color="auto" w:fill="FFFFFF"/>
        </w:rPr>
        <w:t xml:space="preserve">của </w:t>
      </w:r>
      <w:r w:rsidRPr="00F07EF6">
        <w:rPr>
          <w:color w:val="000000"/>
          <w:shd w:val="clear" w:color="auto" w:fill="FFFFFF"/>
        </w:rPr>
        <w:t xml:space="preserve">Bộ luật Dân sự </w:t>
      </w:r>
    </w:p>
  </w:footnote>
  <w:footnote w:id="21">
    <w:p w14:paraId="54718452" w14:textId="07732738" w:rsidR="00F51717" w:rsidRDefault="00F51717">
      <w:pPr>
        <w:pStyle w:val="FootnoteText"/>
      </w:pPr>
      <w:r>
        <w:rPr>
          <w:rStyle w:val="FootnoteReference"/>
        </w:rPr>
        <w:footnoteRef/>
      </w:r>
      <w:r>
        <w:t xml:space="preserve"> Việc phân loại THT, HTX, liên hiệp HTX theo quy mô siêu nhỏ, nhỏ, vừa và lớn do Chính phủ quy định.</w:t>
      </w:r>
    </w:p>
  </w:footnote>
  <w:footnote w:id="22">
    <w:p w14:paraId="0FA67E75" w14:textId="77777777" w:rsidR="00F51717" w:rsidRDefault="00F51717">
      <w:pPr>
        <w:pStyle w:val="FootnoteText"/>
      </w:pPr>
      <w:r>
        <w:rPr>
          <w:rStyle w:val="FootnoteReference"/>
        </w:rPr>
        <w:footnoteRef/>
      </w:r>
      <w:r>
        <w:t xml:space="preserve"> Luật HTX năm 2012 quy định trách nhiệm chấm dứt tư cách thành viên của HTX, liên hiệp HTX thuộc về Đại hội thành viên gây khó khăn, mất thời gian cho việc thành viên rút khỏi HTX, liên hiệp HTX.</w:t>
      </w:r>
    </w:p>
  </w:footnote>
  <w:footnote w:id="23">
    <w:p w14:paraId="014E02BC" w14:textId="77777777" w:rsidR="00F51717" w:rsidRDefault="00F51717">
      <w:pPr>
        <w:pStyle w:val="FootnoteText"/>
      </w:pPr>
      <w:r>
        <w:rPr>
          <w:rStyle w:val="FootnoteReference"/>
        </w:rPr>
        <w:footnoteRef/>
      </w:r>
      <w:r>
        <w:t xml:space="preserve"> Dự kiến từ năm 2026.</w:t>
      </w:r>
    </w:p>
  </w:footnote>
  <w:footnote w:id="24">
    <w:p w14:paraId="28CB8A90" w14:textId="4CDE468E" w:rsidR="00F51717" w:rsidRDefault="00F51717">
      <w:pPr>
        <w:pStyle w:val="FootnoteText"/>
      </w:pPr>
      <w:r>
        <w:rPr>
          <w:rStyle w:val="FootnoteReference"/>
        </w:rPr>
        <w:footnoteRef/>
      </w:r>
      <w:r>
        <w:t xml:space="preserve"> Ví dụ: Luật Các tổ chức tín dụng dẫn chiếu đến Luật HTX; các văn bản, chính sách gần đây sử dụng cụm từ “HTX, doanh nghiệp”</w:t>
      </w:r>
    </w:p>
  </w:footnote>
  <w:footnote w:id="25">
    <w:p w14:paraId="238F8CDC" w14:textId="66988A89" w:rsidR="00F51717" w:rsidRDefault="00F51717">
      <w:pPr>
        <w:pStyle w:val="FootnoteText"/>
      </w:pPr>
      <w:r>
        <w:rPr>
          <w:rStyle w:val="FootnoteReference"/>
        </w:rPr>
        <w:footnoteRef/>
      </w:r>
      <w:r>
        <w:t xml:space="preserve"> Luật HTX năm 2012 quy định Chính phủ quy định chi tiết tỷ lệ này và tại Điều 5, Nghị định 107/2017/NĐ-CP tỷ lệ này được quy định là không quá 50%.</w:t>
      </w:r>
    </w:p>
  </w:footnote>
  <w:footnote w:id="26">
    <w:p w14:paraId="551B8B08" w14:textId="77777777" w:rsidR="00F51717" w:rsidRDefault="00F51717">
      <w:pPr>
        <w:pStyle w:val="FootnoteText"/>
      </w:pPr>
      <w:r>
        <w:rPr>
          <w:rStyle w:val="FootnoteReference"/>
        </w:rPr>
        <w:footnoteRef/>
      </w:r>
      <w:r>
        <w:t xml:space="preserve"> Thuế TNDN trung bình hiện nay là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88221"/>
      <w:docPartObj>
        <w:docPartGallery w:val="Page Numbers (Top of Page)"/>
        <w:docPartUnique/>
      </w:docPartObj>
    </w:sdtPr>
    <w:sdtEndPr>
      <w:rPr>
        <w:rFonts w:ascii="Times New Roman" w:hAnsi="Times New Roman" w:cs="Times New Roman"/>
        <w:sz w:val="28"/>
        <w:szCs w:val="28"/>
      </w:rPr>
    </w:sdtEndPr>
    <w:sdtContent>
      <w:p w14:paraId="6C9461D3" w14:textId="5E1FC879" w:rsidR="00F51717" w:rsidRPr="008B4E77" w:rsidRDefault="00F51717">
        <w:pPr>
          <w:pStyle w:val="Header"/>
          <w:jc w:val="center"/>
          <w:rPr>
            <w:rFonts w:ascii="Times New Roman" w:hAnsi="Times New Roman" w:cs="Times New Roman"/>
            <w:sz w:val="28"/>
            <w:szCs w:val="28"/>
          </w:rPr>
        </w:pPr>
        <w:r w:rsidRPr="008B4E77">
          <w:rPr>
            <w:rFonts w:ascii="Times New Roman" w:hAnsi="Times New Roman" w:cs="Times New Roman"/>
            <w:noProof/>
            <w:sz w:val="28"/>
            <w:szCs w:val="28"/>
          </w:rPr>
          <w:fldChar w:fldCharType="begin"/>
        </w:r>
        <w:r w:rsidRPr="008B4E77">
          <w:rPr>
            <w:rFonts w:ascii="Times New Roman" w:hAnsi="Times New Roman" w:cs="Times New Roman"/>
            <w:noProof/>
            <w:sz w:val="28"/>
            <w:szCs w:val="28"/>
          </w:rPr>
          <w:instrText xml:space="preserve"> PAGE   \* MERGEFORMAT </w:instrText>
        </w:r>
        <w:r w:rsidRPr="008B4E77">
          <w:rPr>
            <w:rFonts w:ascii="Times New Roman" w:hAnsi="Times New Roman" w:cs="Times New Roman"/>
            <w:noProof/>
            <w:sz w:val="28"/>
            <w:szCs w:val="28"/>
          </w:rPr>
          <w:fldChar w:fldCharType="separate"/>
        </w:r>
        <w:r w:rsidR="00910E20">
          <w:rPr>
            <w:rFonts w:ascii="Times New Roman" w:hAnsi="Times New Roman" w:cs="Times New Roman"/>
            <w:noProof/>
            <w:sz w:val="28"/>
            <w:szCs w:val="28"/>
          </w:rPr>
          <w:t>2</w:t>
        </w:r>
        <w:r w:rsidRPr="008B4E77">
          <w:rPr>
            <w:rFonts w:ascii="Times New Roman" w:hAnsi="Times New Roman" w:cs="Times New Roman"/>
            <w:noProof/>
            <w:sz w:val="28"/>
            <w:szCs w:val="28"/>
          </w:rPr>
          <w:fldChar w:fldCharType="end"/>
        </w:r>
      </w:p>
    </w:sdtContent>
  </w:sdt>
  <w:p w14:paraId="1379D663" w14:textId="77777777" w:rsidR="00F51717" w:rsidRDefault="00F51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1051E"/>
    <w:multiLevelType w:val="hybridMultilevel"/>
    <w:tmpl w:val="EAF43452"/>
    <w:lvl w:ilvl="0" w:tplc="020CEDA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416BC"/>
    <w:multiLevelType w:val="hybridMultilevel"/>
    <w:tmpl w:val="88663F26"/>
    <w:lvl w:ilvl="0" w:tplc="8EEA33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322C72"/>
    <w:multiLevelType w:val="hybridMultilevel"/>
    <w:tmpl w:val="7C1E2FBE"/>
    <w:lvl w:ilvl="0" w:tplc="999430C6">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FFD6B8F"/>
    <w:multiLevelType w:val="hybridMultilevel"/>
    <w:tmpl w:val="8AC664DC"/>
    <w:lvl w:ilvl="0" w:tplc="B6A088E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D228DB"/>
    <w:multiLevelType w:val="hybridMultilevel"/>
    <w:tmpl w:val="0468721A"/>
    <w:lvl w:ilvl="0" w:tplc="B6FA420E">
      <w:start w:val="1"/>
      <w:numFmt w:val="bullet"/>
      <w:lvlText w:val="-"/>
      <w:lvlJc w:val="left"/>
      <w:pPr>
        <w:tabs>
          <w:tab w:val="num" w:pos="720"/>
        </w:tabs>
        <w:ind w:left="720" w:hanging="360"/>
      </w:pPr>
      <w:rPr>
        <w:rFonts w:ascii="Times New Roman" w:hAnsi="Times New Roman" w:hint="default"/>
      </w:rPr>
    </w:lvl>
    <w:lvl w:ilvl="1" w:tplc="97D8D0AC" w:tentative="1">
      <w:start w:val="1"/>
      <w:numFmt w:val="bullet"/>
      <w:lvlText w:val="-"/>
      <w:lvlJc w:val="left"/>
      <w:pPr>
        <w:tabs>
          <w:tab w:val="num" w:pos="1440"/>
        </w:tabs>
        <w:ind w:left="1440" w:hanging="360"/>
      </w:pPr>
      <w:rPr>
        <w:rFonts w:ascii="Times New Roman" w:hAnsi="Times New Roman" w:hint="default"/>
      </w:rPr>
    </w:lvl>
    <w:lvl w:ilvl="2" w:tplc="F4BA3FDE" w:tentative="1">
      <w:start w:val="1"/>
      <w:numFmt w:val="bullet"/>
      <w:lvlText w:val="-"/>
      <w:lvlJc w:val="left"/>
      <w:pPr>
        <w:tabs>
          <w:tab w:val="num" w:pos="2160"/>
        </w:tabs>
        <w:ind w:left="2160" w:hanging="360"/>
      </w:pPr>
      <w:rPr>
        <w:rFonts w:ascii="Times New Roman" w:hAnsi="Times New Roman" w:hint="default"/>
      </w:rPr>
    </w:lvl>
    <w:lvl w:ilvl="3" w:tplc="B0540634" w:tentative="1">
      <w:start w:val="1"/>
      <w:numFmt w:val="bullet"/>
      <w:lvlText w:val="-"/>
      <w:lvlJc w:val="left"/>
      <w:pPr>
        <w:tabs>
          <w:tab w:val="num" w:pos="2880"/>
        </w:tabs>
        <w:ind w:left="2880" w:hanging="360"/>
      </w:pPr>
      <w:rPr>
        <w:rFonts w:ascii="Times New Roman" w:hAnsi="Times New Roman" w:hint="default"/>
      </w:rPr>
    </w:lvl>
    <w:lvl w:ilvl="4" w:tplc="63B2F8A0" w:tentative="1">
      <w:start w:val="1"/>
      <w:numFmt w:val="bullet"/>
      <w:lvlText w:val="-"/>
      <w:lvlJc w:val="left"/>
      <w:pPr>
        <w:tabs>
          <w:tab w:val="num" w:pos="3600"/>
        </w:tabs>
        <w:ind w:left="3600" w:hanging="360"/>
      </w:pPr>
      <w:rPr>
        <w:rFonts w:ascii="Times New Roman" w:hAnsi="Times New Roman" w:hint="default"/>
      </w:rPr>
    </w:lvl>
    <w:lvl w:ilvl="5" w:tplc="C34A7A80" w:tentative="1">
      <w:start w:val="1"/>
      <w:numFmt w:val="bullet"/>
      <w:lvlText w:val="-"/>
      <w:lvlJc w:val="left"/>
      <w:pPr>
        <w:tabs>
          <w:tab w:val="num" w:pos="4320"/>
        </w:tabs>
        <w:ind w:left="4320" w:hanging="360"/>
      </w:pPr>
      <w:rPr>
        <w:rFonts w:ascii="Times New Roman" w:hAnsi="Times New Roman" w:hint="default"/>
      </w:rPr>
    </w:lvl>
    <w:lvl w:ilvl="6" w:tplc="2312EC66" w:tentative="1">
      <w:start w:val="1"/>
      <w:numFmt w:val="bullet"/>
      <w:lvlText w:val="-"/>
      <w:lvlJc w:val="left"/>
      <w:pPr>
        <w:tabs>
          <w:tab w:val="num" w:pos="5040"/>
        </w:tabs>
        <w:ind w:left="5040" w:hanging="360"/>
      </w:pPr>
      <w:rPr>
        <w:rFonts w:ascii="Times New Roman" w:hAnsi="Times New Roman" w:hint="default"/>
      </w:rPr>
    </w:lvl>
    <w:lvl w:ilvl="7" w:tplc="9E489E2E" w:tentative="1">
      <w:start w:val="1"/>
      <w:numFmt w:val="bullet"/>
      <w:lvlText w:val="-"/>
      <w:lvlJc w:val="left"/>
      <w:pPr>
        <w:tabs>
          <w:tab w:val="num" w:pos="5760"/>
        </w:tabs>
        <w:ind w:left="5760" w:hanging="360"/>
      </w:pPr>
      <w:rPr>
        <w:rFonts w:ascii="Times New Roman" w:hAnsi="Times New Roman" w:hint="default"/>
      </w:rPr>
    </w:lvl>
    <w:lvl w:ilvl="8" w:tplc="BE4630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5A7EC4"/>
    <w:multiLevelType w:val="hybridMultilevel"/>
    <w:tmpl w:val="7E889F4E"/>
    <w:lvl w:ilvl="0" w:tplc="B3D47E44">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B2A200C"/>
    <w:multiLevelType w:val="hybridMultilevel"/>
    <w:tmpl w:val="70A85182"/>
    <w:lvl w:ilvl="0" w:tplc="2C86595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D584926"/>
    <w:multiLevelType w:val="hybridMultilevel"/>
    <w:tmpl w:val="D7DA7760"/>
    <w:lvl w:ilvl="0" w:tplc="1B0CDF96">
      <w:start w:val="1"/>
      <w:numFmt w:val="bullet"/>
      <w:lvlText w:val="-"/>
      <w:lvlJc w:val="left"/>
      <w:pPr>
        <w:tabs>
          <w:tab w:val="num" w:pos="720"/>
        </w:tabs>
        <w:ind w:left="720" w:hanging="360"/>
      </w:pPr>
      <w:rPr>
        <w:rFonts w:ascii="Times New Roman" w:hAnsi="Times New Roman" w:hint="default"/>
      </w:rPr>
    </w:lvl>
    <w:lvl w:ilvl="1" w:tplc="F9D60E06" w:tentative="1">
      <w:start w:val="1"/>
      <w:numFmt w:val="bullet"/>
      <w:lvlText w:val="-"/>
      <w:lvlJc w:val="left"/>
      <w:pPr>
        <w:tabs>
          <w:tab w:val="num" w:pos="1440"/>
        </w:tabs>
        <w:ind w:left="1440" w:hanging="360"/>
      </w:pPr>
      <w:rPr>
        <w:rFonts w:ascii="Times New Roman" w:hAnsi="Times New Roman" w:hint="default"/>
      </w:rPr>
    </w:lvl>
    <w:lvl w:ilvl="2" w:tplc="3AF41A00" w:tentative="1">
      <w:start w:val="1"/>
      <w:numFmt w:val="bullet"/>
      <w:lvlText w:val="-"/>
      <w:lvlJc w:val="left"/>
      <w:pPr>
        <w:tabs>
          <w:tab w:val="num" w:pos="2160"/>
        </w:tabs>
        <w:ind w:left="2160" w:hanging="360"/>
      </w:pPr>
      <w:rPr>
        <w:rFonts w:ascii="Times New Roman" w:hAnsi="Times New Roman" w:hint="default"/>
      </w:rPr>
    </w:lvl>
    <w:lvl w:ilvl="3" w:tplc="F7E01868" w:tentative="1">
      <w:start w:val="1"/>
      <w:numFmt w:val="bullet"/>
      <w:lvlText w:val="-"/>
      <w:lvlJc w:val="left"/>
      <w:pPr>
        <w:tabs>
          <w:tab w:val="num" w:pos="2880"/>
        </w:tabs>
        <w:ind w:left="2880" w:hanging="360"/>
      </w:pPr>
      <w:rPr>
        <w:rFonts w:ascii="Times New Roman" w:hAnsi="Times New Roman" w:hint="default"/>
      </w:rPr>
    </w:lvl>
    <w:lvl w:ilvl="4" w:tplc="B20E4F62" w:tentative="1">
      <w:start w:val="1"/>
      <w:numFmt w:val="bullet"/>
      <w:lvlText w:val="-"/>
      <w:lvlJc w:val="left"/>
      <w:pPr>
        <w:tabs>
          <w:tab w:val="num" w:pos="3600"/>
        </w:tabs>
        <w:ind w:left="3600" w:hanging="360"/>
      </w:pPr>
      <w:rPr>
        <w:rFonts w:ascii="Times New Roman" w:hAnsi="Times New Roman" w:hint="default"/>
      </w:rPr>
    </w:lvl>
    <w:lvl w:ilvl="5" w:tplc="E898BB04" w:tentative="1">
      <w:start w:val="1"/>
      <w:numFmt w:val="bullet"/>
      <w:lvlText w:val="-"/>
      <w:lvlJc w:val="left"/>
      <w:pPr>
        <w:tabs>
          <w:tab w:val="num" w:pos="4320"/>
        </w:tabs>
        <w:ind w:left="4320" w:hanging="360"/>
      </w:pPr>
      <w:rPr>
        <w:rFonts w:ascii="Times New Roman" w:hAnsi="Times New Roman" w:hint="default"/>
      </w:rPr>
    </w:lvl>
    <w:lvl w:ilvl="6" w:tplc="3FFAD954" w:tentative="1">
      <w:start w:val="1"/>
      <w:numFmt w:val="bullet"/>
      <w:lvlText w:val="-"/>
      <w:lvlJc w:val="left"/>
      <w:pPr>
        <w:tabs>
          <w:tab w:val="num" w:pos="5040"/>
        </w:tabs>
        <w:ind w:left="5040" w:hanging="360"/>
      </w:pPr>
      <w:rPr>
        <w:rFonts w:ascii="Times New Roman" w:hAnsi="Times New Roman" w:hint="default"/>
      </w:rPr>
    </w:lvl>
    <w:lvl w:ilvl="7" w:tplc="1E2259A4" w:tentative="1">
      <w:start w:val="1"/>
      <w:numFmt w:val="bullet"/>
      <w:lvlText w:val="-"/>
      <w:lvlJc w:val="left"/>
      <w:pPr>
        <w:tabs>
          <w:tab w:val="num" w:pos="5760"/>
        </w:tabs>
        <w:ind w:left="5760" w:hanging="360"/>
      </w:pPr>
      <w:rPr>
        <w:rFonts w:ascii="Times New Roman" w:hAnsi="Times New Roman" w:hint="default"/>
      </w:rPr>
    </w:lvl>
    <w:lvl w:ilvl="8" w:tplc="74148F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E3B6E01"/>
    <w:multiLevelType w:val="hybridMultilevel"/>
    <w:tmpl w:val="6ABAD5BE"/>
    <w:lvl w:ilvl="0" w:tplc="F538E6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B65A82"/>
    <w:multiLevelType w:val="hybridMultilevel"/>
    <w:tmpl w:val="CDBA08F0"/>
    <w:lvl w:ilvl="0" w:tplc="942A90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67904F82"/>
    <w:multiLevelType w:val="hybridMultilevel"/>
    <w:tmpl w:val="EA30F5AA"/>
    <w:lvl w:ilvl="0" w:tplc="EFAACC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4"/>
  </w:num>
  <w:num w:numId="3">
    <w:abstractNumId w:val="6"/>
  </w:num>
  <w:num w:numId="4">
    <w:abstractNumId w:val="9"/>
  </w:num>
  <w:num w:numId="5">
    <w:abstractNumId w:val="8"/>
  </w:num>
  <w:num w:numId="6">
    <w:abstractNumId w:val="1"/>
  </w:num>
  <w:num w:numId="7">
    <w:abstractNumId w:val="10"/>
  </w:num>
  <w:num w:numId="8">
    <w:abstractNumId w:val="2"/>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51"/>
    <w:rsid w:val="00000A9C"/>
    <w:rsid w:val="00012166"/>
    <w:rsid w:val="00012DB3"/>
    <w:rsid w:val="000139C0"/>
    <w:rsid w:val="0001483F"/>
    <w:rsid w:val="000154E2"/>
    <w:rsid w:val="0001593F"/>
    <w:rsid w:val="00015EB0"/>
    <w:rsid w:val="000214DF"/>
    <w:rsid w:val="00021759"/>
    <w:rsid w:val="00021829"/>
    <w:rsid w:val="00024C27"/>
    <w:rsid w:val="0002721D"/>
    <w:rsid w:val="00031930"/>
    <w:rsid w:val="000324F8"/>
    <w:rsid w:val="00034811"/>
    <w:rsid w:val="00035E7D"/>
    <w:rsid w:val="0003683A"/>
    <w:rsid w:val="00036A0B"/>
    <w:rsid w:val="000414DC"/>
    <w:rsid w:val="00041AF1"/>
    <w:rsid w:val="00050AA8"/>
    <w:rsid w:val="0005187A"/>
    <w:rsid w:val="00052493"/>
    <w:rsid w:val="00052B03"/>
    <w:rsid w:val="00053F37"/>
    <w:rsid w:val="00057E66"/>
    <w:rsid w:val="00064D82"/>
    <w:rsid w:val="00066951"/>
    <w:rsid w:val="00070184"/>
    <w:rsid w:val="0007486A"/>
    <w:rsid w:val="00075276"/>
    <w:rsid w:val="0007553A"/>
    <w:rsid w:val="000759B8"/>
    <w:rsid w:val="00076A6E"/>
    <w:rsid w:val="00077D8E"/>
    <w:rsid w:val="00080A6A"/>
    <w:rsid w:val="00082D9C"/>
    <w:rsid w:val="00090AB5"/>
    <w:rsid w:val="00092D07"/>
    <w:rsid w:val="00093F9B"/>
    <w:rsid w:val="00094E98"/>
    <w:rsid w:val="000960A3"/>
    <w:rsid w:val="000969B3"/>
    <w:rsid w:val="000979A6"/>
    <w:rsid w:val="000A5A49"/>
    <w:rsid w:val="000B0C10"/>
    <w:rsid w:val="000B458D"/>
    <w:rsid w:val="000B4BD2"/>
    <w:rsid w:val="000B65F3"/>
    <w:rsid w:val="000C0177"/>
    <w:rsid w:val="000C48C2"/>
    <w:rsid w:val="000C6109"/>
    <w:rsid w:val="000C637B"/>
    <w:rsid w:val="000C63E1"/>
    <w:rsid w:val="000C6F6A"/>
    <w:rsid w:val="000D0E83"/>
    <w:rsid w:val="000D3496"/>
    <w:rsid w:val="000D57DB"/>
    <w:rsid w:val="000D742F"/>
    <w:rsid w:val="000E269F"/>
    <w:rsid w:val="000E36C3"/>
    <w:rsid w:val="000E4B25"/>
    <w:rsid w:val="000F19FD"/>
    <w:rsid w:val="000F24A6"/>
    <w:rsid w:val="000F38B5"/>
    <w:rsid w:val="00104B1A"/>
    <w:rsid w:val="00104D73"/>
    <w:rsid w:val="00106CBA"/>
    <w:rsid w:val="00107640"/>
    <w:rsid w:val="001113E0"/>
    <w:rsid w:val="001178D1"/>
    <w:rsid w:val="00117CA9"/>
    <w:rsid w:val="00117E5E"/>
    <w:rsid w:val="001210C9"/>
    <w:rsid w:val="00121A79"/>
    <w:rsid w:val="0012285E"/>
    <w:rsid w:val="00125030"/>
    <w:rsid w:val="00131265"/>
    <w:rsid w:val="00132BDC"/>
    <w:rsid w:val="00133CAC"/>
    <w:rsid w:val="00135843"/>
    <w:rsid w:val="00136D7D"/>
    <w:rsid w:val="00141C6F"/>
    <w:rsid w:val="00142F97"/>
    <w:rsid w:val="00145198"/>
    <w:rsid w:val="00147348"/>
    <w:rsid w:val="001519F3"/>
    <w:rsid w:val="00153232"/>
    <w:rsid w:val="00153546"/>
    <w:rsid w:val="00155B39"/>
    <w:rsid w:val="00157A41"/>
    <w:rsid w:val="001614A1"/>
    <w:rsid w:val="00162278"/>
    <w:rsid w:val="0016489C"/>
    <w:rsid w:val="00165701"/>
    <w:rsid w:val="00165CBE"/>
    <w:rsid w:val="001662CB"/>
    <w:rsid w:val="001667B9"/>
    <w:rsid w:val="00167BC1"/>
    <w:rsid w:val="00171249"/>
    <w:rsid w:val="0017248E"/>
    <w:rsid w:val="0017449D"/>
    <w:rsid w:val="00176CD1"/>
    <w:rsid w:val="00177AB9"/>
    <w:rsid w:val="001803B2"/>
    <w:rsid w:val="00180CF4"/>
    <w:rsid w:val="0018335C"/>
    <w:rsid w:val="00184901"/>
    <w:rsid w:val="00187414"/>
    <w:rsid w:val="00195136"/>
    <w:rsid w:val="00197753"/>
    <w:rsid w:val="00197A04"/>
    <w:rsid w:val="001A3E55"/>
    <w:rsid w:val="001A3F1C"/>
    <w:rsid w:val="001A5F7E"/>
    <w:rsid w:val="001A7C9E"/>
    <w:rsid w:val="001B0D0E"/>
    <w:rsid w:val="001B2CD4"/>
    <w:rsid w:val="001B323D"/>
    <w:rsid w:val="001C0431"/>
    <w:rsid w:val="001C4315"/>
    <w:rsid w:val="001C4C6F"/>
    <w:rsid w:val="001C4FDC"/>
    <w:rsid w:val="001C55C1"/>
    <w:rsid w:val="001C6B21"/>
    <w:rsid w:val="001C78CD"/>
    <w:rsid w:val="001C7BE9"/>
    <w:rsid w:val="001C7E7B"/>
    <w:rsid w:val="001D16DC"/>
    <w:rsid w:val="001D1E09"/>
    <w:rsid w:val="001D651B"/>
    <w:rsid w:val="001E29B8"/>
    <w:rsid w:val="001E2A12"/>
    <w:rsid w:val="001E6EE3"/>
    <w:rsid w:val="001F2950"/>
    <w:rsid w:val="001F61F6"/>
    <w:rsid w:val="001F76C5"/>
    <w:rsid w:val="001F7969"/>
    <w:rsid w:val="00202EDF"/>
    <w:rsid w:val="002031C2"/>
    <w:rsid w:val="00205035"/>
    <w:rsid w:val="0020560A"/>
    <w:rsid w:val="002103A0"/>
    <w:rsid w:val="00210A0B"/>
    <w:rsid w:val="00212A9D"/>
    <w:rsid w:val="00213ACE"/>
    <w:rsid w:val="002140CA"/>
    <w:rsid w:val="00215938"/>
    <w:rsid w:val="00216E60"/>
    <w:rsid w:val="00217ACE"/>
    <w:rsid w:val="00221A7D"/>
    <w:rsid w:val="00221A8B"/>
    <w:rsid w:val="00223FEA"/>
    <w:rsid w:val="0022572A"/>
    <w:rsid w:val="002313F7"/>
    <w:rsid w:val="00232528"/>
    <w:rsid w:val="002334DE"/>
    <w:rsid w:val="002343BA"/>
    <w:rsid w:val="0023670F"/>
    <w:rsid w:val="00237165"/>
    <w:rsid w:val="00237522"/>
    <w:rsid w:val="00243E4D"/>
    <w:rsid w:val="00246256"/>
    <w:rsid w:val="00246E4B"/>
    <w:rsid w:val="00255DA7"/>
    <w:rsid w:val="002604F7"/>
    <w:rsid w:val="0026157D"/>
    <w:rsid w:val="00262BB6"/>
    <w:rsid w:val="00263A15"/>
    <w:rsid w:val="00264588"/>
    <w:rsid w:val="00264BA2"/>
    <w:rsid w:val="00271EB6"/>
    <w:rsid w:val="00277D9A"/>
    <w:rsid w:val="0028006E"/>
    <w:rsid w:val="00284922"/>
    <w:rsid w:val="00284AD9"/>
    <w:rsid w:val="002856F1"/>
    <w:rsid w:val="00287013"/>
    <w:rsid w:val="00287A06"/>
    <w:rsid w:val="00290A6C"/>
    <w:rsid w:val="00290FF1"/>
    <w:rsid w:val="00292DF3"/>
    <w:rsid w:val="00293351"/>
    <w:rsid w:val="002947EA"/>
    <w:rsid w:val="00295BAA"/>
    <w:rsid w:val="00295E0D"/>
    <w:rsid w:val="002A33F9"/>
    <w:rsid w:val="002B468A"/>
    <w:rsid w:val="002B4FD7"/>
    <w:rsid w:val="002B6154"/>
    <w:rsid w:val="002C2A25"/>
    <w:rsid w:val="002D0485"/>
    <w:rsid w:val="002D11A5"/>
    <w:rsid w:val="002D1E32"/>
    <w:rsid w:val="002D2387"/>
    <w:rsid w:val="002E097A"/>
    <w:rsid w:val="002E1619"/>
    <w:rsid w:val="002E17F4"/>
    <w:rsid w:val="002E42E2"/>
    <w:rsid w:val="002E79C3"/>
    <w:rsid w:val="002F16B0"/>
    <w:rsid w:val="002F3FC5"/>
    <w:rsid w:val="002F4BD0"/>
    <w:rsid w:val="002F6797"/>
    <w:rsid w:val="002F7734"/>
    <w:rsid w:val="0030047D"/>
    <w:rsid w:val="00300B09"/>
    <w:rsid w:val="00301302"/>
    <w:rsid w:val="00302ADB"/>
    <w:rsid w:val="00303F2A"/>
    <w:rsid w:val="00304958"/>
    <w:rsid w:val="00312F0F"/>
    <w:rsid w:val="00315C1E"/>
    <w:rsid w:val="0032075A"/>
    <w:rsid w:val="00320EB2"/>
    <w:rsid w:val="00326480"/>
    <w:rsid w:val="00326BD9"/>
    <w:rsid w:val="00327794"/>
    <w:rsid w:val="00327D4F"/>
    <w:rsid w:val="003315BF"/>
    <w:rsid w:val="00335C53"/>
    <w:rsid w:val="00336A7E"/>
    <w:rsid w:val="003400C1"/>
    <w:rsid w:val="003426FE"/>
    <w:rsid w:val="00346582"/>
    <w:rsid w:val="003474CA"/>
    <w:rsid w:val="003507D0"/>
    <w:rsid w:val="00351C21"/>
    <w:rsid w:val="00355716"/>
    <w:rsid w:val="00356238"/>
    <w:rsid w:val="003564B5"/>
    <w:rsid w:val="00357C5C"/>
    <w:rsid w:val="00360316"/>
    <w:rsid w:val="00360E5D"/>
    <w:rsid w:val="0036325A"/>
    <w:rsid w:val="00363455"/>
    <w:rsid w:val="003634F3"/>
    <w:rsid w:val="003659BE"/>
    <w:rsid w:val="0036615F"/>
    <w:rsid w:val="003677C4"/>
    <w:rsid w:val="00371368"/>
    <w:rsid w:val="00371AF8"/>
    <w:rsid w:val="003738FE"/>
    <w:rsid w:val="00380000"/>
    <w:rsid w:val="00381D87"/>
    <w:rsid w:val="00382F02"/>
    <w:rsid w:val="00382FC2"/>
    <w:rsid w:val="00384449"/>
    <w:rsid w:val="0038788D"/>
    <w:rsid w:val="00387A2C"/>
    <w:rsid w:val="0039341D"/>
    <w:rsid w:val="00394557"/>
    <w:rsid w:val="003970B5"/>
    <w:rsid w:val="003A10B1"/>
    <w:rsid w:val="003A21D3"/>
    <w:rsid w:val="003A370E"/>
    <w:rsid w:val="003A5B93"/>
    <w:rsid w:val="003A77C6"/>
    <w:rsid w:val="003B03D8"/>
    <w:rsid w:val="003B1418"/>
    <w:rsid w:val="003B1AEC"/>
    <w:rsid w:val="003B1C80"/>
    <w:rsid w:val="003B326E"/>
    <w:rsid w:val="003B3448"/>
    <w:rsid w:val="003B392A"/>
    <w:rsid w:val="003B7C88"/>
    <w:rsid w:val="003B7D6B"/>
    <w:rsid w:val="003C0FEC"/>
    <w:rsid w:val="003C3DDE"/>
    <w:rsid w:val="003C5C22"/>
    <w:rsid w:val="003C7DFB"/>
    <w:rsid w:val="003C7E38"/>
    <w:rsid w:val="003D022C"/>
    <w:rsid w:val="003D0AA0"/>
    <w:rsid w:val="003D0CD4"/>
    <w:rsid w:val="003D2BBC"/>
    <w:rsid w:val="003D2DB5"/>
    <w:rsid w:val="003D35C3"/>
    <w:rsid w:val="003D43DE"/>
    <w:rsid w:val="003D47C5"/>
    <w:rsid w:val="003D520C"/>
    <w:rsid w:val="003D5B2E"/>
    <w:rsid w:val="003D5F79"/>
    <w:rsid w:val="003E1487"/>
    <w:rsid w:val="003E51AC"/>
    <w:rsid w:val="003E654B"/>
    <w:rsid w:val="003F1FA9"/>
    <w:rsid w:val="003F3747"/>
    <w:rsid w:val="003F4A81"/>
    <w:rsid w:val="003F7438"/>
    <w:rsid w:val="004007E8"/>
    <w:rsid w:val="0040267B"/>
    <w:rsid w:val="00404033"/>
    <w:rsid w:val="004048D6"/>
    <w:rsid w:val="00406D4E"/>
    <w:rsid w:val="00407896"/>
    <w:rsid w:val="004078D2"/>
    <w:rsid w:val="00407D09"/>
    <w:rsid w:val="00410882"/>
    <w:rsid w:val="00410D50"/>
    <w:rsid w:val="00410E36"/>
    <w:rsid w:val="00411567"/>
    <w:rsid w:val="00412C6E"/>
    <w:rsid w:val="00420AE7"/>
    <w:rsid w:val="004221F4"/>
    <w:rsid w:val="004229C1"/>
    <w:rsid w:val="004236C9"/>
    <w:rsid w:val="00423EFF"/>
    <w:rsid w:val="0042521B"/>
    <w:rsid w:val="00425727"/>
    <w:rsid w:val="004273DC"/>
    <w:rsid w:val="00427534"/>
    <w:rsid w:val="0043108E"/>
    <w:rsid w:val="00434313"/>
    <w:rsid w:val="00436D3F"/>
    <w:rsid w:val="00437188"/>
    <w:rsid w:val="00440628"/>
    <w:rsid w:val="00443114"/>
    <w:rsid w:val="0044355D"/>
    <w:rsid w:val="00450385"/>
    <w:rsid w:val="00451229"/>
    <w:rsid w:val="00456A68"/>
    <w:rsid w:val="00460B75"/>
    <w:rsid w:val="0046199A"/>
    <w:rsid w:val="00461E60"/>
    <w:rsid w:val="004637D6"/>
    <w:rsid w:val="00464E60"/>
    <w:rsid w:val="00465561"/>
    <w:rsid w:val="00465899"/>
    <w:rsid w:val="00466415"/>
    <w:rsid w:val="00470634"/>
    <w:rsid w:val="00471DA2"/>
    <w:rsid w:val="0047424B"/>
    <w:rsid w:val="00477B26"/>
    <w:rsid w:val="0048111C"/>
    <w:rsid w:val="00481F72"/>
    <w:rsid w:val="0048332A"/>
    <w:rsid w:val="00486882"/>
    <w:rsid w:val="004962BF"/>
    <w:rsid w:val="004A257F"/>
    <w:rsid w:val="004A2E1F"/>
    <w:rsid w:val="004A591B"/>
    <w:rsid w:val="004A63B2"/>
    <w:rsid w:val="004B32F3"/>
    <w:rsid w:val="004B472A"/>
    <w:rsid w:val="004C05AA"/>
    <w:rsid w:val="004C1EA2"/>
    <w:rsid w:val="004C2F90"/>
    <w:rsid w:val="004C323A"/>
    <w:rsid w:val="004C451F"/>
    <w:rsid w:val="004C4E5A"/>
    <w:rsid w:val="004C4F0E"/>
    <w:rsid w:val="004C570B"/>
    <w:rsid w:val="004C6114"/>
    <w:rsid w:val="004C706E"/>
    <w:rsid w:val="004D0B45"/>
    <w:rsid w:val="004D0FDF"/>
    <w:rsid w:val="004D143A"/>
    <w:rsid w:val="004D29ED"/>
    <w:rsid w:val="004D3644"/>
    <w:rsid w:val="004D6225"/>
    <w:rsid w:val="004D624B"/>
    <w:rsid w:val="004D643F"/>
    <w:rsid w:val="004E0186"/>
    <w:rsid w:val="004E0270"/>
    <w:rsid w:val="004E544F"/>
    <w:rsid w:val="004F2DDB"/>
    <w:rsid w:val="00500591"/>
    <w:rsid w:val="0050115A"/>
    <w:rsid w:val="00502E2B"/>
    <w:rsid w:val="00503B52"/>
    <w:rsid w:val="005050E9"/>
    <w:rsid w:val="00505283"/>
    <w:rsid w:val="00505D9A"/>
    <w:rsid w:val="005067BF"/>
    <w:rsid w:val="005068A2"/>
    <w:rsid w:val="005069F8"/>
    <w:rsid w:val="005146B3"/>
    <w:rsid w:val="00515752"/>
    <w:rsid w:val="0051606D"/>
    <w:rsid w:val="0051669A"/>
    <w:rsid w:val="00523511"/>
    <w:rsid w:val="00530ADA"/>
    <w:rsid w:val="0053225D"/>
    <w:rsid w:val="00537822"/>
    <w:rsid w:val="005410D9"/>
    <w:rsid w:val="00546C42"/>
    <w:rsid w:val="005475C0"/>
    <w:rsid w:val="00551580"/>
    <w:rsid w:val="0055231A"/>
    <w:rsid w:val="00552C7A"/>
    <w:rsid w:val="005552C7"/>
    <w:rsid w:val="00555830"/>
    <w:rsid w:val="00555F4C"/>
    <w:rsid w:val="00560B91"/>
    <w:rsid w:val="0056188A"/>
    <w:rsid w:val="00561F48"/>
    <w:rsid w:val="00562556"/>
    <w:rsid w:val="00562AEE"/>
    <w:rsid w:val="00564173"/>
    <w:rsid w:val="005645F5"/>
    <w:rsid w:val="0057106A"/>
    <w:rsid w:val="0057190D"/>
    <w:rsid w:val="0057350B"/>
    <w:rsid w:val="00575352"/>
    <w:rsid w:val="00581A08"/>
    <w:rsid w:val="0058260D"/>
    <w:rsid w:val="00585228"/>
    <w:rsid w:val="00586151"/>
    <w:rsid w:val="005914BC"/>
    <w:rsid w:val="0059282C"/>
    <w:rsid w:val="00592FA5"/>
    <w:rsid w:val="0059353C"/>
    <w:rsid w:val="00594D8B"/>
    <w:rsid w:val="00596C6A"/>
    <w:rsid w:val="005A0329"/>
    <w:rsid w:val="005A3EB3"/>
    <w:rsid w:val="005A44C8"/>
    <w:rsid w:val="005B1312"/>
    <w:rsid w:val="005B2D62"/>
    <w:rsid w:val="005B317A"/>
    <w:rsid w:val="005B3D4F"/>
    <w:rsid w:val="005B5109"/>
    <w:rsid w:val="005B7484"/>
    <w:rsid w:val="005B7591"/>
    <w:rsid w:val="005C05A8"/>
    <w:rsid w:val="005C16D3"/>
    <w:rsid w:val="005C20AE"/>
    <w:rsid w:val="005C2363"/>
    <w:rsid w:val="005C2DB3"/>
    <w:rsid w:val="005C4512"/>
    <w:rsid w:val="005C5688"/>
    <w:rsid w:val="005C5756"/>
    <w:rsid w:val="005C5BD6"/>
    <w:rsid w:val="005C5CA6"/>
    <w:rsid w:val="005D251B"/>
    <w:rsid w:val="005D610E"/>
    <w:rsid w:val="005D7B2B"/>
    <w:rsid w:val="005E1273"/>
    <w:rsid w:val="005E153F"/>
    <w:rsid w:val="005E398C"/>
    <w:rsid w:val="005E4C77"/>
    <w:rsid w:val="005E4D60"/>
    <w:rsid w:val="005E7302"/>
    <w:rsid w:val="005E7559"/>
    <w:rsid w:val="005F4803"/>
    <w:rsid w:val="00602C92"/>
    <w:rsid w:val="00602EDD"/>
    <w:rsid w:val="006048B4"/>
    <w:rsid w:val="00604E87"/>
    <w:rsid w:val="00605C58"/>
    <w:rsid w:val="0060622C"/>
    <w:rsid w:val="00607860"/>
    <w:rsid w:val="0061494C"/>
    <w:rsid w:val="006163FB"/>
    <w:rsid w:val="00617BF0"/>
    <w:rsid w:val="00621816"/>
    <w:rsid w:val="0062536B"/>
    <w:rsid w:val="0062676B"/>
    <w:rsid w:val="006335B7"/>
    <w:rsid w:val="00634DBD"/>
    <w:rsid w:val="006373FA"/>
    <w:rsid w:val="00637DD1"/>
    <w:rsid w:val="00640085"/>
    <w:rsid w:val="00641671"/>
    <w:rsid w:val="006426B1"/>
    <w:rsid w:val="00642AB0"/>
    <w:rsid w:val="00646E4B"/>
    <w:rsid w:val="00646F0D"/>
    <w:rsid w:val="00647D7B"/>
    <w:rsid w:val="00657084"/>
    <w:rsid w:val="006616C0"/>
    <w:rsid w:val="006632A5"/>
    <w:rsid w:val="00664BBA"/>
    <w:rsid w:val="0066520D"/>
    <w:rsid w:val="0066614E"/>
    <w:rsid w:val="006701F9"/>
    <w:rsid w:val="00671AA4"/>
    <w:rsid w:val="00674555"/>
    <w:rsid w:val="00674D0A"/>
    <w:rsid w:val="0068280E"/>
    <w:rsid w:val="00683372"/>
    <w:rsid w:val="00685385"/>
    <w:rsid w:val="00685BE6"/>
    <w:rsid w:val="0068618E"/>
    <w:rsid w:val="00690D21"/>
    <w:rsid w:val="00697BE1"/>
    <w:rsid w:val="006A21BF"/>
    <w:rsid w:val="006A2D4D"/>
    <w:rsid w:val="006A4D16"/>
    <w:rsid w:val="006A56A3"/>
    <w:rsid w:val="006A7049"/>
    <w:rsid w:val="006B0255"/>
    <w:rsid w:val="006B0398"/>
    <w:rsid w:val="006B235E"/>
    <w:rsid w:val="006B3912"/>
    <w:rsid w:val="006B5F26"/>
    <w:rsid w:val="006B6533"/>
    <w:rsid w:val="006B6D5F"/>
    <w:rsid w:val="006C3196"/>
    <w:rsid w:val="006D1381"/>
    <w:rsid w:val="006D1549"/>
    <w:rsid w:val="006D27F2"/>
    <w:rsid w:val="006D4C59"/>
    <w:rsid w:val="006D6363"/>
    <w:rsid w:val="006D7B11"/>
    <w:rsid w:val="006E1A66"/>
    <w:rsid w:val="006E5274"/>
    <w:rsid w:val="006E6607"/>
    <w:rsid w:val="006E689D"/>
    <w:rsid w:val="006F04E7"/>
    <w:rsid w:val="006F0CBD"/>
    <w:rsid w:val="006F14F6"/>
    <w:rsid w:val="006F217A"/>
    <w:rsid w:val="006F4C85"/>
    <w:rsid w:val="00700376"/>
    <w:rsid w:val="007004C9"/>
    <w:rsid w:val="0071246A"/>
    <w:rsid w:val="00716083"/>
    <w:rsid w:val="00716C05"/>
    <w:rsid w:val="00716DDD"/>
    <w:rsid w:val="00717322"/>
    <w:rsid w:val="0072044A"/>
    <w:rsid w:val="007228B0"/>
    <w:rsid w:val="00727F29"/>
    <w:rsid w:val="0073170E"/>
    <w:rsid w:val="007320B1"/>
    <w:rsid w:val="00733979"/>
    <w:rsid w:val="00740ED3"/>
    <w:rsid w:val="007434BB"/>
    <w:rsid w:val="00744004"/>
    <w:rsid w:val="00745BF9"/>
    <w:rsid w:val="00745E63"/>
    <w:rsid w:val="00760140"/>
    <w:rsid w:val="007632E2"/>
    <w:rsid w:val="0076419C"/>
    <w:rsid w:val="0076577D"/>
    <w:rsid w:val="00767ED8"/>
    <w:rsid w:val="00771ABD"/>
    <w:rsid w:val="00772325"/>
    <w:rsid w:val="007752C6"/>
    <w:rsid w:val="00776B4B"/>
    <w:rsid w:val="007837C3"/>
    <w:rsid w:val="0079366E"/>
    <w:rsid w:val="0079385B"/>
    <w:rsid w:val="007976DB"/>
    <w:rsid w:val="00797FB0"/>
    <w:rsid w:val="007A1152"/>
    <w:rsid w:val="007A3F67"/>
    <w:rsid w:val="007A65B9"/>
    <w:rsid w:val="007A7915"/>
    <w:rsid w:val="007B0593"/>
    <w:rsid w:val="007B2A6F"/>
    <w:rsid w:val="007B4A0D"/>
    <w:rsid w:val="007B7444"/>
    <w:rsid w:val="007C14C1"/>
    <w:rsid w:val="007C52D5"/>
    <w:rsid w:val="007C72F5"/>
    <w:rsid w:val="007D06D0"/>
    <w:rsid w:val="007D3C1D"/>
    <w:rsid w:val="007D4069"/>
    <w:rsid w:val="007D4ADD"/>
    <w:rsid w:val="007E2CA4"/>
    <w:rsid w:val="007E7064"/>
    <w:rsid w:val="007E7C0F"/>
    <w:rsid w:val="007F02C5"/>
    <w:rsid w:val="007F6380"/>
    <w:rsid w:val="007F67F6"/>
    <w:rsid w:val="007F7A7D"/>
    <w:rsid w:val="008021E3"/>
    <w:rsid w:val="008049AE"/>
    <w:rsid w:val="008055E2"/>
    <w:rsid w:val="00806571"/>
    <w:rsid w:val="008206AC"/>
    <w:rsid w:val="00820D07"/>
    <w:rsid w:val="00821D94"/>
    <w:rsid w:val="00822E70"/>
    <w:rsid w:val="00823099"/>
    <w:rsid w:val="00823499"/>
    <w:rsid w:val="00823723"/>
    <w:rsid w:val="00823AA9"/>
    <w:rsid w:val="00824466"/>
    <w:rsid w:val="00826FF0"/>
    <w:rsid w:val="00827980"/>
    <w:rsid w:val="00830C36"/>
    <w:rsid w:val="00834094"/>
    <w:rsid w:val="008342B5"/>
    <w:rsid w:val="00836168"/>
    <w:rsid w:val="008365F9"/>
    <w:rsid w:val="00837937"/>
    <w:rsid w:val="00840864"/>
    <w:rsid w:val="00841983"/>
    <w:rsid w:val="00842A85"/>
    <w:rsid w:val="0084509E"/>
    <w:rsid w:val="00847D52"/>
    <w:rsid w:val="0085091E"/>
    <w:rsid w:val="00852924"/>
    <w:rsid w:val="00860552"/>
    <w:rsid w:val="00861C71"/>
    <w:rsid w:val="00862D56"/>
    <w:rsid w:val="00870641"/>
    <w:rsid w:val="00871A1F"/>
    <w:rsid w:val="008725AD"/>
    <w:rsid w:val="00872784"/>
    <w:rsid w:val="0087497C"/>
    <w:rsid w:val="008754AA"/>
    <w:rsid w:val="008767CD"/>
    <w:rsid w:val="0087694E"/>
    <w:rsid w:val="00877A05"/>
    <w:rsid w:val="00877AED"/>
    <w:rsid w:val="008806DF"/>
    <w:rsid w:val="00881E61"/>
    <w:rsid w:val="00884EFF"/>
    <w:rsid w:val="008874CF"/>
    <w:rsid w:val="00890105"/>
    <w:rsid w:val="0089536F"/>
    <w:rsid w:val="00895704"/>
    <w:rsid w:val="0089774E"/>
    <w:rsid w:val="008A091F"/>
    <w:rsid w:val="008A121D"/>
    <w:rsid w:val="008A463D"/>
    <w:rsid w:val="008A55FC"/>
    <w:rsid w:val="008A720B"/>
    <w:rsid w:val="008B0190"/>
    <w:rsid w:val="008B04F7"/>
    <w:rsid w:val="008B0BE6"/>
    <w:rsid w:val="008B2E1D"/>
    <w:rsid w:val="008B487E"/>
    <w:rsid w:val="008B4E77"/>
    <w:rsid w:val="008B5062"/>
    <w:rsid w:val="008B5076"/>
    <w:rsid w:val="008B54DE"/>
    <w:rsid w:val="008B63C4"/>
    <w:rsid w:val="008B6CC7"/>
    <w:rsid w:val="008B7211"/>
    <w:rsid w:val="008C06D2"/>
    <w:rsid w:val="008C172A"/>
    <w:rsid w:val="008D01DA"/>
    <w:rsid w:val="008D283C"/>
    <w:rsid w:val="008D2AC4"/>
    <w:rsid w:val="008D2E20"/>
    <w:rsid w:val="008D388A"/>
    <w:rsid w:val="008D39BE"/>
    <w:rsid w:val="008E21CA"/>
    <w:rsid w:val="008E37B3"/>
    <w:rsid w:val="008E386E"/>
    <w:rsid w:val="008E5998"/>
    <w:rsid w:val="008E7EDF"/>
    <w:rsid w:val="008F099D"/>
    <w:rsid w:val="008F29E0"/>
    <w:rsid w:val="008F2D7B"/>
    <w:rsid w:val="008F51F1"/>
    <w:rsid w:val="008F7537"/>
    <w:rsid w:val="008F769C"/>
    <w:rsid w:val="009015AD"/>
    <w:rsid w:val="009019FA"/>
    <w:rsid w:val="00903065"/>
    <w:rsid w:val="00904980"/>
    <w:rsid w:val="009059BA"/>
    <w:rsid w:val="00905CBE"/>
    <w:rsid w:val="00905FC3"/>
    <w:rsid w:val="009062BF"/>
    <w:rsid w:val="00907272"/>
    <w:rsid w:val="0090730B"/>
    <w:rsid w:val="00910604"/>
    <w:rsid w:val="00910E20"/>
    <w:rsid w:val="00914C2D"/>
    <w:rsid w:val="009175DA"/>
    <w:rsid w:val="009213EA"/>
    <w:rsid w:val="0092398C"/>
    <w:rsid w:val="00923D14"/>
    <w:rsid w:val="00923D83"/>
    <w:rsid w:val="00924BC8"/>
    <w:rsid w:val="0092547F"/>
    <w:rsid w:val="00930718"/>
    <w:rsid w:val="00930F20"/>
    <w:rsid w:val="00933EDA"/>
    <w:rsid w:val="00934003"/>
    <w:rsid w:val="00940D7F"/>
    <w:rsid w:val="00941EC8"/>
    <w:rsid w:val="0094301F"/>
    <w:rsid w:val="00943D7C"/>
    <w:rsid w:val="009538F3"/>
    <w:rsid w:val="00955D68"/>
    <w:rsid w:val="00960061"/>
    <w:rsid w:val="00960CCE"/>
    <w:rsid w:val="00960E05"/>
    <w:rsid w:val="00961E89"/>
    <w:rsid w:val="00966543"/>
    <w:rsid w:val="00966A8B"/>
    <w:rsid w:val="00966C21"/>
    <w:rsid w:val="00970503"/>
    <w:rsid w:val="009708FB"/>
    <w:rsid w:val="009715B8"/>
    <w:rsid w:val="00972D9A"/>
    <w:rsid w:val="00974C63"/>
    <w:rsid w:val="00976C70"/>
    <w:rsid w:val="0097782B"/>
    <w:rsid w:val="00977852"/>
    <w:rsid w:val="00980778"/>
    <w:rsid w:val="00980A29"/>
    <w:rsid w:val="00982BD4"/>
    <w:rsid w:val="009834B1"/>
    <w:rsid w:val="00985D3D"/>
    <w:rsid w:val="00987F12"/>
    <w:rsid w:val="00990605"/>
    <w:rsid w:val="00991E90"/>
    <w:rsid w:val="009967BA"/>
    <w:rsid w:val="00997695"/>
    <w:rsid w:val="009978BC"/>
    <w:rsid w:val="00997CA6"/>
    <w:rsid w:val="009A2F3D"/>
    <w:rsid w:val="009A3A27"/>
    <w:rsid w:val="009A4A45"/>
    <w:rsid w:val="009A5ECD"/>
    <w:rsid w:val="009A74A8"/>
    <w:rsid w:val="009A780E"/>
    <w:rsid w:val="009B0587"/>
    <w:rsid w:val="009B0D43"/>
    <w:rsid w:val="009B4909"/>
    <w:rsid w:val="009B5B89"/>
    <w:rsid w:val="009B6BA1"/>
    <w:rsid w:val="009B7150"/>
    <w:rsid w:val="009C01CF"/>
    <w:rsid w:val="009C2950"/>
    <w:rsid w:val="009C57E3"/>
    <w:rsid w:val="009C5904"/>
    <w:rsid w:val="009C7B3B"/>
    <w:rsid w:val="009D1B2B"/>
    <w:rsid w:val="009D4726"/>
    <w:rsid w:val="009E11E3"/>
    <w:rsid w:val="009E7EF5"/>
    <w:rsid w:val="009F1C77"/>
    <w:rsid w:val="009F2C79"/>
    <w:rsid w:val="00A00A93"/>
    <w:rsid w:val="00A00BBA"/>
    <w:rsid w:val="00A01E33"/>
    <w:rsid w:val="00A04218"/>
    <w:rsid w:val="00A04BC3"/>
    <w:rsid w:val="00A07818"/>
    <w:rsid w:val="00A10C9C"/>
    <w:rsid w:val="00A15C47"/>
    <w:rsid w:val="00A21EA5"/>
    <w:rsid w:val="00A24DFE"/>
    <w:rsid w:val="00A251EE"/>
    <w:rsid w:val="00A26E84"/>
    <w:rsid w:val="00A304FE"/>
    <w:rsid w:val="00A30521"/>
    <w:rsid w:val="00A3058D"/>
    <w:rsid w:val="00A306AC"/>
    <w:rsid w:val="00A31BAE"/>
    <w:rsid w:val="00A32B4B"/>
    <w:rsid w:val="00A336DC"/>
    <w:rsid w:val="00A377E0"/>
    <w:rsid w:val="00A40869"/>
    <w:rsid w:val="00A4706F"/>
    <w:rsid w:val="00A50CC9"/>
    <w:rsid w:val="00A512B3"/>
    <w:rsid w:val="00A5158E"/>
    <w:rsid w:val="00A55BF4"/>
    <w:rsid w:val="00A56961"/>
    <w:rsid w:val="00A56A29"/>
    <w:rsid w:val="00A5746E"/>
    <w:rsid w:val="00A62B87"/>
    <w:rsid w:val="00A62DB4"/>
    <w:rsid w:val="00A7022C"/>
    <w:rsid w:val="00A71070"/>
    <w:rsid w:val="00A714D1"/>
    <w:rsid w:val="00A721A9"/>
    <w:rsid w:val="00A723C0"/>
    <w:rsid w:val="00A72EB5"/>
    <w:rsid w:val="00A7385A"/>
    <w:rsid w:val="00A748F0"/>
    <w:rsid w:val="00A7513C"/>
    <w:rsid w:val="00A75C97"/>
    <w:rsid w:val="00A7646C"/>
    <w:rsid w:val="00A801AD"/>
    <w:rsid w:val="00A82050"/>
    <w:rsid w:val="00A83124"/>
    <w:rsid w:val="00A83A79"/>
    <w:rsid w:val="00A85376"/>
    <w:rsid w:val="00A8584B"/>
    <w:rsid w:val="00A86062"/>
    <w:rsid w:val="00A87AE3"/>
    <w:rsid w:val="00A9003C"/>
    <w:rsid w:val="00A92852"/>
    <w:rsid w:val="00A94BEC"/>
    <w:rsid w:val="00A95B89"/>
    <w:rsid w:val="00AA0279"/>
    <w:rsid w:val="00AA105D"/>
    <w:rsid w:val="00AA5144"/>
    <w:rsid w:val="00AA56F6"/>
    <w:rsid w:val="00AA6596"/>
    <w:rsid w:val="00AB739B"/>
    <w:rsid w:val="00AB774E"/>
    <w:rsid w:val="00AC0006"/>
    <w:rsid w:val="00AC15C1"/>
    <w:rsid w:val="00AC2C4F"/>
    <w:rsid w:val="00AC3263"/>
    <w:rsid w:val="00AC3321"/>
    <w:rsid w:val="00AC3F0B"/>
    <w:rsid w:val="00AC78C1"/>
    <w:rsid w:val="00AD6B44"/>
    <w:rsid w:val="00AD7B89"/>
    <w:rsid w:val="00AE1C6B"/>
    <w:rsid w:val="00AE3152"/>
    <w:rsid w:val="00AE328E"/>
    <w:rsid w:val="00AE5A61"/>
    <w:rsid w:val="00AE66DD"/>
    <w:rsid w:val="00AE768F"/>
    <w:rsid w:val="00AE7F08"/>
    <w:rsid w:val="00AF1683"/>
    <w:rsid w:val="00AF3102"/>
    <w:rsid w:val="00AF63F9"/>
    <w:rsid w:val="00B04E9B"/>
    <w:rsid w:val="00B07124"/>
    <w:rsid w:val="00B07354"/>
    <w:rsid w:val="00B07785"/>
    <w:rsid w:val="00B07ECD"/>
    <w:rsid w:val="00B11FE1"/>
    <w:rsid w:val="00B12776"/>
    <w:rsid w:val="00B127A7"/>
    <w:rsid w:val="00B157AC"/>
    <w:rsid w:val="00B16FE9"/>
    <w:rsid w:val="00B207AD"/>
    <w:rsid w:val="00B20DA9"/>
    <w:rsid w:val="00B228F2"/>
    <w:rsid w:val="00B22EB4"/>
    <w:rsid w:val="00B24331"/>
    <w:rsid w:val="00B26425"/>
    <w:rsid w:val="00B26964"/>
    <w:rsid w:val="00B27A0F"/>
    <w:rsid w:val="00B30FA2"/>
    <w:rsid w:val="00B348D3"/>
    <w:rsid w:val="00B35324"/>
    <w:rsid w:val="00B3656B"/>
    <w:rsid w:val="00B41813"/>
    <w:rsid w:val="00B43416"/>
    <w:rsid w:val="00B479FE"/>
    <w:rsid w:val="00B56467"/>
    <w:rsid w:val="00B56FF5"/>
    <w:rsid w:val="00B60041"/>
    <w:rsid w:val="00B60159"/>
    <w:rsid w:val="00B60403"/>
    <w:rsid w:val="00B60742"/>
    <w:rsid w:val="00B61378"/>
    <w:rsid w:val="00B61F9E"/>
    <w:rsid w:val="00B62E57"/>
    <w:rsid w:val="00B63665"/>
    <w:rsid w:val="00B6658E"/>
    <w:rsid w:val="00B720C9"/>
    <w:rsid w:val="00B72AA9"/>
    <w:rsid w:val="00B77DA7"/>
    <w:rsid w:val="00B77FCE"/>
    <w:rsid w:val="00B8006D"/>
    <w:rsid w:val="00B80579"/>
    <w:rsid w:val="00B80825"/>
    <w:rsid w:val="00B83CA0"/>
    <w:rsid w:val="00B85A6D"/>
    <w:rsid w:val="00B93CFC"/>
    <w:rsid w:val="00B93DBA"/>
    <w:rsid w:val="00B942B0"/>
    <w:rsid w:val="00B956EE"/>
    <w:rsid w:val="00B958EE"/>
    <w:rsid w:val="00B973CA"/>
    <w:rsid w:val="00BA0110"/>
    <w:rsid w:val="00BA0706"/>
    <w:rsid w:val="00BA140E"/>
    <w:rsid w:val="00BA333A"/>
    <w:rsid w:val="00BA467C"/>
    <w:rsid w:val="00BA5134"/>
    <w:rsid w:val="00BA5FD6"/>
    <w:rsid w:val="00BA611B"/>
    <w:rsid w:val="00BA6307"/>
    <w:rsid w:val="00BB11E8"/>
    <w:rsid w:val="00BB1FDB"/>
    <w:rsid w:val="00BB204F"/>
    <w:rsid w:val="00BB25A1"/>
    <w:rsid w:val="00BB33C6"/>
    <w:rsid w:val="00BB46BA"/>
    <w:rsid w:val="00BC1C10"/>
    <w:rsid w:val="00BC23F2"/>
    <w:rsid w:val="00BC3250"/>
    <w:rsid w:val="00BC32B7"/>
    <w:rsid w:val="00BC3D8C"/>
    <w:rsid w:val="00BC5B46"/>
    <w:rsid w:val="00BD19D7"/>
    <w:rsid w:val="00BD25EF"/>
    <w:rsid w:val="00BD65B0"/>
    <w:rsid w:val="00BD7A22"/>
    <w:rsid w:val="00BE40DB"/>
    <w:rsid w:val="00BF0FDC"/>
    <w:rsid w:val="00BF1099"/>
    <w:rsid w:val="00BF1B20"/>
    <w:rsid w:val="00BF2214"/>
    <w:rsid w:val="00BF26F8"/>
    <w:rsid w:val="00BF3091"/>
    <w:rsid w:val="00BF344E"/>
    <w:rsid w:val="00C05008"/>
    <w:rsid w:val="00C076C0"/>
    <w:rsid w:val="00C1298D"/>
    <w:rsid w:val="00C16983"/>
    <w:rsid w:val="00C1730C"/>
    <w:rsid w:val="00C17709"/>
    <w:rsid w:val="00C22823"/>
    <w:rsid w:val="00C2433A"/>
    <w:rsid w:val="00C30141"/>
    <w:rsid w:val="00C34E72"/>
    <w:rsid w:val="00C3642B"/>
    <w:rsid w:val="00C53B78"/>
    <w:rsid w:val="00C560F8"/>
    <w:rsid w:val="00C64C96"/>
    <w:rsid w:val="00C67944"/>
    <w:rsid w:val="00C71539"/>
    <w:rsid w:val="00C72ED0"/>
    <w:rsid w:val="00C738B0"/>
    <w:rsid w:val="00C815CD"/>
    <w:rsid w:val="00C83E3B"/>
    <w:rsid w:val="00C861AA"/>
    <w:rsid w:val="00C87D0E"/>
    <w:rsid w:val="00C87E55"/>
    <w:rsid w:val="00C90410"/>
    <w:rsid w:val="00C949B1"/>
    <w:rsid w:val="00C94D73"/>
    <w:rsid w:val="00C94F01"/>
    <w:rsid w:val="00C95D6E"/>
    <w:rsid w:val="00CA2417"/>
    <w:rsid w:val="00CB0BFC"/>
    <w:rsid w:val="00CB23AE"/>
    <w:rsid w:val="00CB2B94"/>
    <w:rsid w:val="00CB3A2D"/>
    <w:rsid w:val="00CB57A4"/>
    <w:rsid w:val="00CB7769"/>
    <w:rsid w:val="00CC0E22"/>
    <w:rsid w:val="00CC235D"/>
    <w:rsid w:val="00CC2B1E"/>
    <w:rsid w:val="00CC3305"/>
    <w:rsid w:val="00CC6625"/>
    <w:rsid w:val="00CD142C"/>
    <w:rsid w:val="00CD1D1D"/>
    <w:rsid w:val="00CD2985"/>
    <w:rsid w:val="00CD2A11"/>
    <w:rsid w:val="00CD7DF3"/>
    <w:rsid w:val="00CE074B"/>
    <w:rsid w:val="00CE07AE"/>
    <w:rsid w:val="00CE12FD"/>
    <w:rsid w:val="00CE3E9F"/>
    <w:rsid w:val="00CE3F0B"/>
    <w:rsid w:val="00CE4C4A"/>
    <w:rsid w:val="00CE6EC3"/>
    <w:rsid w:val="00CF0B3F"/>
    <w:rsid w:val="00CF117E"/>
    <w:rsid w:val="00CF5D32"/>
    <w:rsid w:val="00CF65DA"/>
    <w:rsid w:val="00CF6FB6"/>
    <w:rsid w:val="00D01111"/>
    <w:rsid w:val="00D01C0C"/>
    <w:rsid w:val="00D027B5"/>
    <w:rsid w:val="00D02FD6"/>
    <w:rsid w:val="00D034C5"/>
    <w:rsid w:val="00D04E89"/>
    <w:rsid w:val="00D0619D"/>
    <w:rsid w:val="00D072BE"/>
    <w:rsid w:val="00D07407"/>
    <w:rsid w:val="00D07918"/>
    <w:rsid w:val="00D15C3F"/>
    <w:rsid w:val="00D175DC"/>
    <w:rsid w:val="00D214F5"/>
    <w:rsid w:val="00D2412E"/>
    <w:rsid w:val="00D24DF2"/>
    <w:rsid w:val="00D27BF0"/>
    <w:rsid w:val="00D3136A"/>
    <w:rsid w:val="00D313A8"/>
    <w:rsid w:val="00D3242C"/>
    <w:rsid w:val="00D32877"/>
    <w:rsid w:val="00D32882"/>
    <w:rsid w:val="00D32913"/>
    <w:rsid w:val="00D3318A"/>
    <w:rsid w:val="00D3528A"/>
    <w:rsid w:val="00D4285D"/>
    <w:rsid w:val="00D45E65"/>
    <w:rsid w:val="00D47DE6"/>
    <w:rsid w:val="00D52636"/>
    <w:rsid w:val="00D5686C"/>
    <w:rsid w:val="00D62B54"/>
    <w:rsid w:val="00D62FC9"/>
    <w:rsid w:val="00D6436C"/>
    <w:rsid w:val="00D64F6C"/>
    <w:rsid w:val="00D653E9"/>
    <w:rsid w:val="00D72264"/>
    <w:rsid w:val="00D77BF1"/>
    <w:rsid w:val="00D77DDC"/>
    <w:rsid w:val="00D82865"/>
    <w:rsid w:val="00D903C5"/>
    <w:rsid w:val="00D915DF"/>
    <w:rsid w:val="00D91BDC"/>
    <w:rsid w:val="00D972BA"/>
    <w:rsid w:val="00DA23FC"/>
    <w:rsid w:val="00DA3C8A"/>
    <w:rsid w:val="00DA4683"/>
    <w:rsid w:val="00DA4858"/>
    <w:rsid w:val="00DA7EDC"/>
    <w:rsid w:val="00DB0CC5"/>
    <w:rsid w:val="00DB1566"/>
    <w:rsid w:val="00DB51A7"/>
    <w:rsid w:val="00DB5F62"/>
    <w:rsid w:val="00DB6424"/>
    <w:rsid w:val="00DB6D26"/>
    <w:rsid w:val="00DB6E42"/>
    <w:rsid w:val="00DB7FB0"/>
    <w:rsid w:val="00DC2E71"/>
    <w:rsid w:val="00DC2FF4"/>
    <w:rsid w:val="00DC47C2"/>
    <w:rsid w:val="00DC5518"/>
    <w:rsid w:val="00DC589A"/>
    <w:rsid w:val="00DC73B0"/>
    <w:rsid w:val="00DD18F3"/>
    <w:rsid w:val="00DD1F62"/>
    <w:rsid w:val="00DD2235"/>
    <w:rsid w:val="00DD48E0"/>
    <w:rsid w:val="00DD59A0"/>
    <w:rsid w:val="00DD73D9"/>
    <w:rsid w:val="00DD74D0"/>
    <w:rsid w:val="00DE0D11"/>
    <w:rsid w:val="00DE2248"/>
    <w:rsid w:val="00DE5294"/>
    <w:rsid w:val="00DE5EC2"/>
    <w:rsid w:val="00DE7662"/>
    <w:rsid w:val="00DF0E99"/>
    <w:rsid w:val="00DF197E"/>
    <w:rsid w:val="00DF2637"/>
    <w:rsid w:val="00E0278D"/>
    <w:rsid w:val="00E03BEA"/>
    <w:rsid w:val="00E049CB"/>
    <w:rsid w:val="00E06C4E"/>
    <w:rsid w:val="00E11862"/>
    <w:rsid w:val="00E14AF4"/>
    <w:rsid w:val="00E15069"/>
    <w:rsid w:val="00E31DC0"/>
    <w:rsid w:val="00E32283"/>
    <w:rsid w:val="00E32656"/>
    <w:rsid w:val="00E3288B"/>
    <w:rsid w:val="00E336BD"/>
    <w:rsid w:val="00E33D3C"/>
    <w:rsid w:val="00E351C2"/>
    <w:rsid w:val="00E36367"/>
    <w:rsid w:val="00E415B4"/>
    <w:rsid w:val="00E43EFB"/>
    <w:rsid w:val="00E452FD"/>
    <w:rsid w:val="00E45688"/>
    <w:rsid w:val="00E50090"/>
    <w:rsid w:val="00E50B11"/>
    <w:rsid w:val="00E517BE"/>
    <w:rsid w:val="00E51BB0"/>
    <w:rsid w:val="00E52001"/>
    <w:rsid w:val="00E57E16"/>
    <w:rsid w:val="00E60808"/>
    <w:rsid w:val="00E61A24"/>
    <w:rsid w:val="00E61EE2"/>
    <w:rsid w:val="00E6219F"/>
    <w:rsid w:val="00E63366"/>
    <w:rsid w:val="00E6416A"/>
    <w:rsid w:val="00E64392"/>
    <w:rsid w:val="00E64961"/>
    <w:rsid w:val="00E65D6F"/>
    <w:rsid w:val="00E701DA"/>
    <w:rsid w:val="00E7033F"/>
    <w:rsid w:val="00E71541"/>
    <w:rsid w:val="00E71549"/>
    <w:rsid w:val="00E71738"/>
    <w:rsid w:val="00E73519"/>
    <w:rsid w:val="00E76A00"/>
    <w:rsid w:val="00E80C8C"/>
    <w:rsid w:val="00E81D79"/>
    <w:rsid w:val="00E82122"/>
    <w:rsid w:val="00E90DC3"/>
    <w:rsid w:val="00E9302F"/>
    <w:rsid w:val="00E967B8"/>
    <w:rsid w:val="00EA48CA"/>
    <w:rsid w:val="00EA636E"/>
    <w:rsid w:val="00EB110F"/>
    <w:rsid w:val="00EB29FF"/>
    <w:rsid w:val="00EB2AE7"/>
    <w:rsid w:val="00EB36D9"/>
    <w:rsid w:val="00EB41A6"/>
    <w:rsid w:val="00EB74E5"/>
    <w:rsid w:val="00EC00E0"/>
    <w:rsid w:val="00EC0A81"/>
    <w:rsid w:val="00ED347C"/>
    <w:rsid w:val="00ED78F8"/>
    <w:rsid w:val="00EE0EC8"/>
    <w:rsid w:val="00EE0F23"/>
    <w:rsid w:val="00EE1655"/>
    <w:rsid w:val="00EE5383"/>
    <w:rsid w:val="00EE73EC"/>
    <w:rsid w:val="00EE7520"/>
    <w:rsid w:val="00EE7DB6"/>
    <w:rsid w:val="00EF29C1"/>
    <w:rsid w:val="00EF46AD"/>
    <w:rsid w:val="00EF7C65"/>
    <w:rsid w:val="00EF7FAD"/>
    <w:rsid w:val="00F02E5B"/>
    <w:rsid w:val="00F03D77"/>
    <w:rsid w:val="00F04207"/>
    <w:rsid w:val="00F0785A"/>
    <w:rsid w:val="00F07BE3"/>
    <w:rsid w:val="00F07EF6"/>
    <w:rsid w:val="00F1030E"/>
    <w:rsid w:val="00F11D6A"/>
    <w:rsid w:val="00F123D4"/>
    <w:rsid w:val="00F12698"/>
    <w:rsid w:val="00F144B7"/>
    <w:rsid w:val="00F15573"/>
    <w:rsid w:val="00F17037"/>
    <w:rsid w:val="00F171B3"/>
    <w:rsid w:val="00F2156A"/>
    <w:rsid w:val="00F23E30"/>
    <w:rsid w:val="00F276E9"/>
    <w:rsid w:val="00F35956"/>
    <w:rsid w:val="00F36348"/>
    <w:rsid w:val="00F37882"/>
    <w:rsid w:val="00F3793C"/>
    <w:rsid w:val="00F4428F"/>
    <w:rsid w:val="00F4787F"/>
    <w:rsid w:val="00F47D51"/>
    <w:rsid w:val="00F51717"/>
    <w:rsid w:val="00F51CC2"/>
    <w:rsid w:val="00F52886"/>
    <w:rsid w:val="00F54502"/>
    <w:rsid w:val="00F563A6"/>
    <w:rsid w:val="00F56C16"/>
    <w:rsid w:val="00F611E1"/>
    <w:rsid w:val="00F628E1"/>
    <w:rsid w:val="00F62EAE"/>
    <w:rsid w:val="00F67CD9"/>
    <w:rsid w:val="00F70EB6"/>
    <w:rsid w:val="00F7151E"/>
    <w:rsid w:val="00F71F13"/>
    <w:rsid w:val="00F72663"/>
    <w:rsid w:val="00F75B44"/>
    <w:rsid w:val="00F7690C"/>
    <w:rsid w:val="00F77FC4"/>
    <w:rsid w:val="00F8482A"/>
    <w:rsid w:val="00F92008"/>
    <w:rsid w:val="00F9482D"/>
    <w:rsid w:val="00F94F02"/>
    <w:rsid w:val="00F95259"/>
    <w:rsid w:val="00FA28C8"/>
    <w:rsid w:val="00FA34D1"/>
    <w:rsid w:val="00FA4716"/>
    <w:rsid w:val="00FA4CD3"/>
    <w:rsid w:val="00FA5C9A"/>
    <w:rsid w:val="00FB1CCE"/>
    <w:rsid w:val="00FB276E"/>
    <w:rsid w:val="00FB3138"/>
    <w:rsid w:val="00FB39A8"/>
    <w:rsid w:val="00FC34D9"/>
    <w:rsid w:val="00FC6CB3"/>
    <w:rsid w:val="00FC6E02"/>
    <w:rsid w:val="00FD43FB"/>
    <w:rsid w:val="00FD4994"/>
    <w:rsid w:val="00FD5B7D"/>
    <w:rsid w:val="00FD7137"/>
    <w:rsid w:val="00FE0F15"/>
    <w:rsid w:val="00FE3EFB"/>
    <w:rsid w:val="00FE4A76"/>
    <w:rsid w:val="00FE6123"/>
    <w:rsid w:val="00FF7590"/>
    <w:rsid w:val="00FF7E72"/>
    <w:rsid w:val="00FF7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F462"/>
  <w15:docId w15:val="{23471278-6871-49B4-A575-C5A6A024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896"/>
  </w:style>
  <w:style w:type="paragraph" w:styleId="Heading1">
    <w:name w:val="heading 1"/>
    <w:basedOn w:val="Normal"/>
    <w:next w:val="Normal"/>
    <w:link w:val="Heading1Char"/>
    <w:uiPriority w:val="9"/>
    <w:qFormat/>
    <w:rsid w:val="004F2DDB"/>
    <w:pPr>
      <w:shd w:val="clear" w:color="auto" w:fill="FFFFFF"/>
      <w:spacing w:before="120" w:after="120" w:line="240" w:lineRule="auto"/>
      <w:ind w:firstLine="567"/>
      <w:jc w:val="both"/>
      <w:outlineLvl w:val="0"/>
    </w:pPr>
    <w:rPr>
      <w:rFonts w:ascii="Times New Roman Bold" w:eastAsia="Times New Roman" w:hAnsi="Times New Roman Bold" w:cs="Times New Roman"/>
      <w:b/>
      <w:bCs/>
      <w:spacing w:val="-8"/>
      <w:sz w:val="28"/>
      <w:szCs w:val="28"/>
      <w:lang w:val="pt-BR" w:eastAsia="vi-VN"/>
    </w:rPr>
  </w:style>
  <w:style w:type="paragraph" w:styleId="Heading2">
    <w:name w:val="heading 2"/>
    <w:basedOn w:val="NormalWeb"/>
    <w:next w:val="Normal"/>
    <w:link w:val="Heading2Char"/>
    <w:uiPriority w:val="9"/>
    <w:unhideWhenUsed/>
    <w:qFormat/>
    <w:rsid w:val="004F2DDB"/>
    <w:pPr>
      <w:spacing w:before="120" w:beforeAutospacing="0" w:after="120" w:afterAutospacing="0"/>
      <w:ind w:firstLine="567"/>
      <w:jc w:val="both"/>
      <w:outlineLvl w:val="1"/>
    </w:pPr>
    <w:rPr>
      <w:b/>
      <w:sz w:val="28"/>
      <w:szCs w:val="28"/>
      <w:lang w:val="nl-NL"/>
    </w:rPr>
  </w:style>
  <w:style w:type="paragraph" w:styleId="Heading3">
    <w:name w:val="heading 3"/>
    <w:basedOn w:val="Heading2"/>
    <w:next w:val="Normal"/>
    <w:link w:val="Heading3Char"/>
    <w:uiPriority w:val="9"/>
    <w:unhideWhenUsed/>
    <w:qFormat/>
    <w:rsid w:val="00530ADA"/>
    <w:pPr>
      <w:outlineLvl w:val="2"/>
    </w:pPr>
    <w:rPr>
      <w:i/>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qFormat/>
    <w:rsid w:val="005861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586151"/>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586151"/>
    <w:rPr>
      <w:rFonts w:ascii=".VnTime" w:eastAsia="Times New Roman" w:hAnsi=".VnTime" w:cs="Times New Roman"/>
      <w:sz w:val="28"/>
      <w:szCs w:val="20"/>
      <w:lang w:val="en-US"/>
    </w:rPr>
  </w:style>
  <w:style w:type="paragraph" w:styleId="BodyText">
    <w:name w:val="Body Text"/>
    <w:basedOn w:val="Normal"/>
    <w:link w:val="BodyTextChar"/>
    <w:uiPriority w:val="99"/>
    <w:rsid w:val="00586151"/>
    <w:pPr>
      <w:spacing w:after="240" w:line="240" w:lineRule="auto"/>
      <w:jc w:val="both"/>
    </w:pPr>
    <w:rPr>
      <w:rFonts w:ascii=".VnTime" w:eastAsia="Times New Roman" w:hAnsi=".VnTime" w:cs="Times New Roman"/>
      <w:sz w:val="28"/>
      <w:szCs w:val="20"/>
      <w:lang w:val="en-US"/>
    </w:rPr>
  </w:style>
  <w:style w:type="character" w:customStyle="1" w:styleId="BodyTextChar1">
    <w:name w:val="Body Text Char1"/>
    <w:basedOn w:val="DefaultParagraphFont"/>
    <w:uiPriority w:val="99"/>
    <w:semiHidden/>
    <w:rsid w:val="00586151"/>
  </w:style>
  <w:style w:type="character" w:customStyle="1" w:styleId="BodyTextIndentChar">
    <w:name w:val="Body Text Indent Char"/>
    <w:basedOn w:val="DefaultParagraphFont"/>
    <w:link w:val="BodyTextIndent"/>
    <w:rsid w:val="00586151"/>
    <w:rPr>
      <w:rFonts w:ascii=".VnTime" w:eastAsia="Times New Roman" w:hAnsi=".VnTime" w:cs="Times New Roman"/>
      <w:sz w:val="24"/>
      <w:szCs w:val="20"/>
      <w:lang w:val="en-US"/>
    </w:rPr>
  </w:style>
  <w:style w:type="paragraph" w:styleId="BodyTextIndent">
    <w:name w:val="Body Text Indent"/>
    <w:basedOn w:val="Normal"/>
    <w:link w:val="BodyTextIndentChar"/>
    <w:rsid w:val="00586151"/>
    <w:pPr>
      <w:spacing w:after="0" w:line="240" w:lineRule="auto"/>
      <w:ind w:firstLine="720"/>
      <w:jc w:val="both"/>
    </w:pPr>
    <w:rPr>
      <w:rFonts w:ascii=".VnTime" w:eastAsia="Times New Roman" w:hAnsi=".VnTime" w:cs="Times New Roman"/>
      <w:sz w:val="24"/>
      <w:szCs w:val="20"/>
      <w:lang w:val="en-US"/>
    </w:rPr>
  </w:style>
  <w:style w:type="character" w:customStyle="1" w:styleId="BodyTextIndentChar1">
    <w:name w:val="Body Text Indent Char1"/>
    <w:basedOn w:val="DefaultParagraphFont"/>
    <w:uiPriority w:val="99"/>
    <w:semiHidden/>
    <w:rsid w:val="00586151"/>
  </w:style>
  <w:style w:type="character" w:customStyle="1" w:styleId="FooterChar">
    <w:name w:val="Footer Char"/>
    <w:basedOn w:val="DefaultParagraphFont"/>
    <w:link w:val="Footer"/>
    <w:uiPriority w:val="99"/>
    <w:rsid w:val="00586151"/>
    <w:rPr>
      <w:rFonts w:eastAsiaTheme="minorEastAsia"/>
      <w:lang w:val="en-US"/>
    </w:rPr>
  </w:style>
  <w:style w:type="paragraph" w:styleId="Footer">
    <w:name w:val="footer"/>
    <w:basedOn w:val="Normal"/>
    <w:link w:val="FooterChar"/>
    <w:uiPriority w:val="99"/>
    <w:unhideWhenUsed/>
    <w:rsid w:val="00586151"/>
    <w:pPr>
      <w:tabs>
        <w:tab w:val="center" w:pos="4513"/>
        <w:tab w:val="right" w:pos="9026"/>
      </w:tabs>
      <w:spacing w:after="0" w:line="240" w:lineRule="auto"/>
    </w:pPr>
    <w:rPr>
      <w:rFonts w:eastAsiaTheme="minorEastAsia"/>
      <w:lang w:val="en-US"/>
    </w:rPr>
  </w:style>
  <w:style w:type="character" w:customStyle="1" w:styleId="FooterChar1">
    <w:name w:val="Footer Char1"/>
    <w:basedOn w:val="DefaultParagraphFont"/>
    <w:uiPriority w:val="99"/>
    <w:semiHidden/>
    <w:rsid w:val="00586151"/>
  </w:style>
  <w:style w:type="paragraph" w:styleId="ListParagraph">
    <w:name w:val="List Paragraph"/>
    <w:basedOn w:val="Normal"/>
    <w:link w:val="ListParagraphChar"/>
    <w:qFormat/>
    <w:rsid w:val="00586151"/>
    <w:pPr>
      <w:spacing w:after="0" w:line="240" w:lineRule="auto"/>
      <w:ind w:left="720"/>
      <w:contextualSpacing/>
    </w:pPr>
    <w:rPr>
      <w:rFonts w:ascii="Times New Roman" w:eastAsia="Times New Roman" w:hAnsi="Times New Roman" w:cs="Times New Roman"/>
      <w:sz w:val="24"/>
      <w:szCs w:val="24"/>
      <w:lang w:val="en-US" w:eastAsia="vi-VN"/>
    </w:rPr>
  </w:style>
  <w:style w:type="paragraph" w:styleId="BalloonText">
    <w:name w:val="Balloon Text"/>
    <w:basedOn w:val="Normal"/>
    <w:link w:val="BalloonTextChar"/>
    <w:uiPriority w:val="99"/>
    <w:semiHidden/>
    <w:unhideWhenUsed/>
    <w:rsid w:val="00586151"/>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586151"/>
    <w:rPr>
      <w:rFonts w:ascii="Tahoma" w:eastAsiaTheme="minorEastAsia" w:hAnsi="Tahoma" w:cs="Tahoma"/>
      <w:sz w:val="16"/>
      <w:szCs w:val="16"/>
      <w:lang w:val="en-US"/>
    </w:rPr>
  </w:style>
  <w:style w:type="character" w:styleId="Strong">
    <w:name w:val="Strong"/>
    <w:basedOn w:val="DefaultParagraphFont"/>
    <w:uiPriority w:val="22"/>
    <w:qFormat/>
    <w:rsid w:val="00586151"/>
    <w:rPr>
      <w:b/>
      <w:bCs/>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basedOn w:val="DefaultParagraphFont"/>
    <w:link w:val="CharChar1CharCharCharChar1CharCharCharCharCharCharCharChar"/>
    <w:unhideWhenUsed/>
    <w:qFormat/>
    <w:rsid w:val="00586151"/>
    <w:rPr>
      <w:vertAlign w:val="superscript"/>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e"/>
    <w:basedOn w:val="Normal"/>
    <w:link w:val="FootnoteTextChar"/>
    <w:uiPriority w:val="99"/>
    <w:unhideWhenUsed/>
    <w:qFormat/>
    <w:rsid w:val="00586151"/>
    <w:pPr>
      <w:spacing w:after="0" w:line="240" w:lineRule="auto"/>
    </w:pPr>
    <w:rPr>
      <w:rFonts w:ascii="Times New Roman" w:eastAsia="MS Mincho" w:hAnsi="Times New Roman" w:cs="Times New Roman"/>
      <w:sz w:val="20"/>
      <w:szCs w:val="20"/>
      <w:lang w:val="en-US" w:eastAsia="ja-JP"/>
    </w:rPr>
  </w:style>
  <w:style w:type="character" w:customStyle="1" w:styleId="FootnoteTextChar">
    <w:name w:val="Footnote Text Char"/>
    <w:aliases w:val="Footnote Text Char Char Char Char Char Char,Footnote Text Char Char Char Char Char Char Ch Char1,Footnote Text Char Char Char Char Char Char Ch Char Char Char Char,single space Char"/>
    <w:basedOn w:val="DefaultParagraphFont"/>
    <w:link w:val="FootnoteText"/>
    <w:uiPriority w:val="99"/>
    <w:qFormat/>
    <w:rsid w:val="00586151"/>
    <w:rPr>
      <w:rFonts w:ascii="Times New Roman" w:eastAsia="MS Mincho" w:hAnsi="Times New Roman" w:cs="Times New Roman"/>
      <w:sz w:val="20"/>
      <w:szCs w:val="20"/>
      <w:lang w:val="en-US" w:eastAsia="ja-JP"/>
    </w:rPr>
  </w:style>
  <w:style w:type="character" w:customStyle="1" w:styleId="CharChar2">
    <w:name w:val="Char Char2"/>
    <w:basedOn w:val="DefaultParagraphFont"/>
    <w:locked/>
    <w:rsid w:val="00586151"/>
    <w:rPr>
      <w:rFonts w:eastAsia="Times New Roman" w:cs="Times New Roman"/>
      <w:lang w:val="en-US" w:eastAsia="en-US" w:bidi="ar-SA"/>
    </w:rPr>
  </w:style>
  <w:style w:type="paragraph" w:styleId="Header">
    <w:name w:val="header"/>
    <w:basedOn w:val="Normal"/>
    <w:link w:val="HeaderChar"/>
    <w:uiPriority w:val="99"/>
    <w:unhideWhenUsed/>
    <w:rsid w:val="00FC6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E02"/>
  </w:style>
  <w:style w:type="character" w:customStyle="1" w:styleId="ListParagraphChar">
    <w:name w:val="List Paragraph Char"/>
    <w:link w:val="ListParagraph"/>
    <w:uiPriority w:val="34"/>
    <w:locked/>
    <w:rsid w:val="006E6607"/>
    <w:rPr>
      <w:rFonts w:ascii="Times New Roman" w:eastAsia="Times New Roman" w:hAnsi="Times New Roman" w:cs="Times New Roman"/>
      <w:sz w:val="24"/>
      <w:szCs w:val="24"/>
      <w:lang w:val="en-US" w:eastAsia="vi-VN"/>
    </w:rPr>
  </w:style>
  <w:style w:type="character" w:customStyle="1" w:styleId="normal-h1">
    <w:name w:val="normal-h1"/>
    <w:basedOn w:val="DefaultParagraphFont"/>
    <w:rsid w:val="00EE5383"/>
  </w:style>
  <w:style w:type="paragraph" w:customStyle="1" w:styleId="normal-p">
    <w:name w:val="normal-p"/>
    <w:basedOn w:val="Normal"/>
    <w:rsid w:val="00EE53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CommentReference">
    <w:name w:val="annotation reference"/>
    <w:basedOn w:val="DefaultParagraphFont"/>
    <w:uiPriority w:val="99"/>
    <w:semiHidden/>
    <w:unhideWhenUsed/>
    <w:rsid w:val="00C949B1"/>
    <w:rPr>
      <w:sz w:val="16"/>
      <w:szCs w:val="16"/>
    </w:rPr>
  </w:style>
  <w:style w:type="paragraph" w:styleId="CommentText">
    <w:name w:val="annotation text"/>
    <w:basedOn w:val="Normal"/>
    <w:link w:val="CommentTextChar"/>
    <w:uiPriority w:val="99"/>
    <w:unhideWhenUsed/>
    <w:rsid w:val="00C949B1"/>
    <w:pPr>
      <w:spacing w:line="240" w:lineRule="auto"/>
    </w:pPr>
    <w:rPr>
      <w:sz w:val="20"/>
      <w:szCs w:val="20"/>
    </w:rPr>
  </w:style>
  <w:style w:type="character" w:customStyle="1" w:styleId="CommentTextChar">
    <w:name w:val="Comment Text Char"/>
    <w:basedOn w:val="DefaultParagraphFont"/>
    <w:link w:val="CommentText"/>
    <w:uiPriority w:val="99"/>
    <w:rsid w:val="00C949B1"/>
    <w:rPr>
      <w:sz w:val="20"/>
      <w:szCs w:val="20"/>
    </w:rPr>
  </w:style>
  <w:style w:type="paragraph" w:styleId="CommentSubject">
    <w:name w:val="annotation subject"/>
    <w:basedOn w:val="CommentText"/>
    <w:next w:val="CommentText"/>
    <w:link w:val="CommentSubjectChar"/>
    <w:uiPriority w:val="99"/>
    <w:semiHidden/>
    <w:unhideWhenUsed/>
    <w:rsid w:val="00C949B1"/>
    <w:rPr>
      <w:b/>
      <w:bCs/>
    </w:rPr>
  </w:style>
  <w:style w:type="character" w:customStyle="1" w:styleId="CommentSubjectChar">
    <w:name w:val="Comment Subject Char"/>
    <w:basedOn w:val="CommentTextChar"/>
    <w:link w:val="CommentSubject"/>
    <w:uiPriority w:val="99"/>
    <w:semiHidden/>
    <w:rsid w:val="00C949B1"/>
    <w:rPr>
      <w:b/>
      <w:bCs/>
      <w:sz w:val="20"/>
      <w:szCs w:val="20"/>
    </w:rPr>
  </w:style>
  <w:style w:type="paragraph" w:styleId="Revision">
    <w:name w:val="Revision"/>
    <w:hidden/>
    <w:uiPriority w:val="99"/>
    <w:semiHidden/>
    <w:rsid w:val="00C949B1"/>
    <w:pPr>
      <w:spacing w:after="0" w:line="240" w:lineRule="auto"/>
    </w:pPr>
  </w:style>
  <w:style w:type="paragraph" w:customStyle="1" w:styleId="Noidung">
    <w:name w:val="Noi dung"/>
    <w:basedOn w:val="Normal"/>
    <w:link w:val="NoidungChar"/>
    <w:qFormat/>
    <w:rsid w:val="006B3912"/>
    <w:pPr>
      <w:spacing w:before="120" w:after="120" w:line="240" w:lineRule="auto"/>
      <w:ind w:firstLine="720"/>
      <w:jc w:val="both"/>
    </w:pPr>
    <w:rPr>
      <w:rFonts w:ascii="Times New Roman" w:eastAsia="Calibri" w:hAnsi="Times New Roman" w:cs="Times New Roman"/>
      <w:sz w:val="28"/>
      <w:lang w:val="en-US"/>
    </w:rPr>
  </w:style>
  <w:style w:type="character" w:customStyle="1" w:styleId="NoidungChar">
    <w:name w:val="Noi dung Char"/>
    <w:link w:val="Noidung"/>
    <w:rsid w:val="006B3912"/>
    <w:rPr>
      <w:rFonts w:ascii="Times New Roman" w:eastAsia="Calibri" w:hAnsi="Times New Roman" w:cs="Times New Roman"/>
      <w:sz w:val="28"/>
      <w:lang w:val="en-US"/>
    </w:rPr>
  </w:style>
  <w:style w:type="character" w:customStyle="1" w:styleId="FootnoteTextChar1">
    <w:name w:val="Footnote Text Char1"/>
    <w:aliases w:val="Footnote Text Char Char Char Char Char Char1,Footnote Text Char Char Char Char Char Char Ch Char,Footnote Text Char Char Char Char Char Char Ch Char Char Char Char1,single spac Char"/>
    <w:locked/>
    <w:rsid w:val="006D7B11"/>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6D7B11"/>
    <w:pPr>
      <w:spacing w:before="60" w:after="160" w:line="240" w:lineRule="exact"/>
      <w:jc w:val="both"/>
    </w:pPr>
    <w:rPr>
      <w:vertAlign w:val="superscript"/>
    </w:rPr>
  </w:style>
  <w:style w:type="character" w:customStyle="1" w:styleId="Heading1Char">
    <w:name w:val="Heading 1 Char"/>
    <w:basedOn w:val="DefaultParagraphFont"/>
    <w:link w:val="Heading1"/>
    <w:uiPriority w:val="9"/>
    <w:rsid w:val="004F2DDB"/>
    <w:rPr>
      <w:rFonts w:ascii="Times New Roman Bold" w:eastAsia="Times New Roman" w:hAnsi="Times New Roman Bold" w:cs="Times New Roman"/>
      <w:b/>
      <w:bCs/>
      <w:spacing w:val="-8"/>
      <w:sz w:val="28"/>
      <w:szCs w:val="28"/>
      <w:shd w:val="clear" w:color="auto" w:fill="FFFFFF"/>
      <w:lang w:val="pt-BR" w:eastAsia="vi-VN"/>
    </w:rPr>
  </w:style>
  <w:style w:type="character" w:customStyle="1" w:styleId="Heading2Char">
    <w:name w:val="Heading 2 Char"/>
    <w:basedOn w:val="DefaultParagraphFont"/>
    <w:link w:val="Heading2"/>
    <w:uiPriority w:val="9"/>
    <w:rsid w:val="004F2DDB"/>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uiPriority w:val="9"/>
    <w:rsid w:val="00530ADA"/>
    <w:rPr>
      <w:rFonts w:ascii="Times New Roman" w:eastAsia="Times New Roman" w:hAnsi="Times New Roman" w:cs="Times New Roman"/>
      <w:b/>
      <w:i/>
      <w:sz w:val="28"/>
      <w:szCs w:val="2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05635">
      <w:bodyDiv w:val="1"/>
      <w:marLeft w:val="0"/>
      <w:marRight w:val="0"/>
      <w:marTop w:val="0"/>
      <w:marBottom w:val="0"/>
      <w:divBdr>
        <w:top w:val="none" w:sz="0" w:space="0" w:color="auto"/>
        <w:left w:val="none" w:sz="0" w:space="0" w:color="auto"/>
        <w:bottom w:val="none" w:sz="0" w:space="0" w:color="auto"/>
        <w:right w:val="none" w:sz="0" w:space="0" w:color="auto"/>
      </w:divBdr>
    </w:div>
    <w:div w:id="1131747793">
      <w:bodyDiv w:val="1"/>
      <w:marLeft w:val="0"/>
      <w:marRight w:val="0"/>
      <w:marTop w:val="0"/>
      <w:marBottom w:val="0"/>
      <w:divBdr>
        <w:top w:val="none" w:sz="0" w:space="0" w:color="auto"/>
        <w:left w:val="none" w:sz="0" w:space="0" w:color="auto"/>
        <w:bottom w:val="none" w:sz="0" w:space="0" w:color="auto"/>
        <w:right w:val="none" w:sz="0" w:space="0" w:color="auto"/>
      </w:divBdr>
    </w:div>
    <w:div w:id="1228489274">
      <w:bodyDiv w:val="1"/>
      <w:marLeft w:val="0"/>
      <w:marRight w:val="0"/>
      <w:marTop w:val="0"/>
      <w:marBottom w:val="0"/>
      <w:divBdr>
        <w:top w:val="none" w:sz="0" w:space="0" w:color="auto"/>
        <w:left w:val="none" w:sz="0" w:space="0" w:color="auto"/>
        <w:bottom w:val="none" w:sz="0" w:space="0" w:color="auto"/>
        <w:right w:val="none" w:sz="0" w:space="0" w:color="auto"/>
      </w:divBdr>
    </w:div>
    <w:div w:id="1334066858">
      <w:bodyDiv w:val="1"/>
      <w:marLeft w:val="0"/>
      <w:marRight w:val="0"/>
      <w:marTop w:val="0"/>
      <w:marBottom w:val="0"/>
      <w:divBdr>
        <w:top w:val="none" w:sz="0" w:space="0" w:color="auto"/>
        <w:left w:val="none" w:sz="0" w:space="0" w:color="auto"/>
        <w:bottom w:val="none" w:sz="0" w:space="0" w:color="auto"/>
        <w:right w:val="none" w:sz="0" w:space="0" w:color="auto"/>
      </w:divBdr>
    </w:div>
    <w:div w:id="18286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CDF0F-008D-41FC-BB33-4722FC03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7534</Words>
  <Characters>42945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NguyenThiHoaiThu</dc:creator>
  <cp:lastModifiedBy>Microsoft account</cp:lastModifiedBy>
  <cp:revision>3</cp:revision>
  <cp:lastPrinted>2022-05-26T08:53:00Z</cp:lastPrinted>
  <dcterms:created xsi:type="dcterms:W3CDTF">2022-05-31T09:46:00Z</dcterms:created>
  <dcterms:modified xsi:type="dcterms:W3CDTF">2022-07-25T04:37:00Z</dcterms:modified>
</cp:coreProperties>
</file>