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BD8B" w14:textId="433832A5" w:rsidR="00310495" w:rsidRPr="0080746C" w:rsidRDefault="003B1618">
      <w:pPr>
        <w:spacing w:after="0" w:line="240" w:lineRule="auto"/>
        <w:ind w:left="1" w:hanging="3"/>
        <w:jc w:val="center"/>
        <w:rPr>
          <w:rFonts w:eastAsia="Times New Roman"/>
          <w:sz w:val="25"/>
          <w:szCs w:val="25"/>
        </w:rPr>
      </w:pPr>
      <w:r w:rsidRPr="0080746C">
        <w:rPr>
          <w:rFonts w:eastAsia="Times New Roman"/>
          <w:b/>
          <w:sz w:val="25"/>
          <w:szCs w:val="25"/>
        </w:rPr>
        <w:t>TÓM TẮT</w:t>
      </w:r>
      <w:r w:rsidR="00AA3491" w:rsidRPr="0080746C">
        <w:rPr>
          <w:rFonts w:eastAsia="Times New Roman"/>
          <w:b/>
          <w:sz w:val="25"/>
          <w:szCs w:val="25"/>
        </w:rPr>
        <w:t xml:space="preserve"> DỰ THẢO</w:t>
      </w:r>
      <w:r w:rsidRPr="0080746C">
        <w:rPr>
          <w:rFonts w:eastAsia="Times New Roman"/>
          <w:b/>
          <w:sz w:val="25"/>
          <w:szCs w:val="25"/>
        </w:rPr>
        <w:t xml:space="preserve"> LUẬT GIAO DỊCH ĐIỆN TỬ (SỬA ĐỔI)</w:t>
      </w:r>
    </w:p>
    <w:p w14:paraId="62E664D7" w14:textId="77777777" w:rsidR="009361D4" w:rsidRDefault="009361D4" w:rsidP="0080746C">
      <w:pPr>
        <w:pStyle w:val="NormalWeb"/>
        <w:spacing w:before="0" w:beforeAutospacing="0" w:after="200" w:afterAutospacing="0"/>
        <w:ind w:left="5" w:hanging="7"/>
        <w:rPr>
          <w:b/>
          <w:bCs/>
          <w:color w:val="000000"/>
          <w:lang w:val="vi-VN"/>
        </w:rPr>
      </w:pPr>
    </w:p>
    <w:p w14:paraId="698137EF" w14:textId="409D0570" w:rsidR="0080746C" w:rsidRDefault="0080746C" w:rsidP="0080746C">
      <w:pPr>
        <w:pStyle w:val="NormalWeb"/>
        <w:spacing w:before="0" w:beforeAutospacing="0" w:after="200" w:afterAutospacing="0"/>
        <w:ind w:left="5" w:hanging="7"/>
      </w:pPr>
      <w:r>
        <w:rPr>
          <w:b/>
          <w:bCs/>
          <w:color w:val="000000"/>
        </w:rPr>
        <w:t>Góp ý có thể tập trung (nhưng không giới hạn) vào các vấn đề sau:</w:t>
      </w:r>
    </w:p>
    <w:p w14:paraId="1D4BC882" w14:textId="77777777" w:rsidR="0080746C" w:rsidRDefault="0080746C" w:rsidP="0080746C">
      <w:pPr>
        <w:pStyle w:val="NormalWeb"/>
        <w:numPr>
          <w:ilvl w:val="0"/>
          <w:numId w:val="7"/>
        </w:numPr>
        <w:shd w:val="clear" w:color="auto" w:fill="FFFFFF"/>
        <w:spacing w:before="0" w:beforeAutospacing="0" w:after="0" w:afterAutospacing="0"/>
        <w:ind w:left="5" w:hanging="7"/>
        <w:jc w:val="both"/>
        <w:textAlignment w:val="baseline"/>
        <w:rPr>
          <w:color w:val="000000"/>
        </w:rPr>
      </w:pPr>
      <w:r>
        <w:rPr>
          <w:color w:val="000000"/>
        </w:rPr>
        <w:t xml:space="preserve">Các nội dung quy định có </w:t>
      </w:r>
      <w:r>
        <w:rPr>
          <w:color w:val="000000"/>
          <w:u w:val="single"/>
        </w:rPr>
        <w:t>hợp lý, khả thi, minh bạch</w:t>
      </w:r>
      <w:r>
        <w:rPr>
          <w:color w:val="000000"/>
        </w:rPr>
        <w:t xml:space="preserve"> không, nếu không, vui lòng nêu lý </w:t>
      </w:r>
      <w:proofErr w:type="gramStart"/>
      <w:r>
        <w:rPr>
          <w:color w:val="000000"/>
        </w:rPr>
        <w:t>do;</w:t>
      </w:r>
      <w:proofErr w:type="gramEnd"/>
    </w:p>
    <w:p w14:paraId="7F57E04A" w14:textId="77777777" w:rsidR="0080746C" w:rsidRDefault="0080746C" w:rsidP="0080746C">
      <w:pPr>
        <w:pStyle w:val="NormalWeb"/>
        <w:numPr>
          <w:ilvl w:val="0"/>
          <w:numId w:val="7"/>
        </w:numPr>
        <w:shd w:val="clear" w:color="auto" w:fill="FFFFFF"/>
        <w:spacing w:before="0" w:beforeAutospacing="0" w:after="0" w:afterAutospacing="0"/>
        <w:ind w:left="5" w:hanging="7"/>
        <w:jc w:val="both"/>
        <w:textAlignment w:val="baseline"/>
        <w:rPr>
          <w:color w:val="000000"/>
        </w:rPr>
      </w:pPr>
      <w:r>
        <w:rPr>
          <w:color w:val="000000"/>
        </w:rPr>
        <w:t>Các vấn đề khác dự kiến phát sinh vướng mắc khi văn bản được triển khai thực hiện và đề xuất, kiến nghị nhằm hoàn thiện các quy định chưa phù hợp.</w:t>
      </w:r>
    </w:p>
    <w:p w14:paraId="69447882" w14:textId="77777777" w:rsidR="0080746C" w:rsidRDefault="0080746C" w:rsidP="0080746C">
      <w:pPr>
        <w:pStyle w:val="NormalWeb"/>
        <w:spacing w:before="120" w:beforeAutospacing="0" w:after="120" w:afterAutospacing="0"/>
        <w:ind w:left="5" w:hanging="7"/>
        <w:jc w:val="both"/>
      </w:pPr>
      <w:r>
        <w:rPr>
          <w:b/>
          <w:bCs/>
          <w:color w:val="000000"/>
        </w:rPr>
        <w:t xml:space="preserve">Phương thức góp ý: </w:t>
      </w:r>
      <w:r>
        <w:rPr>
          <w:b/>
          <w:bCs/>
          <w:color w:val="000000"/>
          <w:u w:val="single"/>
        </w:rPr>
        <w:t>theo đường Công văn</w:t>
      </w:r>
      <w:r>
        <w:rPr>
          <w:b/>
          <w:bCs/>
          <w:color w:val="000000"/>
        </w:rPr>
        <w:t xml:space="preserve"> hoặc điền vào mẫu dưới đây. </w:t>
      </w:r>
    </w:p>
    <w:p w14:paraId="02CFF65C" w14:textId="3BB76D10" w:rsidR="0080746C" w:rsidRDefault="0080746C" w:rsidP="0080746C">
      <w:pPr>
        <w:pStyle w:val="NormalWeb"/>
        <w:spacing w:before="120" w:beforeAutospacing="0" w:after="120" w:afterAutospacing="0"/>
        <w:ind w:left="5" w:hanging="7"/>
        <w:rPr>
          <w:b/>
          <w:bCs/>
          <w:color w:val="000000"/>
        </w:rPr>
      </w:pPr>
      <w:r>
        <w:rPr>
          <w:b/>
          <w:bCs/>
          <w:color w:val="000000"/>
        </w:rPr>
        <w:t>Để góp ý được đầy đủ và chính xác, rất mong Quý Doanh nghiệp/Hiệp hội theo dõi toàn văn Dự thảo và Tờ trình trên website của VCCI tại địa chỉ: www.vibonline.com.vn - Mục Dự thảo.</w:t>
      </w:r>
    </w:p>
    <w:p w14:paraId="06DFDA4E" w14:textId="77777777" w:rsidR="009361D4" w:rsidRDefault="009361D4" w:rsidP="0080746C">
      <w:pPr>
        <w:pStyle w:val="NormalWeb"/>
        <w:spacing w:before="120" w:beforeAutospacing="0" w:after="120" w:afterAutospacing="0"/>
        <w:ind w:left="5" w:hanging="7"/>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1623"/>
      </w:tblGrid>
      <w:tr w:rsidR="00A8085A" w:rsidRPr="0091449C" w14:paraId="104656F3" w14:textId="3A04E50E" w:rsidTr="00A8085A">
        <w:tc>
          <w:tcPr>
            <w:tcW w:w="3823" w:type="dxa"/>
          </w:tcPr>
          <w:p w14:paraId="66D0565F" w14:textId="3054D905" w:rsidR="00A8085A" w:rsidRPr="0080746C" w:rsidRDefault="00A8085A" w:rsidP="00AF603D">
            <w:pPr>
              <w:ind w:leftChars="0" w:left="0" w:firstLineChars="0" w:firstLine="0"/>
              <w:jc w:val="center"/>
              <w:rPr>
                <w:rFonts w:eastAsia="Times New Roman"/>
                <w:sz w:val="25"/>
                <w:szCs w:val="25"/>
              </w:rPr>
            </w:pPr>
            <w:r w:rsidRPr="0080746C">
              <w:rPr>
                <w:rFonts w:eastAsia="Times New Roman"/>
                <w:b/>
                <w:sz w:val="25"/>
                <w:szCs w:val="25"/>
              </w:rPr>
              <w:t>Nhóm quy định sửa đổi, bổ sung</w:t>
            </w:r>
          </w:p>
        </w:tc>
        <w:tc>
          <w:tcPr>
            <w:tcW w:w="11623" w:type="dxa"/>
          </w:tcPr>
          <w:p w14:paraId="618E66C8" w14:textId="38977C65" w:rsidR="00A8085A" w:rsidRPr="0080746C" w:rsidRDefault="00A8085A" w:rsidP="009361D4">
            <w:pPr>
              <w:tabs>
                <w:tab w:val="left" w:pos="2564"/>
                <w:tab w:val="center" w:pos="5702"/>
              </w:tabs>
              <w:spacing w:after="0"/>
              <w:ind w:left="1" w:hanging="3"/>
              <w:jc w:val="center"/>
              <w:rPr>
                <w:rFonts w:eastAsia="Times New Roman"/>
                <w:sz w:val="25"/>
                <w:szCs w:val="25"/>
              </w:rPr>
            </w:pPr>
            <w:r w:rsidRPr="0080746C">
              <w:rPr>
                <w:rFonts w:eastAsia="Times New Roman"/>
                <w:b/>
                <w:sz w:val="25"/>
                <w:szCs w:val="25"/>
              </w:rPr>
              <w:t>NỘI DUNG</w:t>
            </w:r>
          </w:p>
        </w:tc>
      </w:tr>
      <w:tr w:rsidR="00A8085A" w:rsidRPr="0091449C" w14:paraId="024B732B" w14:textId="299ED8DF" w:rsidTr="00A8085A">
        <w:trPr>
          <w:trHeight w:val="1187"/>
        </w:trPr>
        <w:tc>
          <w:tcPr>
            <w:tcW w:w="3823" w:type="dxa"/>
          </w:tcPr>
          <w:p w14:paraId="75826F4E" w14:textId="1F9C172C"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Phạm vi điều chỉnh</w:t>
            </w:r>
          </w:p>
        </w:tc>
        <w:tc>
          <w:tcPr>
            <w:tcW w:w="11623" w:type="dxa"/>
          </w:tcPr>
          <w:p w14:paraId="27F50B08" w14:textId="060795D5" w:rsidR="00A8085A" w:rsidRPr="0080746C" w:rsidRDefault="00A8085A" w:rsidP="00EC4D2A">
            <w:pPr>
              <w:ind w:left="1" w:right="12" w:hanging="3"/>
              <w:rPr>
                <w:sz w:val="25"/>
                <w:szCs w:val="25"/>
              </w:rPr>
            </w:pPr>
            <w:r w:rsidRPr="0080746C">
              <w:rPr>
                <w:sz w:val="25"/>
                <w:szCs w:val="25"/>
              </w:rPr>
              <w:t xml:space="preserve">Mở rộng phạm vi áp dụng của hoạt động giao dịch điện tử đến tất cả các hoạt động của đời sống xã hội: Luật này quy định về giao dịch điện tử trong </w:t>
            </w:r>
            <w:r w:rsidRPr="0080746C">
              <w:rPr>
                <w:b/>
                <w:bCs/>
                <w:sz w:val="25"/>
                <w:szCs w:val="25"/>
              </w:rPr>
              <w:t>hoạt động của cơ quan nhà nước</w:t>
            </w:r>
            <w:r w:rsidRPr="0080746C">
              <w:rPr>
                <w:sz w:val="25"/>
                <w:szCs w:val="25"/>
              </w:rPr>
              <w:t xml:space="preserve">, trong hoạt động </w:t>
            </w:r>
            <w:r w:rsidRPr="0080746C">
              <w:rPr>
                <w:b/>
                <w:bCs/>
                <w:sz w:val="25"/>
                <w:szCs w:val="25"/>
              </w:rPr>
              <w:t>kinh tế, xã hội, dân sự, thương mại, tài chính, ngân hàng</w:t>
            </w:r>
            <w:r w:rsidRPr="0080746C">
              <w:rPr>
                <w:sz w:val="25"/>
                <w:szCs w:val="25"/>
              </w:rPr>
              <w:t xml:space="preserve"> và các lĩnh vực khác do pháp luật quy định. </w:t>
            </w:r>
          </w:p>
        </w:tc>
      </w:tr>
      <w:tr w:rsidR="00A8085A" w:rsidRPr="0091449C" w14:paraId="1E1141D7" w14:textId="77777777" w:rsidTr="00A8085A">
        <w:trPr>
          <w:trHeight w:val="1187"/>
        </w:trPr>
        <w:tc>
          <w:tcPr>
            <w:tcW w:w="3823" w:type="dxa"/>
          </w:tcPr>
          <w:p w14:paraId="570A0D3C" w14:textId="383435F4"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Giải thích từ ngữ</w:t>
            </w:r>
          </w:p>
        </w:tc>
        <w:tc>
          <w:tcPr>
            <w:tcW w:w="11623" w:type="dxa"/>
          </w:tcPr>
          <w:p w14:paraId="37AA8B2B" w14:textId="385B0937" w:rsidR="00A8085A" w:rsidRPr="0080746C" w:rsidRDefault="00A8085A" w:rsidP="00EC4D2A">
            <w:pPr>
              <w:ind w:left="1" w:right="12" w:hanging="3"/>
              <w:rPr>
                <w:sz w:val="25"/>
                <w:szCs w:val="25"/>
              </w:rPr>
            </w:pPr>
            <w:r w:rsidRPr="0080746C">
              <w:rPr>
                <w:sz w:val="25"/>
                <w:szCs w:val="25"/>
              </w:rPr>
              <w:t>Cập nhật, bổ sung, sửa đổi nhiều thuật ngữ như: giao dịch điện tử; giao dịch điện tử tự động; hệ thống giao dịch điện tử; ứng dụng di di động giao dịch điện tử; dữ liệu; tính chống chối bỏ đối với thông tin hoặc thực thể giao dịch điện tử…</w:t>
            </w:r>
          </w:p>
        </w:tc>
      </w:tr>
      <w:tr w:rsidR="00A8085A" w:rsidRPr="0091449C" w14:paraId="5ADEEBC7" w14:textId="72134215" w:rsidTr="00A8085A">
        <w:tc>
          <w:tcPr>
            <w:tcW w:w="3823" w:type="dxa"/>
          </w:tcPr>
          <w:p w14:paraId="238DDB9D" w14:textId="12BF9754"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 xml:space="preserve">Thông điệp dữ liệu </w:t>
            </w:r>
          </w:p>
        </w:tc>
        <w:tc>
          <w:tcPr>
            <w:tcW w:w="11623" w:type="dxa"/>
          </w:tcPr>
          <w:p w14:paraId="3E7E800C" w14:textId="0534AE70" w:rsidR="00A8085A" w:rsidRPr="0080746C" w:rsidRDefault="00A8085A" w:rsidP="0080746C">
            <w:pPr>
              <w:pStyle w:val="ListParagraph"/>
              <w:numPr>
                <w:ilvl w:val="0"/>
                <w:numId w:val="6"/>
              </w:numP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Bổ sung hình thức thức tạo lập, chuyển đổi thông điệp dữ liệu (Thông điệp dữ liệu có thể được tạo lập, tự sinh trong quá trình giao dịch hoặc được số hoá từ bản giấy).</w:t>
            </w:r>
          </w:p>
          <w:p w14:paraId="46AF755A" w14:textId="5114BCF4" w:rsidR="00A8085A" w:rsidRPr="0080746C" w:rsidRDefault="00A8085A" w:rsidP="0080746C">
            <w:pPr>
              <w:pStyle w:val="ListParagraph"/>
              <w:numPr>
                <w:ilvl w:val="0"/>
                <w:numId w:val="6"/>
              </w:numP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Phân cấp giá trị pháp lý của thông điệp dữ liệu.</w:t>
            </w:r>
          </w:p>
          <w:p w14:paraId="5E9531B5" w14:textId="23A1B44F" w:rsidR="00A8085A" w:rsidRPr="0080746C" w:rsidRDefault="00A8085A" w:rsidP="0080746C">
            <w:pPr>
              <w:pStyle w:val="ListParagraph"/>
              <w:numPr>
                <w:ilvl w:val="0"/>
                <w:numId w:val="6"/>
              </w:numP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Sửa đổi giá trị pháp lý của thông điệp dữ liệu từ “có giá trị pháp lý như bản gốc” sang “có giá trị pháp lý như văn bản”.</w:t>
            </w:r>
          </w:p>
          <w:p w14:paraId="142EE936" w14:textId="0D8F021C" w:rsidR="00A8085A" w:rsidRPr="0080746C" w:rsidRDefault="00A8085A" w:rsidP="0080746C">
            <w:pPr>
              <w:pStyle w:val="ListParagraph"/>
              <w:numPr>
                <w:ilvl w:val="0"/>
                <w:numId w:val="6"/>
              </w:numPr>
              <w:spacing w:before="120" w:after="0" w:line="240" w:lineRule="auto"/>
              <w:ind w:leftChars="0" w:firstLineChars="0"/>
              <w:jc w:val="both"/>
              <w:rPr>
                <w:rFonts w:eastAsia="Times New Roman"/>
                <w:b/>
                <w:bCs/>
                <w:sz w:val="25"/>
                <w:szCs w:val="25"/>
              </w:rPr>
            </w:pPr>
            <w:r w:rsidRPr="0080746C">
              <w:rPr>
                <w:rFonts w:eastAsia="Times New Roman"/>
                <w:color w:val="000000"/>
                <w:sz w:val="25"/>
                <w:szCs w:val="25"/>
                <w:lang w:val="vi-VN"/>
              </w:rPr>
              <w:t>Bổ sung quy định về chuyển đổi số (thay thế việc lưu trữ các băn bản, chứng từ, hồ sơ, tài liệu từ bản giấy sang dạng thông điệp dữu liệu).</w:t>
            </w:r>
          </w:p>
        </w:tc>
      </w:tr>
      <w:tr w:rsidR="00A8085A" w:rsidRPr="0091449C" w14:paraId="3C742A24" w14:textId="77777777" w:rsidTr="00A8085A">
        <w:tc>
          <w:tcPr>
            <w:tcW w:w="3823" w:type="dxa"/>
          </w:tcPr>
          <w:p w14:paraId="6DBCB768" w14:textId="00F6ED8D"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Chứng thư điện tử</w:t>
            </w:r>
          </w:p>
        </w:tc>
        <w:tc>
          <w:tcPr>
            <w:tcW w:w="11623" w:type="dxa"/>
          </w:tcPr>
          <w:p w14:paraId="7BD5158D" w14:textId="2B18A497" w:rsidR="00A8085A" w:rsidRPr="0080746C" w:rsidRDefault="00A8085A" w:rsidP="0080746C">
            <w:pPr>
              <w:pStyle w:val="ListParagraph"/>
              <w:numPr>
                <w:ilvl w:val="0"/>
                <w:numId w:val="6"/>
              </w:numP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Bổ sung quy định về Chứng thư điện tử: quy định chung, giá trị pháp lý, công nhận, sử dụng chứng thư điện tử.</w:t>
            </w:r>
          </w:p>
        </w:tc>
      </w:tr>
      <w:tr w:rsidR="00A8085A" w:rsidRPr="0091449C" w14:paraId="4F3F4C0B" w14:textId="5C022478" w:rsidTr="00A8085A">
        <w:tc>
          <w:tcPr>
            <w:tcW w:w="3823" w:type="dxa"/>
          </w:tcPr>
          <w:p w14:paraId="3508055D" w14:textId="0B649354" w:rsidR="00A8085A" w:rsidRPr="0080746C" w:rsidRDefault="00A8085A" w:rsidP="005F76EB">
            <w:pPr>
              <w:pStyle w:val="ListParagraph"/>
              <w:numPr>
                <w:ilvl w:val="0"/>
                <w:numId w:val="4"/>
              </w:numPr>
              <w:tabs>
                <w:tab w:val="left" w:pos="142"/>
              </w:tabs>
              <w:ind w:leftChars="0" w:left="316" w:firstLineChars="0" w:hanging="316"/>
              <w:jc w:val="both"/>
              <w:rPr>
                <w:rFonts w:eastAsia="Times New Roman"/>
                <w:sz w:val="25"/>
                <w:szCs w:val="25"/>
              </w:rPr>
            </w:pPr>
            <w:r w:rsidRPr="0080746C">
              <w:rPr>
                <w:rFonts w:eastAsia="Times New Roman"/>
                <w:sz w:val="25"/>
                <w:szCs w:val="25"/>
              </w:rPr>
              <w:t>Chữ ký điện tử</w:t>
            </w:r>
          </w:p>
          <w:p w14:paraId="0FC292FC" w14:textId="77777777" w:rsidR="00A8085A" w:rsidRPr="0080746C" w:rsidRDefault="00A8085A" w:rsidP="005F76EB">
            <w:pPr>
              <w:ind w:left="1" w:hanging="3"/>
              <w:rPr>
                <w:rFonts w:eastAsia="Times New Roman"/>
                <w:sz w:val="25"/>
                <w:szCs w:val="25"/>
              </w:rPr>
            </w:pPr>
          </w:p>
        </w:tc>
        <w:tc>
          <w:tcPr>
            <w:tcW w:w="11623" w:type="dxa"/>
          </w:tcPr>
          <w:p w14:paraId="5D1F1CB8" w14:textId="1D3D83BA" w:rsidR="00A8085A" w:rsidRPr="0080746C" w:rsidRDefault="00A8085A"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Sửa đổi khái niệm chữ ký điện tử; quy định rõ</w:t>
            </w:r>
            <w:r w:rsidR="0091449C">
              <w:rPr>
                <w:rFonts w:eastAsia="Times New Roman"/>
                <w:color w:val="000000"/>
                <w:sz w:val="25"/>
                <w:szCs w:val="25"/>
                <w:lang w:val="vi-VN"/>
              </w:rPr>
              <w:t xml:space="preserve"> </w:t>
            </w:r>
            <w:r w:rsidRPr="0080746C">
              <w:rPr>
                <w:rFonts w:eastAsia="Times New Roman"/>
                <w:color w:val="000000"/>
                <w:sz w:val="25"/>
                <w:szCs w:val="25"/>
                <w:lang w:val="vi-VN"/>
              </w:rPr>
              <w:t>chữ ký điện tử an toàn và chữ ký điện tự của thiết bị.</w:t>
            </w:r>
          </w:p>
          <w:p w14:paraId="604168CC" w14:textId="5BF347B7" w:rsidR="00A8085A" w:rsidRPr="0080746C" w:rsidRDefault="00A8085A"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Xây dựng nguyên tắc sử dụng gắn liền với giá trị pháp lý của chữ ký điện tử.</w:t>
            </w:r>
          </w:p>
          <w:p w14:paraId="6D4158D3" w14:textId="6CB67E21" w:rsidR="00A8085A" w:rsidRPr="0080746C" w:rsidRDefault="00A8085A"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 xml:space="preserve">Bổ sung quy định trách nhiệm của Nhà nước trong việc công nhận giá trị pháp lý của chữ ký điện tử và chứng </w:t>
            </w:r>
            <w:r w:rsidR="00A04918">
              <w:rPr>
                <w:rFonts w:eastAsia="Times New Roman"/>
                <w:color w:val="000000"/>
                <w:sz w:val="25"/>
                <w:szCs w:val="25"/>
                <w:lang w:val="vi-VN"/>
              </w:rPr>
              <w:t>th</w:t>
            </w:r>
            <w:r w:rsidRPr="0080746C">
              <w:rPr>
                <w:rFonts w:eastAsia="Times New Roman"/>
                <w:color w:val="000000"/>
                <w:sz w:val="25"/>
                <w:szCs w:val="25"/>
                <w:lang w:val="vi-VN"/>
              </w:rPr>
              <w:t>ư điện</w:t>
            </w:r>
            <w:r w:rsidR="0091449C">
              <w:rPr>
                <w:rFonts w:eastAsia="Times New Roman"/>
                <w:color w:val="000000"/>
                <w:sz w:val="25"/>
                <w:szCs w:val="25"/>
                <w:lang w:val="vi-VN"/>
              </w:rPr>
              <w:t xml:space="preserve"> tử</w:t>
            </w:r>
            <w:r w:rsidRPr="0080746C">
              <w:rPr>
                <w:rFonts w:eastAsia="Times New Roman"/>
                <w:color w:val="000000"/>
                <w:sz w:val="25"/>
                <w:szCs w:val="25"/>
                <w:lang w:val="vi-VN"/>
              </w:rPr>
              <w:t>.</w:t>
            </w:r>
          </w:p>
          <w:p w14:paraId="368D8AFD" w14:textId="76F6202A" w:rsidR="00A8085A" w:rsidRPr="0080746C" w:rsidRDefault="00A8085A"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 xml:space="preserve">Phân loại lại tổ chức cung cấp dịch vụ chứng thực chữ ký điện tử thành tổ chức cung cấp dịch vụ chứng thực chữ ký điện tử an toàn và tổ chức cung cấp dịch vụ chứng thực chữ ký điện tử chuyên </w:t>
            </w:r>
            <w:r w:rsidR="0091449C" w:rsidRPr="0080746C">
              <w:rPr>
                <w:rFonts w:eastAsia="Times New Roman"/>
                <w:color w:val="000000"/>
                <w:sz w:val="25"/>
                <w:szCs w:val="25"/>
                <w:lang w:val="vi-VN"/>
              </w:rPr>
              <w:t>dung</w:t>
            </w:r>
            <w:r w:rsidR="0091449C">
              <w:rPr>
                <w:rFonts w:eastAsia="Times New Roman"/>
                <w:color w:val="000000"/>
                <w:sz w:val="25"/>
                <w:szCs w:val="25"/>
                <w:lang w:val="vi-VN"/>
              </w:rPr>
              <w:t xml:space="preserve"> (kèm theo quy định về </w:t>
            </w:r>
            <w:r w:rsidRPr="0080746C">
              <w:rPr>
                <w:rFonts w:eastAsia="Times New Roman"/>
                <w:color w:val="000000"/>
                <w:sz w:val="25"/>
                <w:szCs w:val="25"/>
                <w:lang w:val="vi-VN"/>
              </w:rPr>
              <w:t>điều kiện và chứng nhận đủ điều kiện đối với từng tổ chức</w:t>
            </w:r>
            <w:r w:rsidR="0091449C">
              <w:rPr>
                <w:rFonts w:eastAsia="Times New Roman"/>
                <w:color w:val="000000"/>
                <w:sz w:val="25"/>
                <w:szCs w:val="25"/>
                <w:lang w:val="vi-VN"/>
              </w:rPr>
              <w:t>).</w:t>
            </w:r>
          </w:p>
        </w:tc>
      </w:tr>
      <w:tr w:rsidR="00A8085A" w:rsidRPr="0091449C" w14:paraId="67828009" w14:textId="5E71E805" w:rsidTr="00A8085A">
        <w:tc>
          <w:tcPr>
            <w:tcW w:w="3823" w:type="dxa"/>
          </w:tcPr>
          <w:p w14:paraId="03C3226A" w14:textId="260E9041"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lastRenderedPageBreak/>
              <w:t>Hợp đồng điện tử</w:t>
            </w:r>
          </w:p>
        </w:tc>
        <w:tc>
          <w:tcPr>
            <w:tcW w:w="11623" w:type="dxa"/>
          </w:tcPr>
          <w:p w14:paraId="2731847B" w14:textId="49479507" w:rsidR="00A8085A" w:rsidRPr="0080746C" w:rsidRDefault="009A643E"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Ghi nhận giá trị pháp lý của chứng từ điện tử</w:t>
            </w:r>
          </w:p>
          <w:p w14:paraId="123865A6" w14:textId="0CF1273C" w:rsidR="009A643E" w:rsidRPr="0080746C" w:rsidRDefault="009A643E"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Bổ sung quy định phân loại hợp đồng điện tử và các tiêu chí xác định giá trị pháp lý của hợp đồng điện tử</w:t>
            </w:r>
          </w:p>
          <w:p w14:paraId="1FD6DF54" w14:textId="13A4CDA9" w:rsidR="009A643E" w:rsidRPr="0080746C" w:rsidRDefault="009A643E"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Quy định q</w:t>
            </w:r>
            <w:r w:rsidR="009361D4">
              <w:rPr>
                <w:rFonts w:eastAsia="Times New Roman"/>
                <w:color w:val="000000"/>
                <w:sz w:val="25"/>
                <w:szCs w:val="25"/>
                <w:lang w:val="vi-VN"/>
              </w:rPr>
              <w:t xml:space="preserve">uy </w:t>
            </w:r>
            <w:r w:rsidRPr="0080746C">
              <w:rPr>
                <w:rFonts w:eastAsia="Times New Roman"/>
                <w:color w:val="000000"/>
                <w:sz w:val="25"/>
                <w:szCs w:val="25"/>
                <w:lang w:val="vi-VN"/>
              </w:rPr>
              <w:t>trình giao kết riêng đối với hợp đồng điện tử</w:t>
            </w:r>
          </w:p>
          <w:p w14:paraId="700BE21F" w14:textId="53D9323A" w:rsidR="00023580" w:rsidRPr="0080746C" w:rsidRDefault="00023580" w:rsidP="0080746C">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Quy định về hợp đồng điện tử mẫu</w:t>
            </w:r>
            <w:r w:rsidR="0046464F" w:rsidRPr="0080746C">
              <w:rPr>
                <w:rFonts w:eastAsia="Times New Roman"/>
                <w:color w:val="000000"/>
                <w:sz w:val="25"/>
                <w:szCs w:val="25"/>
                <w:lang w:val="vi-VN"/>
              </w:rPr>
              <w:t xml:space="preserve"> nhằm bảo vệ quyền lợi người tiêu dùng. Đồng thời quy định hợp đồng mẫu giữa người sử dụng với nhau trên các nền tảng phải hướng tới phương thức hòa giải/trọng tài trực tuyến</w:t>
            </w:r>
          </w:p>
        </w:tc>
      </w:tr>
      <w:tr w:rsidR="00A8085A" w:rsidRPr="0091449C" w14:paraId="628832A6" w14:textId="4E60BAB9" w:rsidTr="00A8085A">
        <w:tc>
          <w:tcPr>
            <w:tcW w:w="3823" w:type="dxa"/>
          </w:tcPr>
          <w:p w14:paraId="1476B5E2" w14:textId="3B6E56B9"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Dịch vụ tin cậy và dịch vụ hỗ trợ giao dịch điện tử</w:t>
            </w:r>
          </w:p>
        </w:tc>
        <w:tc>
          <w:tcPr>
            <w:tcW w:w="11623" w:type="dxa"/>
          </w:tcPr>
          <w:p w14:paraId="292C660F" w14:textId="37784798" w:rsidR="00A8085A" w:rsidRPr="0080746C" w:rsidRDefault="00AD2E43" w:rsidP="00AD2E43">
            <w:pPr>
              <w:spacing w:after="0"/>
              <w:ind w:leftChars="0" w:left="0" w:firstLineChars="0" w:hanging="2"/>
              <w:jc w:val="both"/>
              <w:rPr>
                <w:rFonts w:eastAsia="Times New Roman"/>
                <w:sz w:val="25"/>
                <w:szCs w:val="25"/>
                <w:lang w:val="vi-VN"/>
              </w:rPr>
            </w:pPr>
            <w:r w:rsidRPr="0080746C">
              <w:rPr>
                <w:rFonts w:eastAsia="Times New Roman"/>
                <w:b/>
                <w:bCs/>
                <w:sz w:val="25"/>
                <w:szCs w:val="25"/>
                <w:lang w:val="vi-VN"/>
              </w:rPr>
              <w:t>Đây là nhóm quy định hoàn toàn mới so với quy định trước đây.</w:t>
            </w:r>
            <w:r w:rsidRPr="0080746C">
              <w:rPr>
                <w:rFonts w:eastAsia="Times New Roman"/>
                <w:sz w:val="25"/>
                <w:szCs w:val="25"/>
                <w:lang w:val="vi-VN"/>
              </w:rPr>
              <w:t xml:space="preserve"> Trong đó, Dự thảo b</w:t>
            </w:r>
            <w:r w:rsidR="0046464F" w:rsidRPr="0080746C">
              <w:rPr>
                <w:rFonts w:eastAsia="Times New Roman"/>
                <w:sz w:val="25"/>
                <w:szCs w:val="25"/>
                <w:lang w:val="vi-VN"/>
              </w:rPr>
              <w:t xml:space="preserve">ổ sung các quy định để chứng thực giá trị pháp lý của giao dịch điện tử và các </w:t>
            </w:r>
            <w:r w:rsidRPr="0080746C">
              <w:rPr>
                <w:rFonts w:eastAsia="Times New Roman"/>
                <w:sz w:val="25"/>
                <w:szCs w:val="25"/>
                <w:lang w:val="vi-VN"/>
              </w:rPr>
              <w:t>yếu tố cấu thành, đảm bảo giao dịch điện tử an toàn, tin cậy và hỗ trợ để các hoạt động giao dịch điện tử chuyên nghiệp, phù hợp yêu cầu trong thực tế phát triển.</w:t>
            </w:r>
          </w:p>
        </w:tc>
      </w:tr>
      <w:tr w:rsidR="00A8085A" w:rsidRPr="0091449C" w14:paraId="0C3680DC" w14:textId="3B4EC796" w:rsidTr="00A8085A">
        <w:tc>
          <w:tcPr>
            <w:tcW w:w="3823" w:type="dxa"/>
          </w:tcPr>
          <w:p w14:paraId="1E0BED36" w14:textId="2BE4C885"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Giao dịch điện tử của cơ qu</w:t>
            </w:r>
            <w:r w:rsidR="00AD2E43" w:rsidRPr="0080746C">
              <w:rPr>
                <w:rFonts w:eastAsia="Times New Roman"/>
                <w:sz w:val="25"/>
                <w:szCs w:val="25"/>
                <w:lang w:val="vi-VN"/>
              </w:rPr>
              <w:t>an</w:t>
            </w:r>
            <w:r w:rsidRPr="0080746C">
              <w:rPr>
                <w:rFonts w:eastAsia="Times New Roman"/>
                <w:sz w:val="25"/>
                <w:szCs w:val="25"/>
              </w:rPr>
              <w:t xml:space="preserve"> nhà nước và chính sách hỗ trợ giao dịch điện tử, thúc đấy chuyển đổi số.</w:t>
            </w:r>
          </w:p>
        </w:tc>
        <w:tc>
          <w:tcPr>
            <w:tcW w:w="11623" w:type="dxa"/>
          </w:tcPr>
          <w:p w14:paraId="50FE1565" w14:textId="4E68BB94" w:rsidR="005253AC" w:rsidRPr="0080746C" w:rsidRDefault="005253AC" w:rsidP="0080746C">
            <w:pPr>
              <w:pBdr>
                <w:top w:val="nil"/>
                <w:left w:val="nil"/>
                <w:bottom w:val="nil"/>
                <w:right w:val="nil"/>
                <w:between w:val="nil"/>
              </w:pBdr>
              <w:spacing w:before="120" w:after="0" w:line="240" w:lineRule="auto"/>
              <w:ind w:left="1" w:hanging="3"/>
              <w:jc w:val="both"/>
              <w:rPr>
                <w:rFonts w:eastAsia="Times New Roman"/>
                <w:color w:val="000000"/>
                <w:sz w:val="25"/>
                <w:szCs w:val="25"/>
                <w:lang w:val="vi-VN"/>
              </w:rPr>
            </w:pPr>
            <w:r w:rsidRPr="0080746C">
              <w:rPr>
                <w:rFonts w:eastAsia="Times New Roman"/>
                <w:color w:val="000000"/>
                <w:sz w:val="25"/>
                <w:szCs w:val="25"/>
                <w:lang w:val="vi-VN"/>
              </w:rPr>
              <w:t>Trên cơ sở mở rộng phạm vi điều chỉnh. Dự thảo sửa đổi, bổ sung nhiều vấn đề quan trọng về giao dịch điện tử của cơ quan nhà nước và chính sách hỗ trợ giao dịch điện tử, thúc đẩy chuyển đổi số. Qua đó tạo cơ sở quan trọng trong việc thực hiện các thủ tục hành chính, dịch vụ công trên môi trường mạng. Trong đó có những nội dung quan tr</w:t>
            </w:r>
            <w:r w:rsidR="00A04918">
              <w:rPr>
                <w:rFonts w:eastAsia="Times New Roman"/>
                <w:color w:val="000000"/>
                <w:sz w:val="25"/>
                <w:szCs w:val="25"/>
                <w:lang w:val="vi-VN"/>
              </w:rPr>
              <w:t>ọ</w:t>
            </w:r>
            <w:r w:rsidRPr="0080746C">
              <w:rPr>
                <w:rFonts w:eastAsia="Times New Roman"/>
                <w:color w:val="000000"/>
                <w:sz w:val="25"/>
                <w:szCs w:val="25"/>
                <w:lang w:val="vi-VN"/>
              </w:rPr>
              <w:t>ng sau:</w:t>
            </w:r>
          </w:p>
          <w:p w14:paraId="60E59BFD" w14:textId="22F0F4CF" w:rsidR="00A8085A" w:rsidRPr="0080746C" w:rsidRDefault="00807AF2" w:rsidP="00807AF2">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Bổ sung các loại hình, nguyên tắc và các điều kiện để tiến hành giao dịch điện tử của cơ quan nhà nước</w:t>
            </w:r>
          </w:p>
          <w:p w14:paraId="2A0BFCFD" w14:textId="77777777" w:rsidR="00807AF2" w:rsidRPr="0080746C" w:rsidRDefault="00807AF2" w:rsidP="00807AF2">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 xml:space="preserve">Bổ sung các cơ chế nhằm tạo lập, xác thực điện tử </w:t>
            </w:r>
            <w:r w:rsidR="005253AC" w:rsidRPr="0080746C">
              <w:rPr>
                <w:rFonts w:eastAsia="Times New Roman"/>
                <w:color w:val="000000"/>
                <w:sz w:val="25"/>
                <w:szCs w:val="25"/>
                <w:lang w:val="vi-VN"/>
              </w:rPr>
              <w:t>trong Chính phủ điện tử và Chính phủ số</w:t>
            </w:r>
          </w:p>
          <w:p w14:paraId="5609FF35" w14:textId="10EC6D16" w:rsidR="005253AC" w:rsidRPr="0080746C" w:rsidRDefault="005253AC" w:rsidP="00807AF2">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Ghi nhận giá trị pháp lý của kết qỉa giao dịch điện tử với cơ quan nhà nước</w:t>
            </w:r>
          </w:p>
          <w:p w14:paraId="4A980177" w14:textId="6DB59A87" w:rsidR="005253AC" w:rsidRPr="0080746C" w:rsidRDefault="005253AC" w:rsidP="00807AF2">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Quy định quản lý và kết nối, chia sẻ dữ liệu của cơ quan nhà nước</w:t>
            </w:r>
          </w:p>
        </w:tc>
      </w:tr>
      <w:tr w:rsidR="00A8085A" w:rsidRPr="0091449C" w14:paraId="4A7354F6" w14:textId="77777777" w:rsidTr="00A8085A">
        <w:tc>
          <w:tcPr>
            <w:tcW w:w="3823" w:type="dxa"/>
          </w:tcPr>
          <w:p w14:paraId="1A253111" w14:textId="1AFBA5B1" w:rsidR="00A8085A" w:rsidRPr="0080746C" w:rsidRDefault="00A8085A" w:rsidP="005F76EB">
            <w:pPr>
              <w:pStyle w:val="ListParagraph"/>
              <w:numPr>
                <w:ilvl w:val="0"/>
                <w:numId w:val="4"/>
              </w:numPr>
              <w:ind w:leftChars="0" w:left="316" w:firstLineChars="0" w:hanging="316"/>
              <w:rPr>
                <w:rFonts w:eastAsia="Times New Roman"/>
                <w:sz w:val="25"/>
                <w:szCs w:val="25"/>
              </w:rPr>
            </w:pPr>
            <w:proofErr w:type="gramStart"/>
            <w:r w:rsidRPr="0080746C">
              <w:rPr>
                <w:rFonts w:eastAsia="Times New Roman"/>
                <w:sz w:val="25"/>
                <w:szCs w:val="25"/>
              </w:rPr>
              <w:t>An</w:t>
            </w:r>
            <w:proofErr w:type="gramEnd"/>
            <w:r w:rsidRPr="0080746C">
              <w:rPr>
                <w:rFonts w:eastAsia="Times New Roman"/>
                <w:sz w:val="25"/>
                <w:szCs w:val="25"/>
              </w:rPr>
              <w:t xml:space="preserve"> toàn, an ninh, bảo vệ, bảo mật trong giao dịch điện tử</w:t>
            </w:r>
          </w:p>
        </w:tc>
        <w:tc>
          <w:tcPr>
            <w:tcW w:w="11623" w:type="dxa"/>
          </w:tcPr>
          <w:p w14:paraId="74614CC2" w14:textId="5921AE32" w:rsidR="00A8085A" w:rsidRPr="0080746C" w:rsidRDefault="00B72F84">
            <w:pPr>
              <w:pBdr>
                <w:top w:val="nil"/>
                <w:left w:val="nil"/>
                <w:bottom w:val="nil"/>
                <w:right w:val="nil"/>
                <w:between w:val="nil"/>
              </w:pBdr>
              <w:spacing w:before="120" w:after="0" w:line="240" w:lineRule="auto"/>
              <w:ind w:left="1" w:hanging="3"/>
              <w:jc w:val="both"/>
              <w:rPr>
                <w:rFonts w:eastAsia="Times New Roman"/>
                <w:sz w:val="25"/>
                <w:szCs w:val="25"/>
                <w:lang w:val="vi-VN"/>
              </w:rPr>
            </w:pPr>
            <w:r w:rsidRPr="0080746C">
              <w:rPr>
                <w:rFonts w:eastAsia="Times New Roman"/>
                <w:color w:val="000000"/>
                <w:sz w:val="25"/>
                <w:szCs w:val="25"/>
                <w:lang w:val="vi-VN"/>
              </w:rPr>
              <w:t xml:space="preserve">Dự thảo sửa đổi, bổ sung nhiều quy định </w:t>
            </w:r>
            <w:r w:rsidRPr="0080746C">
              <w:rPr>
                <w:rFonts w:eastAsia="Times New Roman"/>
                <w:sz w:val="25"/>
                <w:szCs w:val="25"/>
                <w:lang w:val="vi-VN"/>
              </w:rPr>
              <w:t>a</w:t>
            </w:r>
            <w:r w:rsidRPr="0080746C">
              <w:rPr>
                <w:rFonts w:eastAsia="Times New Roman"/>
                <w:sz w:val="25"/>
                <w:szCs w:val="25"/>
              </w:rPr>
              <w:t>n toàn, an ninh, bảo vệ, bảo mật trong giao dịch điện tử</w:t>
            </w:r>
            <w:r w:rsidRPr="0080746C">
              <w:rPr>
                <w:rFonts w:eastAsia="Times New Roman"/>
                <w:sz w:val="25"/>
                <w:szCs w:val="25"/>
                <w:lang w:val="vi-VN"/>
              </w:rPr>
              <w:t xml:space="preserve"> trong bối cảnh an toàn, an ninh mạng phức tạp và nhằm phù hợp với Luật An toàn thông tin và Luật An ninh mạng:</w:t>
            </w:r>
          </w:p>
          <w:p w14:paraId="03140E1D" w14:textId="7C249FC2" w:rsidR="00B72F84" w:rsidRPr="0080746C" w:rsidRDefault="00B72F84" w:rsidP="00B72F84">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Quy định về bảo đảm an toàn dữ liệu trong giao dịch điện tử (phân loại dữ liệu; trách nhiệm của các bên và việc bảo đảm an toàn dữ liệu chuyển qua biên giới)</w:t>
            </w:r>
          </w:p>
          <w:p w14:paraId="1FD80B4E" w14:textId="2411CF63" w:rsidR="00B72F84" w:rsidRPr="0080746C" w:rsidRDefault="00B72F84" w:rsidP="00B72F84">
            <w:pPr>
              <w:pStyle w:val="ListParagraph"/>
              <w:numPr>
                <w:ilvl w:val="0"/>
                <w:numId w:val="6"/>
              </w:numPr>
              <w:pBdr>
                <w:top w:val="nil"/>
                <w:left w:val="nil"/>
                <w:bottom w:val="nil"/>
                <w:right w:val="nil"/>
                <w:between w:val="nil"/>
              </w:pBdr>
              <w:spacing w:before="120" w:after="0" w:line="240" w:lineRule="auto"/>
              <w:ind w:leftChars="0" w:firstLineChars="0"/>
              <w:jc w:val="both"/>
              <w:rPr>
                <w:rFonts w:eastAsia="Times New Roman"/>
                <w:color w:val="000000"/>
                <w:sz w:val="25"/>
                <w:szCs w:val="25"/>
                <w:lang w:val="vi-VN"/>
              </w:rPr>
            </w:pPr>
            <w:r w:rsidRPr="0080746C">
              <w:rPr>
                <w:rFonts w:eastAsia="Times New Roman"/>
                <w:color w:val="000000"/>
                <w:sz w:val="25"/>
                <w:szCs w:val="25"/>
                <w:lang w:val="vi-VN"/>
              </w:rPr>
              <w:t>Quy định</w:t>
            </w:r>
            <w:r w:rsidR="002D716C" w:rsidRPr="0080746C">
              <w:rPr>
                <w:rFonts w:eastAsia="Times New Roman"/>
                <w:color w:val="000000"/>
                <w:sz w:val="25"/>
                <w:szCs w:val="25"/>
                <w:lang w:val="vi-VN"/>
              </w:rPr>
              <w:t xml:space="preserve"> về bảo đảm an toàn thông tin mạng và an ninh mạng trong giao dịch điện tử</w:t>
            </w:r>
          </w:p>
        </w:tc>
      </w:tr>
      <w:tr w:rsidR="00A8085A" w:rsidRPr="0091449C" w14:paraId="225EB3B4" w14:textId="77777777" w:rsidTr="00A8085A">
        <w:tc>
          <w:tcPr>
            <w:tcW w:w="3823" w:type="dxa"/>
          </w:tcPr>
          <w:p w14:paraId="518171C6" w14:textId="3AAAEDCB" w:rsidR="00A8085A" w:rsidRPr="0080746C" w:rsidRDefault="00A8085A" w:rsidP="005F76EB">
            <w:pPr>
              <w:pStyle w:val="ListParagraph"/>
              <w:numPr>
                <w:ilvl w:val="0"/>
                <w:numId w:val="4"/>
              </w:numPr>
              <w:ind w:leftChars="0" w:left="316" w:firstLineChars="0" w:hanging="316"/>
              <w:rPr>
                <w:rFonts w:eastAsia="Times New Roman"/>
                <w:sz w:val="25"/>
                <w:szCs w:val="25"/>
              </w:rPr>
            </w:pPr>
            <w:r w:rsidRPr="0080746C">
              <w:rPr>
                <w:rFonts w:eastAsia="Times New Roman"/>
                <w:sz w:val="25"/>
                <w:szCs w:val="25"/>
              </w:rPr>
              <w:t>Nền tảng số, dịch vụ số và hệ thống giao dịch điện tử</w:t>
            </w:r>
          </w:p>
        </w:tc>
        <w:tc>
          <w:tcPr>
            <w:tcW w:w="11623" w:type="dxa"/>
          </w:tcPr>
          <w:p w14:paraId="6DF69790" w14:textId="5A4DD0D2" w:rsidR="00A8085A" w:rsidRPr="0080746C" w:rsidRDefault="00B72F84">
            <w:pPr>
              <w:pBdr>
                <w:top w:val="nil"/>
                <w:left w:val="nil"/>
                <w:bottom w:val="nil"/>
                <w:right w:val="nil"/>
                <w:between w:val="nil"/>
              </w:pBdr>
              <w:spacing w:before="120" w:after="0" w:line="240" w:lineRule="auto"/>
              <w:ind w:left="1" w:hanging="3"/>
              <w:jc w:val="both"/>
              <w:rPr>
                <w:rFonts w:eastAsia="Times New Roman"/>
                <w:color w:val="000000"/>
                <w:sz w:val="25"/>
                <w:szCs w:val="25"/>
                <w:lang w:val="vi-VN"/>
              </w:rPr>
            </w:pPr>
            <w:r w:rsidRPr="0080746C">
              <w:rPr>
                <w:rFonts w:eastAsia="Times New Roman"/>
                <w:color w:val="000000"/>
                <w:sz w:val="25"/>
                <w:szCs w:val="25"/>
                <w:lang w:val="vi-VN"/>
              </w:rPr>
              <w:t>Dự thảo tập t</w:t>
            </w:r>
            <w:r w:rsidR="00A04918">
              <w:rPr>
                <w:rFonts w:eastAsia="Times New Roman"/>
                <w:color w:val="000000"/>
                <w:sz w:val="25"/>
                <w:szCs w:val="25"/>
                <w:lang w:val="vi-VN"/>
              </w:rPr>
              <w:t>ru</w:t>
            </w:r>
            <w:r w:rsidRPr="0080746C">
              <w:rPr>
                <w:rFonts w:eastAsia="Times New Roman"/>
                <w:color w:val="000000"/>
                <w:sz w:val="25"/>
                <w:szCs w:val="25"/>
                <w:lang w:val="vi-VN"/>
              </w:rPr>
              <w:t>ng vào nghĩa vụ của các nền tảng số trong hoạt động giao dịch điện tử, quy định quản lý hệ thống giao dịch điện tử và hoạt động giao dịch điện tử trên nền tảng số, dịch vụ số và giao dịch trực tuyến.</w:t>
            </w:r>
          </w:p>
        </w:tc>
      </w:tr>
    </w:tbl>
    <w:p w14:paraId="21FA3F8E" w14:textId="77777777" w:rsidR="00310495" w:rsidRPr="0080746C" w:rsidRDefault="00310495" w:rsidP="00A8085A">
      <w:pPr>
        <w:ind w:left="1" w:hanging="3"/>
        <w:rPr>
          <w:rFonts w:eastAsia="Times New Roman"/>
          <w:sz w:val="25"/>
          <w:szCs w:val="25"/>
        </w:rPr>
      </w:pPr>
    </w:p>
    <w:p w14:paraId="1864F6F1" w14:textId="77777777" w:rsidR="00310495" w:rsidRPr="0080746C" w:rsidRDefault="00310495" w:rsidP="00A8085A">
      <w:pPr>
        <w:ind w:left="1" w:hanging="3"/>
        <w:rPr>
          <w:rFonts w:eastAsia="Times New Roman"/>
          <w:sz w:val="25"/>
          <w:szCs w:val="25"/>
        </w:rPr>
      </w:pPr>
    </w:p>
    <w:sectPr w:rsidR="00310495" w:rsidRPr="0080746C" w:rsidSect="0080746C">
      <w:headerReference w:type="even" r:id="rId9"/>
      <w:headerReference w:type="default" r:id="rId10"/>
      <w:footerReference w:type="even" r:id="rId11"/>
      <w:footerReference w:type="default" r:id="rId12"/>
      <w:headerReference w:type="first" r:id="rId13"/>
      <w:footerReference w:type="first" r:id="rId14"/>
      <w:pgSz w:w="16839" w:h="11907" w:orient="landscape"/>
      <w:pgMar w:top="360" w:right="720" w:bottom="450" w:left="720" w:header="5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0586" w14:textId="77777777" w:rsidR="00715DA5" w:rsidRDefault="00715DA5" w:rsidP="00A04918">
      <w:pPr>
        <w:spacing w:after="0" w:line="240" w:lineRule="auto"/>
        <w:ind w:left="0" w:hanging="2"/>
      </w:pPr>
      <w:r>
        <w:separator/>
      </w:r>
    </w:p>
  </w:endnote>
  <w:endnote w:type="continuationSeparator" w:id="0">
    <w:p w14:paraId="42C1D759" w14:textId="77777777" w:rsidR="00715DA5" w:rsidRDefault="00715DA5" w:rsidP="00A0491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6734" w14:textId="77777777" w:rsidR="00A04918" w:rsidRDefault="00A0491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B7B6" w14:textId="77777777" w:rsidR="00A04918" w:rsidRDefault="00A0491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CD19" w14:textId="77777777" w:rsidR="00A04918" w:rsidRDefault="00A0491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097F" w14:textId="77777777" w:rsidR="00715DA5" w:rsidRDefault="00715DA5" w:rsidP="00A04918">
      <w:pPr>
        <w:spacing w:after="0" w:line="240" w:lineRule="auto"/>
        <w:ind w:left="0" w:hanging="2"/>
      </w:pPr>
      <w:r>
        <w:separator/>
      </w:r>
    </w:p>
  </w:footnote>
  <w:footnote w:type="continuationSeparator" w:id="0">
    <w:p w14:paraId="6A56709D" w14:textId="77777777" w:rsidR="00715DA5" w:rsidRDefault="00715DA5" w:rsidP="00A0491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A91E" w14:textId="77777777" w:rsidR="00A04918" w:rsidRDefault="00A0491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51EF" w14:textId="77777777" w:rsidR="00A04918" w:rsidRDefault="00A0491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2062" w14:textId="77777777" w:rsidR="00A04918" w:rsidRDefault="00A0491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C57"/>
    <w:multiLevelType w:val="hybridMultilevel"/>
    <w:tmpl w:val="0002AE26"/>
    <w:lvl w:ilvl="0" w:tplc="FFD4E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72AC"/>
    <w:multiLevelType w:val="hybridMultilevel"/>
    <w:tmpl w:val="782475D8"/>
    <w:lvl w:ilvl="0" w:tplc="32D80CB2">
      <w:start w:val="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2E716292"/>
    <w:multiLevelType w:val="multilevel"/>
    <w:tmpl w:val="B07E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11B35"/>
    <w:multiLevelType w:val="multilevel"/>
    <w:tmpl w:val="0654003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9D3BFF"/>
    <w:multiLevelType w:val="hybridMultilevel"/>
    <w:tmpl w:val="46884D00"/>
    <w:lvl w:ilvl="0" w:tplc="AC0E3BB0">
      <w:start w:val="1"/>
      <w:numFmt w:val="decimal"/>
      <w:lvlText w:val="%1."/>
      <w:lvlJc w:val="left"/>
      <w:pPr>
        <w:ind w:left="3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709AD"/>
    <w:multiLevelType w:val="multilevel"/>
    <w:tmpl w:val="E7E2892C"/>
    <w:lvl w:ilvl="0">
      <w:start w:val="1"/>
      <w:numFmt w:val="decimal"/>
      <w:pStyle w:val="vao-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646C2E"/>
    <w:multiLevelType w:val="hybridMultilevel"/>
    <w:tmpl w:val="7E365FA6"/>
    <w:lvl w:ilvl="0" w:tplc="540A8CFE">
      <w:start w:val="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93021975">
    <w:abstractNumId w:val="3"/>
  </w:num>
  <w:num w:numId="2" w16cid:durableId="10424981">
    <w:abstractNumId w:val="5"/>
  </w:num>
  <w:num w:numId="3" w16cid:durableId="1222909579">
    <w:abstractNumId w:val="0"/>
  </w:num>
  <w:num w:numId="4" w16cid:durableId="1821847593">
    <w:abstractNumId w:val="4"/>
  </w:num>
  <w:num w:numId="5" w16cid:durableId="1092362292">
    <w:abstractNumId w:val="6"/>
  </w:num>
  <w:num w:numId="6" w16cid:durableId="481386052">
    <w:abstractNumId w:val="1"/>
  </w:num>
  <w:num w:numId="7" w16cid:durableId="35554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95"/>
    <w:rsid w:val="00023580"/>
    <w:rsid w:val="00281B8D"/>
    <w:rsid w:val="002D716C"/>
    <w:rsid w:val="00310495"/>
    <w:rsid w:val="00394D8A"/>
    <w:rsid w:val="003B1618"/>
    <w:rsid w:val="004058A2"/>
    <w:rsid w:val="0046464F"/>
    <w:rsid w:val="004F741F"/>
    <w:rsid w:val="005253AC"/>
    <w:rsid w:val="005518CA"/>
    <w:rsid w:val="005F0175"/>
    <w:rsid w:val="005F76EB"/>
    <w:rsid w:val="00715DA5"/>
    <w:rsid w:val="007B3CCB"/>
    <w:rsid w:val="0080746C"/>
    <w:rsid w:val="00807AF2"/>
    <w:rsid w:val="00817A83"/>
    <w:rsid w:val="0091449C"/>
    <w:rsid w:val="009361D4"/>
    <w:rsid w:val="009A643E"/>
    <w:rsid w:val="00A04918"/>
    <w:rsid w:val="00A8085A"/>
    <w:rsid w:val="00AA3491"/>
    <w:rsid w:val="00AD2E43"/>
    <w:rsid w:val="00AD5CCB"/>
    <w:rsid w:val="00AF603D"/>
    <w:rsid w:val="00B72F84"/>
    <w:rsid w:val="00B846C7"/>
    <w:rsid w:val="00B97BB1"/>
    <w:rsid w:val="00BE5246"/>
    <w:rsid w:val="00D47C2E"/>
    <w:rsid w:val="00E82A69"/>
    <w:rsid w:val="00EC4D2A"/>
    <w:rsid w:val="00F166A3"/>
    <w:rsid w:val="00F2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0B22"/>
  <w15:docId w15:val="{A33E03FD-0D5E-4FBE-9499-4D458111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position w:val="-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rPr>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rPr>
      <w:sz w:val="22"/>
      <w:szCs w:val="22"/>
    </w:r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rPr>
      <w:sz w:val="22"/>
      <w:szCs w:val="22"/>
    </w:r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vao-v">
    <w:name w:val="vao-v"/>
    <w:basedOn w:val="Normal"/>
    <w:pPr>
      <w:numPr>
        <w:numId w:val="2"/>
      </w:numPr>
      <w:spacing w:before="120" w:after="0" w:line="360" w:lineRule="auto"/>
      <w:ind w:left="-1" w:hanging="1"/>
      <w:jc w:val="both"/>
    </w:pPr>
    <w:rPr>
      <w:rFonts w:ascii=".VnArial" w:eastAsia="Times New Roman" w:hAnsi=".VnArial"/>
      <w:spacing w:val="5"/>
      <w:sz w:val="22"/>
      <w:szCs w:val="20"/>
    </w:rPr>
  </w:style>
  <w:style w:type="paragraph" w:styleId="BodyTextIndent">
    <w:name w:val="Body Text Indent"/>
    <w:basedOn w:val="Normal"/>
    <w:pPr>
      <w:spacing w:after="0" w:line="240" w:lineRule="auto"/>
      <w:ind w:firstLine="720"/>
      <w:jc w:val="both"/>
    </w:pPr>
    <w:rPr>
      <w:rFonts w:eastAsia="Times New Roman"/>
      <w:sz w:val="28"/>
    </w:rPr>
  </w:style>
  <w:style w:type="character" w:customStyle="1" w:styleId="BodyTextIndentChar">
    <w:name w:val="Body Text Indent Char"/>
    <w:rPr>
      <w:rFonts w:ascii="Times New Roman" w:eastAsia="Times New Roman" w:hAnsi="Times New Roman"/>
      <w:w w:val="100"/>
      <w:position w:val="-1"/>
      <w:sz w:val="28"/>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80746C"/>
    <w:pPr>
      <w:spacing w:after="0" w:line="240" w:lineRule="auto"/>
    </w:pPr>
  </w:style>
  <w:style w:type="paragraph" w:styleId="NormalWeb">
    <w:name w:val="Normal (Web)"/>
    <w:basedOn w:val="Normal"/>
    <w:uiPriority w:val="99"/>
    <w:semiHidden/>
    <w:unhideWhenUsed/>
    <w:rsid w:val="0080746C"/>
    <w:pPr>
      <w:suppressAutoHyphens w:val="0"/>
      <w:spacing w:before="100" w:beforeAutospacing="1" w:after="100" w:afterAutospacing="1" w:line="240" w:lineRule="auto"/>
      <w:ind w:leftChars="0" w:left="0" w:firstLineChars="0" w:firstLine="0"/>
      <w:textDirection w:val="lrTb"/>
      <w:textAlignment w:val="auto"/>
      <w:outlineLvl w:val="9"/>
    </w:pPr>
    <w:rPr>
      <w:rFonts w:eastAsia="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5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OJCAvTcu8JBaeHfQAAanqRFDPw==">AMUW2mVjG5UQT/4C0nhF9DIw0gursXFVZjbTklOu7XxC8NF211FAeiuqNhSHKJq+/eel8/8xTo0ATjNyZuKsoebp/8jlybSW565mLMjjt8teMnjnjcWwYYs=</go:docsCustomData>
</go:gDocsCustomXmlDataStorage>
</file>

<file path=customXml/itemProps1.xml><?xml version="1.0" encoding="utf-8"?>
<ds:datastoreItem xmlns:ds="http://schemas.openxmlformats.org/officeDocument/2006/customXml" ds:itemID="{3ED8FA90-7283-4B3D-B7AD-DBCFCEE5C8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Nguyễn Đức Quân</cp:lastModifiedBy>
  <cp:revision>2</cp:revision>
  <dcterms:created xsi:type="dcterms:W3CDTF">2022-05-11T03:49:00Z</dcterms:created>
  <dcterms:modified xsi:type="dcterms:W3CDTF">2022-05-11T03:49:00Z</dcterms:modified>
</cp:coreProperties>
</file>