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Look w:val="01E0" w:firstRow="1" w:lastRow="1" w:firstColumn="1" w:lastColumn="1" w:noHBand="0" w:noVBand="0"/>
      </w:tblPr>
      <w:tblGrid>
        <w:gridCol w:w="3962"/>
        <w:gridCol w:w="5678"/>
      </w:tblGrid>
      <w:tr w:rsidR="00AF00B9" w:rsidRPr="00DC6B2D" w:rsidTr="00145584">
        <w:trPr>
          <w:trHeight w:val="1832"/>
        </w:trPr>
        <w:tc>
          <w:tcPr>
            <w:tcW w:w="3962" w:type="dxa"/>
            <w:shd w:val="clear" w:color="auto" w:fill="auto"/>
          </w:tcPr>
          <w:p w:rsidR="00AF00B9" w:rsidRPr="00DC6B2D" w:rsidRDefault="00AF00B9" w:rsidP="00DC6B2D">
            <w:pPr>
              <w:jc w:val="center"/>
              <w:rPr>
                <w:b/>
                <w:sz w:val="26"/>
                <w:szCs w:val="26"/>
              </w:rPr>
            </w:pPr>
            <w:r w:rsidRPr="00DC6B2D">
              <w:rPr>
                <w:b/>
                <w:sz w:val="26"/>
                <w:szCs w:val="26"/>
              </w:rPr>
              <w:t>BỘ GIAO THÔNG VẬN TẢI</w:t>
            </w:r>
          </w:p>
          <w:p w:rsidR="00AF00B9" w:rsidRDefault="0099598C" w:rsidP="00DC6B2D">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620395</wp:posOffset>
                      </wp:positionH>
                      <wp:positionV relativeFrom="paragraph">
                        <wp:posOffset>89535</wp:posOffset>
                      </wp:positionV>
                      <wp:extent cx="1066800" cy="0"/>
                      <wp:effectExtent l="10795" t="13335" r="8255"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7.05pt" to="132.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2e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nc3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"/>
                  </w:pict>
                </mc:Fallback>
              </mc:AlternateContent>
            </w:r>
          </w:p>
          <w:p w:rsidR="00AF00B9" w:rsidRPr="00927027" w:rsidRDefault="00AF00B9" w:rsidP="00CE3C60">
            <w:pPr>
              <w:jc w:val="both"/>
              <w:rPr>
                <w:sz w:val="30"/>
                <w:szCs w:val="24"/>
              </w:rPr>
            </w:pPr>
          </w:p>
        </w:tc>
        <w:tc>
          <w:tcPr>
            <w:tcW w:w="5678" w:type="dxa"/>
            <w:shd w:val="clear" w:color="auto" w:fill="auto"/>
          </w:tcPr>
          <w:p w:rsidR="00AF00B9" w:rsidRPr="00DC6B2D" w:rsidRDefault="00AF00B9" w:rsidP="00145584">
            <w:pPr>
              <w:jc w:val="center"/>
              <w:rPr>
                <w:b/>
                <w:sz w:val="26"/>
                <w:szCs w:val="26"/>
              </w:rPr>
            </w:pPr>
            <w:r w:rsidRPr="00DC6B2D">
              <w:rPr>
                <w:b/>
                <w:sz w:val="26"/>
                <w:szCs w:val="26"/>
              </w:rPr>
              <w:t>CỘNG HÒA XÃ HỘI CHỦ NGHĨA VIỆT NAM</w:t>
            </w:r>
          </w:p>
          <w:p w:rsidR="00AF00B9" w:rsidRPr="004E5381" w:rsidRDefault="00AF00B9" w:rsidP="00145584">
            <w:pPr>
              <w:jc w:val="center"/>
              <w:rPr>
                <w:b/>
              </w:rPr>
            </w:pPr>
            <w:r w:rsidRPr="004E5381">
              <w:rPr>
                <w:b/>
              </w:rPr>
              <w:t>Độc lập – Tự do – Hạnh phúc</w:t>
            </w:r>
          </w:p>
          <w:p w:rsidR="00AF00B9" w:rsidRDefault="0099598C" w:rsidP="00DC6B2D">
            <w:pPr>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696595</wp:posOffset>
                      </wp:positionH>
                      <wp:positionV relativeFrom="paragraph">
                        <wp:posOffset>80010</wp:posOffset>
                      </wp:positionV>
                      <wp:extent cx="2044700" cy="0"/>
                      <wp:effectExtent l="10795" t="13335" r="11430"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6.3pt" to="215.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WK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"/>
                  </w:pict>
                </mc:Fallback>
              </mc:AlternateContent>
            </w:r>
          </w:p>
          <w:p w:rsidR="00AF00B9" w:rsidRPr="00DC6B2D" w:rsidRDefault="00AF00B9" w:rsidP="00DC6B2D">
            <w:pPr>
              <w:jc w:val="both"/>
              <w:rPr>
                <w:i/>
              </w:rPr>
            </w:pPr>
            <w:r w:rsidRPr="00DC6B2D">
              <w:rPr>
                <w:i/>
              </w:rPr>
              <w:t xml:space="preserve">          </w:t>
            </w:r>
            <w:r w:rsidR="00B967BA" w:rsidRPr="00DC6B2D">
              <w:rPr>
                <w:i/>
              </w:rPr>
              <w:t xml:space="preserve">      Hà Nội, ngày</w:t>
            </w:r>
            <w:r w:rsidR="006A1B14" w:rsidRPr="00DC6B2D">
              <w:rPr>
                <w:i/>
              </w:rPr>
              <w:t xml:space="preserve"> </w:t>
            </w:r>
            <w:r w:rsidR="00335412">
              <w:rPr>
                <w:i/>
              </w:rPr>
              <w:t xml:space="preserve">   </w:t>
            </w:r>
            <w:r w:rsidR="00EF00BE" w:rsidRPr="00DC6B2D">
              <w:rPr>
                <w:i/>
              </w:rPr>
              <w:t xml:space="preserve"> </w:t>
            </w:r>
            <w:r w:rsidRPr="00DC6B2D">
              <w:rPr>
                <w:i/>
              </w:rPr>
              <w:t xml:space="preserve"> tháng </w:t>
            </w:r>
            <w:r w:rsidR="00D261DF">
              <w:rPr>
                <w:i/>
              </w:rPr>
              <w:t>03</w:t>
            </w:r>
            <w:r w:rsidR="00FA7DA2" w:rsidRPr="00DC6B2D">
              <w:rPr>
                <w:i/>
              </w:rPr>
              <w:t xml:space="preserve"> n</w:t>
            </w:r>
            <w:r w:rsidR="00D261DF">
              <w:rPr>
                <w:i/>
              </w:rPr>
              <w:t>ăm 2022</w:t>
            </w:r>
          </w:p>
          <w:p w:rsidR="00AF00B9" w:rsidRDefault="00AF00B9" w:rsidP="00DC6B2D">
            <w:pPr>
              <w:jc w:val="both"/>
            </w:pPr>
          </w:p>
          <w:p w:rsidR="00AF00B9" w:rsidRDefault="00AF00B9" w:rsidP="00DC6B2D">
            <w:pPr>
              <w:jc w:val="both"/>
            </w:pPr>
          </w:p>
        </w:tc>
      </w:tr>
    </w:tbl>
    <w:p w:rsidR="00BB0F8F" w:rsidRPr="00BB0F8F" w:rsidRDefault="00BB0F8F" w:rsidP="00BB0F8F">
      <w:pPr>
        <w:jc w:val="center"/>
        <w:rPr>
          <w:rFonts w:eastAsia="Calibri"/>
          <w:b/>
          <w:bCs/>
          <w:lang w:val="vi-VN"/>
        </w:rPr>
      </w:pPr>
      <w:r w:rsidRPr="00E869FB">
        <w:rPr>
          <w:rFonts w:eastAsia="Calibri"/>
          <w:b/>
          <w:bCs/>
        </w:rPr>
        <w:t>BẢN THUYẾT MINH</w:t>
      </w:r>
      <w:r>
        <w:rPr>
          <w:rFonts w:eastAsia="Calibri"/>
          <w:b/>
          <w:bCs/>
          <w:lang w:val="vi-VN"/>
        </w:rPr>
        <w:t xml:space="preserve"> </w:t>
      </w:r>
      <w:r w:rsidRPr="00E869FB">
        <w:rPr>
          <w:rFonts w:eastAsia="Calibri"/>
          <w:b/>
          <w:bCs/>
        </w:rPr>
        <w:t xml:space="preserve">KHUNG GIÁ </w:t>
      </w:r>
      <w:r>
        <w:rPr>
          <w:rFonts w:eastAsia="Calibri"/>
          <w:b/>
          <w:bCs/>
          <w:lang w:val="vi-VN"/>
        </w:rPr>
        <w:t>NHƯỢNG QUYỀN KHAI THÁC DỊCH VỤ HÀNG KHÔNG</w:t>
      </w:r>
    </w:p>
    <w:p w:rsidR="00BB0F8F" w:rsidRDefault="00BB0F8F" w:rsidP="00BB0F8F">
      <w:pPr>
        <w:rPr>
          <w:lang w:val="vi-VN"/>
        </w:rPr>
      </w:pPr>
    </w:p>
    <w:p w:rsidR="00BB0F8F" w:rsidRPr="00BB0F8F" w:rsidRDefault="00BB0F8F" w:rsidP="00BB0F8F">
      <w:pPr>
        <w:rPr>
          <w:lang w:val="vi-VN"/>
        </w:rPr>
      </w:pPr>
    </w:p>
    <w:p w:rsidR="00D261DF" w:rsidRPr="00D261DF" w:rsidRDefault="00D261DF" w:rsidP="003E31FA">
      <w:pPr>
        <w:tabs>
          <w:tab w:val="left" w:pos="709"/>
          <w:tab w:val="left" w:pos="1276"/>
        </w:tabs>
        <w:spacing w:before="60" w:after="60" w:line="276" w:lineRule="auto"/>
        <w:jc w:val="both"/>
        <w:rPr>
          <w:b/>
          <w:color w:val="000000"/>
          <w:lang w:val="pt-BR"/>
        </w:rPr>
      </w:pPr>
      <w:r>
        <w:rPr>
          <w:b/>
          <w:color w:val="000000"/>
          <w:lang w:val="pt-BR"/>
        </w:rPr>
        <w:tab/>
      </w:r>
      <w:r w:rsidRPr="00D261DF">
        <w:rPr>
          <w:b/>
          <w:color w:val="000000"/>
          <w:lang w:val="pt-BR"/>
        </w:rPr>
        <w:t xml:space="preserve">I. </w:t>
      </w:r>
      <w:r w:rsidRPr="00D261DF">
        <w:rPr>
          <w:b/>
          <w:color w:val="000000"/>
          <w:lang w:val="pt-BR"/>
        </w:rPr>
        <w:t>Căn cứ pháp lý và sự cần thiết</w:t>
      </w:r>
    </w:p>
    <w:p w:rsidR="00D261DF" w:rsidRPr="00D261DF" w:rsidRDefault="00D261DF" w:rsidP="003E31FA">
      <w:pPr>
        <w:tabs>
          <w:tab w:val="left" w:pos="709"/>
          <w:tab w:val="left" w:pos="1276"/>
        </w:tabs>
        <w:spacing w:before="60" w:after="60" w:line="276" w:lineRule="auto"/>
        <w:jc w:val="both"/>
        <w:rPr>
          <w:color w:val="000000"/>
          <w:lang w:val="pt-BR"/>
        </w:rPr>
      </w:pPr>
      <w:r>
        <w:rPr>
          <w:color w:val="000000"/>
          <w:lang w:val="pt-BR"/>
        </w:rPr>
        <w:tab/>
      </w:r>
      <w:r w:rsidRPr="00D261DF">
        <w:rPr>
          <w:color w:val="000000"/>
          <w:lang w:val="pt-BR"/>
        </w:rPr>
        <w:t>1. Căn cứ pháp lý ban hành</w:t>
      </w:r>
    </w:p>
    <w:p w:rsidR="00D261DF" w:rsidRPr="00D261DF" w:rsidRDefault="00D261DF" w:rsidP="003E31FA">
      <w:pPr>
        <w:tabs>
          <w:tab w:val="left" w:pos="709"/>
          <w:tab w:val="left" w:pos="1276"/>
        </w:tabs>
        <w:spacing w:before="60" w:after="60" w:line="276" w:lineRule="auto"/>
        <w:jc w:val="both"/>
        <w:rPr>
          <w:color w:val="000000"/>
          <w:lang w:val="pt-BR"/>
        </w:rPr>
      </w:pPr>
      <w:r>
        <w:rPr>
          <w:color w:val="000000"/>
          <w:lang w:val="pt-BR"/>
        </w:rPr>
        <w:tab/>
      </w:r>
      <w:r w:rsidRPr="00D261DF">
        <w:rPr>
          <w:color w:val="000000"/>
          <w:lang w:val="pt-BR"/>
        </w:rPr>
        <w:t>- Luật Hàng không dân dụng Việt Nam ngày 29 tháng 6 năm 2006 và Luật Sửa đổi, bổ sung một số điều của Luật Hàng không dân dụng Việt Nam số ngày 21 tháng 11 năm 2014;</w:t>
      </w:r>
    </w:p>
    <w:p w:rsidR="00D261DF" w:rsidRPr="00D261DF" w:rsidRDefault="00D261DF" w:rsidP="003E31FA">
      <w:pPr>
        <w:tabs>
          <w:tab w:val="left" w:pos="709"/>
          <w:tab w:val="left" w:pos="1276"/>
        </w:tabs>
        <w:spacing w:before="60" w:after="60" w:line="276" w:lineRule="auto"/>
        <w:jc w:val="both"/>
        <w:rPr>
          <w:color w:val="000000"/>
          <w:lang w:val="pt-BR"/>
        </w:rPr>
      </w:pPr>
      <w:r>
        <w:rPr>
          <w:color w:val="000000"/>
          <w:lang w:val="pt-BR"/>
        </w:rPr>
        <w:tab/>
        <w:t>- Luật g</w:t>
      </w:r>
      <w:r w:rsidRPr="00D261DF">
        <w:rPr>
          <w:color w:val="000000"/>
          <w:lang w:val="pt-BR"/>
        </w:rPr>
        <w:t>iá ngày 20 tháng 6 năm 2012;</w:t>
      </w:r>
    </w:p>
    <w:p w:rsidR="00D261DF" w:rsidRPr="00D261DF" w:rsidRDefault="00D261DF" w:rsidP="003E31FA">
      <w:pPr>
        <w:tabs>
          <w:tab w:val="left" w:pos="709"/>
          <w:tab w:val="left" w:pos="1276"/>
        </w:tabs>
        <w:spacing w:before="60" w:after="60" w:line="276" w:lineRule="auto"/>
        <w:jc w:val="both"/>
        <w:rPr>
          <w:color w:val="000000"/>
          <w:lang w:val="pt-BR"/>
        </w:rPr>
      </w:pPr>
      <w:r>
        <w:rPr>
          <w:color w:val="000000"/>
          <w:lang w:val="pt-BR"/>
        </w:rPr>
        <w:tab/>
      </w:r>
      <w:r w:rsidRPr="00D261DF">
        <w:rPr>
          <w:color w:val="000000"/>
          <w:lang w:val="pt-BR"/>
        </w:rPr>
        <w:t xml:space="preserve">- Nghị định số 177/2013/NĐ-CP ngày 14 tháng 11 năm 2013 của Chính phủ quy định chi tiết và hướng dẫn thi hành một số điều của Luật </w:t>
      </w:r>
      <w:r>
        <w:rPr>
          <w:color w:val="000000"/>
          <w:lang w:val="pt-BR"/>
        </w:rPr>
        <w:t>g</w:t>
      </w:r>
      <w:r w:rsidRPr="00D261DF">
        <w:rPr>
          <w:color w:val="000000"/>
          <w:lang w:val="pt-BR"/>
        </w:rPr>
        <w:t xml:space="preserve">iá; </w:t>
      </w:r>
    </w:p>
    <w:p w:rsidR="00D261DF" w:rsidRPr="00D261DF" w:rsidRDefault="00D261DF" w:rsidP="003E31FA">
      <w:pPr>
        <w:tabs>
          <w:tab w:val="left" w:pos="709"/>
          <w:tab w:val="left" w:pos="1276"/>
        </w:tabs>
        <w:spacing w:before="60" w:after="60" w:line="276" w:lineRule="auto"/>
        <w:jc w:val="both"/>
        <w:rPr>
          <w:color w:val="000000"/>
          <w:lang w:val="pt-BR"/>
        </w:rPr>
      </w:pPr>
      <w:r>
        <w:rPr>
          <w:color w:val="000000"/>
          <w:lang w:val="pt-BR"/>
        </w:rPr>
        <w:tab/>
      </w:r>
      <w:r w:rsidRPr="00D261DF">
        <w:rPr>
          <w:color w:val="000000"/>
          <w:lang w:val="pt-BR"/>
        </w:rPr>
        <w:t xml:space="preserve">- Nghị định số 149/2016/NĐ-CP ngày 11 tháng 11 năm 2016 của Chính phủ sửa đổi, bổ sung một số điều của </w:t>
      </w:r>
      <w:r>
        <w:rPr>
          <w:color w:val="000000"/>
          <w:lang w:val="pt-BR"/>
        </w:rPr>
        <w:t>N</w:t>
      </w:r>
      <w:r w:rsidRPr="00D261DF">
        <w:rPr>
          <w:color w:val="000000"/>
          <w:lang w:val="pt-BR"/>
        </w:rPr>
        <w:t>ghị định số 177/2013/NĐ-CP;</w:t>
      </w:r>
    </w:p>
    <w:p w:rsidR="00D261DF" w:rsidRPr="00D261DF" w:rsidRDefault="00D261DF" w:rsidP="003E31FA">
      <w:pPr>
        <w:tabs>
          <w:tab w:val="left" w:pos="709"/>
          <w:tab w:val="left" w:pos="1276"/>
        </w:tabs>
        <w:spacing w:before="60" w:after="60" w:line="276" w:lineRule="auto"/>
        <w:jc w:val="both"/>
        <w:rPr>
          <w:color w:val="000000"/>
          <w:lang w:val="pt-BR"/>
        </w:rPr>
      </w:pPr>
      <w:r>
        <w:rPr>
          <w:color w:val="000000"/>
          <w:lang w:val="pt-BR"/>
        </w:rPr>
        <w:tab/>
      </w:r>
      <w:r w:rsidRPr="00D261DF">
        <w:rPr>
          <w:color w:val="000000"/>
          <w:lang w:val="pt-BR"/>
        </w:rPr>
        <w:t>- Nghị định số 05/2021/NĐ-CP ngày 25/01/2021 của Chính phủ về quản lý, khai thác cảng hàng không, sân bay;</w:t>
      </w:r>
    </w:p>
    <w:p w:rsidR="00D261DF" w:rsidRPr="00D261DF" w:rsidRDefault="00D261DF" w:rsidP="003E31FA">
      <w:pPr>
        <w:tabs>
          <w:tab w:val="left" w:pos="709"/>
          <w:tab w:val="left" w:pos="1276"/>
        </w:tabs>
        <w:spacing w:before="60" w:after="60" w:line="276" w:lineRule="auto"/>
        <w:jc w:val="both"/>
        <w:rPr>
          <w:color w:val="000000"/>
          <w:lang w:val="pt-BR"/>
        </w:rPr>
      </w:pPr>
      <w:r>
        <w:rPr>
          <w:color w:val="000000"/>
          <w:lang w:val="pt-BR"/>
        </w:rPr>
        <w:tab/>
      </w:r>
      <w:r w:rsidRPr="00D261DF">
        <w:rPr>
          <w:color w:val="000000"/>
          <w:lang w:val="pt-BR"/>
        </w:rPr>
        <w:t>- Nghị định số 12/2017/NĐ-CP ngày 10 tháng 02 năm 2017 của Chính phủ quy định chức năng, nhiệm vụ, quyền hạn và cơ cấu tổ chức của Bộ Giao thông vận tải.</w:t>
      </w:r>
    </w:p>
    <w:p w:rsidR="00D261DF" w:rsidRPr="00D261DF" w:rsidRDefault="00D261DF" w:rsidP="003E31FA">
      <w:pPr>
        <w:tabs>
          <w:tab w:val="left" w:pos="709"/>
          <w:tab w:val="left" w:pos="1276"/>
        </w:tabs>
        <w:spacing w:before="60" w:after="60" w:line="276" w:lineRule="auto"/>
        <w:jc w:val="both"/>
        <w:rPr>
          <w:color w:val="000000"/>
          <w:lang w:val="pt-BR"/>
        </w:rPr>
      </w:pPr>
      <w:r>
        <w:rPr>
          <w:color w:val="000000"/>
          <w:lang w:val="pt-BR"/>
        </w:rPr>
        <w:tab/>
      </w:r>
      <w:r w:rsidRPr="00D261DF">
        <w:rPr>
          <w:color w:val="000000"/>
          <w:lang w:val="pt-BR"/>
        </w:rPr>
        <w:t>2. Sự cần thiết ban hành</w:t>
      </w:r>
    </w:p>
    <w:p w:rsidR="00D261DF" w:rsidRPr="00D261DF" w:rsidRDefault="00D261DF" w:rsidP="003E31FA">
      <w:pPr>
        <w:tabs>
          <w:tab w:val="left" w:pos="709"/>
          <w:tab w:val="left" w:pos="1276"/>
        </w:tabs>
        <w:spacing w:before="60" w:after="60" w:line="276" w:lineRule="auto"/>
        <w:jc w:val="both"/>
        <w:rPr>
          <w:color w:val="000000"/>
          <w:lang w:val="pt-BR"/>
        </w:rPr>
      </w:pPr>
      <w:r w:rsidRPr="00D261DF">
        <w:rPr>
          <w:color w:val="000000"/>
          <w:lang w:val="pt-BR"/>
        </w:rPr>
        <w:tab/>
        <w:t>Khoản 4, Điều 58, Nghị định số 05/2021/NĐ-CP ngày 25/01/2021 của Chính phủ về quản lý, khai thác cảng hàng không, sân bay quy định:</w:t>
      </w:r>
    </w:p>
    <w:p w:rsidR="00D261DF" w:rsidRPr="00D261DF" w:rsidRDefault="00D261DF" w:rsidP="003E31FA">
      <w:pPr>
        <w:tabs>
          <w:tab w:val="left" w:pos="709"/>
          <w:tab w:val="left" w:pos="1276"/>
        </w:tabs>
        <w:spacing w:before="60" w:after="60" w:line="276" w:lineRule="auto"/>
        <w:jc w:val="both"/>
        <w:rPr>
          <w:color w:val="000000"/>
          <w:lang w:val="pt-BR"/>
        </w:rPr>
      </w:pPr>
      <w:r>
        <w:rPr>
          <w:color w:val="000000"/>
          <w:lang w:val="pt-BR"/>
        </w:rPr>
        <w:tab/>
      </w:r>
      <w:r w:rsidRPr="00D261DF">
        <w:rPr>
          <w:color w:val="000000"/>
          <w:lang w:val="pt-BR"/>
        </w:rPr>
        <w:t>“</w:t>
      </w:r>
      <w:r w:rsidRPr="00D261DF">
        <w:rPr>
          <w:i/>
          <w:color w:val="000000"/>
          <w:lang w:val="pt-BR"/>
        </w:rPr>
        <w:t>4. Doanh nghiệp cung cấp dịch vụ hàng không tại cảng hàng không, sân bay nộp giá nhượng quyền cho doanh nghiệp cảng hàng không theo quy định của Bộ Giao thông vận tải, trừ dịch vụ bảo đảm hoạt động bay hoặc dịch vụ vận chuyển hàng không</w:t>
      </w:r>
      <w:r w:rsidRPr="00D261DF">
        <w:rPr>
          <w:color w:val="000000"/>
          <w:lang w:val="pt-BR"/>
        </w:rPr>
        <w:t>.”</w:t>
      </w:r>
    </w:p>
    <w:p w:rsidR="00D261DF" w:rsidRPr="00D261DF" w:rsidRDefault="00D261DF" w:rsidP="003E31FA">
      <w:pPr>
        <w:tabs>
          <w:tab w:val="left" w:pos="709"/>
          <w:tab w:val="left" w:pos="1276"/>
        </w:tabs>
        <w:spacing w:before="60" w:after="60" w:line="276" w:lineRule="auto"/>
        <w:jc w:val="both"/>
        <w:rPr>
          <w:color w:val="000000"/>
          <w:lang w:val="pt-BR"/>
        </w:rPr>
      </w:pPr>
      <w:r>
        <w:rPr>
          <w:color w:val="000000"/>
          <w:lang w:val="pt-BR"/>
        </w:rPr>
        <w:tab/>
      </w:r>
      <w:r w:rsidRPr="00D261DF">
        <w:rPr>
          <w:color w:val="000000"/>
          <w:lang w:val="pt-BR"/>
        </w:rPr>
        <w:t xml:space="preserve">Ngày 14/3/2017, Bộ Giao thông vận tải ban hành Thông tư số 07/2017/TT-BGTVT sửa đổi, bổ sung một số điều của Thông tư số 36/2015/TT-BGTVT, theo đó, nhượng quyền khai thác dịch vụ hàng không, bao gồm các dịch vụ nhượng quyền: nhà ga hành khách; nhà ga, kho hàng hóa; phục vụ kỹ thuật thương mại mặt đất; sửa chữa, bảo dưỡng phương tiện, trang thiết bị hàng không; kỹ thuật hàng không; cung cấp suất ăn hàng không; cung cấp xăng dầu </w:t>
      </w:r>
      <w:r w:rsidRPr="00D261DF">
        <w:rPr>
          <w:color w:val="000000"/>
          <w:lang w:val="pt-BR"/>
        </w:rPr>
        <w:lastRenderedPageBreak/>
        <w:t>hàng không được bổ sung vào danh mục dịch vụ do Bộ Giao thông vận tải quy định khung giá.</w:t>
      </w:r>
    </w:p>
    <w:p w:rsidR="00D261DF" w:rsidRPr="00D261DF" w:rsidRDefault="00D261DF" w:rsidP="003E31FA">
      <w:pPr>
        <w:tabs>
          <w:tab w:val="left" w:pos="709"/>
          <w:tab w:val="left" w:pos="1276"/>
        </w:tabs>
        <w:spacing w:before="60" w:after="60" w:line="276" w:lineRule="auto"/>
        <w:jc w:val="both"/>
        <w:rPr>
          <w:color w:val="000000"/>
          <w:lang w:val="pt-BR"/>
        </w:rPr>
      </w:pPr>
      <w:r>
        <w:rPr>
          <w:color w:val="000000"/>
          <w:lang w:val="pt-BR"/>
        </w:rPr>
        <w:tab/>
      </w:r>
      <w:r w:rsidRPr="00D261DF">
        <w:rPr>
          <w:color w:val="000000"/>
          <w:lang w:val="pt-BR"/>
        </w:rPr>
        <w:t>Trong khoảng thời gian từ năm 2017 cho đến nay, ACV đang chủ động đàm phán với các đơn vị cung cấp dịch vụ hàng không về việc thu giá nhượng quyền theo chỉ đạo tại văn bản số 585/BGTVT-VT ngày 17/01/2017.</w:t>
      </w:r>
    </w:p>
    <w:p w:rsidR="00507438" w:rsidRPr="00D261DF" w:rsidRDefault="00D261DF" w:rsidP="003E31FA">
      <w:pPr>
        <w:tabs>
          <w:tab w:val="left" w:pos="709"/>
          <w:tab w:val="left" w:pos="1276"/>
        </w:tabs>
        <w:spacing w:before="60" w:after="60" w:line="276" w:lineRule="auto"/>
        <w:jc w:val="both"/>
        <w:rPr>
          <w:color w:val="000000"/>
          <w:lang w:val="pt-BR"/>
        </w:rPr>
      </w:pPr>
      <w:r w:rsidRPr="00D261DF">
        <w:rPr>
          <w:color w:val="000000"/>
          <w:lang w:val="pt-BR"/>
        </w:rPr>
        <w:tab/>
      </w:r>
      <w:r>
        <w:rPr>
          <w:color w:val="000000"/>
          <w:lang w:val="pt-BR"/>
        </w:rPr>
        <w:t xml:space="preserve">Do đó, </w:t>
      </w:r>
      <w:r w:rsidRPr="00D261DF">
        <w:rPr>
          <w:color w:val="000000"/>
          <w:lang w:val="pt-BR"/>
        </w:rPr>
        <w:t>việc ban hành Thông tư của Bộ Giao thông vận tải quy định khung giá nhượng quyền khai thác dịch vụ hàng không là cần thiết nhằm hoàn thiện hệ thống văn bản quy phạm pháp luật về giá trong lĩnh vực hàng không, tạo hành lang pháp lý cho các do</w:t>
      </w:r>
      <w:r>
        <w:rPr>
          <w:color w:val="000000"/>
          <w:lang w:val="pt-BR"/>
        </w:rPr>
        <w:t>anh nghiệp triển khai thực hiện.</w:t>
      </w:r>
    </w:p>
    <w:p w:rsidR="008126B4" w:rsidRPr="00D261DF" w:rsidRDefault="00AE1237" w:rsidP="003E31FA">
      <w:pPr>
        <w:pStyle w:val="ListParagraph"/>
        <w:numPr>
          <w:ilvl w:val="0"/>
          <w:numId w:val="29"/>
        </w:numPr>
        <w:tabs>
          <w:tab w:val="left" w:pos="709"/>
          <w:tab w:val="left" w:pos="993"/>
        </w:tabs>
        <w:spacing w:before="60" w:after="60" w:line="276" w:lineRule="auto"/>
        <w:jc w:val="both"/>
        <w:rPr>
          <w:b/>
        </w:rPr>
      </w:pPr>
      <w:r>
        <w:rPr>
          <w:b/>
        </w:rPr>
        <w:t xml:space="preserve"> </w:t>
      </w:r>
      <w:r w:rsidR="008126B4" w:rsidRPr="00D261DF">
        <w:rPr>
          <w:b/>
        </w:rPr>
        <w:t>Phương án đề xuất của tổ chức, cá nhân cung ứng</w:t>
      </w:r>
    </w:p>
    <w:p w:rsidR="00AE1237" w:rsidRDefault="00D261DF" w:rsidP="003E31FA">
      <w:pPr>
        <w:tabs>
          <w:tab w:val="left" w:pos="709"/>
        </w:tabs>
        <w:spacing w:before="60" w:after="60" w:line="276" w:lineRule="auto"/>
        <w:jc w:val="both"/>
        <w:rPr>
          <w:bCs/>
        </w:rPr>
      </w:pPr>
      <w:r>
        <w:rPr>
          <w:bCs/>
        </w:rPr>
        <w:tab/>
      </w:r>
      <w:r w:rsidR="00AE1237">
        <w:rPr>
          <w:bCs/>
        </w:rPr>
        <w:t xml:space="preserve">Tổng công ty Cảng hàng không Việt Nam đã có Công văn số 2606/TCTCHKVN-TCKT ngày 20/8/2021 báo cáo về Phương </w:t>
      </w:r>
      <w:proofErr w:type="gramStart"/>
      <w:r w:rsidR="00AE1237">
        <w:rPr>
          <w:bCs/>
        </w:rPr>
        <w:t>án</w:t>
      </w:r>
      <w:proofErr w:type="gramEnd"/>
      <w:r w:rsidR="00AE1237">
        <w:rPr>
          <w:bCs/>
        </w:rPr>
        <w:t xml:space="preserve"> khung giá nhượng quyền khai thác dịch vụ hàng không, cụ thể như sau:</w:t>
      </w:r>
    </w:p>
    <w:p w:rsidR="00D261DF" w:rsidRPr="00AE1237" w:rsidRDefault="00AE1237" w:rsidP="003E31FA">
      <w:pPr>
        <w:pStyle w:val="ListParagraph"/>
        <w:numPr>
          <w:ilvl w:val="0"/>
          <w:numId w:val="30"/>
        </w:numPr>
        <w:tabs>
          <w:tab w:val="left" w:pos="567"/>
          <w:tab w:val="left" w:pos="851"/>
        </w:tabs>
        <w:spacing w:before="60" w:after="60" w:line="276" w:lineRule="auto"/>
        <w:ind w:left="0" w:firstLine="570"/>
        <w:jc w:val="both"/>
        <w:rPr>
          <w:bCs/>
        </w:rPr>
      </w:pPr>
      <w:r w:rsidRPr="00AE1237">
        <w:rPr>
          <w:b/>
          <w:bCs/>
        </w:rPr>
        <w:t>Phương pháp định giá</w:t>
      </w:r>
      <w:r>
        <w:rPr>
          <w:bCs/>
        </w:rPr>
        <w:t xml:space="preserve">: </w:t>
      </w:r>
      <w:r w:rsidR="00D261DF" w:rsidRPr="00AE1237">
        <w:rPr>
          <w:bCs/>
        </w:rPr>
        <w:t xml:space="preserve">ACV đã thực hiện xây dựng phương </w:t>
      </w:r>
      <w:proofErr w:type="gramStart"/>
      <w:r w:rsidR="00D261DF" w:rsidRPr="00AE1237">
        <w:rPr>
          <w:bCs/>
        </w:rPr>
        <w:t>án</w:t>
      </w:r>
      <w:proofErr w:type="gramEnd"/>
      <w:r w:rsidR="00D261DF" w:rsidRPr="00AE1237">
        <w:rPr>
          <w:bCs/>
        </w:rPr>
        <w:t xml:space="preserve"> giá NQKT dịch vụ hàng không</w:t>
      </w:r>
      <w:r>
        <w:rPr>
          <w:bCs/>
        </w:rPr>
        <w:t xml:space="preserve"> trên cơ sở sử dụng </w:t>
      </w:r>
      <w:r w:rsidR="00D261DF" w:rsidRPr="00AE1237">
        <w:rPr>
          <w:bCs/>
        </w:rPr>
        <w:t>phương pháp so sánh</w:t>
      </w:r>
      <w:r>
        <w:rPr>
          <w:bCs/>
        </w:rPr>
        <w:t xml:space="preserve"> là phương pháp gốc nhằm đảm bảo tiếp cận với thị trường, song song với việc kết hợp </w:t>
      </w:r>
      <w:r w:rsidR="00D261DF" w:rsidRPr="00AE1237">
        <w:rPr>
          <w:bCs/>
        </w:rPr>
        <w:t xml:space="preserve">với phương pháp </w:t>
      </w:r>
      <w:r>
        <w:rPr>
          <w:bCs/>
        </w:rPr>
        <w:t>chi phí (</w:t>
      </w:r>
      <w:r w:rsidR="00D261DF" w:rsidRPr="00AE1237">
        <w:rPr>
          <w:bCs/>
        </w:rPr>
        <w:t>thống kê chi phí</w:t>
      </w:r>
      <w:r>
        <w:rPr>
          <w:bCs/>
        </w:rPr>
        <w:t>) đề đánh giá</w:t>
      </w:r>
      <w:r w:rsidR="00D261DF" w:rsidRPr="00AE1237">
        <w:rPr>
          <w:bCs/>
        </w:rPr>
        <w:t>.</w:t>
      </w:r>
      <w:r>
        <w:rPr>
          <w:bCs/>
        </w:rPr>
        <w:t xml:space="preserve"> Đồng thời, thống kê so sánh với mức giá của các nước trong khu vực và trên thế giới </w:t>
      </w:r>
      <w:proofErr w:type="gramStart"/>
      <w:r>
        <w:rPr>
          <w:bCs/>
        </w:rPr>
        <w:t>theo</w:t>
      </w:r>
      <w:proofErr w:type="gramEnd"/>
      <w:r>
        <w:rPr>
          <w:bCs/>
        </w:rPr>
        <w:t xml:space="preserve"> hướng dẫn của Thông tư số 25/2014/TT-BTC. </w:t>
      </w:r>
    </w:p>
    <w:p w:rsidR="00AE1237" w:rsidRPr="00AE1237" w:rsidRDefault="00AE1237" w:rsidP="003E31FA">
      <w:pPr>
        <w:pStyle w:val="ListParagraph"/>
        <w:numPr>
          <w:ilvl w:val="0"/>
          <w:numId w:val="30"/>
        </w:numPr>
        <w:tabs>
          <w:tab w:val="left" w:pos="567"/>
        </w:tabs>
        <w:spacing w:before="60" w:after="60" w:line="276" w:lineRule="auto"/>
        <w:jc w:val="both"/>
        <w:rPr>
          <w:b/>
          <w:bCs/>
        </w:rPr>
      </w:pPr>
      <w:r w:rsidRPr="00AE1237">
        <w:rPr>
          <w:b/>
          <w:bCs/>
        </w:rPr>
        <w:t xml:space="preserve">Khung giá: </w:t>
      </w:r>
    </w:p>
    <w:p w:rsidR="00D261DF" w:rsidRPr="00AE1237" w:rsidRDefault="00AE1237" w:rsidP="003E31FA">
      <w:pPr>
        <w:tabs>
          <w:tab w:val="left" w:pos="567"/>
        </w:tabs>
        <w:spacing w:before="60" w:after="60" w:line="276" w:lineRule="auto"/>
        <w:jc w:val="both"/>
        <w:rPr>
          <w:bCs/>
        </w:rPr>
      </w:pPr>
      <w:r>
        <w:rPr>
          <w:bCs/>
        </w:rPr>
        <w:tab/>
      </w:r>
      <w:r w:rsidR="00D261DF" w:rsidRPr="00AE1237">
        <w:rPr>
          <w:bCs/>
        </w:rPr>
        <w:t>ACV đề xuất khung giá NQKT dịch vụ hàng không như sau:</w:t>
      </w:r>
    </w:p>
    <w:tbl>
      <w:tblPr>
        <w:tblW w:w="9072" w:type="dxa"/>
        <w:tblInd w:w="28" w:type="dxa"/>
        <w:tblBorders>
          <w:top w:val="nil"/>
          <w:bottom w:val="nil"/>
          <w:insideH w:val="nil"/>
          <w:insideV w:val="nil"/>
        </w:tblBorders>
        <w:tblCellMar>
          <w:left w:w="0" w:type="dxa"/>
          <w:right w:w="0" w:type="dxa"/>
        </w:tblCellMar>
        <w:tblLook w:val="04A0" w:firstRow="1" w:lastRow="0" w:firstColumn="1" w:lastColumn="0" w:noHBand="0" w:noVBand="1"/>
      </w:tblPr>
      <w:tblGrid>
        <w:gridCol w:w="709"/>
        <w:gridCol w:w="5245"/>
        <w:gridCol w:w="1559"/>
        <w:gridCol w:w="1559"/>
      </w:tblGrid>
      <w:tr w:rsidR="00D261DF" w:rsidRPr="00FC6267" w:rsidTr="00F34D0E">
        <w:trPr>
          <w:trHeight w:val="370"/>
        </w:trPr>
        <w:tc>
          <w:tcPr>
            <w:tcW w:w="709" w:type="dxa"/>
            <w:vMerge w:val="restart"/>
            <w:tcBorders>
              <w:top w:val="single" w:sz="8" w:space="0" w:color="000000"/>
              <w:left w:val="single" w:sz="8" w:space="0" w:color="000000"/>
              <w:right w:val="single" w:sz="8" w:space="0" w:color="000000"/>
              <w:tl2br w:val="nil"/>
              <w:tr2bl w:val="nil"/>
            </w:tcBorders>
            <w:shd w:val="clear" w:color="auto" w:fill="auto"/>
            <w:tcMar>
              <w:top w:w="0" w:type="dxa"/>
              <w:left w:w="28" w:type="dxa"/>
              <w:bottom w:w="0" w:type="dxa"/>
              <w:right w:w="28" w:type="dxa"/>
            </w:tcMar>
            <w:vAlign w:val="center"/>
          </w:tcPr>
          <w:p w:rsidR="00D261DF" w:rsidRPr="00FC6267" w:rsidRDefault="00D261DF" w:rsidP="00F34D0E">
            <w:pPr>
              <w:spacing w:line="276" w:lineRule="auto"/>
              <w:jc w:val="center"/>
              <w:rPr>
                <w:sz w:val="26"/>
                <w:szCs w:val="26"/>
              </w:rPr>
            </w:pPr>
            <w:r w:rsidRPr="00FC6267">
              <w:rPr>
                <w:b/>
                <w:bCs/>
                <w:sz w:val="26"/>
                <w:szCs w:val="26"/>
              </w:rPr>
              <w:t>STT</w:t>
            </w:r>
          </w:p>
        </w:tc>
        <w:tc>
          <w:tcPr>
            <w:tcW w:w="5245" w:type="dxa"/>
            <w:vMerge w:val="restart"/>
            <w:tcBorders>
              <w:top w:val="single" w:sz="8" w:space="0" w:color="000000"/>
              <w:left w:val="none" w:sz="0" w:space="0" w:color="000000"/>
              <w:right w:val="single" w:sz="8" w:space="0" w:color="000000"/>
              <w:tl2br w:val="nil"/>
              <w:tr2bl w:val="nil"/>
            </w:tcBorders>
            <w:shd w:val="clear" w:color="auto" w:fill="auto"/>
            <w:tcMar>
              <w:top w:w="0" w:type="dxa"/>
              <w:left w:w="28" w:type="dxa"/>
              <w:bottom w:w="0" w:type="dxa"/>
              <w:right w:w="28" w:type="dxa"/>
            </w:tcMar>
            <w:vAlign w:val="center"/>
          </w:tcPr>
          <w:p w:rsidR="00D261DF" w:rsidRPr="00FC6267" w:rsidRDefault="00D261DF" w:rsidP="00F34D0E">
            <w:pPr>
              <w:spacing w:line="276" w:lineRule="auto"/>
              <w:jc w:val="center"/>
              <w:rPr>
                <w:sz w:val="26"/>
                <w:szCs w:val="26"/>
              </w:rPr>
            </w:pPr>
            <w:r w:rsidRPr="00FC6267">
              <w:rPr>
                <w:b/>
                <w:bCs/>
                <w:sz w:val="26"/>
                <w:szCs w:val="26"/>
              </w:rPr>
              <w:t>Danh mục</w:t>
            </w:r>
          </w:p>
        </w:tc>
        <w:tc>
          <w:tcPr>
            <w:tcW w:w="3118" w:type="dxa"/>
            <w:gridSpan w:val="2"/>
            <w:tcBorders>
              <w:top w:val="single" w:sz="8" w:space="0" w:color="000000"/>
              <w:left w:val="none" w:sz="0"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D261DF" w:rsidRPr="00FC6267" w:rsidRDefault="00D261DF" w:rsidP="00F34D0E">
            <w:pPr>
              <w:spacing w:line="276" w:lineRule="auto"/>
              <w:jc w:val="center"/>
              <w:rPr>
                <w:b/>
                <w:bCs/>
                <w:sz w:val="26"/>
                <w:szCs w:val="26"/>
              </w:rPr>
            </w:pPr>
            <w:r w:rsidRPr="00FC6267">
              <w:rPr>
                <w:b/>
                <w:bCs/>
                <w:sz w:val="26"/>
                <w:szCs w:val="26"/>
              </w:rPr>
              <w:t>Khung giá</w:t>
            </w:r>
          </w:p>
        </w:tc>
      </w:tr>
      <w:tr w:rsidR="00D261DF" w:rsidRPr="00FC6267" w:rsidTr="00F34D0E">
        <w:trPr>
          <w:trHeight w:val="403"/>
        </w:trPr>
        <w:tc>
          <w:tcPr>
            <w:tcW w:w="709" w:type="dxa"/>
            <w:vMerge/>
            <w:tcBorders>
              <w:left w:val="single" w:sz="8"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D261DF" w:rsidRPr="00FC6267" w:rsidRDefault="00D261DF" w:rsidP="00F34D0E">
            <w:pPr>
              <w:spacing w:line="276" w:lineRule="auto"/>
              <w:jc w:val="center"/>
              <w:rPr>
                <w:b/>
                <w:bCs/>
                <w:sz w:val="26"/>
                <w:szCs w:val="26"/>
              </w:rPr>
            </w:pPr>
          </w:p>
        </w:tc>
        <w:tc>
          <w:tcPr>
            <w:tcW w:w="5245" w:type="dxa"/>
            <w:vMerge/>
            <w:tcBorders>
              <w:left w:val="none" w:sz="0"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D261DF" w:rsidRPr="00FC6267" w:rsidRDefault="00D261DF" w:rsidP="00F34D0E">
            <w:pPr>
              <w:spacing w:line="276" w:lineRule="auto"/>
              <w:jc w:val="center"/>
              <w:rPr>
                <w:b/>
                <w:bCs/>
                <w:sz w:val="26"/>
                <w:szCs w:val="26"/>
              </w:rPr>
            </w:pPr>
          </w:p>
        </w:tc>
        <w:tc>
          <w:tcPr>
            <w:tcW w:w="1559" w:type="dxa"/>
            <w:tcBorders>
              <w:top w:val="single" w:sz="8" w:space="0" w:color="000000"/>
              <w:left w:val="none" w:sz="0"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D261DF" w:rsidRPr="00FC6267" w:rsidRDefault="00D261DF" w:rsidP="00F34D0E">
            <w:pPr>
              <w:spacing w:line="276" w:lineRule="auto"/>
              <w:jc w:val="center"/>
              <w:rPr>
                <w:b/>
                <w:bCs/>
                <w:sz w:val="26"/>
                <w:szCs w:val="26"/>
              </w:rPr>
            </w:pPr>
            <w:r w:rsidRPr="00FC6267">
              <w:rPr>
                <w:b/>
                <w:bCs/>
                <w:sz w:val="26"/>
                <w:szCs w:val="26"/>
              </w:rPr>
              <w:t>Tối thiểu</w:t>
            </w:r>
          </w:p>
        </w:tc>
        <w:tc>
          <w:tcPr>
            <w:tcW w:w="1559" w:type="dxa"/>
            <w:tcBorders>
              <w:top w:val="single" w:sz="8" w:space="0" w:color="000000"/>
              <w:left w:val="none" w:sz="0" w:space="0" w:color="000000"/>
              <w:bottom w:val="single" w:sz="4" w:space="0" w:color="auto"/>
              <w:right w:val="single" w:sz="8" w:space="0" w:color="000000"/>
              <w:tl2br w:val="nil"/>
              <w:tr2bl w:val="nil"/>
            </w:tcBorders>
            <w:vAlign w:val="center"/>
          </w:tcPr>
          <w:p w:rsidR="00D261DF" w:rsidRPr="00FC6267" w:rsidRDefault="00D261DF" w:rsidP="00F34D0E">
            <w:pPr>
              <w:spacing w:line="276" w:lineRule="auto"/>
              <w:jc w:val="center"/>
              <w:rPr>
                <w:b/>
                <w:bCs/>
                <w:sz w:val="26"/>
                <w:szCs w:val="26"/>
              </w:rPr>
            </w:pPr>
            <w:r w:rsidRPr="00FC6267">
              <w:rPr>
                <w:b/>
                <w:bCs/>
                <w:sz w:val="26"/>
                <w:szCs w:val="26"/>
              </w:rPr>
              <w:t>Tối đa</w:t>
            </w:r>
          </w:p>
        </w:tc>
      </w:tr>
      <w:tr w:rsidR="00D261DF" w:rsidRPr="00FC6267" w:rsidTr="00F34D0E">
        <w:trPr>
          <w:trHeight w:val="403"/>
        </w:trPr>
        <w:tc>
          <w:tcPr>
            <w:tcW w:w="709" w:type="dxa"/>
            <w:tcBorders>
              <w:left w:val="single" w:sz="8"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D261DF" w:rsidRPr="00FC6267" w:rsidRDefault="00D261DF" w:rsidP="00F34D0E">
            <w:pPr>
              <w:spacing w:line="276" w:lineRule="auto"/>
              <w:jc w:val="center"/>
              <w:rPr>
                <w:bCs/>
                <w:sz w:val="26"/>
                <w:szCs w:val="26"/>
              </w:rPr>
            </w:pPr>
            <w:r w:rsidRPr="00FC6267">
              <w:rPr>
                <w:bCs/>
                <w:sz w:val="26"/>
                <w:szCs w:val="26"/>
              </w:rPr>
              <w:t>1</w:t>
            </w:r>
          </w:p>
        </w:tc>
        <w:tc>
          <w:tcPr>
            <w:tcW w:w="5245" w:type="dxa"/>
            <w:tcBorders>
              <w:left w:val="none" w:sz="0"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D261DF" w:rsidRPr="00FC6267" w:rsidRDefault="00D261DF" w:rsidP="00F34D0E">
            <w:pPr>
              <w:spacing w:line="276" w:lineRule="auto"/>
              <w:jc w:val="both"/>
              <w:rPr>
                <w:bCs/>
                <w:sz w:val="26"/>
                <w:szCs w:val="26"/>
              </w:rPr>
            </w:pPr>
            <w:r w:rsidRPr="00FC6267">
              <w:rPr>
                <w:bCs/>
                <w:sz w:val="26"/>
                <w:szCs w:val="26"/>
              </w:rPr>
              <w:t>Nhượng quyền khai thác nhà ga hành khách quốc tế</w:t>
            </w:r>
          </w:p>
        </w:tc>
        <w:tc>
          <w:tcPr>
            <w:tcW w:w="1559" w:type="dxa"/>
            <w:tcBorders>
              <w:top w:val="single" w:sz="8" w:space="0" w:color="000000"/>
              <w:left w:val="none" w:sz="0"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D261DF" w:rsidRPr="00FC6267" w:rsidRDefault="00D261DF" w:rsidP="00F34D0E">
            <w:pPr>
              <w:spacing w:line="276" w:lineRule="auto"/>
              <w:jc w:val="center"/>
              <w:rPr>
                <w:bCs/>
                <w:sz w:val="26"/>
                <w:szCs w:val="26"/>
              </w:rPr>
            </w:pPr>
            <w:r w:rsidRPr="00FC6267">
              <w:rPr>
                <w:bCs/>
                <w:sz w:val="26"/>
                <w:szCs w:val="26"/>
              </w:rPr>
              <w:t>15%</w:t>
            </w:r>
          </w:p>
        </w:tc>
        <w:tc>
          <w:tcPr>
            <w:tcW w:w="1559" w:type="dxa"/>
            <w:tcBorders>
              <w:top w:val="single" w:sz="8" w:space="0" w:color="000000"/>
              <w:left w:val="none" w:sz="0" w:space="0" w:color="000000"/>
              <w:bottom w:val="single" w:sz="4" w:space="0" w:color="auto"/>
              <w:right w:val="single" w:sz="8" w:space="0" w:color="000000"/>
              <w:tl2br w:val="nil"/>
              <w:tr2bl w:val="nil"/>
            </w:tcBorders>
            <w:vAlign w:val="center"/>
          </w:tcPr>
          <w:p w:rsidR="00D261DF" w:rsidRPr="00FC6267" w:rsidRDefault="00D261DF" w:rsidP="00F34D0E">
            <w:pPr>
              <w:spacing w:line="276" w:lineRule="auto"/>
              <w:jc w:val="center"/>
              <w:rPr>
                <w:bCs/>
                <w:sz w:val="26"/>
                <w:szCs w:val="26"/>
              </w:rPr>
            </w:pPr>
            <w:r w:rsidRPr="00FC6267">
              <w:rPr>
                <w:bCs/>
                <w:sz w:val="26"/>
                <w:szCs w:val="26"/>
              </w:rPr>
              <w:t>24%</w:t>
            </w:r>
          </w:p>
        </w:tc>
      </w:tr>
      <w:tr w:rsidR="00D261DF" w:rsidRPr="00FC6267" w:rsidTr="00F34D0E">
        <w:tblPrEx>
          <w:tblBorders>
            <w:top w:val="none" w:sz="0" w:space="0" w:color="auto"/>
            <w:bottom w:val="none" w:sz="0" w:space="0" w:color="auto"/>
            <w:insideH w:val="none" w:sz="0" w:space="0" w:color="auto"/>
            <w:insideV w:val="none" w:sz="0" w:space="0" w:color="auto"/>
          </w:tblBorders>
        </w:tblPrEx>
        <w:tc>
          <w:tcPr>
            <w:tcW w:w="709" w:type="dxa"/>
            <w:tcBorders>
              <w:top w:val="single" w:sz="4" w:space="0" w:color="auto"/>
              <w:left w:val="single" w:sz="8" w:space="0" w:color="000000"/>
              <w:bottom w:val="single" w:sz="8" w:space="0" w:color="000000"/>
              <w:right w:val="single" w:sz="8" w:space="0" w:color="000000"/>
              <w:tl2br w:val="nil"/>
              <w:tr2bl w:val="nil"/>
            </w:tcBorders>
            <w:shd w:val="clear" w:color="auto" w:fill="auto"/>
            <w:tcMar>
              <w:top w:w="0" w:type="dxa"/>
              <w:left w:w="28" w:type="dxa"/>
              <w:bottom w:w="0" w:type="dxa"/>
              <w:right w:w="28" w:type="dxa"/>
            </w:tcMar>
            <w:vAlign w:val="center"/>
          </w:tcPr>
          <w:p w:rsidR="00D261DF" w:rsidRPr="00FC6267" w:rsidRDefault="00D261DF" w:rsidP="00F34D0E">
            <w:pPr>
              <w:spacing w:line="276" w:lineRule="auto"/>
              <w:jc w:val="center"/>
              <w:rPr>
                <w:sz w:val="26"/>
                <w:szCs w:val="26"/>
              </w:rPr>
            </w:pPr>
            <w:r w:rsidRPr="00FC6267">
              <w:rPr>
                <w:sz w:val="26"/>
                <w:szCs w:val="26"/>
              </w:rPr>
              <w:t>2</w:t>
            </w:r>
          </w:p>
        </w:tc>
        <w:tc>
          <w:tcPr>
            <w:tcW w:w="5245" w:type="dxa"/>
            <w:tcBorders>
              <w:top w:val="single" w:sz="4" w:space="0" w:color="auto"/>
              <w:left w:val="nil"/>
              <w:bottom w:val="single" w:sz="8" w:space="0" w:color="000000"/>
              <w:right w:val="single" w:sz="4" w:space="0" w:color="auto"/>
              <w:tl2br w:val="nil"/>
              <w:tr2bl w:val="nil"/>
            </w:tcBorders>
            <w:shd w:val="clear" w:color="auto" w:fill="auto"/>
            <w:tcMar>
              <w:top w:w="0" w:type="dxa"/>
              <w:left w:w="28" w:type="dxa"/>
              <w:bottom w:w="0" w:type="dxa"/>
              <w:right w:w="28" w:type="dxa"/>
            </w:tcMar>
            <w:vAlign w:val="center"/>
          </w:tcPr>
          <w:p w:rsidR="00D261DF" w:rsidRPr="00FC6267" w:rsidRDefault="00D261DF" w:rsidP="00F34D0E">
            <w:pPr>
              <w:spacing w:line="276" w:lineRule="auto"/>
              <w:ind w:left="65"/>
              <w:jc w:val="both"/>
              <w:rPr>
                <w:sz w:val="26"/>
                <w:szCs w:val="26"/>
              </w:rPr>
            </w:pPr>
            <w:r w:rsidRPr="00FC6267">
              <w:rPr>
                <w:sz w:val="26"/>
                <w:szCs w:val="26"/>
              </w:rPr>
              <w:t xml:space="preserve">Nhượng quyền khai thác nhà ga, kho hàng hoá  </w:t>
            </w:r>
          </w:p>
        </w:tc>
        <w:tc>
          <w:tcPr>
            <w:tcW w:w="1559" w:type="dxa"/>
            <w:tcBorders>
              <w:top w:val="single" w:sz="4" w:space="0" w:color="auto"/>
              <w:left w:val="single" w:sz="4" w:space="0" w:color="auto"/>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D261DF" w:rsidRPr="00FC6267" w:rsidRDefault="00D261DF" w:rsidP="00F34D0E">
            <w:pPr>
              <w:spacing w:line="276" w:lineRule="auto"/>
              <w:jc w:val="center"/>
              <w:rPr>
                <w:sz w:val="26"/>
                <w:szCs w:val="26"/>
              </w:rPr>
            </w:pPr>
            <w:r w:rsidRPr="00FC6267">
              <w:rPr>
                <w:sz w:val="26"/>
                <w:szCs w:val="26"/>
              </w:rPr>
              <w:t>1,5%</w:t>
            </w:r>
          </w:p>
        </w:tc>
        <w:tc>
          <w:tcPr>
            <w:tcW w:w="1559" w:type="dxa"/>
            <w:tcBorders>
              <w:top w:val="single" w:sz="4" w:space="0" w:color="auto"/>
              <w:left w:val="nil"/>
              <w:bottom w:val="single" w:sz="4" w:space="0" w:color="auto"/>
              <w:right w:val="single" w:sz="4" w:space="0" w:color="auto"/>
              <w:tl2br w:val="nil"/>
              <w:tr2bl w:val="nil"/>
            </w:tcBorders>
            <w:vAlign w:val="center"/>
          </w:tcPr>
          <w:p w:rsidR="00D261DF" w:rsidRPr="00FC6267" w:rsidRDefault="00D261DF" w:rsidP="00F34D0E">
            <w:pPr>
              <w:spacing w:line="276" w:lineRule="auto"/>
              <w:jc w:val="center"/>
              <w:rPr>
                <w:bCs/>
                <w:sz w:val="26"/>
                <w:szCs w:val="26"/>
              </w:rPr>
            </w:pPr>
            <w:r w:rsidRPr="00FC6267">
              <w:rPr>
                <w:bCs/>
                <w:sz w:val="26"/>
                <w:szCs w:val="26"/>
              </w:rPr>
              <w:t>4,5%</w:t>
            </w:r>
          </w:p>
        </w:tc>
      </w:tr>
      <w:tr w:rsidR="00D261DF" w:rsidRPr="00FC6267" w:rsidTr="00F34D0E">
        <w:tblPrEx>
          <w:tblBorders>
            <w:top w:val="none" w:sz="0" w:space="0" w:color="auto"/>
            <w:bottom w:val="none" w:sz="0" w:space="0" w:color="auto"/>
            <w:insideH w:val="none" w:sz="0" w:space="0" w:color="auto"/>
            <w:insideV w:val="none" w:sz="0" w:space="0" w:color="auto"/>
          </w:tblBorders>
        </w:tblPrEx>
        <w:tc>
          <w:tcPr>
            <w:tcW w:w="709"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28" w:type="dxa"/>
              <w:bottom w:w="0" w:type="dxa"/>
              <w:right w:w="28" w:type="dxa"/>
            </w:tcMar>
            <w:vAlign w:val="center"/>
          </w:tcPr>
          <w:p w:rsidR="00D261DF" w:rsidRPr="00FC6267" w:rsidRDefault="00D261DF" w:rsidP="00F34D0E">
            <w:pPr>
              <w:spacing w:line="276" w:lineRule="auto"/>
              <w:jc w:val="center"/>
              <w:rPr>
                <w:sz w:val="26"/>
                <w:szCs w:val="26"/>
              </w:rPr>
            </w:pPr>
            <w:r w:rsidRPr="00FC6267">
              <w:rPr>
                <w:sz w:val="26"/>
                <w:szCs w:val="26"/>
              </w:rPr>
              <w:t>3</w:t>
            </w:r>
          </w:p>
        </w:tc>
        <w:tc>
          <w:tcPr>
            <w:tcW w:w="5245" w:type="dxa"/>
            <w:tcBorders>
              <w:top w:val="nil"/>
              <w:left w:val="nil"/>
              <w:bottom w:val="single" w:sz="8" w:space="0" w:color="000000"/>
              <w:right w:val="single" w:sz="8" w:space="0" w:color="000000"/>
              <w:tl2br w:val="nil"/>
              <w:tr2bl w:val="nil"/>
            </w:tcBorders>
            <w:shd w:val="clear" w:color="auto" w:fill="auto"/>
            <w:tcMar>
              <w:top w:w="0" w:type="dxa"/>
              <w:left w:w="28" w:type="dxa"/>
              <w:bottom w:w="0" w:type="dxa"/>
              <w:right w:w="28" w:type="dxa"/>
            </w:tcMar>
            <w:vAlign w:val="center"/>
          </w:tcPr>
          <w:p w:rsidR="00D261DF" w:rsidRPr="00FC6267" w:rsidRDefault="00D261DF" w:rsidP="00F34D0E">
            <w:pPr>
              <w:spacing w:line="276" w:lineRule="auto"/>
              <w:ind w:left="65"/>
              <w:jc w:val="both"/>
              <w:rPr>
                <w:sz w:val="26"/>
                <w:szCs w:val="26"/>
              </w:rPr>
            </w:pPr>
            <w:r w:rsidRPr="00FC6267">
              <w:rPr>
                <w:sz w:val="26"/>
                <w:szCs w:val="26"/>
              </w:rPr>
              <w:t>Nhượng quyền khai thác phục vụ kỹ thuật thương mại mặt đất</w:t>
            </w:r>
          </w:p>
        </w:tc>
        <w:tc>
          <w:tcPr>
            <w:tcW w:w="1559" w:type="dxa"/>
            <w:tcBorders>
              <w:top w:val="single" w:sz="4" w:space="0" w:color="auto"/>
              <w:left w:val="nil"/>
              <w:bottom w:val="single" w:sz="8" w:space="0" w:color="000000"/>
              <w:right w:val="single" w:sz="8" w:space="0" w:color="000000"/>
              <w:tl2br w:val="nil"/>
              <w:tr2bl w:val="nil"/>
            </w:tcBorders>
            <w:shd w:val="clear" w:color="auto" w:fill="auto"/>
            <w:tcMar>
              <w:top w:w="0" w:type="dxa"/>
              <w:left w:w="28" w:type="dxa"/>
              <w:bottom w:w="0" w:type="dxa"/>
              <w:right w:w="28" w:type="dxa"/>
            </w:tcMar>
            <w:vAlign w:val="center"/>
          </w:tcPr>
          <w:p w:rsidR="00D261DF" w:rsidRPr="00FC6267" w:rsidRDefault="00D261DF" w:rsidP="00F34D0E">
            <w:pPr>
              <w:spacing w:line="276" w:lineRule="auto"/>
              <w:jc w:val="center"/>
              <w:rPr>
                <w:sz w:val="26"/>
                <w:szCs w:val="26"/>
              </w:rPr>
            </w:pPr>
            <w:r w:rsidRPr="00FC6267">
              <w:rPr>
                <w:sz w:val="26"/>
                <w:szCs w:val="26"/>
              </w:rPr>
              <w:t>1,5%</w:t>
            </w:r>
          </w:p>
        </w:tc>
        <w:tc>
          <w:tcPr>
            <w:tcW w:w="1559" w:type="dxa"/>
            <w:tcBorders>
              <w:top w:val="single" w:sz="4" w:space="0" w:color="auto"/>
              <w:left w:val="nil"/>
              <w:bottom w:val="single" w:sz="8" w:space="0" w:color="000000"/>
              <w:right w:val="single" w:sz="8" w:space="0" w:color="000000"/>
              <w:tl2br w:val="nil"/>
              <w:tr2bl w:val="nil"/>
            </w:tcBorders>
            <w:vAlign w:val="center"/>
          </w:tcPr>
          <w:p w:rsidR="00D261DF" w:rsidRPr="00FC6267" w:rsidRDefault="00D261DF" w:rsidP="00F34D0E">
            <w:pPr>
              <w:spacing w:line="276" w:lineRule="auto"/>
              <w:jc w:val="center"/>
              <w:rPr>
                <w:bCs/>
                <w:sz w:val="26"/>
                <w:szCs w:val="26"/>
              </w:rPr>
            </w:pPr>
            <w:r w:rsidRPr="00FC6267">
              <w:rPr>
                <w:bCs/>
                <w:sz w:val="26"/>
                <w:szCs w:val="26"/>
              </w:rPr>
              <w:t>4,5%</w:t>
            </w:r>
          </w:p>
        </w:tc>
      </w:tr>
      <w:tr w:rsidR="00D261DF" w:rsidRPr="00FC6267" w:rsidTr="00F34D0E">
        <w:tblPrEx>
          <w:tblBorders>
            <w:top w:val="none" w:sz="0" w:space="0" w:color="auto"/>
            <w:bottom w:val="none" w:sz="0" w:space="0" w:color="auto"/>
            <w:insideH w:val="none" w:sz="0" w:space="0" w:color="auto"/>
            <w:insideV w:val="none" w:sz="0" w:space="0" w:color="auto"/>
          </w:tblBorders>
        </w:tblPrEx>
        <w:trPr>
          <w:trHeight w:val="1498"/>
        </w:trPr>
        <w:tc>
          <w:tcPr>
            <w:tcW w:w="709" w:type="dxa"/>
            <w:tcBorders>
              <w:top w:val="none" w:sz="0" w:space="0" w:color="000000"/>
              <w:left w:val="single" w:sz="8"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D261DF" w:rsidRPr="00FC6267" w:rsidRDefault="00D261DF" w:rsidP="00F34D0E">
            <w:pPr>
              <w:spacing w:line="276" w:lineRule="auto"/>
              <w:jc w:val="center"/>
              <w:rPr>
                <w:sz w:val="26"/>
                <w:szCs w:val="26"/>
              </w:rPr>
            </w:pPr>
            <w:r w:rsidRPr="00FC6267">
              <w:rPr>
                <w:sz w:val="26"/>
                <w:szCs w:val="26"/>
              </w:rPr>
              <w:t>4</w:t>
            </w:r>
          </w:p>
        </w:tc>
        <w:tc>
          <w:tcPr>
            <w:tcW w:w="5245" w:type="dxa"/>
            <w:tcBorders>
              <w:top w:val="nil"/>
              <w:left w:val="nil"/>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D261DF" w:rsidRPr="00FC6267" w:rsidRDefault="00D261DF" w:rsidP="00F34D0E">
            <w:pPr>
              <w:widowControl w:val="0"/>
              <w:spacing w:line="276" w:lineRule="auto"/>
              <w:jc w:val="both"/>
              <w:rPr>
                <w:sz w:val="26"/>
                <w:szCs w:val="26"/>
              </w:rPr>
            </w:pPr>
            <w:r w:rsidRPr="00FC6267">
              <w:rPr>
                <w:sz w:val="26"/>
                <w:szCs w:val="26"/>
              </w:rPr>
              <w:t xml:space="preserve">Nhượng quyền khai thác </w:t>
            </w:r>
            <w:r w:rsidRPr="00FC6267">
              <w:rPr>
                <w:sz w:val="26"/>
                <w:szCs w:val="26"/>
                <w:lang w:val="vi-VN"/>
              </w:rPr>
              <w:t>sửa chữa, bảo dưỡng phương tiện, trang thiết bị hàng không</w:t>
            </w:r>
            <w:r w:rsidRPr="00FC6267">
              <w:rPr>
                <w:sz w:val="26"/>
                <w:szCs w:val="26"/>
              </w:rPr>
              <w:t xml:space="preserve"> tại sân đỗ tàu bay hoặc khu vực thuộc quản lý của người khai thác cảng hàng không</w:t>
            </w:r>
          </w:p>
        </w:tc>
        <w:tc>
          <w:tcPr>
            <w:tcW w:w="1559" w:type="dxa"/>
            <w:tcBorders>
              <w:top w:val="nil"/>
              <w:left w:val="nil"/>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D261DF" w:rsidRPr="00FC6267" w:rsidRDefault="00D261DF" w:rsidP="00F34D0E">
            <w:pPr>
              <w:spacing w:line="276" w:lineRule="auto"/>
              <w:jc w:val="center"/>
              <w:rPr>
                <w:sz w:val="26"/>
                <w:szCs w:val="26"/>
              </w:rPr>
            </w:pPr>
            <w:r w:rsidRPr="00FC6267">
              <w:rPr>
                <w:sz w:val="26"/>
                <w:szCs w:val="26"/>
              </w:rPr>
              <w:t>1%</w:t>
            </w:r>
          </w:p>
        </w:tc>
        <w:tc>
          <w:tcPr>
            <w:tcW w:w="1559" w:type="dxa"/>
            <w:tcBorders>
              <w:top w:val="nil"/>
              <w:left w:val="nil"/>
              <w:bottom w:val="single" w:sz="4" w:space="0" w:color="auto"/>
              <w:right w:val="single" w:sz="8" w:space="0" w:color="000000"/>
              <w:tl2br w:val="nil"/>
              <w:tr2bl w:val="nil"/>
            </w:tcBorders>
            <w:vAlign w:val="center"/>
          </w:tcPr>
          <w:p w:rsidR="00D261DF" w:rsidRPr="00FC6267" w:rsidRDefault="00D261DF" w:rsidP="00F34D0E">
            <w:pPr>
              <w:spacing w:line="276" w:lineRule="auto"/>
              <w:jc w:val="center"/>
              <w:rPr>
                <w:bCs/>
                <w:sz w:val="26"/>
                <w:szCs w:val="26"/>
              </w:rPr>
            </w:pPr>
            <w:r w:rsidRPr="00FC6267">
              <w:rPr>
                <w:bCs/>
                <w:sz w:val="26"/>
                <w:szCs w:val="26"/>
              </w:rPr>
              <w:t>3%</w:t>
            </w:r>
          </w:p>
        </w:tc>
      </w:tr>
      <w:tr w:rsidR="00D261DF" w:rsidRPr="00FC6267" w:rsidTr="00F34D0E">
        <w:tblPrEx>
          <w:tblBorders>
            <w:top w:val="none" w:sz="0" w:space="0" w:color="auto"/>
            <w:bottom w:val="none" w:sz="0" w:space="0" w:color="auto"/>
            <w:insideH w:val="none" w:sz="0" w:space="0" w:color="auto"/>
            <w:insideV w:val="none" w:sz="0" w:space="0" w:color="auto"/>
          </w:tblBorders>
        </w:tblPrEx>
        <w:trPr>
          <w:trHeight w:val="1393"/>
        </w:trPr>
        <w:tc>
          <w:tcPr>
            <w:tcW w:w="709" w:type="dxa"/>
            <w:tcBorders>
              <w:top w:val="single" w:sz="4" w:space="0" w:color="auto"/>
              <w:left w:val="single" w:sz="8"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D261DF" w:rsidRPr="00FC6267" w:rsidRDefault="00D261DF" w:rsidP="00F34D0E">
            <w:pPr>
              <w:spacing w:line="276" w:lineRule="auto"/>
              <w:jc w:val="center"/>
              <w:rPr>
                <w:sz w:val="26"/>
                <w:szCs w:val="26"/>
              </w:rPr>
            </w:pPr>
            <w:r w:rsidRPr="00FC6267">
              <w:rPr>
                <w:sz w:val="26"/>
                <w:szCs w:val="26"/>
              </w:rPr>
              <w:t>5</w:t>
            </w:r>
          </w:p>
        </w:tc>
        <w:tc>
          <w:tcPr>
            <w:tcW w:w="5245" w:type="dxa"/>
            <w:tcBorders>
              <w:top w:val="single" w:sz="4" w:space="0" w:color="auto"/>
              <w:left w:val="nil"/>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D261DF" w:rsidRPr="00FC6267" w:rsidRDefault="00D261DF" w:rsidP="00F34D0E">
            <w:pPr>
              <w:spacing w:line="276" w:lineRule="auto"/>
              <w:ind w:left="65"/>
              <w:jc w:val="both"/>
              <w:rPr>
                <w:sz w:val="26"/>
                <w:szCs w:val="26"/>
              </w:rPr>
            </w:pPr>
            <w:r w:rsidRPr="00FC6267">
              <w:rPr>
                <w:sz w:val="26"/>
                <w:szCs w:val="26"/>
              </w:rPr>
              <w:t>Nhượng quyền khai thác kỹ thuật hàng không tại sân đỗ hoặc khu vực thuộc quản lý của người khai thác cảng hàng không</w:t>
            </w:r>
          </w:p>
        </w:tc>
        <w:tc>
          <w:tcPr>
            <w:tcW w:w="1559" w:type="dxa"/>
            <w:tcBorders>
              <w:top w:val="single" w:sz="4" w:space="0" w:color="auto"/>
              <w:left w:val="nil"/>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D261DF" w:rsidRPr="00FC6267" w:rsidRDefault="00D261DF" w:rsidP="00F34D0E">
            <w:pPr>
              <w:spacing w:line="276" w:lineRule="auto"/>
              <w:jc w:val="center"/>
              <w:rPr>
                <w:sz w:val="26"/>
                <w:szCs w:val="26"/>
              </w:rPr>
            </w:pPr>
            <w:r w:rsidRPr="00FC6267">
              <w:rPr>
                <w:sz w:val="26"/>
                <w:szCs w:val="26"/>
              </w:rPr>
              <w:t>1%</w:t>
            </w:r>
          </w:p>
        </w:tc>
        <w:tc>
          <w:tcPr>
            <w:tcW w:w="1559" w:type="dxa"/>
            <w:tcBorders>
              <w:top w:val="single" w:sz="4" w:space="0" w:color="auto"/>
              <w:left w:val="nil"/>
              <w:bottom w:val="single" w:sz="4" w:space="0" w:color="auto"/>
              <w:right w:val="single" w:sz="8" w:space="0" w:color="000000"/>
              <w:tl2br w:val="nil"/>
              <w:tr2bl w:val="nil"/>
            </w:tcBorders>
            <w:vAlign w:val="center"/>
          </w:tcPr>
          <w:p w:rsidR="00D261DF" w:rsidRPr="00FC6267" w:rsidRDefault="00D261DF" w:rsidP="00F34D0E">
            <w:pPr>
              <w:spacing w:line="276" w:lineRule="auto"/>
              <w:jc w:val="center"/>
              <w:rPr>
                <w:bCs/>
                <w:sz w:val="26"/>
                <w:szCs w:val="26"/>
              </w:rPr>
            </w:pPr>
            <w:r w:rsidRPr="00FC6267">
              <w:rPr>
                <w:bCs/>
                <w:sz w:val="26"/>
                <w:szCs w:val="26"/>
              </w:rPr>
              <w:t>3%</w:t>
            </w:r>
          </w:p>
        </w:tc>
      </w:tr>
      <w:tr w:rsidR="00D261DF" w:rsidRPr="00FC6267" w:rsidTr="00F34D0E">
        <w:tblPrEx>
          <w:tblBorders>
            <w:top w:val="none" w:sz="0" w:space="0" w:color="auto"/>
            <w:bottom w:val="none" w:sz="0" w:space="0" w:color="auto"/>
            <w:insideH w:val="none" w:sz="0" w:space="0" w:color="auto"/>
            <w:insideV w:val="none" w:sz="0" w:space="0" w:color="auto"/>
          </w:tblBorders>
        </w:tblPrEx>
        <w:trPr>
          <w:trHeight w:val="488"/>
        </w:trPr>
        <w:tc>
          <w:tcPr>
            <w:tcW w:w="709" w:type="dxa"/>
            <w:tcBorders>
              <w:top w:val="single" w:sz="4" w:space="0" w:color="auto"/>
              <w:left w:val="single" w:sz="8"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D261DF" w:rsidRPr="00FC6267" w:rsidRDefault="00D261DF" w:rsidP="00F34D0E">
            <w:pPr>
              <w:spacing w:line="276" w:lineRule="auto"/>
              <w:jc w:val="center"/>
              <w:rPr>
                <w:sz w:val="26"/>
                <w:szCs w:val="26"/>
              </w:rPr>
            </w:pPr>
            <w:r w:rsidRPr="00FC6267">
              <w:rPr>
                <w:sz w:val="26"/>
                <w:szCs w:val="26"/>
              </w:rPr>
              <w:t>6</w:t>
            </w:r>
          </w:p>
        </w:tc>
        <w:tc>
          <w:tcPr>
            <w:tcW w:w="5245" w:type="dxa"/>
            <w:tcBorders>
              <w:top w:val="single" w:sz="4" w:space="0" w:color="auto"/>
              <w:left w:val="nil"/>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D261DF" w:rsidRPr="00FC6267" w:rsidRDefault="00D261DF" w:rsidP="00F34D0E">
            <w:pPr>
              <w:spacing w:line="276" w:lineRule="auto"/>
              <w:ind w:left="65"/>
              <w:jc w:val="both"/>
              <w:rPr>
                <w:sz w:val="26"/>
                <w:szCs w:val="26"/>
              </w:rPr>
            </w:pPr>
            <w:r w:rsidRPr="00FC6267">
              <w:rPr>
                <w:sz w:val="26"/>
                <w:szCs w:val="26"/>
              </w:rPr>
              <w:t xml:space="preserve">Nhượng quyền khai thác cung cấp suất ăn hàng không  </w:t>
            </w:r>
          </w:p>
        </w:tc>
        <w:tc>
          <w:tcPr>
            <w:tcW w:w="1559" w:type="dxa"/>
            <w:tcBorders>
              <w:top w:val="single" w:sz="4" w:space="0" w:color="auto"/>
              <w:left w:val="nil"/>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D261DF" w:rsidRPr="00FC6267" w:rsidRDefault="00D261DF" w:rsidP="00F34D0E">
            <w:pPr>
              <w:spacing w:line="276" w:lineRule="auto"/>
              <w:jc w:val="center"/>
              <w:rPr>
                <w:sz w:val="26"/>
                <w:szCs w:val="26"/>
              </w:rPr>
            </w:pPr>
            <w:r w:rsidRPr="00FC6267">
              <w:rPr>
                <w:sz w:val="26"/>
                <w:szCs w:val="26"/>
              </w:rPr>
              <w:t xml:space="preserve">75.000 đồng/chuyến </w:t>
            </w:r>
            <w:r w:rsidRPr="00FC6267">
              <w:rPr>
                <w:sz w:val="26"/>
                <w:szCs w:val="26"/>
              </w:rPr>
              <w:lastRenderedPageBreak/>
              <w:t>bay</w:t>
            </w:r>
          </w:p>
        </w:tc>
        <w:tc>
          <w:tcPr>
            <w:tcW w:w="1559" w:type="dxa"/>
            <w:tcBorders>
              <w:top w:val="single" w:sz="4" w:space="0" w:color="auto"/>
              <w:left w:val="nil"/>
              <w:bottom w:val="single" w:sz="4" w:space="0" w:color="auto"/>
              <w:right w:val="single" w:sz="8" w:space="0" w:color="000000"/>
              <w:tl2br w:val="nil"/>
              <w:tr2bl w:val="nil"/>
            </w:tcBorders>
            <w:vAlign w:val="center"/>
          </w:tcPr>
          <w:p w:rsidR="00D261DF" w:rsidRPr="00FC6267" w:rsidRDefault="00D261DF" w:rsidP="00F34D0E">
            <w:pPr>
              <w:spacing w:line="276" w:lineRule="auto"/>
              <w:jc w:val="center"/>
              <w:rPr>
                <w:bCs/>
                <w:sz w:val="26"/>
                <w:szCs w:val="26"/>
              </w:rPr>
            </w:pPr>
            <w:r w:rsidRPr="00FC6267">
              <w:rPr>
                <w:bCs/>
                <w:sz w:val="26"/>
                <w:szCs w:val="26"/>
              </w:rPr>
              <w:lastRenderedPageBreak/>
              <w:t xml:space="preserve">225.000 đồng/chuyến </w:t>
            </w:r>
            <w:r w:rsidRPr="00FC6267">
              <w:rPr>
                <w:bCs/>
                <w:sz w:val="26"/>
                <w:szCs w:val="26"/>
              </w:rPr>
              <w:lastRenderedPageBreak/>
              <w:t>bay</w:t>
            </w:r>
          </w:p>
        </w:tc>
      </w:tr>
      <w:tr w:rsidR="00D261DF" w:rsidRPr="00FC6267" w:rsidTr="00F34D0E">
        <w:tblPrEx>
          <w:tblBorders>
            <w:top w:val="none" w:sz="0" w:space="0" w:color="auto"/>
            <w:bottom w:val="none" w:sz="0" w:space="0" w:color="auto"/>
            <w:insideH w:val="none" w:sz="0" w:space="0" w:color="auto"/>
            <w:insideV w:val="none" w:sz="0" w:space="0" w:color="auto"/>
          </w:tblBorders>
        </w:tblPrEx>
        <w:trPr>
          <w:trHeight w:val="696"/>
        </w:trPr>
        <w:tc>
          <w:tcPr>
            <w:tcW w:w="709" w:type="dxa"/>
            <w:tcBorders>
              <w:top w:val="single" w:sz="4" w:space="0" w:color="auto"/>
              <w:left w:val="single" w:sz="8" w:space="0" w:color="000000"/>
              <w:bottom w:val="single" w:sz="8" w:space="0" w:color="000000"/>
              <w:right w:val="single" w:sz="8" w:space="0" w:color="000000"/>
              <w:tl2br w:val="nil"/>
              <w:tr2bl w:val="nil"/>
            </w:tcBorders>
            <w:shd w:val="clear" w:color="auto" w:fill="auto"/>
            <w:tcMar>
              <w:top w:w="0" w:type="dxa"/>
              <w:left w:w="28" w:type="dxa"/>
              <w:bottom w:w="0" w:type="dxa"/>
              <w:right w:w="28" w:type="dxa"/>
            </w:tcMar>
            <w:vAlign w:val="center"/>
          </w:tcPr>
          <w:p w:rsidR="00D261DF" w:rsidRPr="00FC6267" w:rsidRDefault="00D261DF" w:rsidP="00F34D0E">
            <w:pPr>
              <w:spacing w:line="276" w:lineRule="auto"/>
              <w:jc w:val="center"/>
              <w:rPr>
                <w:sz w:val="26"/>
                <w:szCs w:val="26"/>
              </w:rPr>
            </w:pPr>
            <w:r w:rsidRPr="00FC6267">
              <w:rPr>
                <w:sz w:val="26"/>
                <w:szCs w:val="26"/>
              </w:rPr>
              <w:lastRenderedPageBreak/>
              <w:t>7</w:t>
            </w:r>
          </w:p>
        </w:tc>
        <w:tc>
          <w:tcPr>
            <w:tcW w:w="5245" w:type="dxa"/>
            <w:tcBorders>
              <w:top w:val="single" w:sz="4" w:space="0" w:color="auto"/>
              <w:left w:val="nil"/>
              <w:bottom w:val="single" w:sz="8" w:space="0" w:color="000000"/>
              <w:right w:val="single" w:sz="8" w:space="0" w:color="000000"/>
              <w:tl2br w:val="nil"/>
              <w:tr2bl w:val="nil"/>
            </w:tcBorders>
            <w:shd w:val="clear" w:color="auto" w:fill="auto"/>
            <w:tcMar>
              <w:top w:w="0" w:type="dxa"/>
              <w:left w:w="28" w:type="dxa"/>
              <w:bottom w:w="0" w:type="dxa"/>
              <w:right w:w="28" w:type="dxa"/>
            </w:tcMar>
            <w:vAlign w:val="center"/>
          </w:tcPr>
          <w:p w:rsidR="00D261DF" w:rsidRPr="00FC6267" w:rsidRDefault="00D261DF" w:rsidP="00F34D0E">
            <w:pPr>
              <w:spacing w:line="276" w:lineRule="auto"/>
              <w:ind w:left="65"/>
              <w:jc w:val="both"/>
              <w:rPr>
                <w:sz w:val="26"/>
                <w:szCs w:val="26"/>
              </w:rPr>
            </w:pPr>
            <w:r w:rsidRPr="00FC6267">
              <w:rPr>
                <w:sz w:val="26"/>
                <w:szCs w:val="26"/>
              </w:rPr>
              <w:t xml:space="preserve">Nhượng quyền khai thác cung cấp xăng dầu hàng không </w:t>
            </w:r>
          </w:p>
        </w:tc>
        <w:tc>
          <w:tcPr>
            <w:tcW w:w="1559" w:type="dxa"/>
            <w:tcBorders>
              <w:top w:val="single" w:sz="4" w:space="0" w:color="auto"/>
              <w:left w:val="nil"/>
              <w:bottom w:val="single" w:sz="8" w:space="0" w:color="000000"/>
              <w:right w:val="single" w:sz="8" w:space="0" w:color="000000"/>
              <w:tl2br w:val="nil"/>
              <w:tr2bl w:val="nil"/>
            </w:tcBorders>
            <w:shd w:val="clear" w:color="auto" w:fill="auto"/>
            <w:tcMar>
              <w:top w:w="0" w:type="dxa"/>
              <w:left w:w="28" w:type="dxa"/>
              <w:bottom w:w="0" w:type="dxa"/>
              <w:right w:w="28" w:type="dxa"/>
            </w:tcMar>
            <w:vAlign w:val="center"/>
          </w:tcPr>
          <w:p w:rsidR="00D261DF" w:rsidRPr="00FC6267" w:rsidRDefault="00D261DF" w:rsidP="00F34D0E">
            <w:pPr>
              <w:spacing w:line="276" w:lineRule="auto"/>
              <w:jc w:val="center"/>
              <w:rPr>
                <w:sz w:val="26"/>
                <w:szCs w:val="26"/>
              </w:rPr>
            </w:pPr>
            <w:r w:rsidRPr="00FC6267">
              <w:rPr>
                <w:sz w:val="26"/>
                <w:szCs w:val="26"/>
              </w:rPr>
              <w:t>1,2 USD/tấn</w:t>
            </w:r>
          </w:p>
        </w:tc>
        <w:tc>
          <w:tcPr>
            <w:tcW w:w="1559" w:type="dxa"/>
            <w:tcBorders>
              <w:top w:val="single" w:sz="4" w:space="0" w:color="auto"/>
              <w:left w:val="nil"/>
              <w:bottom w:val="single" w:sz="8" w:space="0" w:color="000000"/>
              <w:right w:val="single" w:sz="8" w:space="0" w:color="000000"/>
              <w:tl2br w:val="nil"/>
              <w:tr2bl w:val="nil"/>
            </w:tcBorders>
            <w:vAlign w:val="center"/>
          </w:tcPr>
          <w:p w:rsidR="00D261DF" w:rsidRPr="00FC6267" w:rsidRDefault="00D261DF" w:rsidP="00F34D0E">
            <w:pPr>
              <w:spacing w:line="276" w:lineRule="auto"/>
              <w:jc w:val="center"/>
              <w:rPr>
                <w:bCs/>
                <w:sz w:val="26"/>
                <w:szCs w:val="26"/>
              </w:rPr>
            </w:pPr>
            <w:r w:rsidRPr="00FC6267">
              <w:rPr>
                <w:bCs/>
                <w:sz w:val="26"/>
                <w:szCs w:val="26"/>
              </w:rPr>
              <w:t>3,6 USD/tấn</w:t>
            </w:r>
          </w:p>
        </w:tc>
      </w:tr>
    </w:tbl>
    <w:p w:rsidR="00D261DF" w:rsidRPr="00D261DF" w:rsidRDefault="00D261DF" w:rsidP="003E31FA">
      <w:pPr>
        <w:tabs>
          <w:tab w:val="left" w:pos="567"/>
        </w:tabs>
        <w:spacing w:before="60" w:after="60" w:line="276" w:lineRule="auto"/>
        <w:jc w:val="both"/>
        <w:rPr>
          <w:bCs/>
        </w:rPr>
      </w:pPr>
      <w:r>
        <w:rPr>
          <w:bCs/>
        </w:rPr>
        <w:tab/>
      </w:r>
      <w:r w:rsidRPr="00D261DF">
        <w:rPr>
          <w:bCs/>
        </w:rPr>
        <w:t>Trong đó:</w:t>
      </w:r>
    </w:p>
    <w:p w:rsidR="00D261DF" w:rsidRPr="00D261DF" w:rsidRDefault="00D261DF" w:rsidP="003E31FA">
      <w:pPr>
        <w:tabs>
          <w:tab w:val="left" w:pos="567"/>
        </w:tabs>
        <w:spacing w:before="60" w:after="60" w:line="276" w:lineRule="auto"/>
        <w:jc w:val="both"/>
        <w:rPr>
          <w:bCs/>
        </w:rPr>
      </w:pPr>
      <w:r>
        <w:rPr>
          <w:bCs/>
        </w:rPr>
        <w:tab/>
      </w:r>
      <w:r w:rsidR="00AE1237">
        <w:rPr>
          <w:bCs/>
        </w:rPr>
        <w:t>2</w:t>
      </w:r>
      <w:r>
        <w:rPr>
          <w:bCs/>
        </w:rPr>
        <w:t xml:space="preserve">.1 </w:t>
      </w:r>
      <w:r w:rsidRPr="00D261DF">
        <w:rPr>
          <w:bCs/>
        </w:rPr>
        <w:t>Đối với khung giá nhượng quyền khai thác dịch vụ hàng không: khai thác nhà ga, kho hàng hóa; phục vụ kỹ thuật thương mại mặt đất; sửa chữa, bảo dưỡng phương tiện, trang thiết bị hàng không; kỹ thuật hàng không; cung cấp suất ăn hàng không; cung cấp xăng dầu hàng không.</w:t>
      </w:r>
    </w:p>
    <w:p w:rsidR="00D261DF" w:rsidRPr="00D261DF" w:rsidRDefault="00D261DF" w:rsidP="003E31FA">
      <w:pPr>
        <w:tabs>
          <w:tab w:val="left" w:pos="567"/>
        </w:tabs>
        <w:spacing w:before="60" w:after="60" w:line="276" w:lineRule="auto"/>
        <w:jc w:val="both"/>
        <w:rPr>
          <w:bCs/>
        </w:rPr>
      </w:pPr>
      <w:r>
        <w:rPr>
          <w:bCs/>
        </w:rPr>
        <w:tab/>
        <w:t>-</w:t>
      </w:r>
      <w:r>
        <w:rPr>
          <w:bCs/>
        </w:rPr>
        <w:tab/>
      </w:r>
      <w:r w:rsidRPr="00D261DF">
        <w:rPr>
          <w:bCs/>
        </w:rPr>
        <w:t xml:space="preserve">Mức giá tối thiểu: (So sánh với mức </w:t>
      </w:r>
      <w:proofErr w:type="gramStart"/>
      <w:r w:rsidRPr="00D261DF">
        <w:rPr>
          <w:bCs/>
        </w:rPr>
        <w:t>thu</w:t>
      </w:r>
      <w:proofErr w:type="gramEnd"/>
      <w:r w:rsidRPr="00D261DF">
        <w:rPr>
          <w:bCs/>
        </w:rPr>
        <w:t xml:space="preserve"> quy định tại Thông tư số 151/2013/TT-BTC).</w:t>
      </w:r>
    </w:p>
    <w:p w:rsidR="00D261DF" w:rsidRPr="00D261DF" w:rsidRDefault="00D261DF" w:rsidP="003E31FA">
      <w:pPr>
        <w:tabs>
          <w:tab w:val="left" w:pos="567"/>
        </w:tabs>
        <w:spacing w:before="60" w:after="60" w:line="276" w:lineRule="auto"/>
        <w:jc w:val="both"/>
        <w:rPr>
          <w:bCs/>
        </w:rPr>
      </w:pPr>
      <w:r>
        <w:rPr>
          <w:bCs/>
        </w:rPr>
        <w:tab/>
      </w:r>
      <w:r w:rsidRPr="00D261DF">
        <w:rPr>
          <w:bCs/>
        </w:rPr>
        <w:t xml:space="preserve">Được kế thừa </w:t>
      </w:r>
      <w:proofErr w:type="gramStart"/>
      <w:r w:rsidRPr="00D261DF">
        <w:rPr>
          <w:bCs/>
        </w:rPr>
        <w:t>theo</w:t>
      </w:r>
      <w:proofErr w:type="gramEnd"/>
      <w:r w:rsidRPr="00D261DF">
        <w:rPr>
          <w:bCs/>
        </w:rPr>
        <w:t xml:space="preserve"> mức thu quy định tại Thông tư số 151/2013/TT-BTC ngày 29/10/2013 của Bộ Tài chính quy định mức thu, chế độ thu, nộp, quản lý, sử dụng phí nhượng quyền khai thác cảng hàng không, sân bay. </w:t>
      </w:r>
      <w:proofErr w:type="gramStart"/>
      <w:r w:rsidRPr="00D261DF">
        <w:rPr>
          <w:bCs/>
        </w:rPr>
        <w:t>Theo báo cáo của ACV, đây là mức giá được thị trường chấp nhận và hiện nay đã được ACV ký kết hợp đồng với các doanh nghiệp cung ứng dịch vụ hàng không.</w:t>
      </w:r>
      <w:proofErr w:type="gramEnd"/>
    </w:p>
    <w:p w:rsidR="00D261DF" w:rsidRPr="00D261DF" w:rsidRDefault="00D261DF" w:rsidP="003E31FA">
      <w:pPr>
        <w:tabs>
          <w:tab w:val="left" w:pos="567"/>
        </w:tabs>
        <w:spacing w:before="60" w:after="60" w:line="276" w:lineRule="auto"/>
        <w:jc w:val="both"/>
        <w:rPr>
          <w:bCs/>
        </w:rPr>
      </w:pPr>
      <w:r>
        <w:rPr>
          <w:bCs/>
        </w:rPr>
        <w:tab/>
        <w:t xml:space="preserve">- </w:t>
      </w:r>
      <w:r w:rsidRPr="00D261DF">
        <w:rPr>
          <w:bCs/>
        </w:rPr>
        <w:t xml:space="preserve">Mức giá tối đa: </w:t>
      </w:r>
    </w:p>
    <w:p w:rsidR="00D261DF" w:rsidRPr="00D261DF" w:rsidRDefault="00D261DF" w:rsidP="003E31FA">
      <w:pPr>
        <w:tabs>
          <w:tab w:val="left" w:pos="567"/>
        </w:tabs>
        <w:spacing w:before="60" w:after="60" w:line="276" w:lineRule="auto"/>
        <w:jc w:val="both"/>
        <w:rPr>
          <w:bCs/>
        </w:rPr>
      </w:pPr>
      <w:r>
        <w:rPr>
          <w:bCs/>
        </w:rPr>
        <w:tab/>
      </w:r>
      <w:r w:rsidRPr="00D261DF">
        <w:rPr>
          <w:bCs/>
        </w:rPr>
        <w:t>ACV thực hiện so sánh biến động chi phí năm 2010 (trên cơ sở báo cáo tài chính đã kiểm toán năm 2010 của 03 cụm cảng miền Bắc, miền Trung, miền Nam và chi phí năm 2019 (trên cơ sở báo cáo tài chính hợp nhất đã kiểm toán năm 2019 của ACV).</w:t>
      </w:r>
    </w:p>
    <w:p w:rsidR="00AE1237" w:rsidRDefault="00D261DF" w:rsidP="003E31FA">
      <w:pPr>
        <w:tabs>
          <w:tab w:val="left" w:pos="567"/>
        </w:tabs>
        <w:spacing w:before="60" w:after="60" w:line="276" w:lineRule="auto"/>
        <w:jc w:val="both"/>
        <w:rPr>
          <w:bCs/>
        </w:rPr>
      </w:pPr>
      <w:r>
        <w:rPr>
          <w:bCs/>
        </w:rPr>
        <w:tab/>
      </w:r>
      <w:r w:rsidRPr="00D261DF">
        <w:rPr>
          <w:bCs/>
        </w:rPr>
        <w:t xml:space="preserve">Thực tế, mức </w:t>
      </w:r>
      <w:proofErr w:type="gramStart"/>
      <w:r w:rsidRPr="00D261DF">
        <w:rPr>
          <w:bCs/>
        </w:rPr>
        <w:t>thu</w:t>
      </w:r>
      <w:proofErr w:type="gramEnd"/>
      <w:r w:rsidRPr="00D261DF">
        <w:rPr>
          <w:bCs/>
        </w:rPr>
        <w:t xml:space="preserve"> NQKT các dịch vụ hàng không quy định tại Thông tư số 151/2013/TT-BTC ngày 29/10/2013 của Bộ Tài chính đã được thực hiện ổn định từ năm 2010 cho đến nay. Trong hơn 10 năm qua, các yếu tố cấu thành chi phí đã biến động, thay đổi rất lớn, tính đến năm 2019, chi phí phát sinh đã tăn</w:t>
      </w:r>
      <w:r w:rsidR="00AB1CBE">
        <w:rPr>
          <w:bCs/>
        </w:rPr>
        <w:t xml:space="preserve">g hơn gấp 3 lần so với năm 2010; </w:t>
      </w:r>
      <w:r w:rsidR="00AE1237" w:rsidRPr="00AE1237">
        <w:rPr>
          <w:bCs/>
        </w:rPr>
        <w:t xml:space="preserve">trong giai đoạn </w:t>
      </w:r>
      <w:r w:rsidR="00AB1CBE" w:rsidRPr="00AE1237">
        <w:rPr>
          <w:bCs/>
        </w:rPr>
        <w:t xml:space="preserve">giai đoạn 2012-2020 </w:t>
      </w:r>
      <w:r w:rsidR="00AB1CBE">
        <w:rPr>
          <w:bCs/>
        </w:rPr>
        <w:t xml:space="preserve">đầu tư hạ </w:t>
      </w:r>
      <w:r w:rsidR="00AE1237" w:rsidRPr="00AE1237">
        <w:rPr>
          <w:bCs/>
        </w:rPr>
        <w:t>tầng rất lớn của ACV với số vốn đầu tư là hơn 35.000 tỷ</w:t>
      </w:r>
      <w:r w:rsidR="00AE1237">
        <w:rPr>
          <w:bCs/>
        </w:rPr>
        <w:t xml:space="preserve"> </w:t>
      </w:r>
      <w:r w:rsidR="00AE1237" w:rsidRPr="00AE1237">
        <w:rPr>
          <w:bCs/>
        </w:rPr>
        <w:t>đồng đã góp phần cho sản lượng thị trường tăng 3 lần.</w:t>
      </w:r>
      <w:r w:rsidR="00AB1CBE">
        <w:rPr>
          <w:bCs/>
        </w:rPr>
        <w:t xml:space="preserve"> Và với tỷ lệ </w:t>
      </w:r>
      <w:r w:rsidR="00AE1237" w:rsidRPr="00AE1237">
        <w:rPr>
          <w:bCs/>
        </w:rPr>
        <w:t>cố</w:t>
      </w:r>
      <w:r w:rsidR="00AB1CBE">
        <w:rPr>
          <w:bCs/>
        </w:rPr>
        <w:t xml:space="preserve"> định từ  </w:t>
      </w:r>
      <w:r w:rsidR="00AE1237" w:rsidRPr="00AE1237">
        <w:rPr>
          <w:bCs/>
        </w:rPr>
        <w:t xml:space="preserve">năm 2010 đến </w:t>
      </w:r>
      <w:r w:rsidR="00AB1CBE">
        <w:rPr>
          <w:bCs/>
        </w:rPr>
        <w:t xml:space="preserve">nay, doanh thu sẽ </w:t>
      </w:r>
      <w:r w:rsidR="00AE1237" w:rsidRPr="00AE1237">
        <w:rPr>
          <w:bCs/>
        </w:rPr>
        <w:t xml:space="preserve">biến thiên theo sản lượng với doanh thu năm 2010 là 39,5 tỷ  đồng, năm 2019 </w:t>
      </w:r>
      <w:r w:rsidR="00AB1CBE">
        <w:rPr>
          <w:bCs/>
        </w:rPr>
        <w:t xml:space="preserve">là 118,7 tỷ  đồng tương </w:t>
      </w:r>
      <w:r w:rsidR="00AE1237" w:rsidRPr="00AE1237">
        <w:rPr>
          <w:bCs/>
        </w:rPr>
        <w:t>ứng với các dịch thu nhượng quyền theo Thông tư 15</w:t>
      </w:r>
      <w:r w:rsidR="00AB1CBE">
        <w:rPr>
          <w:bCs/>
        </w:rPr>
        <w:t>1</w:t>
      </w:r>
      <w:r w:rsidR="00AE1237" w:rsidRPr="00AE1237">
        <w:rPr>
          <w:bCs/>
        </w:rPr>
        <w:t>/2013/TT-BTC.</w:t>
      </w:r>
    </w:p>
    <w:p w:rsidR="00D261DF" w:rsidRPr="00D261DF" w:rsidRDefault="00AE1237" w:rsidP="003E31FA">
      <w:pPr>
        <w:tabs>
          <w:tab w:val="left" w:pos="567"/>
        </w:tabs>
        <w:spacing w:before="60" w:after="60" w:line="276" w:lineRule="auto"/>
        <w:jc w:val="both"/>
        <w:rPr>
          <w:bCs/>
        </w:rPr>
      </w:pPr>
      <w:r>
        <w:rPr>
          <w:bCs/>
        </w:rPr>
        <w:tab/>
      </w:r>
      <w:r w:rsidR="00D261DF" w:rsidRPr="00D261DF">
        <w:rPr>
          <w:bCs/>
        </w:rPr>
        <w:t>Ngoài ra, căn cứ vào kế hoạch phát triển cảng hàng không giai đoạn 2018-2025, ACV đã xây dựng kế hoạch đầu tư, nâng cấp, phát triển các cảng hàng không do ACV quản lý khai thác đến giai đoạn 2025 với tổng nhu cầu vốn rất lớn, hơn 123.000 tỷ đồng</w:t>
      </w:r>
      <w:r w:rsidR="00AB1CBE">
        <w:rPr>
          <w:bCs/>
        </w:rPr>
        <w:t>, gấp 3,5 lần so với giai đoạn 2012-2020</w:t>
      </w:r>
      <w:r w:rsidR="00D261DF" w:rsidRPr="00D261DF">
        <w:rPr>
          <w:bCs/>
        </w:rPr>
        <w:t xml:space="preserve">. Việc đầu tư, nâng cấp các cảng hàng không nhằm đáp ứng nhu cầu tăng trưởng của thị trường, đáp ứng hạ tầng, tạo thị trường và môi trường kinh doanh thuận lợi cho các doanh nghiệp kinh doanh hiệu quả.  </w:t>
      </w:r>
    </w:p>
    <w:p w:rsidR="00D261DF" w:rsidRPr="00D261DF" w:rsidRDefault="00D261DF" w:rsidP="003E31FA">
      <w:pPr>
        <w:tabs>
          <w:tab w:val="left" w:pos="567"/>
        </w:tabs>
        <w:spacing w:before="60" w:after="60" w:line="276" w:lineRule="auto"/>
        <w:jc w:val="both"/>
        <w:rPr>
          <w:bCs/>
        </w:rPr>
      </w:pPr>
      <w:r>
        <w:rPr>
          <w:bCs/>
        </w:rPr>
        <w:lastRenderedPageBreak/>
        <w:tab/>
      </w:r>
      <w:r w:rsidRPr="00D261DF">
        <w:rPr>
          <w:bCs/>
        </w:rPr>
        <w:t>Do đó, để đảm bảo phù hợp với tốc độ phát triển của thị trường, bù đắp các yếu tố trượt giá, ACV đề nghị áp dụng mức giá tối đa của khung giá NQKT dịch vụ hàng không bằng 03 lần mức giá tối thiểu.</w:t>
      </w:r>
    </w:p>
    <w:p w:rsidR="00D261DF" w:rsidRPr="00AE1237" w:rsidRDefault="00AE1237" w:rsidP="003E31FA">
      <w:pPr>
        <w:pStyle w:val="ListParagraph"/>
        <w:numPr>
          <w:ilvl w:val="1"/>
          <w:numId w:val="30"/>
        </w:numPr>
        <w:tabs>
          <w:tab w:val="left" w:pos="567"/>
        </w:tabs>
        <w:spacing w:before="60" w:after="60" w:line="276" w:lineRule="auto"/>
        <w:jc w:val="both"/>
        <w:rPr>
          <w:bCs/>
        </w:rPr>
      </w:pPr>
      <w:r>
        <w:rPr>
          <w:bCs/>
        </w:rPr>
        <w:t xml:space="preserve"> </w:t>
      </w:r>
      <w:r w:rsidR="00D261DF" w:rsidRPr="00AE1237">
        <w:rPr>
          <w:bCs/>
        </w:rPr>
        <w:t>Đối với khung giá nhượng quyền khai thác nhà ga hành khách quốc tế</w:t>
      </w:r>
    </w:p>
    <w:p w:rsidR="00D261DF" w:rsidRPr="00D261DF" w:rsidRDefault="00D261DF" w:rsidP="003E31FA">
      <w:pPr>
        <w:tabs>
          <w:tab w:val="left" w:pos="567"/>
        </w:tabs>
        <w:spacing w:before="60" w:after="60" w:line="276" w:lineRule="auto"/>
        <w:jc w:val="both"/>
        <w:rPr>
          <w:bCs/>
        </w:rPr>
      </w:pPr>
      <w:r>
        <w:rPr>
          <w:bCs/>
        </w:rPr>
        <w:tab/>
      </w:r>
      <w:proofErr w:type="gramStart"/>
      <w:r w:rsidRPr="00D261DF">
        <w:rPr>
          <w:bCs/>
        </w:rPr>
        <w:t>Nhượng quyền khai thác nhà ga hành khách quốc tế là một loại hình mới, chưa có trước đây và không được quy định tại Thông tư số 151/2013/TT-BTC.</w:t>
      </w:r>
      <w:proofErr w:type="gramEnd"/>
      <w:r w:rsidRPr="00D261DF">
        <w:rPr>
          <w:bCs/>
        </w:rPr>
        <w:t xml:space="preserve"> </w:t>
      </w:r>
      <w:proofErr w:type="gramStart"/>
      <w:r w:rsidRPr="00D261DF">
        <w:rPr>
          <w:bCs/>
        </w:rPr>
        <w:t>Hiện nay, chỉ có 02 doanh nghiệp khai thác nhà ga hành khách quốc tế là AHT và CRTC thuộc đối tượng phải nộp giá NQKT cho doanh nghiệp cảng hàng không.</w:t>
      </w:r>
      <w:proofErr w:type="gramEnd"/>
      <w:r w:rsidRPr="00D261DF">
        <w:rPr>
          <w:bCs/>
        </w:rPr>
        <w:t xml:space="preserve"> </w:t>
      </w:r>
      <w:proofErr w:type="gramStart"/>
      <w:r w:rsidRPr="00D261DF">
        <w:rPr>
          <w:bCs/>
        </w:rPr>
        <w:t>ACV đã đàm phán với AHT và CRTC ký kết hợp đồng giao kết trong đó thống nhất mức giá NQKT.</w:t>
      </w:r>
      <w:proofErr w:type="gramEnd"/>
      <w:r w:rsidRPr="00D261DF">
        <w:rPr>
          <w:bCs/>
        </w:rPr>
        <w:t xml:space="preserve"> Như vậy, đây là mức </w:t>
      </w:r>
      <w:proofErr w:type="gramStart"/>
      <w:r w:rsidRPr="00D261DF">
        <w:rPr>
          <w:bCs/>
        </w:rPr>
        <w:t>thu</w:t>
      </w:r>
      <w:proofErr w:type="gramEnd"/>
      <w:r w:rsidRPr="00D261DF">
        <w:rPr>
          <w:bCs/>
        </w:rPr>
        <w:t xml:space="preserve"> đã được thị trường chấp nhận.</w:t>
      </w:r>
    </w:p>
    <w:p w:rsidR="00D261DF" w:rsidRPr="00D261DF" w:rsidRDefault="00D261DF" w:rsidP="003E31FA">
      <w:pPr>
        <w:tabs>
          <w:tab w:val="left" w:pos="567"/>
        </w:tabs>
        <w:spacing w:before="60" w:after="60" w:line="276" w:lineRule="auto"/>
        <w:jc w:val="both"/>
        <w:rPr>
          <w:bCs/>
        </w:rPr>
      </w:pPr>
      <w:r>
        <w:rPr>
          <w:bCs/>
        </w:rPr>
        <w:tab/>
      </w:r>
      <w:r w:rsidRPr="00D261DF">
        <w:rPr>
          <w:bCs/>
        </w:rPr>
        <w:t>Theo đó, ACV đề xuất mức giá tối thiểu là 15% doanh thu và mức giá tối đa là 24% doanh thu đối với nhượng quyền khai thác nhà ga hành khách quốc tế.</w:t>
      </w:r>
    </w:p>
    <w:p w:rsidR="005E491F" w:rsidRPr="007B2B35" w:rsidRDefault="005E491F" w:rsidP="003E31FA">
      <w:pPr>
        <w:numPr>
          <w:ilvl w:val="0"/>
          <w:numId w:val="30"/>
        </w:numPr>
        <w:tabs>
          <w:tab w:val="left" w:pos="567"/>
          <w:tab w:val="left" w:pos="851"/>
        </w:tabs>
        <w:spacing w:before="60" w:after="60" w:line="276" w:lineRule="auto"/>
        <w:ind w:left="0" w:firstLine="570"/>
        <w:jc w:val="both"/>
        <w:rPr>
          <w:b/>
        </w:rPr>
      </w:pPr>
      <w:r w:rsidRPr="007B2B35">
        <w:rPr>
          <w:b/>
        </w:rPr>
        <w:t>Tham chiếu một số nước trong khu</w:t>
      </w:r>
      <w:r w:rsidR="007B2B35">
        <w:rPr>
          <w:b/>
        </w:rPr>
        <w:t xml:space="preserve"> vực về nhượng quyền hàng không</w:t>
      </w:r>
    </w:p>
    <w:p w:rsidR="007B2B35" w:rsidRDefault="00937632" w:rsidP="003E31FA">
      <w:pPr>
        <w:tabs>
          <w:tab w:val="left" w:pos="709"/>
        </w:tabs>
        <w:spacing w:before="60" w:after="60" w:line="276" w:lineRule="auto"/>
        <w:jc w:val="both"/>
      </w:pPr>
      <w:r>
        <w:tab/>
      </w:r>
      <w:r w:rsidR="007B2B35">
        <w:t>T</w:t>
      </w:r>
      <w:r w:rsidR="005A0EA7" w:rsidRPr="00BA386F">
        <w:t xml:space="preserve">ại các sân bay trong khu vực cũng như thế giới, việc </w:t>
      </w:r>
      <w:proofErr w:type="gramStart"/>
      <w:r w:rsidR="005A0EA7" w:rsidRPr="00BA386F">
        <w:t>thu</w:t>
      </w:r>
      <w:proofErr w:type="gramEnd"/>
      <w:r w:rsidR="005A0EA7" w:rsidRPr="00BA386F">
        <w:t xml:space="preserve"> nhượng quyền đã được áp dụng với nhiều hình thức khác nhau và hầu hết được thu theo tỷ lệ phần trăm (%) trên tổng doanh thu. </w:t>
      </w:r>
      <w:r w:rsidR="007B2B35">
        <w:t xml:space="preserve">Tuy nhiên, tỷ lệ nhượng quyền mỗi nước khác nhau phụ thuộc vào chính sách của mỗi nước cũng như quyền, trách nhiệm của các doanh nghiệp cảng </w:t>
      </w:r>
      <w:proofErr w:type="gramStart"/>
      <w:r w:rsidR="007B2B35">
        <w:t>theo</w:t>
      </w:r>
      <w:proofErr w:type="gramEnd"/>
      <w:r w:rsidR="007B2B35">
        <w:t xml:space="preserve"> quy định pháp luật của mỗi nước. (</w:t>
      </w:r>
      <w:r w:rsidR="007B2B35" w:rsidRPr="007B2B35">
        <w:rPr>
          <w:i/>
        </w:rPr>
        <w:t>Tham khảo giá dịch vụ trong khu vực và trên thế giới chi tiết trong Hồ sơ phương án giá</w:t>
      </w:r>
      <w:r w:rsidR="007B2B35">
        <w:t>)</w:t>
      </w:r>
    </w:p>
    <w:p w:rsidR="00507438" w:rsidRPr="007B2B35" w:rsidRDefault="008126B4" w:rsidP="003E31FA">
      <w:pPr>
        <w:pStyle w:val="ListParagraph"/>
        <w:numPr>
          <w:ilvl w:val="0"/>
          <w:numId w:val="29"/>
        </w:numPr>
        <w:tabs>
          <w:tab w:val="left" w:pos="709"/>
        </w:tabs>
        <w:spacing w:before="60" w:after="60" w:line="276" w:lineRule="auto"/>
        <w:ind w:left="1134" w:hanging="567"/>
        <w:jc w:val="both"/>
        <w:rPr>
          <w:b/>
        </w:rPr>
      </w:pPr>
      <w:r w:rsidRPr="007B2B35">
        <w:rPr>
          <w:b/>
        </w:rPr>
        <w:t>Ý kiến thẩm định</w:t>
      </w:r>
    </w:p>
    <w:p w:rsidR="005E491F" w:rsidRDefault="005E491F" w:rsidP="003E31FA">
      <w:pPr>
        <w:tabs>
          <w:tab w:val="left" w:pos="567"/>
          <w:tab w:val="left" w:pos="1276"/>
        </w:tabs>
        <w:spacing w:before="60" w:after="60" w:line="276" w:lineRule="auto"/>
        <w:jc w:val="both"/>
      </w:pPr>
      <w:r>
        <w:tab/>
      </w:r>
      <w:proofErr w:type="gramStart"/>
      <w:r>
        <w:t xml:space="preserve">Cục Hàng </w:t>
      </w:r>
      <w:r w:rsidR="007B2B35">
        <w:t xml:space="preserve">không Việt Nam đã có </w:t>
      </w:r>
      <w:r>
        <w:t xml:space="preserve">Công văn số </w:t>
      </w:r>
      <w:r w:rsidR="007B2B35">
        <w:t>293</w:t>
      </w:r>
      <w:r>
        <w:t xml:space="preserve">/CHK-TC ngày </w:t>
      </w:r>
      <w:r w:rsidR="007B2B35">
        <w:t>27/01/2022 báo cáo Bộ GTVT và cho rằng đề xuất về</w:t>
      </w:r>
      <w:r>
        <w:t xml:space="preserve"> </w:t>
      </w:r>
      <w:r w:rsidR="007B2B35">
        <w:t>k</w:t>
      </w:r>
      <w:r>
        <w:t>hung giá nhượng quy</w:t>
      </w:r>
      <w:r w:rsidR="007B2B35">
        <w:t>ền khai thác dịch vụ hàng không của ACV là phù hợp.</w:t>
      </w:r>
      <w:proofErr w:type="gramEnd"/>
      <w:r w:rsidR="007B2B35">
        <w:t xml:space="preserve"> </w:t>
      </w:r>
    </w:p>
    <w:p w:rsidR="008126B4" w:rsidRDefault="00D66332" w:rsidP="003E31FA">
      <w:pPr>
        <w:numPr>
          <w:ilvl w:val="0"/>
          <w:numId w:val="26"/>
        </w:numPr>
        <w:tabs>
          <w:tab w:val="left" w:pos="709"/>
          <w:tab w:val="left" w:pos="851"/>
        </w:tabs>
        <w:spacing w:before="60" w:after="60" w:line="276" w:lineRule="auto"/>
        <w:ind w:firstLine="207"/>
        <w:jc w:val="both"/>
        <w:rPr>
          <w:bCs/>
        </w:rPr>
      </w:pPr>
      <w:r>
        <w:rPr>
          <w:bCs/>
        </w:rPr>
        <w:t>K</w:t>
      </w:r>
      <w:r w:rsidR="008126B4">
        <w:rPr>
          <w:bCs/>
        </w:rPr>
        <w:t>hung giá nhượng quyền dịch vụ hàng không</w:t>
      </w:r>
    </w:p>
    <w:tbl>
      <w:tblPr>
        <w:tblW w:w="9072" w:type="dxa"/>
        <w:tblInd w:w="28" w:type="dxa"/>
        <w:tblBorders>
          <w:top w:val="nil"/>
          <w:bottom w:val="nil"/>
          <w:insideH w:val="nil"/>
          <w:insideV w:val="nil"/>
        </w:tblBorders>
        <w:tblCellMar>
          <w:left w:w="0" w:type="dxa"/>
          <w:right w:w="0" w:type="dxa"/>
        </w:tblCellMar>
        <w:tblLook w:val="04A0" w:firstRow="1" w:lastRow="0" w:firstColumn="1" w:lastColumn="0" w:noHBand="0" w:noVBand="1"/>
      </w:tblPr>
      <w:tblGrid>
        <w:gridCol w:w="709"/>
        <w:gridCol w:w="5245"/>
        <w:gridCol w:w="1559"/>
        <w:gridCol w:w="1559"/>
      </w:tblGrid>
      <w:tr w:rsidR="00AE1237" w:rsidRPr="00FC6267" w:rsidTr="00F34D0E">
        <w:trPr>
          <w:trHeight w:val="370"/>
        </w:trPr>
        <w:tc>
          <w:tcPr>
            <w:tcW w:w="709" w:type="dxa"/>
            <w:vMerge w:val="restart"/>
            <w:tcBorders>
              <w:top w:val="single" w:sz="8" w:space="0" w:color="000000"/>
              <w:left w:val="single" w:sz="8" w:space="0" w:color="000000"/>
              <w:right w:val="single" w:sz="8" w:space="0" w:color="000000"/>
              <w:tl2br w:val="nil"/>
              <w:tr2bl w:val="nil"/>
            </w:tcBorders>
            <w:shd w:val="clear" w:color="auto" w:fill="auto"/>
            <w:tcMar>
              <w:top w:w="0" w:type="dxa"/>
              <w:left w:w="28" w:type="dxa"/>
              <w:bottom w:w="0" w:type="dxa"/>
              <w:right w:w="28" w:type="dxa"/>
            </w:tcMar>
            <w:vAlign w:val="center"/>
          </w:tcPr>
          <w:p w:rsidR="00AE1237" w:rsidRPr="00FC6267" w:rsidRDefault="00AE1237" w:rsidP="00F34D0E">
            <w:pPr>
              <w:spacing w:line="276" w:lineRule="auto"/>
              <w:jc w:val="center"/>
              <w:rPr>
                <w:sz w:val="26"/>
                <w:szCs w:val="26"/>
              </w:rPr>
            </w:pPr>
            <w:r w:rsidRPr="00FC6267">
              <w:rPr>
                <w:b/>
                <w:bCs/>
                <w:sz w:val="26"/>
                <w:szCs w:val="26"/>
              </w:rPr>
              <w:t>STT</w:t>
            </w:r>
          </w:p>
        </w:tc>
        <w:tc>
          <w:tcPr>
            <w:tcW w:w="5245" w:type="dxa"/>
            <w:vMerge w:val="restart"/>
            <w:tcBorders>
              <w:top w:val="single" w:sz="8" w:space="0" w:color="000000"/>
              <w:left w:val="none" w:sz="0" w:space="0" w:color="000000"/>
              <w:right w:val="single" w:sz="8" w:space="0" w:color="000000"/>
              <w:tl2br w:val="nil"/>
              <w:tr2bl w:val="nil"/>
            </w:tcBorders>
            <w:shd w:val="clear" w:color="auto" w:fill="auto"/>
            <w:tcMar>
              <w:top w:w="0" w:type="dxa"/>
              <w:left w:w="28" w:type="dxa"/>
              <w:bottom w:w="0" w:type="dxa"/>
              <w:right w:w="28" w:type="dxa"/>
            </w:tcMar>
            <w:vAlign w:val="center"/>
          </w:tcPr>
          <w:p w:rsidR="00AE1237" w:rsidRPr="00FC6267" w:rsidRDefault="00AE1237" w:rsidP="00F34D0E">
            <w:pPr>
              <w:spacing w:line="276" w:lineRule="auto"/>
              <w:jc w:val="center"/>
              <w:rPr>
                <w:sz w:val="26"/>
                <w:szCs w:val="26"/>
              </w:rPr>
            </w:pPr>
            <w:r w:rsidRPr="00FC6267">
              <w:rPr>
                <w:b/>
                <w:bCs/>
                <w:sz w:val="26"/>
                <w:szCs w:val="26"/>
              </w:rPr>
              <w:t>Danh mục</w:t>
            </w:r>
          </w:p>
        </w:tc>
        <w:tc>
          <w:tcPr>
            <w:tcW w:w="3118" w:type="dxa"/>
            <w:gridSpan w:val="2"/>
            <w:tcBorders>
              <w:top w:val="single" w:sz="8" w:space="0" w:color="000000"/>
              <w:left w:val="none" w:sz="0"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AE1237" w:rsidRPr="00FC6267" w:rsidRDefault="00AE1237" w:rsidP="00F34D0E">
            <w:pPr>
              <w:spacing w:line="276" w:lineRule="auto"/>
              <w:jc w:val="center"/>
              <w:rPr>
                <w:b/>
                <w:bCs/>
                <w:sz w:val="26"/>
                <w:szCs w:val="26"/>
              </w:rPr>
            </w:pPr>
            <w:r w:rsidRPr="00FC6267">
              <w:rPr>
                <w:b/>
                <w:bCs/>
                <w:sz w:val="26"/>
                <w:szCs w:val="26"/>
              </w:rPr>
              <w:t>Khung giá</w:t>
            </w:r>
          </w:p>
        </w:tc>
      </w:tr>
      <w:tr w:rsidR="00AE1237" w:rsidRPr="00FC6267" w:rsidTr="00F34D0E">
        <w:trPr>
          <w:trHeight w:val="403"/>
        </w:trPr>
        <w:tc>
          <w:tcPr>
            <w:tcW w:w="709" w:type="dxa"/>
            <w:vMerge/>
            <w:tcBorders>
              <w:left w:val="single" w:sz="8"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AE1237" w:rsidRPr="00FC6267" w:rsidRDefault="00AE1237" w:rsidP="00F34D0E">
            <w:pPr>
              <w:spacing w:line="276" w:lineRule="auto"/>
              <w:jc w:val="center"/>
              <w:rPr>
                <w:b/>
                <w:bCs/>
                <w:sz w:val="26"/>
                <w:szCs w:val="26"/>
              </w:rPr>
            </w:pPr>
          </w:p>
        </w:tc>
        <w:tc>
          <w:tcPr>
            <w:tcW w:w="5245" w:type="dxa"/>
            <w:vMerge/>
            <w:tcBorders>
              <w:left w:val="none" w:sz="0"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AE1237" w:rsidRPr="00FC6267" w:rsidRDefault="00AE1237" w:rsidP="00F34D0E">
            <w:pPr>
              <w:spacing w:line="276" w:lineRule="auto"/>
              <w:jc w:val="center"/>
              <w:rPr>
                <w:b/>
                <w:bCs/>
                <w:sz w:val="26"/>
                <w:szCs w:val="26"/>
              </w:rPr>
            </w:pPr>
          </w:p>
        </w:tc>
        <w:tc>
          <w:tcPr>
            <w:tcW w:w="1559" w:type="dxa"/>
            <w:tcBorders>
              <w:top w:val="single" w:sz="8" w:space="0" w:color="000000"/>
              <w:left w:val="none" w:sz="0"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AE1237" w:rsidRPr="00FC6267" w:rsidRDefault="00AE1237" w:rsidP="00F34D0E">
            <w:pPr>
              <w:spacing w:line="276" w:lineRule="auto"/>
              <w:jc w:val="center"/>
              <w:rPr>
                <w:b/>
                <w:bCs/>
                <w:sz w:val="26"/>
                <w:szCs w:val="26"/>
              </w:rPr>
            </w:pPr>
            <w:r w:rsidRPr="00FC6267">
              <w:rPr>
                <w:b/>
                <w:bCs/>
                <w:sz w:val="26"/>
                <w:szCs w:val="26"/>
              </w:rPr>
              <w:t>Tối thiểu</w:t>
            </w:r>
          </w:p>
        </w:tc>
        <w:tc>
          <w:tcPr>
            <w:tcW w:w="1559" w:type="dxa"/>
            <w:tcBorders>
              <w:top w:val="single" w:sz="8" w:space="0" w:color="000000"/>
              <w:left w:val="none" w:sz="0" w:space="0" w:color="000000"/>
              <w:bottom w:val="single" w:sz="4" w:space="0" w:color="auto"/>
              <w:right w:val="single" w:sz="8" w:space="0" w:color="000000"/>
              <w:tl2br w:val="nil"/>
              <w:tr2bl w:val="nil"/>
            </w:tcBorders>
            <w:vAlign w:val="center"/>
          </w:tcPr>
          <w:p w:rsidR="00AE1237" w:rsidRPr="00FC6267" w:rsidRDefault="00AE1237" w:rsidP="00F34D0E">
            <w:pPr>
              <w:spacing w:line="276" w:lineRule="auto"/>
              <w:jc w:val="center"/>
              <w:rPr>
                <w:b/>
                <w:bCs/>
                <w:sz w:val="26"/>
                <w:szCs w:val="26"/>
              </w:rPr>
            </w:pPr>
            <w:r w:rsidRPr="00FC6267">
              <w:rPr>
                <w:b/>
                <w:bCs/>
                <w:sz w:val="26"/>
                <w:szCs w:val="26"/>
              </w:rPr>
              <w:t>Tối đa</w:t>
            </w:r>
          </w:p>
        </w:tc>
      </w:tr>
      <w:tr w:rsidR="00AE1237" w:rsidRPr="00FC6267" w:rsidTr="00F34D0E">
        <w:trPr>
          <w:trHeight w:val="403"/>
        </w:trPr>
        <w:tc>
          <w:tcPr>
            <w:tcW w:w="709" w:type="dxa"/>
            <w:tcBorders>
              <w:left w:val="single" w:sz="8"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AE1237" w:rsidRPr="00FC6267" w:rsidRDefault="00AE1237" w:rsidP="00F34D0E">
            <w:pPr>
              <w:spacing w:line="276" w:lineRule="auto"/>
              <w:jc w:val="center"/>
              <w:rPr>
                <w:bCs/>
                <w:sz w:val="26"/>
                <w:szCs w:val="26"/>
              </w:rPr>
            </w:pPr>
            <w:r w:rsidRPr="00FC6267">
              <w:rPr>
                <w:bCs/>
                <w:sz w:val="26"/>
                <w:szCs w:val="26"/>
              </w:rPr>
              <w:t>1</w:t>
            </w:r>
          </w:p>
        </w:tc>
        <w:tc>
          <w:tcPr>
            <w:tcW w:w="5245" w:type="dxa"/>
            <w:tcBorders>
              <w:left w:val="none" w:sz="0"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AE1237" w:rsidRPr="00FC6267" w:rsidRDefault="00AE1237" w:rsidP="00F34D0E">
            <w:pPr>
              <w:spacing w:line="276" w:lineRule="auto"/>
              <w:jc w:val="both"/>
              <w:rPr>
                <w:bCs/>
                <w:sz w:val="26"/>
                <w:szCs w:val="26"/>
              </w:rPr>
            </w:pPr>
            <w:r w:rsidRPr="00FC6267">
              <w:rPr>
                <w:bCs/>
                <w:sz w:val="26"/>
                <w:szCs w:val="26"/>
              </w:rPr>
              <w:t>Nhượng quyền khai thác nhà ga hành khách quốc tế</w:t>
            </w:r>
          </w:p>
        </w:tc>
        <w:tc>
          <w:tcPr>
            <w:tcW w:w="1559" w:type="dxa"/>
            <w:tcBorders>
              <w:top w:val="single" w:sz="8" w:space="0" w:color="000000"/>
              <w:left w:val="none" w:sz="0"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AE1237" w:rsidRPr="00FC6267" w:rsidRDefault="00AE1237" w:rsidP="00F34D0E">
            <w:pPr>
              <w:spacing w:line="276" w:lineRule="auto"/>
              <w:jc w:val="center"/>
              <w:rPr>
                <w:bCs/>
                <w:sz w:val="26"/>
                <w:szCs w:val="26"/>
              </w:rPr>
            </w:pPr>
            <w:r w:rsidRPr="00FC6267">
              <w:rPr>
                <w:bCs/>
                <w:sz w:val="26"/>
                <w:szCs w:val="26"/>
              </w:rPr>
              <w:t>15%</w:t>
            </w:r>
          </w:p>
        </w:tc>
        <w:tc>
          <w:tcPr>
            <w:tcW w:w="1559" w:type="dxa"/>
            <w:tcBorders>
              <w:top w:val="single" w:sz="8" w:space="0" w:color="000000"/>
              <w:left w:val="none" w:sz="0" w:space="0" w:color="000000"/>
              <w:bottom w:val="single" w:sz="4" w:space="0" w:color="auto"/>
              <w:right w:val="single" w:sz="8" w:space="0" w:color="000000"/>
              <w:tl2br w:val="nil"/>
              <w:tr2bl w:val="nil"/>
            </w:tcBorders>
            <w:vAlign w:val="center"/>
          </w:tcPr>
          <w:p w:rsidR="00AE1237" w:rsidRPr="00FC6267" w:rsidRDefault="00AE1237" w:rsidP="00F34D0E">
            <w:pPr>
              <w:spacing w:line="276" w:lineRule="auto"/>
              <w:jc w:val="center"/>
              <w:rPr>
                <w:bCs/>
                <w:sz w:val="26"/>
                <w:szCs w:val="26"/>
              </w:rPr>
            </w:pPr>
            <w:r w:rsidRPr="00FC6267">
              <w:rPr>
                <w:bCs/>
                <w:sz w:val="26"/>
                <w:szCs w:val="26"/>
              </w:rPr>
              <w:t>24%</w:t>
            </w:r>
          </w:p>
        </w:tc>
      </w:tr>
      <w:tr w:rsidR="00AE1237" w:rsidRPr="00FC6267" w:rsidTr="00F34D0E">
        <w:tblPrEx>
          <w:tblBorders>
            <w:top w:val="none" w:sz="0" w:space="0" w:color="auto"/>
            <w:bottom w:val="none" w:sz="0" w:space="0" w:color="auto"/>
            <w:insideH w:val="none" w:sz="0" w:space="0" w:color="auto"/>
            <w:insideV w:val="none" w:sz="0" w:space="0" w:color="auto"/>
          </w:tblBorders>
        </w:tblPrEx>
        <w:tc>
          <w:tcPr>
            <w:tcW w:w="709" w:type="dxa"/>
            <w:tcBorders>
              <w:top w:val="single" w:sz="4" w:space="0" w:color="auto"/>
              <w:left w:val="single" w:sz="8" w:space="0" w:color="000000"/>
              <w:bottom w:val="single" w:sz="8" w:space="0" w:color="000000"/>
              <w:right w:val="single" w:sz="8" w:space="0" w:color="000000"/>
              <w:tl2br w:val="nil"/>
              <w:tr2bl w:val="nil"/>
            </w:tcBorders>
            <w:shd w:val="clear" w:color="auto" w:fill="auto"/>
            <w:tcMar>
              <w:top w:w="0" w:type="dxa"/>
              <w:left w:w="28" w:type="dxa"/>
              <w:bottom w:w="0" w:type="dxa"/>
              <w:right w:w="28" w:type="dxa"/>
            </w:tcMar>
            <w:vAlign w:val="center"/>
          </w:tcPr>
          <w:p w:rsidR="00AE1237" w:rsidRPr="00FC6267" w:rsidRDefault="00AE1237" w:rsidP="00F34D0E">
            <w:pPr>
              <w:spacing w:line="276" w:lineRule="auto"/>
              <w:jc w:val="center"/>
              <w:rPr>
                <w:sz w:val="26"/>
                <w:szCs w:val="26"/>
              </w:rPr>
            </w:pPr>
            <w:r w:rsidRPr="00FC6267">
              <w:rPr>
                <w:sz w:val="26"/>
                <w:szCs w:val="26"/>
              </w:rPr>
              <w:t>2</w:t>
            </w:r>
          </w:p>
        </w:tc>
        <w:tc>
          <w:tcPr>
            <w:tcW w:w="5245" w:type="dxa"/>
            <w:tcBorders>
              <w:top w:val="single" w:sz="4" w:space="0" w:color="auto"/>
              <w:left w:val="nil"/>
              <w:bottom w:val="single" w:sz="8" w:space="0" w:color="000000"/>
              <w:right w:val="single" w:sz="4" w:space="0" w:color="auto"/>
              <w:tl2br w:val="nil"/>
              <w:tr2bl w:val="nil"/>
            </w:tcBorders>
            <w:shd w:val="clear" w:color="auto" w:fill="auto"/>
            <w:tcMar>
              <w:top w:w="0" w:type="dxa"/>
              <w:left w:w="28" w:type="dxa"/>
              <w:bottom w:w="0" w:type="dxa"/>
              <w:right w:w="28" w:type="dxa"/>
            </w:tcMar>
            <w:vAlign w:val="center"/>
          </w:tcPr>
          <w:p w:rsidR="00AE1237" w:rsidRPr="00FC6267" w:rsidRDefault="00AE1237" w:rsidP="00F34D0E">
            <w:pPr>
              <w:spacing w:line="276" w:lineRule="auto"/>
              <w:ind w:left="65"/>
              <w:jc w:val="both"/>
              <w:rPr>
                <w:sz w:val="26"/>
                <w:szCs w:val="26"/>
              </w:rPr>
            </w:pPr>
            <w:r w:rsidRPr="00FC6267">
              <w:rPr>
                <w:sz w:val="26"/>
                <w:szCs w:val="26"/>
              </w:rPr>
              <w:t xml:space="preserve">Nhượng quyền khai thác nhà ga, kho hàng hoá  </w:t>
            </w:r>
          </w:p>
        </w:tc>
        <w:tc>
          <w:tcPr>
            <w:tcW w:w="1559" w:type="dxa"/>
            <w:tcBorders>
              <w:top w:val="single" w:sz="4" w:space="0" w:color="auto"/>
              <w:left w:val="single" w:sz="4" w:space="0" w:color="auto"/>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AE1237" w:rsidRPr="00FC6267" w:rsidRDefault="00AE1237" w:rsidP="00F34D0E">
            <w:pPr>
              <w:spacing w:line="276" w:lineRule="auto"/>
              <w:jc w:val="center"/>
              <w:rPr>
                <w:sz w:val="26"/>
                <w:szCs w:val="26"/>
              </w:rPr>
            </w:pPr>
            <w:r w:rsidRPr="00FC6267">
              <w:rPr>
                <w:sz w:val="26"/>
                <w:szCs w:val="26"/>
              </w:rPr>
              <w:t>1,5%</w:t>
            </w:r>
          </w:p>
        </w:tc>
        <w:tc>
          <w:tcPr>
            <w:tcW w:w="1559" w:type="dxa"/>
            <w:tcBorders>
              <w:top w:val="single" w:sz="4" w:space="0" w:color="auto"/>
              <w:left w:val="nil"/>
              <w:bottom w:val="single" w:sz="4" w:space="0" w:color="auto"/>
              <w:right w:val="single" w:sz="4" w:space="0" w:color="auto"/>
              <w:tl2br w:val="nil"/>
              <w:tr2bl w:val="nil"/>
            </w:tcBorders>
            <w:vAlign w:val="center"/>
          </w:tcPr>
          <w:p w:rsidR="00AE1237" w:rsidRPr="00FC6267" w:rsidRDefault="00AE1237" w:rsidP="00F34D0E">
            <w:pPr>
              <w:spacing w:line="276" w:lineRule="auto"/>
              <w:jc w:val="center"/>
              <w:rPr>
                <w:bCs/>
                <w:sz w:val="26"/>
                <w:szCs w:val="26"/>
              </w:rPr>
            </w:pPr>
            <w:r w:rsidRPr="00FC6267">
              <w:rPr>
                <w:bCs/>
                <w:sz w:val="26"/>
                <w:szCs w:val="26"/>
              </w:rPr>
              <w:t>4,5%</w:t>
            </w:r>
          </w:p>
        </w:tc>
      </w:tr>
      <w:tr w:rsidR="00AE1237" w:rsidRPr="00FC6267" w:rsidTr="00F34D0E">
        <w:tblPrEx>
          <w:tblBorders>
            <w:top w:val="none" w:sz="0" w:space="0" w:color="auto"/>
            <w:bottom w:val="none" w:sz="0" w:space="0" w:color="auto"/>
            <w:insideH w:val="none" w:sz="0" w:space="0" w:color="auto"/>
            <w:insideV w:val="none" w:sz="0" w:space="0" w:color="auto"/>
          </w:tblBorders>
        </w:tblPrEx>
        <w:tc>
          <w:tcPr>
            <w:tcW w:w="709"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28" w:type="dxa"/>
              <w:bottom w:w="0" w:type="dxa"/>
              <w:right w:w="28" w:type="dxa"/>
            </w:tcMar>
            <w:vAlign w:val="center"/>
          </w:tcPr>
          <w:p w:rsidR="00AE1237" w:rsidRPr="00FC6267" w:rsidRDefault="00AE1237" w:rsidP="00F34D0E">
            <w:pPr>
              <w:spacing w:line="276" w:lineRule="auto"/>
              <w:jc w:val="center"/>
              <w:rPr>
                <w:sz w:val="26"/>
                <w:szCs w:val="26"/>
              </w:rPr>
            </w:pPr>
            <w:r w:rsidRPr="00FC6267">
              <w:rPr>
                <w:sz w:val="26"/>
                <w:szCs w:val="26"/>
              </w:rPr>
              <w:t>3</w:t>
            </w:r>
          </w:p>
        </w:tc>
        <w:tc>
          <w:tcPr>
            <w:tcW w:w="5245" w:type="dxa"/>
            <w:tcBorders>
              <w:top w:val="nil"/>
              <w:left w:val="nil"/>
              <w:bottom w:val="single" w:sz="8" w:space="0" w:color="000000"/>
              <w:right w:val="single" w:sz="8" w:space="0" w:color="000000"/>
              <w:tl2br w:val="nil"/>
              <w:tr2bl w:val="nil"/>
            </w:tcBorders>
            <w:shd w:val="clear" w:color="auto" w:fill="auto"/>
            <w:tcMar>
              <w:top w:w="0" w:type="dxa"/>
              <w:left w:w="28" w:type="dxa"/>
              <w:bottom w:w="0" w:type="dxa"/>
              <w:right w:w="28" w:type="dxa"/>
            </w:tcMar>
            <w:vAlign w:val="center"/>
          </w:tcPr>
          <w:p w:rsidR="00AE1237" w:rsidRPr="00FC6267" w:rsidRDefault="00AE1237" w:rsidP="00F34D0E">
            <w:pPr>
              <w:spacing w:line="276" w:lineRule="auto"/>
              <w:ind w:left="65"/>
              <w:jc w:val="both"/>
              <w:rPr>
                <w:sz w:val="26"/>
                <w:szCs w:val="26"/>
              </w:rPr>
            </w:pPr>
            <w:r w:rsidRPr="00FC6267">
              <w:rPr>
                <w:sz w:val="26"/>
                <w:szCs w:val="26"/>
              </w:rPr>
              <w:t>Nhượng quyền khai thác phục vụ kỹ thuật thương mại mặt đất</w:t>
            </w:r>
          </w:p>
        </w:tc>
        <w:tc>
          <w:tcPr>
            <w:tcW w:w="1559" w:type="dxa"/>
            <w:tcBorders>
              <w:top w:val="single" w:sz="4" w:space="0" w:color="auto"/>
              <w:left w:val="nil"/>
              <w:bottom w:val="single" w:sz="8" w:space="0" w:color="000000"/>
              <w:right w:val="single" w:sz="8" w:space="0" w:color="000000"/>
              <w:tl2br w:val="nil"/>
              <w:tr2bl w:val="nil"/>
            </w:tcBorders>
            <w:shd w:val="clear" w:color="auto" w:fill="auto"/>
            <w:tcMar>
              <w:top w:w="0" w:type="dxa"/>
              <w:left w:w="28" w:type="dxa"/>
              <w:bottom w:w="0" w:type="dxa"/>
              <w:right w:w="28" w:type="dxa"/>
            </w:tcMar>
            <w:vAlign w:val="center"/>
          </w:tcPr>
          <w:p w:rsidR="00AE1237" w:rsidRPr="00FC6267" w:rsidRDefault="00AE1237" w:rsidP="00F34D0E">
            <w:pPr>
              <w:spacing w:line="276" w:lineRule="auto"/>
              <w:jc w:val="center"/>
              <w:rPr>
                <w:sz w:val="26"/>
                <w:szCs w:val="26"/>
              </w:rPr>
            </w:pPr>
            <w:r w:rsidRPr="00FC6267">
              <w:rPr>
                <w:sz w:val="26"/>
                <w:szCs w:val="26"/>
              </w:rPr>
              <w:t>1,5%</w:t>
            </w:r>
          </w:p>
        </w:tc>
        <w:tc>
          <w:tcPr>
            <w:tcW w:w="1559" w:type="dxa"/>
            <w:tcBorders>
              <w:top w:val="single" w:sz="4" w:space="0" w:color="auto"/>
              <w:left w:val="nil"/>
              <w:bottom w:val="single" w:sz="8" w:space="0" w:color="000000"/>
              <w:right w:val="single" w:sz="8" w:space="0" w:color="000000"/>
              <w:tl2br w:val="nil"/>
              <w:tr2bl w:val="nil"/>
            </w:tcBorders>
            <w:vAlign w:val="center"/>
          </w:tcPr>
          <w:p w:rsidR="00AE1237" w:rsidRPr="00FC6267" w:rsidRDefault="00AE1237" w:rsidP="00F34D0E">
            <w:pPr>
              <w:spacing w:line="276" w:lineRule="auto"/>
              <w:jc w:val="center"/>
              <w:rPr>
                <w:bCs/>
                <w:sz w:val="26"/>
                <w:szCs w:val="26"/>
              </w:rPr>
            </w:pPr>
            <w:r w:rsidRPr="00FC6267">
              <w:rPr>
                <w:bCs/>
                <w:sz w:val="26"/>
                <w:szCs w:val="26"/>
              </w:rPr>
              <w:t>4,5%</w:t>
            </w:r>
          </w:p>
        </w:tc>
      </w:tr>
      <w:tr w:rsidR="00AE1237" w:rsidRPr="00FC6267" w:rsidTr="00F34D0E">
        <w:tblPrEx>
          <w:tblBorders>
            <w:top w:val="none" w:sz="0" w:space="0" w:color="auto"/>
            <w:bottom w:val="none" w:sz="0" w:space="0" w:color="auto"/>
            <w:insideH w:val="none" w:sz="0" w:space="0" w:color="auto"/>
            <w:insideV w:val="none" w:sz="0" w:space="0" w:color="auto"/>
          </w:tblBorders>
        </w:tblPrEx>
        <w:trPr>
          <w:trHeight w:val="1498"/>
        </w:trPr>
        <w:tc>
          <w:tcPr>
            <w:tcW w:w="709" w:type="dxa"/>
            <w:tcBorders>
              <w:top w:val="none" w:sz="0" w:space="0" w:color="000000"/>
              <w:left w:val="single" w:sz="8"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AE1237" w:rsidRPr="00FC6267" w:rsidRDefault="00AE1237" w:rsidP="00F34D0E">
            <w:pPr>
              <w:spacing w:line="276" w:lineRule="auto"/>
              <w:jc w:val="center"/>
              <w:rPr>
                <w:sz w:val="26"/>
                <w:szCs w:val="26"/>
              </w:rPr>
            </w:pPr>
            <w:r w:rsidRPr="00FC6267">
              <w:rPr>
                <w:sz w:val="26"/>
                <w:szCs w:val="26"/>
              </w:rPr>
              <w:t>4</w:t>
            </w:r>
          </w:p>
        </w:tc>
        <w:tc>
          <w:tcPr>
            <w:tcW w:w="5245" w:type="dxa"/>
            <w:tcBorders>
              <w:top w:val="nil"/>
              <w:left w:val="nil"/>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AE1237" w:rsidRPr="00FC6267" w:rsidRDefault="00AE1237" w:rsidP="00F34D0E">
            <w:pPr>
              <w:widowControl w:val="0"/>
              <w:spacing w:line="276" w:lineRule="auto"/>
              <w:jc w:val="both"/>
              <w:rPr>
                <w:sz w:val="26"/>
                <w:szCs w:val="26"/>
              </w:rPr>
            </w:pPr>
            <w:r w:rsidRPr="00FC6267">
              <w:rPr>
                <w:sz w:val="26"/>
                <w:szCs w:val="26"/>
              </w:rPr>
              <w:t xml:space="preserve">Nhượng quyền khai thác </w:t>
            </w:r>
            <w:r w:rsidRPr="00FC6267">
              <w:rPr>
                <w:sz w:val="26"/>
                <w:szCs w:val="26"/>
                <w:lang w:val="vi-VN"/>
              </w:rPr>
              <w:t>sửa chữa, bảo dưỡng phương tiện, trang thiết bị hàng không</w:t>
            </w:r>
            <w:r w:rsidRPr="00FC6267">
              <w:rPr>
                <w:sz w:val="26"/>
                <w:szCs w:val="26"/>
              </w:rPr>
              <w:t xml:space="preserve"> tại sân đỗ tàu bay hoặc khu vực thuộc quản lý của người khai thác cảng hàng không</w:t>
            </w:r>
          </w:p>
        </w:tc>
        <w:tc>
          <w:tcPr>
            <w:tcW w:w="1559" w:type="dxa"/>
            <w:tcBorders>
              <w:top w:val="nil"/>
              <w:left w:val="nil"/>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AE1237" w:rsidRPr="00FC6267" w:rsidRDefault="00AE1237" w:rsidP="00F34D0E">
            <w:pPr>
              <w:spacing w:line="276" w:lineRule="auto"/>
              <w:jc w:val="center"/>
              <w:rPr>
                <w:sz w:val="26"/>
                <w:szCs w:val="26"/>
              </w:rPr>
            </w:pPr>
            <w:r w:rsidRPr="00FC6267">
              <w:rPr>
                <w:sz w:val="26"/>
                <w:szCs w:val="26"/>
              </w:rPr>
              <w:t>1%</w:t>
            </w:r>
          </w:p>
        </w:tc>
        <w:tc>
          <w:tcPr>
            <w:tcW w:w="1559" w:type="dxa"/>
            <w:tcBorders>
              <w:top w:val="nil"/>
              <w:left w:val="nil"/>
              <w:bottom w:val="single" w:sz="4" w:space="0" w:color="auto"/>
              <w:right w:val="single" w:sz="8" w:space="0" w:color="000000"/>
              <w:tl2br w:val="nil"/>
              <w:tr2bl w:val="nil"/>
            </w:tcBorders>
            <w:vAlign w:val="center"/>
          </w:tcPr>
          <w:p w:rsidR="00AE1237" w:rsidRPr="00FC6267" w:rsidRDefault="00AE1237" w:rsidP="00F34D0E">
            <w:pPr>
              <w:spacing w:line="276" w:lineRule="auto"/>
              <w:jc w:val="center"/>
              <w:rPr>
                <w:bCs/>
                <w:sz w:val="26"/>
                <w:szCs w:val="26"/>
              </w:rPr>
            </w:pPr>
            <w:r w:rsidRPr="00FC6267">
              <w:rPr>
                <w:bCs/>
                <w:sz w:val="26"/>
                <w:szCs w:val="26"/>
              </w:rPr>
              <w:t>3%</w:t>
            </w:r>
          </w:p>
        </w:tc>
      </w:tr>
      <w:tr w:rsidR="00AE1237" w:rsidRPr="00FC6267" w:rsidTr="00F34D0E">
        <w:tblPrEx>
          <w:tblBorders>
            <w:top w:val="none" w:sz="0" w:space="0" w:color="auto"/>
            <w:bottom w:val="none" w:sz="0" w:space="0" w:color="auto"/>
            <w:insideH w:val="none" w:sz="0" w:space="0" w:color="auto"/>
            <w:insideV w:val="none" w:sz="0" w:space="0" w:color="auto"/>
          </w:tblBorders>
        </w:tblPrEx>
        <w:trPr>
          <w:trHeight w:val="1393"/>
        </w:trPr>
        <w:tc>
          <w:tcPr>
            <w:tcW w:w="709" w:type="dxa"/>
            <w:tcBorders>
              <w:top w:val="single" w:sz="4" w:space="0" w:color="auto"/>
              <w:left w:val="single" w:sz="8"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AE1237" w:rsidRPr="00FC6267" w:rsidRDefault="00AE1237" w:rsidP="00F34D0E">
            <w:pPr>
              <w:spacing w:line="276" w:lineRule="auto"/>
              <w:jc w:val="center"/>
              <w:rPr>
                <w:sz w:val="26"/>
                <w:szCs w:val="26"/>
              </w:rPr>
            </w:pPr>
            <w:r w:rsidRPr="00FC6267">
              <w:rPr>
                <w:sz w:val="26"/>
                <w:szCs w:val="26"/>
              </w:rPr>
              <w:lastRenderedPageBreak/>
              <w:t>5</w:t>
            </w:r>
          </w:p>
        </w:tc>
        <w:tc>
          <w:tcPr>
            <w:tcW w:w="5245" w:type="dxa"/>
            <w:tcBorders>
              <w:top w:val="single" w:sz="4" w:space="0" w:color="auto"/>
              <w:left w:val="nil"/>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AE1237" w:rsidRPr="00FC6267" w:rsidRDefault="00AE1237" w:rsidP="00F34D0E">
            <w:pPr>
              <w:spacing w:line="276" w:lineRule="auto"/>
              <w:ind w:left="65"/>
              <w:jc w:val="both"/>
              <w:rPr>
                <w:sz w:val="26"/>
                <w:szCs w:val="26"/>
              </w:rPr>
            </w:pPr>
            <w:r w:rsidRPr="00FC6267">
              <w:rPr>
                <w:sz w:val="26"/>
                <w:szCs w:val="26"/>
              </w:rPr>
              <w:t>Nhượng quyền khai thác kỹ thuật hàng không tại sân đỗ hoặc khu vực thuộc quản lý của người khai thác cảng hàng không</w:t>
            </w:r>
          </w:p>
        </w:tc>
        <w:tc>
          <w:tcPr>
            <w:tcW w:w="1559" w:type="dxa"/>
            <w:tcBorders>
              <w:top w:val="single" w:sz="4" w:space="0" w:color="auto"/>
              <w:left w:val="nil"/>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AE1237" w:rsidRPr="00FC6267" w:rsidRDefault="00AE1237" w:rsidP="00F34D0E">
            <w:pPr>
              <w:spacing w:line="276" w:lineRule="auto"/>
              <w:jc w:val="center"/>
              <w:rPr>
                <w:sz w:val="26"/>
                <w:szCs w:val="26"/>
              </w:rPr>
            </w:pPr>
            <w:r w:rsidRPr="00FC6267">
              <w:rPr>
                <w:sz w:val="26"/>
                <w:szCs w:val="26"/>
              </w:rPr>
              <w:t>1%</w:t>
            </w:r>
          </w:p>
        </w:tc>
        <w:tc>
          <w:tcPr>
            <w:tcW w:w="1559" w:type="dxa"/>
            <w:tcBorders>
              <w:top w:val="single" w:sz="4" w:space="0" w:color="auto"/>
              <w:left w:val="nil"/>
              <w:bottom w:val="single" w:sz="4" w:space="0" w:color="auto"/>
              <w:right w:val="single" w:sz="8" w:space="0" w:color="000000"/>
              <w:tl2br w:val="nil"/>
              <w:tr2bl w:val="nil"/>
            </w:tcBorders>
            <w:vAlign w:val="center"/>
          </w:tcPr>
          <w:p w:rsidR="00AE1237" w:rsidRPr="00FC6267" w:rsidRDefault="00AE1237" w:rsidP="00F34D0E">
            <w:pPr>
              <w:spacing w:line="276" w:lineRule="auto"/>
              <w:jc w:val="center"/>
              <w:rPr>
                <w:bCs/>
                <w:sz w:val="26"/>
                <w:szCs w:val="26"/>
              </w:rPr>
            </w:pPr>
            <w:r w:rsidRPr="00FC6267">
              <w:rPr>
                <w:bCs/>
                <w:sz w:val="26"/>
                <w:szCs w:val="26"/>
              </w:rPr>
              <w:t>3%</w:t>
            </w:r>
          </w:p>
        </w:tc>
      </w:tr>
      <w:tr w:rsidR="00AE1237" w:rsidRPr="00FC6267" w:rsidTr="00F34D0E">
        <w:tblPrEx>
          <w:tblBorders>
            <w:top w:val="none" w:sz="0" w:space="0" w:color="auto"/>
            <w:bottom w:val="none" w:sz="0" w:space="0" w:color="auto"/>
            <w:insideH w:val="none" w:sz="0" w:space="0" w:color="auto"/>
            <w:insideV w:val="none" w:sz="0" w:space="0" w:color="auto"/>
          </w:tblBorders>
        </w:tblPrEx>
        <w:trPr>
          <w:trHeight w:val="488"/>
        </w:trPr>
        <w:tc>
          <w:tcPr>
            <w:tcW w:w="709" w:type="dxa"/>
            <w:tcBorders>
              <w:top w:val="single" w:sz="4" w:space="0" w:color="auto"/>
              <w:left w:val="single" w:sz="8"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AE1237" w:rsidRPr="00FC6267" w:rsidRDefault="00AE1237" w:rsidP="00F34D0E">
            <w:pPr>
              <w:spacing w:line="276" w:lineRule="auto"/>
              <w:jc w:val="center"/>
              <w:rPr>
                <w:sz w:val="26"/>
                <w:szCs w:val="26"/>
              </w:rPr>
            </w:pPr>
            <w:r w:rsidRPr="00FC6267">
              <w:rPr>
                <w:sz w:val="26"/>
                <w:szCs w:val="26"/>
              </w:rPr>
              <w:t>6</w:t>
            </w:r>
          </w:p>
        </w:tc>
        <w:tc>
          <w:tcPr>
            <w:tcW w:w="5245" w:type="dxa"/>
            <w:tcBorders>
              <w:top w:val="single" w:sz="4" w:space="0" w:color="auto"/>
              <w:left w:val="nil"/>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AE1237" w:rsidRPr="00FC6267" w:rsidRDefault="00AE1237" w:rsidP="00F34D0E">
            <w:pPr>
              <w:spacing w:line="276" w:lineRule="auto"/>
              <w:ind w:left="65"/>
              <w:jc w:val="both"/>
              <w:rPr>
                <w:sz w:val="26"/>
                <w:szCs w:val="26"/>
              </w:rPr>
            </w:pPr>
            <w:r w:rsidRPr="00FC6267">
              <w:rPr>
                <w:sz w:val="26"/>
                <w:szCs w:val="26"/>
              </w:rPr>
              <w:t xml:space="preserve">Nhượng quyền khai thác cung cấp suất ăn hàng không  </w:t>
            </w:r>
          </w:p>
        </w:tc>
        <w:tc>
          <w:tcPr>
            <w:tcW w:w="1559" w:type="dxa"/>
            <w:tcBorders>
              <w:top w:val="single" w:sz="4" w:space="0" w:color="auto"/>
              <w:left w:val="nil"/>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rsidR="00AE1237" w:rsidRPr="00FC6267" w:rsidRDefault="00AE1237" w:rsidP="00F34D0E">
            <w:pPr>
              <w:spacing w:line="276" w:lineRule="auto"/>
              <w:jc w:val="center"/>
              <w:rPr>
                <w:sz w:val="26"/>
                <w:szCs w:val="26"/>
              </w:rPr>
            </w:pPr>
            <w:r w:rsidRPr="00FC6267">
              <w:rPr>
                <w:sz w:val="26"/>
                <w:szCs w:val="26"/>
              </w:rPr>
              <w:t>75.000 đồng/chuyến bay</w:t>
            </w:r>
          </w:p>
        </w:tc>
        <w:tc>
          <w:tcPr>
            <w:tcW w:w="1559" w:type="dxa"/>
            <w:tcBorders>
              <w:top w:val="single" w:sz="4" w:space="0" w:color="auto"/>
              <w:left w:val="nil"/>
              <w:bottom w:val="single" w:sz="4" w:space="0" w:color="auto"/>
              <w:right w:val="single" w:sz="8" w:space="0" w:color="000000"/>
              <w:tl2br w:val="nil"/>
              <w:tr2bl w:val="nil"/>
            </w:tcBorders>
            <w:vAlign w:val="center"/>
          </w:tcPr>
          <w:p w:rsidR="00AE1237" w:rsidRPr="00FC6267" w:rsidRDefault="00AE1237" w:rsidP="00F34D0E">
            <w:pPr>
              <w:spacing w:line="276" w:lineRule="auto"/>
              <w:jc w:val="center"/>
              <w:rPr>
                <w:bCs/>
                <w:sz w:val="26"/>
                <w:szCs w:val="26"/>
              </w:rPr>
            </w:pPr>
            <w:r w:rsidRPr="00FC6267">
              <w:rPr>
                <w:bCs/>
                <w:sz w:val="26"/>
                <w:szCs w:val="26"/>
              </w:rPr>
              <w:t>225.000 đồng/chuyến bay</w:t>
            </w:r>
          </w:p>
        </w:tc>
      </w:tr>
      <w:tr w:rsidR="00AE1237" w:rsidRPr="00FC6267" w:rsidTr="00F34D0E">
        <w:tblPrEx>
          <w:tblBorders>
            <w:top w:val="none" w:sz="0" w:space="0" w:color="auto"/>
            <w:bottom w:val="none" w:sz="0" w:space="0" w:color="auto"/>
            <w:insideH w:val="none" w:sz="0" w:space="0" w:color="auto"/>
            <w:insideV w:val="none" w:sz="0" w:space="0" w:color="auto"/>
          </w:tblBorders>
        </w:tblPrEx>
        <w:trPr>
          <w:trHeight w:val="696"/>
        </w:trPr>
        <w:tc>
          <w:tcPr>
            <w:tcW w:w="709" w:type="dxa"/>
            <w:tcBorders>
              <w:top w:val="single" w:sz="4" w:space="0" w:color="auto"/>
              <w:left w:val="single" w:sz="8" w:space="0" w:color="000000"/>
              <w:bottom w:val="single" w:sz="8" w:space="0" w:color="000000"/>
              <w:right w:val="single" w:sz="8" w:space="0" w:color="000000"/>
              <w:tl2br w:val="nil"/>
              <w:tr2bl w:val="nil"/>
            </w:tcBorders>
            <w:shd w:val="clear" w:color="auto" w:fill="auto"/>
            <w:tcMar>
              <w:top w:w="0" w:type="dxa"/>
              <w:left w:w="28" w:type="dxa"/>
              <w:bottom w:w="0" w:type="dxa"/>
              <w:right w:w="28" w:type="dxa"/>
            </w:tcMar>
            <w:vAlign w:val="center"/>
          </w:tcPr>
          <w:p w:rsidR="00AE1237" w:rsidRPr="00FC6267" w:rsidRDefault="00AE1237" w:rsidP="00F34D0E">
            <w:pPr>
              <w:spacing w:line="276" w:lineRule="auto"/>
              <w:jc w:val="center"/>
              <w:rPr>
                <w:sz w:val="26"/>
                <w:szCs w:val="26"/>
              </w:rPr>
            </w:pPr>
            <w:r w:rsidRPr="00FC6267">
              <w:rPr>
                <w:sz w:val="26"/>
                <w:szCs w:val="26"/>
              </w:rPr>
              <w:t>7</w:t>
            </w:r>
          </w:p>
        </w:tc>
        <w:tc>
          <w:tcPr>
            <w:tcW w:w="5245" w:type="dxa"/>
            <w:tcBorders>
              <w:top w:val="single" w:sz="4" w:space="0" w:color="auto"/>
              <w:left w:val="nil"/>
              <w:bottom w:val="single" w:sz="8" w:space="0" w:color="000000"/>
              <w:right w:val="single" w:sz="8" w:space="0" w:color="000000"/>
              <w:tl2br w:val="nil"/>
              <w:tr2bl w:val="nil"/>
            </w:tcBorders>
            <w:shd w:val="clear" w:color="auto" w:fill="auto"/>
            <w:tcMar>
              <w:top w:w="0" w:type="dxa"/>
              <w:left w:w="28" w:type="dxa"/>
              <w:bottom w:w="0" w:type="dxa"/>
              <w:right w:w="28" w:type="dxa"/>
            </w:tcMar>
            <w:vAlign w:val="center"/>
          </w:tcPr>
          <w:p w:rsidR="00AE1237" w:rsidRPr="00FC6267" w:rsidRDefault="00AE1237" w:rsidP="00F34D0E">
            <w:pPr>
              <w:spacing w:line="276" w:lineRule="auto"/>
              <w:ind w:left="65"/>
              <w:jc w:val="both"/>
              <w:rPr>
                <w:sz w:val="26"/>
                <w:szCs w:val="26"/>
              </w:rPr>
            </w:pPr>
            <w:r w:rsidRPr="00FC6267">
              <w:rPr>
                <w:sz w:val="26"/>
                <w:szCs w:val="26"/>
              </w:rPr>
              <w:t xml:space="preserve">Nhượng quyền khai thác cung cấp xăng dầu hàng không </w:t>
            </w:r>
          </w:p>
        </w:tc>
        <w:tc>
          <w:tcPr>
            <w:tcW w:w="1559" w:type="dxa"/>
            <w:tcBorders>
              <w:top w:val="single" w:sz="4" w:space="0" w:color="auto"/>
              <w:left w:val="nil"/>
              <w:bottom w:val="single" w:sz="8" w:space="0" w:color="000000"/>
              <w:right w:val="single" w:sz="8" w:space="0" w:color="000000"/>
              <w:tl2br w:val="nil"/>
              <w:tr2bl w:val="nil"/>
            </w:tcBorders>
            <w:shd w:val="clear" w:color="auto" w:fill="auto"/>
            <w:tcMar>
              <w:top w:w="0" w:type="dxa"/>
              <w:left w:w="28" w:type="dxa"/>
              <w:bottom w:w="0" w:type="dxa"/>
              <w:right w:w="28" w:type="dxa"/>
            </w:tcMar>
            <w:vAlign w:val="center"/>
          </w:tcPr>
          <w:p w:rsidR="00AE1237" w:rsidRPr="00FC6267" w:rsidRDefault="00AE1237" w:rsidP="00F34D0E">
            <w:pPr>
              <w:spacing w:line="276" w:lineRule="auto"/>
              <w:jc w:val="center"/>
              <w:rPr>
                <w:sz w:val="26"/>
                <w:szCs w:val="26"/>
              </w:rPr>
            </w:pPr>
            <w:r w:rsidRPr="00FC6267">
              <w:rPr>
                <w:sz w:val="26"/>
                <w:szCs w:val="26"/>
              </w:rPr>
              <w:t>1,2 USD/tấn</w:t>
            </w:r>
          </w:p>
        </w:tc>
        <w:tc>
          <w:tcPr>
            <w:tcW w:w="1559" w:type="dxa"/>
            <w:tcBorders>
              <w:top w:val="single" w:sz="4" w:space="0" w:color="auto"/>
              <w:left w:val="nil"/>
              <w:bottom w:val="single" w:sz="8" w:space="0" w:color="000000"/>
              <w:right w:val="single" w:sz="8" w:space="0" w:color="000000"/>
              <w:tl2br w:val="nil"/>
              <w:tr2bl w:val="nil"/>
            </w:tcBorders>
            <w:vAlign w:val="center"/>
          </w:tcPr>
          <w:p w:rsidR="00AE1237" w:rsidRPr="00FC6267" w:rsidRDefault="00AE1237" w:rsidP="00F34D0E">
            <w:pPr>
              <w:spacing w:line="276" w:lineRule="auto"/>
              <w:jc w:val="center"/>
              <w:rPr>
                <w:bCs/>
                <w:sz w:val="26"/>
                <w:szCs w:val="26"/>
              </w:rPr>
            </w:pPr>
            <w:r w:rsidRPr="00FC6267">
              <w:rPr>
                <w:bCs/>
                <w:sz w:val="26"/>
                <w:szCs w:val="26"/>
              </w:rPr>
              <w:t>3,6 USD/tấn</w:t>
            </w:r>
          </w:p>
        </w:tc>
      </w:tr>
    </w:tbl>
    <w:p w:rsidR="00AB1CBE" w:rsidRPr="00AB1CBE" w:rsidRDefault="00AB1CBE" w:rsidP="003E31FA">
      <w:pPr>
        <w:pStyle w:val="ListParagraph"/>
        <w:numPr>
          <w:ilvl w:val="0"/>
          <w:numId w:val="26"/>
        </w:numPr>
        <w:tabs>
          <w:tab w:val="left" w:pos="567"/>
          <w:tab w:val="left" w:pos="851"/>
        </w:tabs>
        <w:spacing w:before="60" w:after="60" w:line="276" w:lineRule="auto"/>
        <w:ind w:firstLine="207"/>
        <w:jc w:val="both"/>
        <w:rPr>
          <w:bCs/>
        </w:rPr>
      </w:pPr>
      <w:r>
        <w:rPr>
          <w:bCs/>
        </w:rPr>
        <w:t xml:space="preserve"> </w:t>
      </w:r>
      <w:r w:rsidRPr="00AB1CBE">
        <w:rPr>
          <w:bCs/>
        </w:rPr>
        <w:t>Đánh giá tác động tới chỉ số giá tiêu dùng</w:t>
      </w:r>
    </w:p>
    <w:p w:rsidR="00715451" w:rsidRPr="00D261DF" w:rsidRDefault="00AB1CBE" w:rsidP="003E31FA">
      <w:pPr>
        <w:tabs>
          <w:tab w:val="left" w:pos="567"/>
        </w:tabs>
        <w:spacing w:before="60" w:after="60" w:line="276" w:lineRule="auto"/>
        <w:jc w:val="both"/>
        <w:rPr>
          <w:bCs/>
        </w:rPr>
      </w:pPr>
      <w:r>
        <w:rPr>
          <w:bCs/>
        </w:rPr>
        <w:tab/>
      </w:r>
      <w:r w:rsidRPr="00D261DF">
        <w:rPr>
          <w:bCs/>
        </w:rPr>
        <w:t>Phúc đáp công văn số 5994/CHK-TC ngày 21/12/2021 của Cục HKVN, Tổng Cục Thống kê đã có văn bản số 19/TCTK-TKG ngày 06/01/2022, trong đó nêu ý kiến như sau: “</w:t>
      </w:r>
      <w:r w:rsidRPr="00D261DF">
        <w:rPr>
          <w:bCs/>
          <w:i/>
        </w:rPr>
        <w:t xml:space="preserve">Danh mục các dịch vụ </w:t>
      </w:r>
      <w:bookmarkStart w:id="0" w:name="_GoBack"/>
      <w:bookmarkEnd w:id="0"/>
      <w:r w:rsidRPr="00D261DF">
        <w:rPr>
          <w:bCs/>
          <w:i/>
        </w:rPr>
        <w:t>trong khung giá nhượng quyền khai thác dịch vụ hàng không không thuộc danh mục hàng hóa và dịch vụ biên soạn chỉ số giá tiêu dùng năm 2022</w:t>
      </w:r>
      <w:r w:rsidRPr="00D261DF">
        <w:rPr>
          <w:bCs/>
        </w:rPr>
        <w:t>”</w:t>
      </w:r>
      <w:proofErr w:type="gramStart"/>
      <w:r w:rsidRPr="00D261DF">
        <w:rPr>
          <w:bCs/>
        </w:rPr>
        <w:t>.</w:t>
      </w:r>
      <w:r w:rsidR="00715451">
        <w:rPr>
          <w:bCs/>
        </w:rPr>
        <w:t>/</w:t>
      </w:r>
      <w:proofErr w:type="gramEnd"/>
      <w:r w:rsidR="00715451">
        <w:rPr>
          <w:bCs/>
        </w:rPr>
        <w:t>.</w:t>
      </w:r>
    </w:p>
    <w:p w:rsidR="00AE34E4" w:rsidRPr="00BB0F8F" w:rsidRDefault="00BB0F8F" w:rsidP="00BB0F8F">
      <w:pPr>
        <w:jc w:val="right"/>
        <w:rPr>
          <w:b/>
          <w:lang w:val="vi-VN"/>
        </w:rPr>
      </w:pPr>
      <w:r w:rsidRPr="00BB0F8F">
        <w:rPr>
          <w:b/>
          <w:lang w:val="vi-VN"/>
        </w:rPr>
        <w:t>BỘ GIAO THÔNG VẬN TẢI</w:t>
      </w:r>
    </w:p>
    <w:p w:rsidR="00BB0F8F" w:rsidRPr="00BB0F8F" w:rsidRDefault="00BB0F8F">
      <w:pPr>
        <w:jc w:val="right"/>
        <w:rPr>
          <w:b/>
          <w:lang w:val="vi-VN"/>
        </w:rPr>
      </w:pPr>
    </w:p>
    <w:sectPr w:rsidR="00BB0F8F" w:rsidRPr="00BB0F8F" w:rsidSect="00AB1CBE">
      <w:headerReference w:type="default" r:id="rId9"/>
      <w:footerReference w:type="default" r:id="rId10"/>
      <w:pgSz w:w="11907" w:h="16840" w:code="9"/>
      <w:pgMar w:top="1134" w:right="1134" w:bottom="851" w:left="1701" w:header="68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0B5" w:rsidRDefault="005660B5" w:rsidP="002B3DC3">
      <w:r>
        <w:separator/>
      </w:r>
    </w:p>
  </w:endnote>
  <w:endnote w:type="continuationSeparator" w:id="0">
    <w:p w:rsidR="005660B5" w:rsidRDefault="005660B5" w:rsidP="002B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61" w:rsidRPr="00193661" w:rsidRDefault="00193661">
    <w:pPr>
      <w:pStyle w:val="Footer"/>
      <w:jc w:val="right"/>
      <w:rPr>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0B5" w:rsidRDefault="005660B5" w:rsidP="002B3DC3">
      <w:r>
        <w:separator/>
      </w:r>
    </w:p>
  </w:footnote>
  <w:footnote w:type="continuationSeparator" w:id="0">
    <w:p w:rsidR="005660B5" w:rsidRDefault="005660B5" w:rsidP="002B3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287447"/>
      <w:docPartObj>
        <w:docPartGallery w:val="Page Numbers (Top of Page)"/>
        <w:docPartUnique/>
      </w:docPartObj>
    </w:sdtPr>
    <w:sdtEndPr>
      <w:rPr>
        <w:noProof/>
      </w:rPr>
    </w:sdtEndPr>
    <w:sdtContent>
      <w:p w:rsidR="00AB1CBE" w:rsidRDefault="00AB1CBE">
        <w:pPr>
          <w:pStyle w:val="Header"/>
          <w:jc w:val="center"/>
        </w:pPr>
        <w:r>
          <w:fldChar w:fldCharType="begin"/>
        </w:r>
        <w:r>
          <w:instrText xml:space="preserve"> PAGE   \* MERGEFORMAT </w:instrText>
        </w:r>
        <w:r>
          <w:fldChar w:fldCharType="separate"/>
        </w:r>
        <w:r w:rsidR="003E31FA">
          <w:rPr>
            <w:noProof/>
          </w:rPr>
          <w:t>5</w:t>
        </w:r>
        <w:r>
          <w:rPr>
            <w:noProof/>
          </w:rPr>
          <w:fldChar w:fldCharType="end"/>
        </w:r>
      </w:p>
    </w:sdtContent>
  </w:sdt>
  <w:p w:rsidR="00AB1CBE" w:rsidRDefault="00AB1C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C34"/>
    <w:multiLevelType w:val="hybridMultilevel"/>
    <w:tmpl w:val="BFBABB62"/>
    <w:lvl w:ilvl="0" w:tplc="12EAFB7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09532A"/>
    <w:multiLevelType w:val="hybridMultilevel"/>
    <w:tmpl w:val="7F86A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45C64"/>
    <w:multiLevelType w:val="multilevel"/>
    <w:tmpl w:val="340AD9EE"/>
    <w:lvl w:ilvl="0">
      <w:start w:val="1"/>
      <w:numFmt w:val="decimal"/>
      <w:lvlText w:val="%1."/>
      <w:lvlJc w:val="left"/>
      <w:pPr>
        <w:ind w:left="930" w:hanging="360"/>
      </w:pPr>
      <w:rPr>
        <w:rFonts w:hint="default"/>
        <w:b/>
      </w:rPr>
    </w:lvl>
    <w:lvl w:ilvl="1">
      <w:start w:val="2"/>
      <w:numFmt w:val="decimal"/>
      <w:isLgl/>
      <w:lvlText w:val="%1.%2"/>
      <w:lvlJc w:val="left"/>
      <w:pPr>
        <w:ind w:left="945" w:hanging="375"/>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3">
    <w:nsid w:val="08B25849"/>
    <w:multiLevelType w:val="hybridMultilevel"/>
    <w:tmpl w:val="5352D7B0"/>
    <w:lvl w:ilvl="0" w:tplc="65EA6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A62C64"/>
    <w:multiLevelType w:val="hybridMultilevel"/>
    <w:tmpl w:val="7A663C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84D64"/>
    <w:multiLevelType w:val="hybridMultilevel"/>
    <w:tmpl w:val="C0366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A2416"/>
    <w:multiLevelType w:val="multilevel"/>
    <w:tmpl w:val="340AD9EE"/>
    <w:lvl w:ilvl="0">
      <w:start w:val="1"/>
      <w:numFmt w:val="decimal"/>
      <w:lvlText w:val="%1."/>
      <w:lvlJc w:val="left"/>
      <w:pPr>
        <w:ind w:left="930" w:hanging="360"/>
      </w:pPr>
      <w:rPr>
        <w:rFonts w:hint="default"/>
        <w:b/>
      </w:rPr>
    </w:lvl>
    <w:lvl w:ilvl="1">
      <w:start w:val="2"/>
      <w:numFmt w:val="decimal"/>
      <w:isLgl/>
      <w:lvlText w:val="%1.%2"/>
      <w:lvlJc w:val="left"/>
      <w:pPr>
        <w:ind w:left="945" w:hanging="375"/>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7">
    <w:nsid w:val="1FA65EC7"/>
    <w:multiLevelType w:val="multilevel"/>
    <w:tmpl w:val="578ACCB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1AF0126"/>
    <w:multiLevelType w:val="hybridMultilevel"/>
    <w:tmpl w:val="2C2ACABA"/>
    <w:lvl w:ilvl="0" w:tplc="68E825BE">
      <w:start w:val="2"/>
      <w:numFmt w:val="upp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296E18A0"/>
    <w:multiLevelType w:val="hybridMultilevel"/>
    <w:tmpl w:val="E026BA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D6469A"/>
    <w:multiLevelType w:val="hybridMultilevel"/>
    <w:tmpl w:val="0512BBCE"/>
    <w:lvl w:ilvl="0" w:tplc="EC4CB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103182"/>
    <w:multiLevelType w:val="hybridMultilevel"/>
    <w:tmpl w:val="7B5A87A4"/>
    <w:lvl w:ilvl="0" w:tplc="1DDE4D4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nsid w:val="37B258AA"/>
    <w:multiLevelType w:val="hybridMultilevel"/>
    <w:tmpl w:val="6E16DEE0"/>
    <w:lvl w:ilvl="0" w:tplc="53DCAD9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3B057EBA"/>
    <w:multiLevelType w:val="hybridMultilevel"/>
    <w:tmpl w:val="2754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8A71EE"/>
    <w:multiLevelType w:val="hybridMultilevel"/>
    <w:tmpl w:val="89724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C7522"/>
    <w:multiLevelType w:val="hybridMultilevel"/>
    <w:tmpl w:val="A01012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0D1E1F"/>
    <w:multiLevelType w:val="hybridMultilevel"/>
    <w:tmpl w:val="E85CA0DA"/>
    <w:lvl w:ilvl="0" w:tplc="1412695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DD05A9"/>
    <w:multiLevelType w:val="hybridMultilevel"/>
    <w:tmpl w:val="2C9CCD48"/>
    <w:lvl w:ilvl="0" w:tplc="B9FC8900">
      <w:start w:val="1"/>
      <w:numFmt w:val="decimal"/>
      <w:lvlText w:val="%1."/>
      <w:lvlJc w:val="left"/>
      <w:pPr>
        <w:tabs>
          <w:tab w:val="num" w:pos="780"/>
        </w:tabs>
        <w:ind w:left="7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2D6E55"/>
    <w:multiLevelType w:val="multilevel"/>
    <w:tmpl w:val="EC74A54A"/>
    <w:lvl w:ilvl="0">
      <w:start w:val="1"/>
      <w:numFmt w:val="decimal"/>
      <w:lvlText w:val="%1."/>
      <w:lvlJc w:val="left"/>
      <w:pPr>
        <w:ind w:left="1065" w:hanging="360"/>
      </w:pPr>
      <w:rPr>
        <w:rFonts w:hint="default"/>
      </w:rPr>
    </w:lvl>
    <w:lvl w:ilvl="1">
      <w:start w:val="2"/>
      <w:numFmt w:val="decimal"/>
      <w:isLgl/>
      <w:lvlText w:val="%1.%2"/>
      <w:lvlJc w:val="left"/>
      <w:pPr>
        <w:ind w:left="1080" w:hanging="37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9">
    <w:nsid w:val="59880112"/>
    <w:multiLevelType w:val="hybridMultilevel"/>
    <w:tmpl w:val="28CA269E"/>
    <w:lvl w:ilvl="0" w:tplc="BB30B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BC0A4D"/>
    <w:multiLevelType w:val="hybridMultilevel"/>
    <w:tmpl w:val="ABC074EE"/>
    <w:lvl w:ilvl="0" w:tplc="5FF2598A">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D333602"/>
    <w:multiLevelType w:val="hybridMultilevel"/>
    <w:tmpl w:val="2FF09364"/>
    <w:lvl w:ilvl="0" w:tplc="0CAC7968">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nsid w:val="5D3D44A7"/>
    <w:multiLevelType w:val="hybridMultilevel"/>
    <w:tmpl w:val="9B9081DC"/>
    <w:lvl w:ilvl="0" w:tplc="D8AE40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2C1460"/>
    <w:multiLevelType w:val="hybridMultilevel"/>
    <w:tmpl w:val="7BCC9E38"/>
    <w:lvl w:ilvl="0" w:tplc="79D2F764">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6C71A8"/>
    <w:multiLevelType w:val="hybridMultilevel"/>
    <w:tmpl w:val="C15677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6C79A0"/>
    <w:multiLevelType w:val="hybridMultilevel"/>
    <w:tmpl w:val="6BE6AD38"/>
    <w:lvl w:ilvl="0" w:tplc="CB120DF2">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66A232D3"/>
    <w:multiLevelType w:val="hybridMultilevel"/>
    <w:tmpl w:val="97EA524A"/>
    <w:lvl w:ilvl="0" w:tplc="4BFED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970557"/>
    <w:multiLevelType w:val="hybridMultilevel"/>
    <w:tmpl w:val="517C6C34"/>
    <w:lvl w:ilvl="0" w:tplc="EAC6462C">
      <w:numFmt w:val="bullet"/>
      <w:lvlText w:val=""/>
      <w:lvlJc w:val="left"/>
      <w:pPr>
        <w:ind w:left="720" w:hanging="360"/>
      </w:pPr>
      <w:rPr>
        <w:rFonts w:ascii="Symbol" w:eastAsia="Times New Roman" w:hAnsi="Symbol"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CB70E9"/>
    <w:multiLevelType w:val="hybridMultilevel"/>
    <w:tmpl w:val="C2EA0818"/>
    <w:lvl w:ilvl="0" w:tplc="15C807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B92875"/>
    <w:multiLevelType w:val="hybridMultilevel"/>
    <w:tmpl w:val="2458B7A0"/>
    <w:lvl w:ilvl="0" w:tplc="84ECC4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C03888"/>
    <w:multiLevelType w:val="hybridMultilevel"/>
    <w:tmpl w:val="BB309C76"/>
    <w:lvl w:ilvl="0" w:tplc="30BABE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30"/>
  </w:num>
  <w:num w:numId="3">
    <w:abstractNumId w:val="26"/>
  </w:num>
  <w:num w:numId="4">
    <w:abstractNumId w:val="0"/>
  </w:num>
  <w:num w:numId="5">
    <w:abstractNumId w:val="13"/>
  </w:num>
  <w:num w:numId="6">
    <w:abstractNumId w:val="28"/>
  </w:num>
  <w:num w:numId="7">
    <w:abstractNumId w:val="7"/>
  </w:num>
  <w:num w:numId="8">
    <w:abstractNumId w:val="9"/>
  </w:num>
  <w:num w:numId="9">
    <w:abstractNumId w:val="12"/>
  </w:num>
  <w:num w:numId="10">
    <w:abstractNumId w:val="23"/>
  </w:num>
  <w:num w:numId="11">
    <w:abstractNumId w:val="3"/>
  </w:num>
  <w:num w:numId="12">
    <w:abstractNumId w:val="5"/>
  </w:num>
  <w:num w:numId="13">
    <w:abstractNumId w:val="19"/>
  </w:num>
  <w:num w:numId="14">
    <w:abstractNumId w:val="20"/>
  </w:num>
  <w:num w:numId="15">
    <w:abstractNumId w:val="10"/>
  </w:num>
  <w:num w:numId="16">
    <w:abstractNumId w:val="24"/>
  </w:num>
  <w:num w:numId="17">
    <w:abstractNumId w:val="29"/>
  </w:num>
  <w:num w:numId="18">
    <w:abstractNumId w:val="4"/>
  </w:num>
  <w:num w:numId="19">
    <w:abstractNumId w:val="11"/>
  </w:num>
  <w:num w:numId="20">
    <w:abstractNumId w:val="22"/>
  </w:num>
  <w:num w:numId="21">
    <w:abstractNumId w:val="25"/>
  </w:num>
  <w:num w:numId="22">
    <w:abstractNumId w:val="21"/>
  </w:num>
  <w:num w:numId="23">
    <w:abstractNumId w:val="27"/>
  </w:num>
  <w:num w:numId="24">
    <w:abstractNumId w:val="14"/>
  </w:num>
  <w:num w:numId="25">
    <w:abstractNumId w:val="1"/>
  </w:num>
  <w:num w:numId="26">
    <w:abstractNumId w:val="15"/>
  </w:num>
  <w:num w:numId="27">
    <w:abstractNumId w:val="18"/>
  </w:num>
  <w:num w:numId="28">
    <w:abstractNumId w:val="16"/>
  </w:num>
  <w:num w:numId="29">
    <w:abstractNumId w:val="8"/>
  </w:num>
  <w:num w:numId="30">
    <w:abstractNumId w:val="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0B9"/>
    <w:rsid w:val="000003F0"/>
    <w:rsid w:val="000152D4"/>
    <w:rsid w:val="0003575B"/>
    <w:rsid w:val="000509B0"/>
    <w:rsid w:val="0005583A"/>
    <w:rsid w:val="000827F3"/>
    <w:rsid w:val="000A285C"/>
    <w:rsid w:val="000B59D0"/>
    <w:rsid w:val="000C2087"/>
    <w:rsid w:val="000C36BE"/>
    <w:rsid w:val="000D0FF7"/>
    <w:rsid w:val="000F6FF7"/>
    <w:rsid w:val="00121888"/>
    <w:rsid w:val="00136914"/>
    <w:rsid w:val="00145584"/>
    <w:rsid w:val="00166CB2"/>
    <w:rsid w:val="00193661"/>
    <w:rsid w:val="001938D0"/>
    <w:rsid w:val="00195E06"/>
    <w:rsid w:val="00196890"/>
    <w:rsid w:val="001E1DF2"/>
    <w:rsid w:val="00200D0D"/>
    <w:rsid w:val="00223FE0"/>
    <w:rsid w:val="00260DEF"/>
    <w:rsid w:val="00265AC7"/>
    <w:rsid w:val="00275DC0"/>
    <w:rsid w:val="002B049E"/>
    <w:rsid w:val="002B0C04"/>
    <w:rsid w:val="002B3DC3"/>
    <w:rsid w:val="002D090C"/>
    <w:rsid w:val="003021F6"/>
    <w:rsid w:val="003109C5"/>
    <w:rsid w:val="003265A0"/>
    <w:rsid w:val="00331C15"/>
    <w:rsid w:val="00335412"/>
    <w:rsid w:val="00365400"/>
    <w:rsid w:val="003712B7"/>
    <w:rsid w:val="00374A24"/>
    <w:rsid w:val="003C681C"/>
    <w:rsid w:val="003D454D"/>
    <w:rsid w:val="003E31FA"/>
    <w:rsid w:val="00423CC8"/>
    <w:rsid w:val="00424782"/>
    <w:rsid w:val="00461BC1"/>
    <w:rsid w:val="0046786F"/>
    <w:rsid w:val="00470E1B"/>
    <w:rsid w:val="004C6934"/>
    <w:rsid w:val="004D3821"/>
    <w:rsid w:val="004E4587"/>
    <w:rsid w:val="004E5381"/>
    <w:rsid w:val="0050668C"/>
    <w:rsid w:val="00507438"/>
    <w:rsid w:val="0053607E"/>
    <w:rsid w:val="005660B5"/>
    <w:rsid w:val="00582448"/>
    <w:rsid w:val="005831A0"/>
    <w:rsid w:val="005A0EA7"/>
    <w:rsid w:val="005E491F"/>
    <w:rsid w:val="005E7D53"/>
    <w:rsid w:val="005F332A"/>
    <w:rsid w:val="005F740F"/>
    <w:rsid w:val="0060129F"/>
    <w:rsid w:val="00611AA4"/>
    <w:rsid w:val="00624BDE"/>
    <w:rsid w:val="00654603"/>
    <w:rsid w:val="006971E3"/>
    <w:rsid w:val="006A1B14"/>
    <w:rsid w:val="006A7CF8"/>
    <w:rsid w:val="006D35B9"/>
    <w:rsid w:val="006D678D"/>
    <w:rsid w:val="006E08E1"/>
    <w:rsid w:val="006F763B"/>
    <w:rsid w:val="00710362"/>
    <w:rsid w:val="00715451"/>
    <w:rsid w:val="00735C61"/>
    <w:rsid w:val="007778C1"/>
    <w:rsid w:val="007A0585"/>
    <w:rsid w:val="007B2B35"/>
    <w:rsid w:val="007C0205"/>
    <w:rsid w:val="007D2994"/>
    <w:rsid w:val="007D6036"/>
    <w:rsid w:val="007E46CE"/>
    <w:rsid w:val="00810523"/>
    <w:rsid w:val="008126B4"/>
    <w:rsid w:val="008220F8"/>
    <w:rsid w:val="00831037"/>
    <w:rsid w:val="008325AA"/>
    <w:rsid w:val="00851EFD"/>
    <w:rsid w:val="00855D2E"/>
    <w:rsid w:val="00865210"/>
    <w:rsid w:val="00872D9A"/>
    <w:rsid w:val="00894160"/>
    <w:rsid w:val="00894270"/>
    <w:rsid w:val="008A2660"/>
    <w:rsid w:val="008B049C"/>
    <w:rsid w:val="008B4ED3"/>
    <w:rsid w:val="008B564F"/>
    <w:rsid w:val="008B7B16"/>
    <w:rsid w:val="008C4D63"/>
    <w:rsid w:val="00917870"/>
    <w:rsid w:val="00927027"/>
    <w:rsid w:val="00937632"/>
    <w:rsid w:val="00950115"/>
    <w:rsid w:val="009638C3"/>
    <w:rsid w:val="00990EB8"/>
    <w:rsid w:val="0099598C"/>
    <w:rsid w:val="00996ADB"/>
    <w:rsid w:val="00997B38"/>
    <w:rsid w:val="009A2C71"/>
    <w:rsid w:val="009E3337"/>
    <w:rsid w:val="00A07746"/>
    <w:rsid w:val="00A71675"/>
    <w:rsid w:val="00AB01ED"/>
    <w:rsid w:val="00AB1CBE"/>
    <w:rsid w:val="00AC250D"/>
    <w:rsid w:val="00AE1237"/>
    <w:rsid w:val="00AE34E4"/>
    <w:rsid w:val="00AF00B9"/>
    <w:rsid w:val="00AF2F8A"/>
    <w:rsid w:val="00B149EE"/>
    <w:rsid w:val="00B21067"/>
    <w:rsid w:val="00B21B9D"/>
    <w:rsid w:val="00B73805"/>
    <w:rsid w:val="00B967BA"/>
    <w:rsid w:val="00BA5A73"/>
    <w:rsid w:val="00BB0F8F"/>
    <w:rsid w:val="00BC2582"/>
    <w:rsid w:val="00C04D95"/>
    <w:rsid w:val="00C169C6"/>
    <w:rsid w:val="00C535A0"/>
    <w:rsid w:val="00CA79D0"/>
    <w:rsid w:val="00CC7DC3"/>
    <w:rsid w:val="00CD4D93"/>
    <w:rsid w:val="00CE3C60"/>
    <w:rsid w:val="00D14BB5"/>
    <w:rsid w:val="00D261DF"/>
    <w:rsid w:val="00D52103"/>
    <w:rsid w:val="00D57F71"/>
    <w:rsid w:val="00D66332"/>
    <w:rsid w:val="00D669AF"/>
    <w:rsid w:val="00DC3ACD"/>
    <w:rsid w:val="00DC6B2D"/>
    <w:rsid w:val="00DD1B87"/>
    <w:rsid w:val="00DE4132"/>
    <w:rsid w:val="00E35AD7"/>
    <w:rsid w:val="00E54EA0"/>
    <w:rsid w:val="00E900FA"/>
    <w:rsid w:val="00EB582C"/>
    <w:rsid w:val="00EE61E9"/>
    <w:rsid w:val="00EF00BE"/>
    <w:rsid w:val="00F0296E"/>
    <w:rsid w:val="00F073CC"/>
    <w:rsid w:val="00F167EB"/>
    <w:rsid w:val="00F26D2E"/>
    <w:rsid w:val="00F57AA4"/>
    <w:rsid w:val="00F63BBE"/>
    <w:rsid w:val="00F9032E"/>
    <w:rsid w:val="00FA7DA2"/>
    <w:rsid w:val="00FD49C8"/>
    <w:rsid w:val="00FE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461BC1"/>
    <w:pPr>
      <w:keepNext/>
      <w:spacing w:before="240" w:after="60"/>
      <w:outlineLvl w:val="0"/>
    </w:pPr>
    <w:rPr>
      <w:rFonts w:ascii="Arial" w:eastAsia="Calibri" w:hAnsi="Arial"/>
      <w:b/>
      <w:kern w:val="28"/>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0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B582C"/>
    <w:pPr>
      <w:jc w:val="both"/>
    </w:pPr>
    <w:rPr>
      <w:rFonts w:ascii=".VnTime" w:hAnsi=".VnTime"/>
      <w:szCs w:val="20"/>
      <w:lang w:val="x-none" w:eastAsia="x-none"/>
    </w:rPr>
  </w:style>
  <w:style w:type="character" w:customStyle="1" w:styleId="BodyTextChar">
    <w:name w:val="Body Text Char"/>
    <w:link w:val="BodyText"/>
    <w:rsid w:val="00EB582C"/>
    <w:rPr>
      <w:rFonts w:ascii=".VnTime" w:hAnsi=".VnTime"/>
      <w:sz w:val="28"/>
      <w:lang w:val="x-none" w:eastAsia="x-none"/>
    </w:rPr>
  </w:style>
  <w:style w:type="paragraph" w:styleId="Header">
    <w:name w:val="header"/>
    <w:basedOn w:val="Normal"/>
    <w:link w:val="HeaderChar"/>
    <w:uiPriority w:val="99"/>
    <w:rsid w:val="002B3DC3"/>
    <w:pPr>
      <w:tabs>
        <w:tab w:val="center" w:pos="4680"/>
        <w:tab w:val="right" w:pos="9360"/>
      </w:tabs>
    </w:pPr>
  </w:style>
  <w:style w:type="character" w:customStyle="1" w:styleId="HeaderChar">
    <w:name w:val="Header Char"/>
    <w:basedOn w:val="DefaultParagraphFont"/>
    <w:link w:val="Header"/>
    <w:uiPriority w:val="99"/>
    <w:rsid w:val="002B3DC3"/>
    <w:rPr>
      <w:sz w:val="28"/>
      <w:szCs w:val="28"/>
    </w:rPr>
  </w:style>
  <w:style w:type="paragraph" w:styleId="Footer">
    <w:name w:val="footer"/>
    <w:basedOn w:val="Normal"/>
    <w:link w:val="FooterChar"/>
    <w:uiPriority w:val="99"/>
    <w:rsid w:val="002B3DC3"/>
    <w:pPr>
      <w:tabs>
        <w:tab w:val="center" w:pos="4680"/>
        <w:tab w:val="right" w:pos="9360"/>
      </w:tabs>
    </w:pPr>
  </w:style>
  <w:style w:type="character" w:customStyle="1" w:styleId="FooterChar">
    <w:name w:val="Footer Char"/>
    <w:basedOn w:val="DefaultParagraphFont"/>
    <w:link w:val="Footer"/>
    <w:uiPriority w:val="99"/>
    <w:rsid w:val="002B3DC3"/>
    <w:rPr>
      <w:sz w:val="28"/>
      <w:szCs w:val="28"/>
    </w:rPr>
  </w:style>
  <w:style w:type="paragraph" w:styleId="BodyTextIndent3">
    <w:name w:val="Body Text Indent 3"/>
    <w:basedOn w:val="Normal"/>
    <w:link w:val="BodyTextIndent3Char"/>
    <w:rsid w:val="00461BC1"/>
    <w:pPr>
      <w:spacing w:after="120"/>
      <w:ind w:left="360"/>
    </w:pPr>
    <w:rPr>
      <w:sz w:val="16"/>
      <w:szCs w:val="16"/>
    </w:rPr>
  </w:style>
  <w:style w:type="character" w:customStyle="1" w:styleId="BodyTextIndent3Char">
    <w:name w:val="Body Text Indent 3 Char"/>
    <w:basedOn w:val="DefaultParagraphFont"/>
    <w:link w:val="BodyTextIndent3"/>
    <w:rsid w:val="00461BC1"/>
    <w:rPr>
      <w:sz w:val="16"/>
      <w:szCs w:val="16"/>
    </w:rPr>
  </w:style>
  <w:style w:type="character" w:customStyle="1" w:styleId="Heading1Char">
    <w:name w:val="Heading 1 Char"/>
    <w:basedOn w:val="DefaultParagraphFont"/>
    <w:link w:val="Heading1"/>
    <w:rsid w:val="00461BC1"/>
    <w:rPr>
      <w:rFonts w:ascii="Arial" w:eastAsia="Calibri" w:hAnsi="Arial"/>
      <w:b/>
      <w:kern w:val="28"/>
      <w:lang w:val="en-GB" w:eastAsia="x-none"/>
    </w:rPr>
  </w:style>
  <w:style w:type="character" w:styleId="Hyperlink">
    <w:name w:val="Hyperlink"/>
    <w:basedOn w:val="DefaultParagraphFont"/>
    <w:rsid w:val="00710362"/>
    <w:rPr>
      <w:color w:val="0000FF"/>
      <w:u w:val="single"/>
    </w:rPr>
  </w:style>
  <w:style w:type="paragraph" w:styleId="Subtitle">
    <w:name w:val="Subtitle"/>
    <w:basedOn w:val="Normal"/>
    <w:next w:val="Normal"/>
    <w:link w:val="SubtitleChar"/>
    <w:qFormat/>
    <w:rsid w:val="00193661"/>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193661"/>
    <w:rPr>
      <w:rFonts w:ascii="Cambria" w:eastAsia="Times New Roman" w:hAnsi="Cambria" w:cs="Times New Roman"/>
      <w:sz w:val="24"/>
      <w:szCs w:val="24"/>
    </w:rPr>
  </w:style>
  <w:style w:type="paragraph" w:styleId="ListParagraph">
    <w:name w:val="List Paragraph"/>
    <w:aliases w:val="Thang2,Bullet 1,bullet 2,bullet 1,bullet,List Paragraph12,Heading 1.1,VNA - List Paragraph,1.,Table Sequence,1.1.1.1,Main numbered paragraph,Gach ngang,a.,Steps,L1,Ha"/>
    <w:basedOn w:val="Normal"/>
    <w:link w:val="ListParagraphChar"/>
    <w:uiPriority w:val="34"/>
    <w:qFormat/>
    <w:rsid w:val="00D261DF"/>
    <w:pPr>
      <w:ind w:left="720"/>
      <w:contextualSpacing/>
    </w:pPr>
  </w:style>
  <w:style w:type="character" w:customStyle="1" w:styleId="ListParagraphChar">
    <w:name w:val="List Paragraph Char"/>
    <w:aliases w:val="Thang2 Char,Bullet 1 Char,bullet 2 Char,bullet 1 Char,bullet Char,List Paragraph12 Char,Heading 1.1 Char,VNA - List Paragraph Char,1. Char,Table Sequence Char,1.1.1.1 Char,Main numbered paragraph Char,Gach ngang Char,a. Char,L1 Char"/>
    <w:link w:val="ListParagraph"/>
    <w:uiPriority w:val="34"/>
    <w:locked/>
    <w:rsid w:val="007B2B35"/>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461BC1"/>
    <w:pPr>
      <w:keepNext/>
      <w:spacing w:before="240" w:after="60"/>
      <w:outlineLvl w:val="0"/>
    </w:pPr>
    <w:rPr>
      <w:rFonts w:ascii="Arial" w:eastAsia="Calibri" w:hAnsi="Arial"/>
      <w:b/>
      <w:kern w:val="28"/>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0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B582C"/>
    <w:pPr>
      <w:jc w:val="both"/>
    </w:pPr>
    <w:rPr>
      <w:rFonts w:ascii=".VnTime" w:hAnsi=".VnTime"/>
      <w:szCs w:val="20"/>
      <w:lang w:val="x-none" w:eastAsia="x-none"/>
    </w:rPr>
  </w:style>
  <w:style w:type="character" w:customStyle="1" w:styleId="BodyTextChar">
    <w:name w:val="Body Text Char"/>
    <w:link w:val="BodyText"/>
    <w:rsid w:val="00EB582C"/>
    <w:rPr>
      <w:rFonts w:ascii=".VnTime" w:hAnsi=".VnTime"/>
      <w:sz w:val="28"/>
      <w:lang w:val="x-none" w:eastAsia="x-none"/>
    </w:rPr>
  </w:style>
  <w:style w:type="paragraph" w:styleId="Header">
    <w:name w:val="header"/>
    <w:basedOn w:val="Normal"/>
    <w:link w:val="HeaderChar"/>
    <w:uiPriority w:val="99"/>
    <w:rsid w:val="002B3DC3"/>
    <w:pPr>
      <w:tabs>
        <w:tab w:val="center" w:pos="4680"/>
        <w:tab w:val="right" w:pos="9360"/>
      </w:tabs>
    </w:pPr>
  </w:style>
  <w:style w:type="character" w:customStyle="1" w:styleId="HeaderChar">
    <w:name w:val="Header Char"/>
    <w:basedOn w:val="DefaultParagraphFont"/>
    <w:link w:val="Header"/>
    <w:uiPriority w:val="99"/>
    <w:rsid w:val="002B3DC3"/>
    <w:rPr>
      <w:sz w:val="28"/>
      <w:szCs w:val="28"/>
    </w:rPr>
  </w:style>
  <w:style w:type="paragraph" w:styleId="Footer">
    <w:name w:val="footer"/>
    <w:basedOn w:val="Normal"/>
    <w:link w:val="FooterChar"/>
    <w:uiPriority w:val="99"/>
    <w:rsid w:val="002B3DC3"/>
    <w:pPr>
      <w:tabs>
        <w:tab w:val="center" w:pos="4680"/>
        <w:tab w:val="right" w:pos="9360"/>
      </w:tabs>
    </w:pPr>
  </w:style>
  <w:style w:type="character" w:customStyle="1" w:styleId="FooterChar">
    <w:name w:val="Footer Char"/>
    <w:basedOn w:val="DefaultParagraphFont"/>
    <w:link w:val="Footer"/>
    <w:uiPriority w:val="99"/>
    <w:rsid w:val="002B3DC3"/>
    <w:rPr>
      <w:sz w:val="28"/>
      <w:szCs w:val="28"/>
    </w:rPr>
  </w:style>
  <w:style w:type="paragraph" w:styleId="BodyTextIndent3">
    <w:name w:val="Body Text Indent 3"/>
    <w:basedOn w:val="Normal"/>
    <w:link w:val="BodyTextIndent3Char"/>
    <w:rsid w:val="00461BC1"/>
    <w:pPr>
      <w:spacing w:after="120"/>
      <w:ind w:left="360"/>
    </w:pPr>
    <w:rPr>
      <w:sz w:val="16"/>
      <w:szCs w:val="16"/>
    </w:rPr>
  </w:style>
  <w:style w:type="character" w:customStyle="1" w:styleId="BodyTextIndent3Char">
    <w:name w:val="Body Text Indent 3 Char"/>
    <w:basedOn w:val="DefaultParagraphFont"/>
    <w:link w:val="BodyTextIndent3"/>
    <w:rsid w:val="00461BC1"/>
    <w:rPr>
      <w:sz w:val="16"/>
      <w:szCs w:val="16"/>
    </w:rPr>
  </w:style>
  <w:style w:type="character" w:customStyle="1" w:styleId="Heading1Char">
    <w:name w:val="Heading 1 Char"/>
    <w:basedOn w:val="DefaultParagraphFont"/>
    <w:link w:val="Heading1"/>
    <w:rsid w:val="00461BC1"/>
    <w:rPr>
      <w:rFonts w:ascii="Arial" w:eastAsia="Calibri" w:hAnsi="Arial"/>
      <w:b/>
      <w:kern w:val="28"/>
      <w:lang w:val="en-GB" w:eastAsia="x-none"/>
    </w:rPr>
  </w:style>
  <w:style w:type="character" w:styleId="Hyperlink">
    <w:name w:val="Hyperlink"/>
    <w:basedOn w:val="DefaultParagraphFont"/>
    <w:rsid w:val="00710362"/>
    <w:rPr>
      <w:color w:val="0000FF"/>
      <w:u w:val="single"/>
    </w:rPr>
  </w:style>
  <w:style w:type="paragraph" w:styleId="Subtitle">
    <w:name w:val="Subtitle"/>
    <w:basedOn w:val="Normal"/>
    <w:next w:val="Normal"/>
    <w:link w:val="SubtitleChar"/>
    <w:qFormat/>
    <w:rsid w:val="00193661"/>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193661"/>
    <w:rPr>
      <w:rFonts w:ascii="Cambria" w:eastAsia="Times New Roman" w:hAnsi="Cambria" w:cs="Times New Roman"/>
      <w:sz w:val="24"/>
      <w:szCs w:val="24"/>
    </w:rPr>
  </w:style>
  <w:style w:type="paragraph" w:styleId="ListParagraph">
    <w:name w:val="List Paragraph"/>
    <w:aliases w:val="Thang2,Bullet 1,bullet 2,bullet 1,bullet,List Paragraph12,Heading 1.1,VNA - List Paragraph,1.,Table Sequence,1.1.1.1,Main numbered paragraph,Gach ngang,a.,Steps,L1,Ha"/>
    <w:basedOn w:val="Normal"/>
    <w:link w:val="ListParagraphChar"/>
    <w:uiPriority w:val="34"/>
    <w:qFormat/>
    <w:rsid w:val="00D261DF"/>
    <w:pPr>
      <w:ind w:left="720"/>
      <w:contextualSpacing/>
    </w:pPr>
  </w:style>
  <w:style w:type="character" w:customStyle="1" w:styleId="ListParagraphChar">
    <w:name w:val="List Paragraph Char"/>
    <w:aliases w:val="Thang2 Char,Bullet 1 Char,bullet 2 Char,bullet 1 Char,bullet Char,List Paragraph12 Char,Heading 1.1 Char,VNA - List Paragraph Char,1. Char,Table Sequence Char,1.1.1.1 Char,Main numbered paragraph Char,Gach ngang Char,a. Char,L1 Char"/>
    <w:link w:val="ListParagraph"/>
    <w:uiPriority w:val="34"/>
    <w:locked/>
    <w:rsid w:val="007B2B3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35582">
      <w:bodyDiv w:val="1"/>
      <w:marLeft w:val="0"/>
      <w:marRight w:val="0"/>
      <w:marTop w:val="0"/>
      <w:marBottom w:val="0"/>
      <w:divBdr>
        <w:top w:val="none" w:sz="0" w:space="0" w:color="auto"/>
        <w:left w:val="none" w:sz="0" w:space="0" w:color="auto"/>
        <w:bottom w:val="none" w:sz="0" w:space="0" w:color="auto"/>
        <w:right w:val="none" w:sz="0" w:space="0" w:color="auto"/>
      </w:divBdr>
    </w:div>
    <w:div w:id="183987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C2724-C65B-4111-A9DB-31AB9C6EA856}">
  <ds:schemaRefs>
    <ds:schemaRef ds:uri="http://schemas.openxmlformats.org/officeDocument/2006/bibliography"/>
  </ds:schemaRefs>
</ds:datastoreItem>
</file>

<file path=customXml/itemProps2.xml><?xml version="1.0" encoding="utf-8"?>
<ds:datastoreItem xmlns:ds="http://schemas.openxmlformats.org/officeDocument/2006/customXml" ds:itemID="{E08BB8AC-BBF6-469B-9EB2-9BAD2EA06D87}"/>
</file>

<file path=customXml/itemProps3.xml><?xml version="1.0" encoding="utf-8"?>
<ds:datastoreItem xmlns:ds="http://schemas.openxmlformats.org/officeDocument/2006/customXml" ds:itemID="{B7BBAD6A-FC9E-4AA4-BAD3-60136A4335B8}"/>
</file>

<file path=customXml/itemProps4.xml><?xml version="1.0" encoding="utf-8"?>
<ds:datastoreItem xmlns:ds="http://schemas.openxmlformats.org/officeDocument/2006/customXml" ds:itemID="{08AEA545-A72F-44B8-8DE9-508D1F020730}"/>
</file>

<file path=docProps/app.xml><?xml version="1.0" encoding="utf-8"?>
<Properties xmlns="http://schemas.openxmlformats.org/officeDocument/2006/extended-properties" xmlns:vt="http://schemas.openxmlformats.org/officeDocument/2006/docPropsVTypes">
  <Template>Normal</Template>
  <TotalTime>44</TotalTime>
  <Pages>5</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Ministry of Transport</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MOT Official</dc:creator>
  <cp:lastModifiedBy>USER</cp:lastModifiedBy>
  <cp:revision>5</cp:revision>
  <cp:lastPrinted>2017-06-15T05:26:00Z</cp:lastPrinted>
  <dcterms:created xsi:type="dcterms:W3CDTF">2022-03-25T07:18:00Z</dcterms:created>
  <dcterms:modified xsi:type="dcterms:W3CDTF">2022-03-25T08:32:00Z</dcterms:modified>
</cp:coreProperties>
</file>