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E46E5" w14:textId="5BFA3EA1" w:rsidR="00362438" w:rsidRDefault="00362438" w:rsidP="00471E1C">
      <w:pPr>
        <w:ind w:right="-365"/>
        <w:jc w:val="center"/>
        <w:rPr>
          <w:rFonts w:ascii="Times New Roman" w:hAnsi="Times New Roman" w:cs="Times New Roman"/>
          <w:b/>
          <w:bCs/>
          <w:sz w:val="28"/>
          <w:szCs w:val="28"/>
          <w:lang w:eastAsia="zh-CN"/>
        </w:rPr>
      </w:pPr>
      <w:r>
        <w:rPr>
          <w:rFonts w:ascii="Times New Roman" w:hAnsi="Times New Roman" w:cs="Times New Roman"/>
          <w:b/>
          <w:bCs/>
          <w:sz w:val="28"/>
          <w:szCs w:val="28"/>
          <w:lang w:eastAsia="zh-CN"/>
        </w:rPr>
        <w:t>Bảng so sánh nội dung</w:t>
      </w:r>
      <w:r w:rsidR="00634650">
        <w:rPr>
          <w:rFonts w:ascii="Times New Roman" w:hAnsi="Times New Roman" w:cs="Times New Roman"/>
          <w:b/>
          <w:bCs/>
          <w:sz w:val="28"/>
          <w:szCs w:val="28"/>
          <w:lang w:eastAsia="zh-CN"/>
        </w:rPr>
        <w:t xml:space="preserve"> Nghị định 92/2016/NĐ-CP</w:t>
      </w:r>
      <w:r w:rsidR="002205A1">
        <w:rPr>
          <w:rFonts w:ascii="Times New Roman" w:hAnsi="Times New Roman" w:cs="Times New Roman"/>
          <w:b/>
          <w:bCs/>
          <w:sz w:val="28"/>
          <w:szCs w:val="28"/>
          <w:lang w:eastAsia="zh-CN"/>
        </w:rPr>
        <w:t>, Nghị định 89/2019/NĐ-CP</w:t>
      </w:r>
      <w:r w:rsidR="00634650">
        <w:rPr>
          <w:rFonts w:ascii="Times New Roman" w:hAnsi="Times New Roman" w:cs="Times New Roman"/>
          <w:b/>
          <w:bCs/>
          <w:sz w:val="28"/>
          <w:szCs w:val="28"/>
          <w:lang w:eastAsia="zh-CN"/>
        </w:rPr>
        <w:t xml:space="preserve"> và Nghị định</w:t>
      </w:r>
      <w:r>
        <w:rPr>
          <w:rFonts w:ascii="Times New Roman" w:hAnsi="Times New Roman" w:cs="Times New Roman"/>
          <w:b/>
          <w:bCs/>
          <w:sz w:val="28"/>
          <w:szCs w:val="28"/>
          <w:lang w:eastAsia="zh-CN"/>
        </w:rPr>
        <w:t xml:space="preserve"> </w:t>
      </w:r>
      <w:r w:rsidR="00634650">
        <w:rPr>
          <w:rFonts w:ascii="Times New Roman" w:hAnsi="Times New Roman" w:cs="Times New Roman"/>
          <w:b/>
          <w:bCs/>
          <w:sz w:val="28"/>
          <w:szCs w:val="28"/>
          <w:lang w:eastAsia="zh-CN"/>
        </w:rPr>
        <w:t>s</w:t>
      </w:r>
      <w:r w:rsidRPr="0020745C">
        <w:rPr>
          <w:rFonts w:ascii="Times New Roman" w:hAnsi="Times New Roman" w:cs="Times New Roman"/>
          <w:b/>
          <w:bCs/>
          <w:sz w:val="28"/>
          <w:szCs w:val="28"/>
          <w:lang w:eastAsia="zh-CN"/>
        </w:rPr>
        <w:t>ửa đổi, bổ sung một số điều của các Nghị định quy định liên quan đến hoạt động kinh doanh trong lĩnh vực hàng không dân dụng</w:t>
      </w:r>
    </w:p>
    <w:p w14:paraId="2A419875" w14:textId="77777777" w:rsidR="00AE27D1" w:rsidRPr="00362438" w:rsidRDefault="00AE27D1" w:rsidP="00471E1C">
      <w:pPr>
        <w:ind w:right="-365"/>
        <w:jc w:val="center"/>
        <w:rPr>
          <w:rFonts w:ascii="Times New Roman" w:hAnsi="Times New Roman" w:cs="Times New Roman"/>
          <w:b/>
          <w:bCs/>
          <w:sz w:val="28"/>
          <w:szCs w:val="28"/>
          <w:lang w:eastAsia="zh-CN"/>
        </w:rPr>
      </w:pPr>
      <w:bookmarkStart w:id="0" w:name="_GoBack"/>
      <w:bookmarkEnd w:id="0"/>
    </w:p>
    <w:tbl>
      <w:tblPr>
        <w:tblStyle w:val="TableGrid"/>
        <w:tblW w:w="14158" w:type="dxa"/>
        <w:tblLook w:val="04A0" w:firstRow="1" w:lastRow="0" w:firstColumn="1" w:lastColumn="0" w:noHBand="0" w:noVBand="1"/>
      </w:tblPr>
      <w:tblGrid>
        <w:gridCol w:w="716"/>
        <w:gridCol w:w="5233"/>
        <w:gridCol w:w="4536"/>
        <w:gridCol w:w="3673"/>
      </w:tblGrid>
      <w:tr w:rsidR="00DF27B5" w:rsidRPr="00DF27B5" w14:paraId="7D0E6817" w14:textId="3A4D88E0" w:rsidTr="00AE27D1">
        <w:trPr>
          <w:trHeight w:val="557"/>
        </w:trPr>
        <w:tc>
          <w:tcPr>
            <w:tcW w:w="716" w:type="dxa"/>
          </w:tcPr>
          <w:p w14:paraId="6E5298CE" w14:textId="77777777" w:rsidR="00DF27B5" w:rsidRPr="00DF27B5" w:rsidRDefault="00DF27B5" w:rsidP="00DF27B5">
            <w:pPr>
              <w:rPr>
                <w:rFonts w:ascii="Times New Roman" w:hAnsi="Times New Roman" w:cs="Times New Roman"/>
                <w:b/>
                <w:sz w:val="24"/>
                <w:szCs w:val="24"/>
              </w:rPr>
            </w:pPr>
            <w:r w:rsidRPr="00DF27B5">
              <w:rPr>
                <w:rFonts w:ascii="Times New Roman" w:hAnsi="Times New Roman" w:cs="Times New Roman"/>
                <w:b/>
                <w:sz w:val="24"/>
                <w:szCs w:val="24"/>
              </w:rPr>
              <w:t>STT</w:t>
            </w:r>
          </w:p>
        </w:tc>
        <w:tc>
          <w:tcPr>
            <w:tcW w:w="5233" w:type="dxa"/>
          </w:tcPr>
          <w:p w14:paraId="71BCF9F7" w14:textId="77777777" w:rsidR="00DF27B5" w:rsidRPr="00DF27B5" w:rsidRDefault="00DF27B5" w:rsidP="00DF27B5">
            <w:pPr>
              <w:jc w:val="center"/>
              <w:rPr>
                <w:rFonts w:ascii="Times New Roman" w:hAnsi="Times New Roman" w:cs="Times New Roman"/>
                <w:b/>
                <w:sz w:val="24"/>
                <w:szCs w:val="24"/>
              </w:rPr>
            </w:pPr>
            <w:r w:rsidRPr="00DF27B5">
              <w:rPr>
                <w:rFonts w:ascii="Times New Roman" w:hAnsi="Times New Roman" w:cs="Times New Roman"/>
                <w:b/>
                <w:sz w:val="24"/>
                <w:szCs w:val="24"/>
              </w:rPr>
              <w:t xml:space="preserve">Nghị định </w:t>
            </w:r>
            <w:hyperlink r:id="rId9" w:tgtFrame="_blank" w:tooltip="Nghị định 68/2015/NĐ-CP" w:history="1">
              <w:r w:rsidRPr="00DF27B5">
                <w:rPr>
                  <w:rFonts w:ascii="Times New Roman" w:hAnsi="Times New Roman" w:cs="Times New Roman"/>
                  <w:b/>
                  <w:bCs/>
                  <w:color w:val="000000"/>
                  <w:sz w:val="24"/>
                  <w:szCs w:val="24"/>
                </w:rPr>
                <w:t>92/2016/NĐ-CP</w:t>
              </w:r>
            </w:hyperlink>
            <w:r w:rsidRPr="00DF27B5">
              <w:rPr>
                <w:rFonts w:ascii="Times New Roman" w:hAnsi="Times New Roman" w:cs="Times New Roman"/>
                <w:b/>
                <w:bCs/>
                <w:color w:val="000000"/>
                <w:sz w:val="24"/>
                <w:szCs w:val="24"/>
              </w:rPr>
              <w:t xml:space="preserve"> và Nghị định 89/2019/NĐ-CP </w:t>
            </w:r>
          </w:p>
        </w:tc>
        <w:tc>
          <w:tcPr>
            <w:tcW w:w="4536" w:type="dxa"/>
          </w:tcPr>
          <w:p w14:paraId="79CE5E8E" w14:textId="77777777" w:rsidR="00DF27B5" w:rsidRPr="00DF27B5" w:rsidRDefault="00DF27B5" w:rsidP="00DF27B5">
            <w:pPr>
              <w:jc w:val="center"/>
              <w:rPr>
                <w:rFonts w:ascii="Times New Roman" w:hAnsi="Times New Roman" w:cs="Times New Roman"/>
                <w:b/>
                <w:sz w:val="24"/>
                <w:szCs w:val="24"/>
              </w:rPr>
            </w:pPr>
            <w:r w:rsidRPr="00DF27B5">
              <w:rPr>
                <w:rFonts w:ascii="Times New Roman" w:hAnsi="Times New Roman" w:cs="Times New Roman"/>
                <w:b/>
                <w:sz w:val="24"/>
                <w:szCs w:val="24"/>
              </w:rPr>
              <w:t>Dự thảo Nghị định sửa đổi, bổ sung</w:t>
            </w:r>
          </w:p>
        </w:tc>
        <w:tc>
          <w:tcPr>
            <w:tcW w:w="3673" w:type="dxa"/>
          </w:tcPr>
          <w:p w14:paraId="4B88D875" w14:textId="75273E4B" w:rsidR="00DF27B5" w:rsidRPr="00DF27B5" w:rsidRDefault="00DF27B5" w:rsidP="00DF27B5">
            <w:pPr>
              <w:jc w:val="center"/>
              <w:rPr>
                <w:rFonts w:ascii="Times New Roman" w:hAnsi="Times New Roman" w:cs="Times New Roman"/>
                <w:b/>
                <w:sz w:val="24"/>
                <w:szCs w:val="24"/>
              </w:rPr>
            </w:pPr>
            <w:r>
              <w:rPr>
                <w:rFonts w:ascii="Times New Roman" w:hAnsi="Times New Roman" w:cs="Times New Roman"/>
                <w:b/>
                <w:sz w:val="24"/>
                <w:szCs w:val="24"/>
              </w:rPr>
              <w:t>Lý do sửa đổi, bổ sung</w:t>
            </w:r>
          </w:p>
        </w:tc>
      </w:tr>
      <w:tr w:rsidR="00DF27B5" w:rsidRPr="00DF27B5" w14:paraId="35B6D692" w14:textId="5BE4ED99" w:rsidTr="00AE27D1">
        <w:tc>
          <w:tcPr>
            <w:tcW w:w="716" w:type="dxa"/>
          </w:tcPr>
          <w:p w14:paraId="2CBC39F6" w14:textId="77777777" w:rsidR="00DF27B5" w:rsidRPr="00DF27B5" w:rsidRDefault="00DF27B5" w:rsidP="00DF27B5">
            <w:pPr>
              <w:rPr>
                <w:rFonts w:ascii="Times New Roman" w:hAnsi="Times New Roman" w:cs="Times New Roman"/>
                <w:b/>
                <w:sz w:val="24"/>
                <w:szCs w:val="24"/>
              </w:rPr>
            </w:pPr>
            <w:r w:rsidRPr="00DF27B5">
              <w:rPr>
                <w:rFonts w:ascii="Times New Roman" w:hAnsi="Times New Roman" w:cs="Times New Roman"/>
                <w:b/>
                <w:sz w:val="24"/>
                <w:szCs w:val="24"/>
              </w:rPr>
              <w:t>1</w:t>
            </w:r>
          </w:p>
        </w:tc>
        <w:tc>
          <w:tcPr>
            <w:tcW w:w="5233" w:type="dxa"/>
          </w:tcPr>
          <w:p w14:paraId="4C0852BB" w14:textId="77777777" w:rsidR="00DF27B5" w:rsidRPr="00DF27B5" w:rsidRDefault="00DF27B5" w:rsidP="00DF27B5">
            <w:pPr>
              <w:jc w:val="both"/>
              <w:rPr>
                <w:rFonts w:ascii="Times New Roman" w:hAnsi="Times New Roman" w:cs="Times New Roman"/>
                <w:b/>
                <w:color w:val="000000" w:themeColor="text1"/>
                <w:sz w:val="24"/>
                <w:szCs w:val="24"/>
              </w:rPr>
            </w:pPr>
          </w:p>
          <w:p w14:paraId="765AAAE5" w14:textId="77777777" w:rsidR="00DF27B5" w:rsidRPr="00DF27B5" w:rsidRDefault="00DF27B5" w:rsidP="00DF27B5">
            <w:pPr>
              <w:ind w:firstLine="422"/>
              <w:jc w:val="both"/>
              <w:rPr>
                <w:rFonts w:ascii="Times New Roman" w:hAnsi="Times New Roman" w:cs="Times New Roman"/>
                <w:color w:val="000000" w:themeColor="text1"/>
                <w:sz w:val="24"/>
                <w:szCs w:val="24"/>
              </w:rPr>
            </w:pPr>
            <w:r w:rsidRPr="00DF27B5">
              <w:rPr>
                <w:rFonts w:ascii="Times New Roman" w:hAnsi="Times New Roman" w:cs="Times New Roman"/>
                <w:b/>
                <w:color w:val="000000" w:themeColor="text1"/>
                <w:sz w:val="24"/>
                <w:szCs w:val="24"/>
              </w:rPr>
              <w:t>Điều 16</w:t>
            </w:r>
            <w:r w:rsidRPr="00DF27B5">
              <w:rPr>
                <w:rFonts w:ascii="Times New Roman" w:hAnsi="Times New Roman" w:cs="Times New Roman"/>
                <w:color w:val="000000" w:themeColor="text1"/>
                <w:sz w:val="24"/>
                <w:szCs w:val="24"/>
              </w:rPr>
              <w:t xml:space="preserve">. </w:t>
            </w:r>
            <w:r w:rsidRPr="00DF27B5">
              <w:rPr>
                <w:rFonts w:ascii="Times New Roman" w:hAnsi="Times New Roman" w:cs="Times New Roman"/>
                <w:b/>
                <w:bCs/>
                <w:color w:val="000000" w:themeColor="text1"/>
                <w:sz w:val="24"/>
                <w:szCs w:val="24"/>
                <w:lang w:val="vi-VN"/>
              </w:rPr>
              <w:t>Điều kiện cấp Giấy phép cung cấp dịch vụ hàng không tại cảng hàng không, sân bay</w:t>
            </w:r>
          </w:p>
          <w:p w14:paraId="0F5B00AA" w14:textId="77777777" w:rsidR="00DF27B5" w:rsidRPr="00DF27B5" w:rsidRDefault="00DF27B5" w:rsidP="00DF27B5">
            <w:pPr>
              <w:jc w:val="both"/>
              <w:rPr>
                <w:rFonts w:ascii="Times New Roman" w:hAnsi="Times New Roman" w:cs="Times New Roman"/>
                <w:color w:val="000000" w:themeColor="text1"/>
                <w:sz w:val="24"/>
                <w:szCs w:val="24"/>
                <w:lang w:val="vi-VN"/>
              </w:rPr>
            </w:pPr>
            <w:r w:rsidRPr="00DF27B5">
              <w:rPr>
                <w:rFonts w:ascii="Times New Roman" w:hAnsi="Times New Roman" w:cs="Times New Roman"/>
                <w:color w:val="000000" w:themeColor="text1"/>
                <w:sz w:val="24"/>
                <w:szCs w:val="24"/>
              </w:rPr>
              <w:t xml:space="preserve">       </w:t>
            </w:r>
            <w:r w:rsidRPr="00DF27B5">
              <w:rPr>
                <w:rFonts w:ascii="Times New Roman" w:hAnsi="Times New Roman" w:cs="Times New Roman"/>
                <w:color w:val="000000" w:themeColor="text1"/>
                <w:sz w:val="24"/>
                <w:szCs w:val="24"/>
                <w:lang w:val="vi-VN"/>
              </w:rPr>
              <w:t xml:space="preserve">1. Đáp ứng các điều kiện quy định tại điểm b, d khoản </w:t>
            </w:r>
            <w:r w:rsidRPr="00DF27B5">
              <w:rPr>
                <w:rFonts w:ascii="Times New Roman" w:hAnsi="Times New Roman" w:cs="Times New Roman"/>
                <w:color w:val="000000" w:themeColor="text1"/>
                <w:sz w:val="24"/>
                <w:szCs w:val="24"/>
              </w:rPr>
              <w:t xml:space="preserve"> </w:t>
            </w:r>
            <w:r w:rsidRPr="00DF27B5">
              <w:rPr>
                <w:rFonts w:ascii="Times New Roman" w:hAnsi="Times New Roman" w:cs="Times New Roman"/>
                <w:color w:val="000000" w:themeColor="text1"/>
                <w:sz w:val="24"/>
                <w:szCs w:val="24"/>
                <w:lang w:val="vi-VN"/>
              </w:rPr>
              <w:t>2 Điều 65 Luật hàng không dân dụng Việt Nam và được Cục Hàng không Việt Nam thẩm định, đánh giá theo phân ngành dịch vụ tương ứng quy định tại khoản 1 Điều 15 của Nghị định này.</w:t>
            </w:r>
          </w:p>
          <w:p w14:paraId="31353BC5"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rPr>
              <w:t xml:space="preserve">       </w:t>
            </w:r>
            <w:r w:rsidRPr="00DF27B5">
              <w:rPr>
                <w:rFonts w:ascii="Times New Roman" w:hAnsi="Times New Roman" w:cs="Times New Roman"/>
                <w:color w:val="000000" w:themeColor="text1"/>
                <w:sz w:val="24"/>
                <w:szCs w:val="24"/>
                <w:lang w:val="vi-VN"/>
              </w:rPr>
              <w:t>2. Mức vốn tối thiểu để thành lập và duy trì doanh nghiệp cung cấp dịch vụ hàng không tại cảng hàng không, sân bay:</w:t>
            </w:r>
          </w:p>
          <w:p w14:paraId="6242CF61"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a) Cung cấp dịch vụ khai thác nhà ga hành khách: 30 tỷ đồng Việt Nam;</w:t>
            </w:r>
          </w:p>
          <w:p w14:paraId="381A9BC6"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b) Cung cấp dịch vụ khai thác nhà ga, kho hàng hóa: 30 tỷ đồng Việt Nam;</w:t>
            </w:r>
          </w:p>
          <w:p w14:paraId="6FD6C51B"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c) Cung cấp dịch vụ xăng dầu hàng không: 30 tỷ đồng Việt Nam.</w:t>
            </w:r>
          </w:p>
          <w:p w14:paraId="1D549645" w14:textId="77777777" w:rsidR="00DF27B5" w:rsidRPr="00DF27B5" w:rsidRDefault="00DF27B5" w:rsidP="00DF27B5">
            <w:pPr>
              <w:tabs>
                <w:tab w:val="left" w:pos="196"/>
              </w:tabs>
              <w:ind w:left="-3" w:firstLine="425"/>
              <w:jc w:val="both"/>
              <w:rPr>
                <w:rFonts w:ascii="Times New Roman" w:hAnsi="Times New Roman" w:cs="Times New Roman"/>
                <w:color w:val="000000" w:themeColor="text1"/>
                <w:sz w:val="24"/>
                <w:szCs w:val="24"/>
                <w:lang w:val="vi-VN"/>
              </w:rPr>
            </w:pPr>
            <w:r w:rsidRPr="00DF27B5">
              <w:rPr>
                <w:rFonts w:ascii="Times New Roman" w:hAnsi="Times New Roman" w:cs="Times New Roman"/>
                <w:color w:val="000000" w:themeColor="text1"/>
                <w:sz w:val="24"/>
                <w:szCs w:val="24"/>
                <w:lang w:val="vi-VN"/>
              </w:rPr>
              <w:t>3. 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p>
        </w:tc>
        <w:tc>
          <w:tcPr>
            <w:tcW w:w="4536" w:type="dxa"/>
          </w:tcPr>
          <w:p w14:paraId="5115997A" w14:textId="77777777" w:rsidR="00DF27B5" w:rsidRPr="00DF27B5" w:rsidRDefault="00DF27B5" w:rsidP="00DF27B5">
            <w:pPr>
              <w:pStyle w:val="NormalWeb"/>
              <w:shd w:val="clear" w:color="auto" w:fill="FFFFFF"/>
              <w:spacing w:before="0" w:beforeAutospacing="0" w:after="0" w:afterAutospacing="0"/>
              <w:jc w:val="both"/>
              <w:rPr>
                <w:bCs/>
                <w:color w:val="000000"/>
              </w:rPr>
            </w:pPr>
            <w:r w:rsidRPr="00DF27B5">
              <w:rPr>
                <w:bCs/>
                <w:color w:val="000000"/>
              </w:rPr>
              <w:t xml:space="preserve">Sửa đổi, bổ sung </w:t>
            </w:r>
            <w:r w:rsidRPr="00DF27B5">
              <w:rPr>
                <w:b/>
                <w:bCs/>
                <w:color w:val="000000"/>
              </w:rPr>
              <w:t>Điều 16</w:t>
            </w:r>
            <w:r w:rsidRPr="00DF27B5">
              <w:rPr>
                <w:bCs/>
                <w:color w:val="000000"/>
              </w:rPr>
              <w:t xml:space="preserve"> như sau:</w:t>
            </w:r>
          </w:p>
          <w:p w14:paraId="44ADB0F1" w14:textId="77777777" w:rsidR="00DF27B5" w:rsidRPr="00DF27B5" w:rsidRDefault="00DF27B5" w:rsidP="00DF27B5">
            <w:pPr>
              <w:pStyle w:val="NormalWeb"/>
              <w:shd w:val="clear" w:color="auto" w:fill="FFFFFF"/>
              <w:spacing w:before="0" w:beforeAutospacing="0" w:after="0" w:afterAutospacing="0"/>
              <w:ind w:firstLine="382"/>
              <w:jc w:val="both"/>
              <w:rPr>
                <w:color w:val="000000"/>
              </w:rPr>
            </w:pPr>
            <w:r w:rsidRPr="00DF27B5">
              <w:rPr>
                <w:b/>
                <w:bCs/>
                <w:color w:val="000000"/>
              </w:rPr>
              <w:t xml:space="preserve">“Điều 16. Điều kiện cấp </w:t>
            </w:r>
            <w:bookmarkStart w:id="1" w:name="_Hlk25829901"/>
            <w:r w:rsidRPr="00DF27B5">
              <w:rPr>
                <w:b/>
                <w:bCs/>
                <w:color w:val="000000"/>
              </w:rPr>
              <w:t>Giấy phép cung cấp dịch vụ hàng không tại cảng hàng không, sân bay</w:t>
            </w:r>
            <w:bookmarkEnd w:id="1"/>
            <w:r w:rsidRPr="00DF27B5">
              <w:rPr>
                <w:color w:val="000000"/>
              </w:rPr>
              <w:t xml:space="preserve"> </w:t>
            </w:r>
          </w:p>
          <w:p w14:paraId="5669DC4D" w14:textId="77777777" w:rsidR="00DF27B5" w:rsidRPr="00DF27B5" w:rsidRDefault="00DF27B5" w:rsidP="00DF27B5">
            <w:pPr>
              <w:pStyle w:val="NormalWeb"/>
              <w:shd w:val="clear" w:color="auto" w:fill="FFFFFF"/>
              <w:spacing w:before="0" w:beforeAutospacing="0" w:after="0" w:afterAutospacing="0"/>
              <w:ind w:left="99" w:firstLine="141"/>
              <w:jc w:val="both"/>
              <w:rPr>
                <w:color w:val="000000"/>
              </w:rPr>
            </w:pPr>
            <w:r w:rsidRPr="00DF27B5">
              <w:rPr>
                <w:color w:val="000000"/>
              </w:rPr>
              <w:t xml:space="preserve">   1. Đáp ứng các điều kiện quy định tại điểm </w:t>
            </w:r>
            <w:r w:rsidRPr="00DF27B5">
              <w:rPr>
                <w:color w:val="FF0000"/>
              </w:rPr>
              <w:t xml:space="preserve">b, c, d </w:t>
            </w:r>
            <w:r w:rsidRPr="00DF27B5">
              <w:rPr>
                <w:color w:val="000000"/>
              </w:rPr>
              <w:t>khoản 2 Điều 65 Luật hàng không dân dụng Việt Nam và được Cục Hàng không Việt Nam thẩm định, đánh giá theo phân ngành dịch vụ tương ứng quy định tại khoản 1 Điều 15 của Nghị định này.</w:t>
            </w:r>
          </w:p>
          <w:p w14:paraId="36354C24" w14:textId="77777777" w:rsidR="00DF27B5" w:rsidRPr="00DF27B5" w:rsidRDefault="00DF27B5" w:rsidP="00DF27B5">
            <w:pPr>
              <w:pStyle w:val="NormalWeb"/>
              <w:shd w:val="clear" w:color="auto" w:fill="FFFFFF"/>
              <w:spacing w:before="0" w:beforeAutospacing="0" w:after="0" w:afterAutospacing="0"/>
              <w:ind w:left="99" w:firstLine="141"/>
              <w:jc w:val="both"/>
              <w:rPr>
                <w:color w:val="000000"/>
              </w:rPr>
            </w:pPr>
            <w:r w:rsidRPr="00DF27B5">
              <w:rPr>
                <w:color w:val="000000"/>
              </w:rPr>
              <w:t xml:space="preserve">   2. </w:t>
            </w:r>
            <w:r w:rsidRPr="00DF27B5">
              <w:rPr>
                <w:color w:val="FF0000"/>
              </w:rPr>
              <w:t>Đối với doanh nghiệp cung cấp dịch vụ khai thác nhà ga hành khách, nhà ga hàng hóa, dịch vụ xăng dầu hàng không, dịch vụ phục vụ kỹ thuật thương mại mặt đất, dịch vụ khai thác khu bay, tỷ lệ vốn góp của cá nhân, tổ chức nước ngoài không được quá 30% vốn điều lệ của doanh nghiệp</w:t>
            </w:r>
            <w:r w:rsidRPr="00DF27B5">
              <w:rPr>
                <w:color w:val="000000"/>
              </w:rPr>
              <w:t>.”</w:t>
            </w:r>
          </w:p>
        </w:tc>
        <w:tc>
          <w:tcPr>
            <w:tcW w:w="3673" w:type="dxa"/>
          </w:tcPr>
          <w:p w14:paraId="28CA9799" w14:textId="77777777" w:rsidR="00DF27B5" w:rsidRDefault="00DF27B5" w:rsidP="00DF27B5">
            <w:pPr>
              <w:pStyle w:val="NormalWeb"/>
              <w:shd w:val="clear" w:color="auto" w:fill="FFFFFF"/>
              <w:spacing w:before="0" w:beforeAutospacing="0" w:after="0" w:afterAutospacing="0"/>
              <w:jc w:val="both"/>
              <w:rPr>
                <w:spacing w:val="-4"/>
              </w:rPr>
            </w:pPr>
            <w:r>
              <w:rPr>
                <w:color w:val="000000"/>
              </w:rPr>
              <w:t xml:space="preserve">Thực hiện </w:t>
            </w:r>
            <w:r w:rsidRPr="00F30156">
              <w:rPr>
                <w:spacing w:val="-4"/>
              </w:rPr>
              <w:t>Quyết định số 1977/QĐ-TTg ngày 24/11/2021 của Thủ tướng Chính phủ phê duyệt phương án cắt giảm, đơn giản hóa quy định liên quan đến hoạt động kinh doanh thuộc phạm vi chức năng quản lý của Bộ Giao thông vận tải;</w:t>
            </w:r>
          </w:p>
          <w:p w14:paraId="787BF267" w14:textId="069FC4E4" w:rsidR="00DF27B5" w:rsidRPr="00DF27B5" w:rsidRDefault="00DF27B5" w:rsidP="00DF27B5">
            <w:pPr>
              <w:pStyle w:val="NormalWeb"/>
              <w:shd w:val="clear" w:color="auto" w:fill="FFFFFF"/>
              <w:spacing w:before="0" w:beforeAutospacing="0" w:after="0" w:afterAutospacing="0"/>
              <w:jc w:val="both"/>
              <w:rPr>
                <w:bCs/>
                <w:color w:val="000000"/>
              </w:rPr>
            </w:pPr>
            <w:r>
              <w:rPr>
                <w:bCs/>
                <w:color w:val="000000"/>
                <w:spacing w:val="-4"/>
              </w:rPr>
              <w:t>Hiệu chỉnh lại kỹ thuật dẫn chiếu để Khoản 1 Điều 16 phù hợp với thành phần hồ sơ được quy định tại Điều 18 và quy định của Luật HKDD</w:t>
            </w:r>
          </w:p>
        </w:tc>
      </w:tr>
      <w:tr w:rsidR="00DF27B5" w:rsidRPr="00DF27B5" w14:paraId="3C5081C8" w14:textId="460F41DE" w:rsidTr="00AE27D1">
        <w:tc>
          <w:tcPr>
            <w:tcW w:w="716" w:type="dxa"/>
          </w:tcPr>
          <w:p w14:paraId="4252828B" w14:textId="77777777" w:rsidR="00DF27B5" w:rsidRPr="00DF27B5" w:rsidRDefault="00DF27B5" w:rsidP="00DF27B5">
            <w:pPr>
              <w:rPr>
                <w:rFonts w:ascii="Times New Roman" w:hAnsi="Times New Roman" w:cs="Times New Roman"/>
                <w:b/>
                <w:sz w:val="24"/>
                <w:szCs w:val="24"/>
              </w:rPr>
            </w:pPr>
            <w:r w:rsidRPr="00DF27B5">
              <w:rPr>
                <w:rFonts w:ascii="Times New Roman" w:hAnsi="Times New Roman" w:cs="Times New Roman"/>
                <w:b/>
                <w:sz w:val="24"/>
                <w:szCs w:val="24"/>
              </w:rPr>
              <w:t>2</w:t>
            </w:r>
          </w:p>
        </w:tc>
        <w:tc>
          <w:tcPr>
            <w:tcW w:w="5233" w:type="dxa"/>
          </w:tcPr>
          <w:p w14:paraId="7266F0B9" w14:textId="77777777" w:rsidR="00DF27B5" w:rsidRPr="00DF27B5" w:rsidRDefault="00DF27B5" w:rsidP="00DF27B5">
            <w:pPr>
              <w:ind w:firstLine="567"/>
              <w:jc w:val="both"/>
              <w:rPr>
                <w:rFonts w:ascii="Times New Roman" w:hAnsi="Times New Roman" w:cs="Times New Roman"/>
                <w:b/>
                <w:bCs/>
                <w:sz w:val="24"/>
                <w:szCs w:val="24"/>
                <w:lang w:val="vi-VN"/>
              </w:rPr>
            </w:pPr>
          </w:p>
          <w:p w14:paraId="722DEE6D" w14:textId="77777777" w:rsidR="00DF27B5" w:rsidRPr="00DF27B5" w:rsidRDefault="00DF27B5" w:rsidP="00DF27B5">
            <w:pPr>
              <w:ind w:firstLine="567"/>
              <w:jc w:val="both"/>
              <w:rPr>
                <w:rFonts w:ascii="Times New Roman" w:hAnsi="Times New Roman" w:cs="Times New Roman"/>
                <w:sz w:val="24"/>
                <w:szCs w:val="24"/>
                <w:lang w:val="vi-VN"/>
              </w:rPr>
            </w:pPr>
            <w:r w:rsidRPr="00DF27B5">
              <w:rPr>
                <w:rFonts w:ascii="Times New Roman" w:hAnsi="Times New Roman" w:cs="Times New Roman"/>
                <w:b/>
                <w:bCs/>
                <w:sz w:val="24"/>
                <w:szCs w:val="24"/>
                <w:lang w:val="vi-VN"/>
              </w:rPr>
              <w:t>Điều 18. Thủ tục cấp Giấy phép cung cấp dịch vụ hàng không tại cảng hàng không, sân bay</w:t>
            </w:r>
          </w:p>
          <w:p w14:paraId="6720CA4D" w14:textId="77777777" w:rsidR="00DF27B5" w:rsidRPr="00DF27B5" w:rsidRDefault="00DF27B5" w:rsidP="00DF27B5">
            <w:pPr>
              <w:ind w:firstLine="567"/>
              <w:jc w:val="both"/>
              <w:rPr>
                <w:rFonts w:ascii="Times New Roman" w:hAnsi="Times New Roman" w:cs="Times New Roman"/>
                <w:sz w:val="24"/>
                <w:szCs w:val="24"/>
              </w:rPr>
            </w:pPr>
            <w:r w:rsidRPr="00DF27B5">
              <w:rPr>
                <w:rFonts w:ascii="Times New Roman" w:hAnsi="Times New Roman" w:cs="Times New Roman"/>
                <w:sz w:val="24"/>
                <w:szCs w:val="24"/>
                <w:lang w:val="vi-VN"/>
              </w:rPr>
              <w:t xml:space="preserve">1. Cá nhân, tổ chức đề nghị cấp Giấy phép cung cấp dịch vụ hàng không tại cảng hàng không, sân bay phải gửi 01 bộ hồ sơ trực tiếp hoặc qua hệ thống bưu chính </w:t>
            </w:r>
            <w:bookmarkStart w:id="2" w:name="_Hlk25830043"/>
            <w:r w:rsidRPr="00DF27B5">
              <w:rPr>
                <w:rFonts w:ascii="Times New Roman" w:hAnsi="Times New Roman" w:cs="Times New Roman"/>
                <w:sz w:val="24"/>
                <w:szCs w:val="24"/>
                <w:lang w:val="vi-VN"/>
              </w:rPr>
              <w:t xml:space="preserve">hoặc bằng các hình thức phù hợp </w:t>
            </w:r>
            <w:r w:rsidRPr="00DF27B5">
              <w:rPr>
                <w:rFonts w:ascii="Times New Roman" w:hAnsi="Times New Roman" w:cs="Times New Roman"/>
                <w:sz w:val="24"/>
                <w:szCs w:val="24"/>
                <w:lang w:val="vi-VN"/>
              </w:rPr>
              <w:lastRenderedPageBreak/>
              <w:t xml:space="preserve">khác </w:t>
            </w:r>
            <w:bookmarkEnd w:id="2"/>
            <w:r w:rsidRPr="00DF27B5">
              <w:rPr>
                <w:rFonts w:ascii="Times New Roman" w:hAnsi="Times New Roman" w:cs="Times New Roman"/>
                <w:sz w:val="24"/>
                <w:szCs w:val="24"/>
                <w:lang w:val="vi-VN"/>
              </w:rPr>
              <w:t>đến Cục Hàng không Việt Nam và phải chịu trách nhiệm về tính chính xác, trung thực của các thông tin trong hồ sơ. Hồ sơ bao gồm:</w:t>
            </w:r>
          </w:p>
          <w:p w14:paraId="6FFDCBCE"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r>
            <w:bookmarkStart w:id="3" w:name="_Hlk25829958"/>
            <w:r w:rsidRPr="00DF27B5">
              <w:rPr>
                <w:rFonts w:ascii="Times New Roman" w:hAnsi="Times New Roman" w:cs="Times New Roman"/>
                <w:sz w:val="24"/>
                <w:szCs w:val="24"/>
                <w:lang w:val="vi-VN"/>
              </w:rPr>
              <w:t>a) Văn bản đề nghị cấp giấy phép theo Mẫu số 03 quy định tại Phụ lục ban hành kèm theo Nghị định này;</w:t>
            </w:r>
          </w:p>
          <w:p w14:paraId="768083E3"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t>b) Bản chính văn bản xác nhận vốn;</w:t>
            </w:r>
          </w:p>
          <w:p w14:paraId="3B508497"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t>c) Tài liệu giải trình của doanh nghiệp về bảo đảm an toàn hàng không, an ninh hàng không theo quy định tại khoản 1 Điều 16 của Nghị định này.</w:t>
            </w:r>
          </w:p>
          <w:bookmarkEnd w:id="3"/>
          <w:p w14:paraId="1AFB68B4"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t xml:space="preserve">2. </w:t>
            </w:r>
            <w:bookmarkStart w:id="4" w:name="_Hlk25830000"/>
            <w:r w:rsidRPr="00DF27B5">
              <w:rPr>
                <w:rFonts w:ascii="Times New Roman" w:hAnsi="Times New Roman" w:cs="Times New Roman"/>
                <w:sz w:val="24"/>
                <w:szCs w:val="24"/>
                <w:lang w:val="vi-VN"/>
              </w:rPr>
              <w:t>Trong thời hạn 12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Cục Hàng không Việt Nam phải gửi văn bản trả lời người đề nghị và nêu rõ lý do.</w:t>
            </w:r>
          </w:p>
          <w:p w14:paraId="39EC7EAF"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t>Trường hợp hồ sơ chưa hợp lệ, trong thời hạn 03 ngày làm việc kể từ ngày nhận được hồ sơ, Cục Hàng không Việt Nam phải có văn bản trả lời hướng dẫn người đề nghị hoàn thiện hồ sơ theo quy định.</w:t>
            </w:r>
          </w:p>
          <w:bookmarkEnd w:id="4"/>
          <w:p w14:paraId="40C4C961"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lang w:val="vi-VN"/>
              </w:rPr>
              <w:tab/>
              <w:t>3. Cục Hàng không Việt Nam thông báo về việc cấp giấy phép cho Cảng vụ hàng không để thực hiện công tác kiểm tra, giám sát.</w:t>
            </w:r>
          </w:p>
        </w:tc>
        <w:tc>
          <w:tcPr>
            <w:tcW w:w="4536" w:type="dxa"/>
          </w:tcPr>
          <w:p w14:paraId="586E64DB" w14:textId="77777777" w:rsidR="00DF27B5" w:rsidRPr="00DF27B5" w:rsidRDefault="00DF27B5" w:rsidP="00DF27B5">
            <w:pPr>
              <w:pStyle w:val="NormalWeb"/>
              <w:spacing w:before="0" w:beforeAutospacing="0" w:after="0" w:afterAutospacing="0"/>
              <w:jc w:val="both"/>
              <w:rPr>
                <w:color w:val="000000"/>
              </w:rPr>
            </w:pPr>
            <w:r w:rsidRPr="00DF27B5">
              <w:rPr>
                <w:color w:val="000000"/>
              </w:rPr>
              <w:lastRenderedPageBreak/>
              <w:t xml:space="preserve">Sửa đổi, bổ sung </w:t>
            </w:r>
            <w:r w:rsidRPr="00DF27B5">
              <w:rPr>
                <w:b/>
                <w:color w:val="000000"/>
              </w:rPr>
              <w:t>Điều 18</w:t>
            </w:r>
            <w:r w:rsidRPr="00DF27B5">
              <w:rPr>
                <w:color w:val="000000"/>
              </w:rPr>
              <w:t xml:space="preserve"> như sau:</w:t>
            </w:r>
          </w:p>
          <w:p w14:paraId="1E1FFE80" w14:textId="77777777" w:rsidR="00DF27B5" w:rsidRPr="00DF27B5" w:rsidRDefault="00DF27B5" w:rsidP="00DF27B5">
            <w:pPr>
              <w:pStyle w:val="NormalWeb"/>
              <w:spacing w:before="0" w:beforeAutospacing="0" w:after="0" w:afterAutospacing="0"/>
              <w:ind w:firstLine="524"/>
              <w:jc w:val="both"/>
            </w:pPr>
            <w:r w:rsidRPr="00DF27B5">
              <w:rPr>
                <w:b/>
                <w:bCs/>
                <w:lang w:val="vi-VN"/>
              </w:rPr>
              <w:t xml:space="preserve"> </w:t>
            </w:r>
            <w:r w:rsidRPr="00DF27B5">
              <w:rPr>
                <w:b/>
                <w:bCs/>
                <w:lang w:val="en-US"/>
              </w:rPr>
              <w:t>“</w:t>
            </w:r>
            <w:r w:rsidRPr="00DF27B5">
              <w:rPr>
                <w:b/>
                <w:bCs/>
                <w:lang w:val="vi-VN"/>
              </w:rPr>
              <w:t>Điều 18. Thủ tục cấp Giấy phép cung cấp dịch vụ hàng không tại cảng hàng không, sân bay</w:t>
            </w:r>
          </w:p>
          <w:p w14:paraId="4C733F47" w14:textId="77777777" w:rsidR="00DF27B5" w:rsidRPr="00DF27B5" w:rsidRDefault="00DF27B5" w:rsidP="00DF27B5">
            <w:pPr>
              <w:pStyle w:val="NormalWeb"/>
              <w:spacing w:before="0" w:beforeAutospacing="0" w:after="0" w:afterAutospacing="0"/>
              <w:ind w:firstLine="709"/>
              <w:jc w:val="both"/>
            </w:pPr>
            <w:r w:rsidRPr="00DF27B5">
              <w:rPr>
                <w:lang w:val="vi-VN"/>
              </w:rPr>
              <w:t xml:space="preserve">1. Cá nhân, tổ chức đề nghị cấp Giấy phép cung cấp dịch vụ hàng không tại cảng hàng không, sân bay phải gửi 01 bộ hồ sơ trực </w:t>
            </w:r>
            <w:r w:rsidRPr="00DF27B5">
              <w:rPr>
                <w:lang w:val="vi-VN"/>
              </w:rPr>
              <w:lastRenderedPageBreak/>
              <w:t>tiếp hoặc qua hệ thống bưu chính hoặc bằng các hình thức phù hợp khác đến Cục Hàng không Việt Nam và phải chịu trách nhiệm về tính chính xác, trung thực của các thông tin trong hồ sơ. Hồ sơ bao gồm:</w:t>
            </w:r>
          </w:p>
          <w:p w14:paraId="7C4F6B45" w14:textId="77777777" w:rsidR="00DF27B5" w:rsidRPr="00DF27B5" w:rsidRDefault="00DF27B5" w:rsidP="00DF27B5">
            <w:pPr>
              <w:pStyle w:val="NormalWeb"/>
              <w:spacing w:before="0" w:beforeAutospacing="0" w:after="0" w:afterAutospacing="0"/>
              <w:ind w:firstLine="709"/>
              <w:jc w:val="both"/>
            </w:pPr>
            <w:r w:rsidRPr="00DF27B5">
              <w:rPr>
                <w:lang w:val="vi-VN"/>
              </w:rPr>
              <w:t>a) Đơn đề nghị cấp giấy phép theo Mẫu số 03 quy định tại Phụ lục ban hành kèm theo Nghị định này;</w:t>
            </w:r>
          </w:p>
          <w:p w14:paraId="0DD3262A" w14:textId="77777777" w:rsidR="00DF27B5" w:rsidRPr="00DF27B5" w:rsidRDefault="00DF27B5" w:rsidP="00DF27B5">
            <w:pPr>
              <w:pStyle w:val="NormalWeb"/>
              <w:spacing w:before="0" w:beforeAutospacing="0" w:after="0" w:afterAutospacing="0"/>
              <w:ind w:firstLine="709"/>
              <w:jc w:val="both"/>
              <w:rPr>
                <w:color w:val="FF0000"/>
              </w:rPr>
            </w:pPr>
            <w:r w:rsidRPr="00DF27B5">
              <w:rPr>
                <w:lang w:val="vi-VN"/>
              </w:rPr>
              <w:t xml:space="preserve">b) </w:t>
            </w:r>
            <w:r w:rsidRPr="00DF27B5">
              <w:rPr>
                <w:color w:val="FF0000"/>
              </w:rPr>
              <w:t>Tài liệu giải trình của doanh nghiệp về việc đáp ứng các quy định tại khoản 1 Điều 16 của Nghị định này.</w:t>
            </w:r>
          </w:p>
          <w:p w14:paraId="786BC28A" w14:textId="77777777" w:rsidR="00DF27B5" w:rsidRPr="00DF27B5" w:rsidRDefault="00DF27B5" w:rsidP="00DF27B5">
            <w:pPr>
              <w:shd w:val="clear" w:color="auto" w:fill="FFFFFF"/>
              <w:ind w:firstLine="709"/>
              <w:jc w:val="both"/>
              <w:rPr>
                <w:rFonts w:ascii="Times New Roman" w:eastAsia="Times New Roman" w:hAnsi="Times New Roman" w:cs="Times New Roman"/>
                <w:sz w:val="24"/>
                <w:szCs w:val="24"/>
                <w:lang w:val="vi-VN" w:eastAsia="en-GB"/>
              </w:rPr>
            </w:pPr>
            <w:r w:rsidRPr="00DF27B5">
              <w:rPr>
                <w:rFonts w:ascii="Times New Roman" w:eastAsia="Times New Roman" w:hAnsi="Times New Roman" w:cs="Times New Roman"/>
                <w:sz w:val="24"/>
                <w:szCs w:val="24"/>
                <w:lang w:val="vi-VN" w:eastAsia="en-GB"/>
              </w:rPr>
              <w:t>2. Trong thời hạn 12 ngày kể từ ngày nhận đủ hồ sơ đề nghị cấp giấy phép theo quy định, Cục Hàng không Việt Nam cấp Giấy phép cung cấp dịch vụ hàng không tại cảng hàng không, sân bay theo Mẫu số 04 quy định tại Phụ lục ban hành kèm theo Nghị định này. Trường hợp không cấp giấy phép phải gửi văn bản trả lời người đề nghị và nêu rõ lý do.</w:t>
            </w:r>
          </w:p>
          <w:p w14:paraId="59132B8E" w14:textId="77777777" w:rsidR="00DF27B5" w:rsidRPr="00DF27B5" w:rsidRDefault="00DF27B5" w:rsidP="00DF27B5">
            <w:pPr>
              <w:pStyle w:val="NormalWeb"/>
              <w:widowControl w:val="0"/>
              <w:spacing w:before="0" w:beforeAutospacing="0" w:after="0" w:afterAutospacing="0"/>
              <w:ind w:firstLine="709"/>
              <w:jc w:val="both"/>
            </w:pPr>
            <w:r w:rsidRPr="00DF27B5">
              <w:rPr>
                <w:lang w:val="vi-VN"/>
              </w:rPr>
              <w:t>Trường hợp hồ sơ chưa hợp lệ, trong thời hạn 03 ngày làm việc kể từ ngày nhận được hồ sơ, Cục Hàng không Việt Nam phải có văn bản trả lời hướng dẫn người đề nghị hoàn thiện hồ sơ theo quy định.</w:t>
            </w:r>
          </w:p>
          <w:p w14:paraId="4F7AD781" w14:textId="77777777" w:rsidR="00DF27B5" w:rsidRPr="00DF27B5" w:rsidRDefault="00DF27B5" w:rsidP="00DF27B5">
            <w:pPr>
              <w:pStyle w:val="NormalWeb"/>
              <w:spacing w:before="0" w:beforeAutospacing="0" w:after="0" w:afterAutospacing="0"/>
              <w:ind w:firstLine="709"/>
              <w:jc w:val="both"/>
              <w:rPr>
                <w:lang w:val="en-US"/>
              </w:rPr>
            </w:pPr>
            <w:r w:rsidRPr="00DF27B5">
              <w:rPr>
                <w:lang w:val="vi-VN"/>
              </w:rPr>
              <w:t>3. Cục Hàng không Việt Nam thông báo về việc cấp giấy phép cho Cảng vụ hàng không để thực hiện công tác kiểm tra, giám sát.</w:t>
            </w:r>
            <w:r w:rsidRPr="00DF27B5">
              <w:rPr>
                <w:lang w:val="en-US"/>
              </w:rPr>
              <w:t>”</w:t>
            </w:r>
          </w:p>
          <w:p w14:paraId="36AA3F70" w14:textId="77777777" w:rsidR="00DF27B5" w:rsidRPr="00DF27B5" w:rsidRDefault="00DF27B5" w:rsidP="00DF27B5">
            <w:pPr>
              <w:pStyle w:val="NormalWeb"/>
              <w:shd w:val="clear" w:color="auto" w:fill="FFFFFF"/>
              <w:spacing w:before="0" w:beforeAutospacing="0" w:after="0" w:afterAutospacing="0"/>
              <w:jc w:val="both"/>
              <w:rPr>
                <w:b/>
                <w:bCs/>
                <w:color w:val="000000"/>
              </w:rPr>
            </w:pPr>
          </w:p>
        </w:tc>
        <w:tc>
          <w:tcPr>
            <w:tcW w:w="3673" w:type="dxa"/>
          </w:tcPr>
          <w:p w14:paraId="00FE6145" w14:textId="77777777" w:rsidR="00DF27B5" w:rsidRDefault="00DF27B5" w:rsidP="00DF27B5">
            <w:pPr>
              <w:pStyle w:val="NormalWeb"/>
              <w:shd w:val="clear" w:color="auto" w:fill="FFFFFF"/>
              <w:spacing w:before="0" w:beforeAutospacing="0" w:after="0" w:afterAutospacing="0"/>
              <w:jc w:val="both"/>
              <w:rPr>
                <w:spacing w:val="-4"/>
              </w:rPr>
            </w:pPr>
            <w:r>
              <w:rPr>
                <w:color w:val="000000"/>
              </w:rPr>
              <w:lastRenderedPageBreak/>
              <w:t xml:space="preserve">Thực hiện </w:t>
            </w:r>
            <w:r w:rsidRPr="00F30156">
              <w:rPr>
                <w:spacing w:val="-4"/>
              </w:rPr>
              <w:t>Quyết định số 1977/QĐ-TTg ngày 24/11/2021 của Thủ tướng Chính phủ phê duyệt phương án cắt giảm, đơn giản hóa quy định liên quan đến hoạt động kinh doanh thuộc phạm vi chức năng quản lý của Bộ Giao thông vận tải;</w:t>
            </w:r>
          </w:p>
          <w:p w14:paraId="525EC394" w14:textId="39E64F1C" w:rsidR="00DF27B5" w:rsidRPr="00DF27B5" w:rsidRDefault="00DF27B5" w:rsidP="00DF27B5">
            <w:pPr>
              <w:pStyle w:val="NormalWeb"/>
              <w:spacing w:before="0" w:beforeAutospacing="0" w:after="0" w:afterAutospacing="0"/>
              <w:jc w:val="both"/>
              <w:rPr>
                <w:color w:val="000000"/>
              </w:rPr>
            </w:pPr>
            <w:r>
              <w:rPr>
                <w:bCs/>
                <w:color w:val="000000"/>
                <w:spacing w:val="-4"/>
              </w:rPr>
              <w:lastRenderedPageBreak/>
              <w:t>Hiệu chỉnh lại kỹ thuật dẫn chiếu để Khoản 1 Điều 16 phù hợp với thành phần hồ sơ được quy định tại Điều 18 và quy định của Luật HKDD</w:t>
            </w:r>
          </w:p>
        </w:tc>
      </w:tr>
      <w:tr w:rsidR="00DF27B5" w:rsidRPr="00DF27B5" w14:paraId="65D0DBB1" w14:textId="1881EE1E" w:rsidTr="00AE27D1">
        <w:tc>
          <w:tcPr>
            <w:tcW w:w="716" w:type="dxa"/>
          </w:tcPr>
          <w:p w14:paraId="778FA42E" w14:textId="04B05085" w:rsidR="00DF27B5" w:rsidRPr="00DF27B5" w:rsidRDefault="00DF27B5" w:rsidP="00DF27B5">
            <w:pP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233" w:type="dxa"/>
          </w:tcPr>
          <w:p w14:paraId="5C9A6056" w14:textId="77777777" w:rsidR="00DF27B5" w:rsidRPr="00DF27B5" w:rsidRDefault="00DF27B5" w:rsidP="00DF27B5">
            <w:pPr>
              <w:jc w:val="both"/>
              <w:rPr>
                <w:rFonts w:ascii="Times New Roman" w:hAnsi="Times New Roman" w:cs="Times New Roman"/>
                <w:b/>
                <w:bCs/>
                <w:sz w:val="24"/>
                <w:szCs w:val="24"/>
              </w:rPr>
            </w:pPr>
            <w:r w:rsidRPr="00DF27B5">
              <w:rPr>
                <w:rFonts w:ascii="Times New Roman" w:hAnsi="Times New Roman" w:cs="Times New Roman"/>
                <w:b/>
                <w:bCs/>
                <w:sz w:val="24"/>
                <w:szCs w:val="24"/>
              </w:rPr>
              <w:t>Điểm b Khoản 2 Điều 19:</w:t>
            </w:r>
          </w:p>
          <w:p w14:paraId="296EA52D" w14:textId="77777777" w:rsidR="00DF27B5" w:rsidRPr="00DF27B5" w:rsidRDefault="00DF27B5" w:rsidP="00DF27B5">
            <w:pPr>
              <w:jc w:val="both"/>
              <w:rPr>
                <w:rFonts w:ascii="Times New Roman" w:hAnsi="Times New Roman" w:cs="Times New Roman"/>
                <w:sz w:val="24"/>
                <w:szCs w:val="24"/>
              </w:rPr>
            </w:pPr>
            <w:r w:rsidRPr="00DF27B5">
              <w:rPr>
                <w:rFonts w:ascii="Times New Roman" w:hAnsi="Times New Roman" w:cs="Times New Roman"/>
                <w:sz w:val="24"/>
                <w:szCs w:val="24"/>
              </w:rPr>
              <w:t>“</w:t>
            </w:r>
            <w:r w:rsidRPr="00DF27B5">
              <w:rPr>
                <w:rFonts w:ascii="Times New Roman" w:hAnsi="Times New Roman" w:cs="Times New Roman"/>
                <w:sz w:val="24"/>
                <w:szCs w:val="24"/>
                <w:lang w:val="vi-VN"/>
              </w:rPr>
              <w:t xml:space="preserve">b) </w:t>
            </w:r>
            <w:bookmarkStart w:id="5" w:name="_Hlk25830681"/>
            <w:r w:rsidRPr="00DF27B5">
              <w:rPr>
                <w:rFonts w:ascii="Times New Roman" w:hAnsi="Times New Roman" w:cs="Times New Roman"/>
                <w:sz w:val="24"/>
                <w:szCs w:val="24"/>
                <w:lang w:val="vi-VN"/>
              </w:rPr>
              <w:t>Các tài liệu có liên quan đến việc thay đổi nội dung giấy phép (nếu có).</w:t>
            </w:r>
            <w:bookmarkEnd w:id="5"/>
            <w:r w:rsidRPr="00DF27B5">
              <w:rPr>
                <w:rFonts w:ascii="Times New Roman" w:hAnsi="Times New Roman" w:cs="Times New Roman"/>
                <w:sz w:val="24"/>
                <w:szCs w:val="24"/>
              </w:rPr>
              <w:t>”</w:t>
            </w:r>
          </w:p>
          <w:p w14:paraId="14C37256" w14:textId="77777777" w:rsidR="00DF27B5" w:rsidRPr="00DF27B5" w:rsidRDefault="00DF27B5" w:rsidP="00DF27B5">
            <w:pPr>
              <w:jc w:val="both"/>
              <w:rPr>
                <w:rFonts w:ascii="Times New Roman" w:hAnsi="Times New Roman" w:cs="Times New Roman"/>
                <w:b/>
                <w:bCs/>
                <w:sz w:val="24"/>
                <w:szCs w:val="24"/>
                <w:lang w:val="vi-VN"/>
              </w:rPr>
            </w:pPr>
          </w:p>
        </w:tc>
        <w:tc>
          <w:tcPr>
            <w:tcW w:w="4536" w:type="dxa"/>
          </w:tcPr>
          <w:p w14:paraId="29060F8E" w14:textId="77777777" w:rsidR="00DF27B5" w:rsidRPr="00DF27B5" w:rsidRDefault="00DF27B5" w:rsidP="00DF27B5">
            <w:pPr>
              <w:pStyle w:val="NormalWeb"/>
              <w:spacing w:before="0" w:beforeAutospacing="0" w:after="0" w:afterAutospacing="0"/>
              <w:jc w:val="both"/>
              <w:rPr>
                <w:bCs/>
                <w:lang w:val="en-US"/>
              </w:rPr>
            </w:pPr>
            <w:r w:rsidRPr="00DF27B5">
              <w:rPr>
                <w:bCs/>
                <w:lang w:val="en-US"/>
              </w:rPr>
              <w:t xml:space="preserve">Sửa đổi, bổ sung </w:t>
            </w:r>
            <w:r w:rsidRPr="00DF27B5">
              <w:rPr>
                <w:b/>
                <w:bCs/>
                <w:lang w:val="en-US"/>
              </w:rPr>
              <w:t>điểm b Khoản 2 Điều 19</w:t>
            </w:r>
            <w:r w:rsidRPr="00DF27B5">
              <w:rPr>
                <w:bCs/>
                <w:lang w:val="en-US"/>
              </w:rPr>
              <w:t xml:space="preserve"> như sau:</w:t>
            </w:r>
          </w:p>
          <w:p w14:paraId="688F8AE8" w14:textId="77777777" w:rsidR="00DF27B5" w:rsidRPr="00DF27B5" w:rsidRDefault="00DF27B5" w:rsidP="00DF27B5">
            <w:pPr>
              <w:pStyle w:val="NormalWeb"/>
              <w:spacing w:before="0" w:beforeAutospacing="0" w:after="0" w:afterAutospacing="0"/>
              <w:jc w:val="both"/>
              <w:rPr>
                <w:color w:val="000000"/>
                <w:shd w:val="clear" w:color="auto" w:fill="FFFFFF"/>
              </w:rPr>
            </w:pPr>
            <w:r w:rsidRPr="00DF27B5">
              <w:rPr>
                <w:b/>
                <w:lang w:val="en-US"/>
              </w:rPr>
              <w:t>“</w:t>
            </w:r>
            <w:r w:rsidRPr="00DF27B5">
              <w:rPr>
                <w:color w:val="000000"/>
                <w:shd w:val="clear" w:color="auto" w:fill="FFFFFF"/>
              </w:rPr>
              <w:t xml:space="preserve">b) </w:t>
            </w:r>
            <w:r w:rsidRPr="00DF27B5">
              <w:rPr>
                <w:color w:val="FF0000"/>
                <w:shd w:val="clear" w:color="auto" w:fill="FFFFFF"/>
              </w:rPr>
              <w:t xml:space="preserve">Bản sao </w:t>
            </w:r>
            <w:r w:rsidRPr="00DF27B5">
              <w:rPr>
                <w:color w:val="000000"/>
                <w:shd w:val="clear" w:color="auto" w:fill="FFFFFF"/>
              </w:rPr>
              <w:t>các tài liệu có liên quan đến việc thay đổi nội dung giấy phép (nếu có).”</w:t>
            </w:r>
          </w:p>
        </w:tc>
        <w:tc>
          <w:tcPr>
            <w:tcW w:w="3673" w:type="dxa"/>
          </w:tcPr>
          <w:p w14:paraId="4B98B736" w14:textId="29F5AA02" w:rsidR="00DF27B5" w:rsidRPr="00DF27B5" w:rsidRDefault="00DF27B5" w:rsidP="00DF27B5">
            <w:pPr>
              <w:pStyle w:val="NormalWeb"/>
              <w:spacing w:before="0" w:beforeAutospacing="0" w:after="0" w:afterAutospacing="0"/>
              <w:jc w:val="both"/>
              <w:rPr>
                <w:bCs/>
                <w:lang w:val="en-US"/>
              </w:rPr>
            </w:pPr>
            <w:r>
              <w:rPr>
                <w:color w:val="000000"/>
                <w:lang w:val="en-US"/>
              </w:rPr>
              <w:t>Sửa TPHS để đáp ứng cung cấp mức dịch vụ công mức 4 theo điều kiện quy định tại Thông tư 02/2017/TT-VPCP và ý kiến góp ý của Văn phòng Chính phủ</w:t>
            </w:r>
          </w:p>
        </w:tc>
      </w:tr>
      <w:tr w:rsidR="00DF27B5" w:rsidRPr="00DF27B5" w14:paraId="2C21FECE" w14:textId="3CB962F1" w:rsidTr="00AE27D1">
        <w:tc>
          <w:tcPr>
            <w:tcW w:w="716" w:type="dxa"/>
          </w:tcPr>
          <w:p w14:paraId="18890758" w14:textId="546F371D" w:rsidR="00DF27B5" w:rsidRPr="00DF27B5" w:rsidRDefault="002515FF" w:rsidP="00DF27B5">
            <w:pPr>
              <w:rPr>
                <w:rFonts w:ascii="Times New Roman" w:hAnsi="Times New Roman" w:cs="Times New Roman"/>
                <w:b/>
                <w:sz w:val="24"/>
                <w:szCs w:val="24"/>
              </w:rPr>
            </w:pPr>
            <w:r>
              <w:rPr>
                <w:rFonts w:ascii="Times New Roman" w:hAnsi="Times New Roman" w:cs="Times New Roman"/>
                <w:b/>
                <w:sz w:val="24"/>
                <w:szCs w:val="24"/>
              </w:rPr>
              <w:t>4</w:t>
            </w:r>
          </w:p>
        </w:tc>
        <w:tc>
          <w:tcPr>
            <w:tcW w:w="5233" w:type="dxa"/>
          </w:tcPr>
          <w:p w14:paraId="5BEB7FFA" w14:textId="77777777" w:rsidR="00DF27B5" w:rsidRPr="00DF27B5" w:rsidRDefault="00DF27B5" w:rsidP="00DF27B5">
            <w:pPr>
              <w:jc w:val="both"/>
              <w:rPr>
                <w:rFonts w:ascii="Times New Roman" w:hAnsi="Times New Roman" w:cs="Times New Roman"/>
                <w:bCs/>
                <w:color w:val="000000" w:themeColor="text1"/>
                <w:sz w:val="24"/>
                <w:szCs w:val="24"/>
              </w:rPr>
            </w:pPr>
          </w:p>
          <w:p w14:paraId="74997ED2" w14:textId="77777777" w:rsidR="00DF27B5" w:rsidRPr="00DF27B5" w:rsidRDefault="00DF27B5" w:rsidP="00DF27B5">
            <w:pPr>
              <w:jc w:val="both"/>
              <w:rPr>
                <w:rFonts w:ascii="Times New Roman" w:hAnsi="Times New Roman" w:cs="Times New Roman"/>
                <w:b/>
                <w:bCs/>
                <w:color w:val="000000" w:themeColor="text1"/>
                <w:sz w:val="24"/>
                <w:szCs w:val="24"/>
              </w:rPr>
            </w:pPr>
            <w:r w:rsidRPr="00DF27B5">
              <w:rPr>
                <w:rFonts w:ascii="Times New Roman" w:hAnsi="Times New Roman" w:cs="Times New Roman"/>
                <w:b/>
                <w:bCs/>
                <w:color w:val="000000" w:themeColor="text1"/>
                <w:sz w:val="24"/>
                <w:szCs w:val="24"/>
              </w:rPr>
              <w:lastRenderedPageBreak/>
              <w:t xml:space="preserve">Điều 27. </w:t>
            </w:r>
            <w:r w:rsidRPr="00DF27B5">
              <w:rPr>
                <w:rFonts w:ascii="Times New Roman" w:hAnsi="Times New Roman" w:cs="Times New Roman"/>
                <w:b/>
                <w:bCs/>
                <w:color w:val="000000" w:themeColor="text1"/>
                <w:sz w:val="24"/>
                <w:szCs w:val="24"/>
                <w:lang w:val="vi-VN"/>
              </w:rPr>
              <w:t>Thủ tục cấp Giấy chứng nhận cơ sở đủ điều kiện đào tạo, huấn luyện nghiệp vụ nhân viên hàng không</w:t>
            </w:r>
          </w:p>
          <w:p w14:paraId="3FA338CC"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1. Cơ sở đào tạo, huấn luyện nghiệp vụ nhân viên hàng không gửi 01 bộ hồ sơ trực tiếp hoặc qua hệ thống bưu chính hoặc các hình thức phù hợp khác đến Cục Hàng không Việt Nam. Hồ sơ bao gồm các tài liệu sau:</w:t>
            </w:r>
          </w:p>
          <w:p w14:paraId="73C6C359"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a) Đơn đề nghị cấp Giấy chứng nhận cơ sở đủ điều kiện đào tạo, huấn luyện nghiệp vụ nhân viên hàng không theo Mẫu số 05 quy định tại Phụ lục ban hành kèm theo Nghị định này;</w:t>
            </w:r>
          </w:p>
          <w:p w14:paraId="2B4113FC"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b) Tài liệu giải trình tổ chức huấn luyện về việc đáp ứng yêu cầu tại Điều 25, Điều 26 của Nghị định này.</w:t>
            </w:r>
          </w:p>
          <w:p w14:paraId="7AA87EB0"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2. Nội dung của tài liệu giải trình tổ chức huấn luyện bao gồm:</w:t>
            </w:r>
          </w:p>
          <w:p w14:paraId="2D112578"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a) Danh sách trích ngang giáo viên;</w:t>
            </w:r>
          </w:p>
          <w:p w14:paraId="05D72611"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b) Báo cáo về cơ sở vật chất: Phòng học, trang thiết bị, cơ sở hoặc nơi thực hành phù hợp với nội dung đào tạo;</w:t>
            </w:r>
          </w:p>
          <w:p w14:paraId="29DC19DE"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c) Báo cáo về chương trình, giáo trình, tài liệu đào tạo, huấn luyện lý thuyết, thực hành liên quan đến từng môn học;</w:t>
            </w:r>
          </w:p>
          <w:p w14:paraId="7BD91C42" w14:textId="77777777" w:rsidR="00DF27B5" w:rsidRPr="00DF27B5" w:rsidRDefault="00DF27B5" w:rsidP="00DF27B5">
            <w:pPr>
              <w:jc w:val="both"/>
              <w:rPr>
                <w:rFonts w:ascii="Times New Roman" w:hAnsi="Times New Roman" w:cs="Times New Roman"/>
                <w:color w:val="000000" w:themeColor="text1"/>
                <w:sz w:val="24"/>
                <w:szCs w:val="24"/>
              </w:rPr>
            </w:pPr>
            <w:r w:rsidRPr="00DF27B5">
              <w:rPr>
                <w:rFonts w:ascii="Times New Roman" w:hAnsi="Times New Roman" w:cs="Times New Roman"/>
                <w:color w:val="000000" w:themeColor="text1"/>
                <w:sz w:val="24"/>
                <w:szCs w:val="24"/>
                <w:lang w:val="vi-VN"/>
              </w:rPr>
              <w:tab/>
              <w:t>d) Báo cáo về hệ thống tổ chức, bộ máy, đội ngũ cán bộ quản lý và hệ thống văn bản quản lý đào tạo, huấn luyện nghiệp vụ nhân viên hàng không.</w:t>
            </w:r>
          </w:p>
          <w:p w14:paraId="531DFC2C" w14:textId="77777777" w:rsidR="00DF27B5" w:rsidRPr="00DF27B5" w:rsidRDefault="00DF27B5" w:rsidP="00DF27B5">
            <w:pPr>
              <w:jc w:val="both"/>
              <w:rPr>
                <w:rFonts w:ascii="Times New Roman" w:hAnsi="Times New Roman" w:cs="Times New Roman"/>
                <w:bCs/>
                <w:color w:val="000000" w:themeColor="text1"/>
                <w:sz w:val="24"/>
                <w:szCs w:val="24"/>
                <w:lang w:val="vi-VN"/>
              </w:rPr>
            </w:pPr>
            <w:r w:rsidRPr="00DF27B5">
              <w:rPr>
                <w:rFonts w:ascii="Times New Roman" w:hAnsi="Times New Roman" w:cs="Times New Roman"/>
                <w:color w:val="000000" w:themeColor="text1"/>
                <w:sz w:val="24"/>
                <w:szCs w:val="24"/>
                <w:lang w:val="vi-VN"/>
              </w:rPr>
              <w:tab/>
              <w:t xml:space="preserve">3. Trong thời hạn </w:t>
            </w:r>
            <w:r w:rsidRPr="00DF27B5">
              <w:rPr>
                <w:rFonts w:ascii="Times New Roman" w:hAnsi="Times New Roman" w:cs="Times New Roman"/>
                <w:color w:val="FF0000"/>
                <w:sz w:val="24"/>
                <w:szCs w:val="24"/>
                <w:lang w:val="vi-VN"/>
              </w:rPr>
              <w:t>25 ngày</w:t>
            </w:r>
            <w:r w:rsidRPr="00DF27B5">
              <w:rPr>
                <w:rFonts w:ascii="Times New Roman" w:hAnsi="Times New Roman" w:cs="Times New Roman"/>
                <w:color w:val="000000" w:themeColor="text1"/>
                <w:sz w:val="24"/>
                <w:szCs w:val="24"/>
                <w:lang w:val="vi-VN"/>
              </w:rPr>
              <w:t>, kể từ ngày nhận đủ hồ sơ theo quy định, Cục Hàng không Việt Nam thẩm định hồ sơ, kiểm tra đánh giá thực tế cơ sở; yêu cầu người đề nghị giải trình bổ sung các nội dung liên quan, chỉnh sửa tài liệu; cấp Giấy chứng nhận cơ sở đủ điều kiện đào tạo, huấn luyện nghiệp vụ nhân viên hàng không cho cơ sở đề nghị theo Mẫu số 07 quy định tại Phụ lục ban hành kèm theo Nghị định này, trường hợp từ chối phải nêu rõ lý do.</w:t>
            </w:r>
          </w:p>
        </w:tc>
        <w:tc>
          <w:tcPr>
            <w:tcW w:w="4536" w:type="dxa"/>
          </w:tcPr>
          <w:p w14:paraId="406008EA" w14:textId="77777777" w:rsidR="00DF27B5" w:rsidRPr="00DF27B5" w:rsidRDefault="00DF27B5" w:rsidP="00DF27B5">
            <w:pPr>
              <w:jc w:val="both"/>
              <w:rPr>
                <w:rFonts w:ascii="Times New Roman" w:eastAsia="Times New Roman" w:hAnsi="Times New Roman" w:cs="Times New Roman"/>
                <w:bCs/>
                <w:color w:val="000000"/>
                <w:sz w:val="24"/>
                <w:szCs w:val="24"/>
                <w:lang w:eastAsia="en-GB"/>
              </w:rPr>
            </w:pPr>
            <w:r w:rsidRPr="00DF27B5">
              <w:rPr>
                <w:rFonts w:ascii="Times New Roman" w:eastAsia="Times New Roman" w:hAnsi="Times New Roman" w:cs="Times New Roman"/>
                <w:bCs/>
                <w:color w:val="000000"/>
                <w:sz w:val="24"/>
                <w:szCs w:val="24"/>
                <w:lang w:eastAsia="en-GB"/>
              </w:rPr>
              <w:lastRenderedPageBreak/>
              <w:t xml:space="preserve">Sửa đổi, bổ sung </w:t>
            </w:r>
            <w:r w:rsidRPr="00DF27B5">
              <w:rPr>
                <w:rFonts w:ascii="Times New Roman" w:eastAsia="Times New Roman" w:hAnsi="Times New Roman" w:cs="Times New Roman"/>
                <w:b/>
                <w:bCs/>
                <w:color w:val="000000"/>
                <w:sz w:val="24"/>
                <w:szCs w:val="24"/>
                <w:lang w:eastAsia="en-GB"/>
              </w:rPr>
              <w:t>Điều 27</w:t>
            </w:r>
            <w:r w:rsidRPr="00DF27B5">
              <w:rPr>
                <w:rFonts w:ascii="Times New Roman" w:eastAsia="Times New Roman" w:hAnsi="Times New Roman" w:cs="Times New Roman"/>
                <w:bCs/>
                <w:color w:val="000000"/>
                <w:sz w:val="24"/>
                <w:szCs w:val="24"/>
                <w:lang w:eastAsia="en-GB"/>
              </w:rPr>
              <w:t xml:space="preserve"> như sau:</w:t>
            </w:r>
          </w:p>
          <w:p w14:paraId="3F42C62F" w14:textId="77777777" w:rsidR="00DF27B5" w:rsidRPr="00DF27B5" w:rsidRDefault="00DF27B5" w:rsidP="00DF27B5">
            <w:pPr>
              <w:jc w:val="both"/>
              <w:rPr>
                <w:rFonts w:ascii="Times New Roman" w:eastAsia="Times New Roman" w:hAnsi="Times New Roman" w:cs="Times New Roman"/>
                <w:b/>
                <w:color w:val="000000"/>
                <w:sz w:val="24"/>
                <w:szCs w:val="24"/>
                <w:lang w:eastAsia="en-GB"/>
              </w:rPr>
            </w:pPr>
            <w:r w:rsidRPr="00DF27B5">
              <w:rPr>
                <w:rFonts w:ascii="Times New Roman" w:eastAsia="Times New Roman" w:hAnsi="Times New Roman" w:cs="Times New Roman"/>
                <w:b/>
                <w:bCs/>
                <w:color w:val="000000"/>
                <w:sz w:val="24"/>
                <w:szCs w:val="24"/>
                <w:lang w:eastAsia="en-GB"/>
              </w:rPr>
              <w:lastRenderedPageBreak/>
              <w:t>“Điều 27. Thủ tục cấp Giấy chứng nhận cơ sở đủ điều kiện đào tạo, huấn luyện nghiệp vụ nhân viên hàng không</w:t>
            </w:r>
            <w:r w:rsidRPr="00DF27B5">
              <w:rPr>
                <w:rFonts w:ascii="Times New Roman" w:eastAsia="Times New Roman" w:hAnsi="Times New Roman" w:cs="Times New Roman"/>
                <w:b/>
                <w:color w:val="000000"/>
                <w:sz w:val="24"/>
                <w:szCs w:val="24"/>
                <w:lang w:eastAsia="en-GB"/>
              </w:rPr>
              <w:t xml:space="preserve"> </w:t>
            </w:r>
          </w:p>
          <w:p w14:paraId="7FB9D65B"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1. Cơ sở đào tạo, huấn luyện nghiệp vụ nhân viên hàng không gửi 01 bộ hồ sơ trực tiếp hoặc qua hệ thống bưu chính hoặc các hình thức phù hợp khác đến Cục Hàng không Việt Nam. Hồ sơ bao gồm các tài liệu sau:</w:t>
            </w:r>
          </w:p>
          <w:p w14:paraId="176166BC"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r>
            <w:bookmarkStart w:id="6" w:name="_Hlk25831605"/>
            <w:r w:rsidRPr="00DF27B5">
              <w:rPr>
                <w:rFonts w:ascii="Times New Roman" w:eastAsia="Times New Roman" w:hAnsi="Times New Roman" w:cs="Times New Roman"/>
                <w:color w:val="000000"/>
                <w:sz w:val="24"/>
                <w:szCs w:val="24"/>
                <w:lang w:eastAsia="en-GB"/>
              </w:rPr>
              <w:t>a) Đơn đề nghị cấp Giấy chứng nhận cơ sở đủ điều kiện đào tạo, huấn luyện nghiệp vụ nhân viên hàng không theo Mẫu số 05 quy định tại Phụ lục ban hành kèm theo Nghị định này;</w:t>
            </w:r>
          </w:p>
          <w:p w14:paraId="0EAEEF93"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b) Tài liệu giải trình tổ chức huấn luyện về việc đáp ứng yêu cầu tại Điều 25, Điều 26 của Nghị định này.</w:t>
            </w:r>
          </w:p>
          <w:bookmarkEnd w:id="6"/>
          <w:p w14:paraId="6829937F"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 xml:space="preserve">2. </w:t>
            </w:r>
            <w:bookmarkStart w:id="7" w:name="_Hlk25831662"/>
            <w:r w:rsidRPr="00DF27B5">
              <w:rPr>
                <w:rFonts w:ascii="Times New Roman" w:eastAsia="Times New Roman" w:hAnsi="Times New Roman" w:cs="Times New Roman"/>
                <w:color w:val="000000"/>
                <w:sz w:val="24"/>
                <w:szCs w:val="24"/>
                <w:lang w:eastAsia="en-GB"/>
              </w:rPr>
              <w:t>Nội dung của tài liệu giải trình tổ chức huấn luyện bao gồm:</w:t>
            </w:r>
          </w:p>
          <w:p w14:paraId="1E0C58B7"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a) Danh sách trích ngang giáo viên;</w:t>
            </w:r>
          </w:p>
          <w:p w14:paraId="5AB41555"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b) Báo cáo về cơ sở vật chất: Phòng học, trang thiết bị, cơ sở hoặc nơi thực hành phù hợp với nội dung đào tạo;</w:t>
            </w:r>
          </w:p>
          <w:p w14:paraId="49A34834"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c) Báo cáo về chương trình, giáo trình, tài liệu đào tạo, huấn luyện lý thuyết, thực hành liên quan đến từng môn học;</w:t>
            </w:r>
          </w:p>
          <w:p w14:paraId="1815C311"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ab/>
              <w:t>d) Báo cáo về hệ thống tổ chức, bộ máy, đội ngũ cán bộ quản lý và hệ thống văn bản quản lý đào tạo, huấn luyện nghiệp vụ nhân viên hàng không.</w:t>
            </w:r>
          </w:p>
          <w:bookmarkEnd w:id="7"/>
          <w:p w14:paraId="15E9244B" w14:textId="77777777" w:rsidR="00DF27B5" w:rsidRPr="00DF27B5" w:rsidRDefault="00DF27B5" w:rsidP="00DF27B5">
            <w:pPr>
              <w:pStyle w:val="NormalWeb"/>
              <w:spacing w:before="0" w:beforeAutospacing="0" w:after="0" w:afterAutospacing="0"/>
              <w:jc w:val="both"/>
              <w:rPr>
                <w:color w:val="000000"/>
              </w:rPr>
            </w:pPr>
            <w:r w:rsidRPr="00DF27B5">
              <w:rPr>
                <w:color w:val="000000"/>
              </w:rPr>
              <w:tab/>
              <w:t xml:space="preserve">3. </w:t>
            </w:r>
            <w:bookmarkStart w:id="8" w:name="_Hlk25831687"/>
            <w:r w:rsidRPr="00DF27B5">
              <w:rPr>
                <w:color w:val="000000"/>
              </w:rPr>
              <w:t xml:space="preserve">Trong thời hạn </w:t>
            </w:r>
            <w:r w:rsidRPr="00DF27B5">
              <w:rPr>
                <w:color w:val="FF0000"/>
              </w:rPr>
              <w:t>20 ngày</w:t>
            </w:r>
            <w:r w:rsidRPr="00DF27B5">
              <w:rPr>
                <w:color w:val="000000"/>
              </w:rPr>
              <w:t xml:space="preserve">, kể từ ngày nhận đủ hồ sơ theo quy định, Cục Hàng không Việt Nam thẩm định hồ sơ, kiểm tra đánh giá thực tế cơ sở; yêu cầu người đề nghị giải trình bổ sung các nội dung liên quan, chỉnh sửa tài liệu; cấp Giấy chứng nhận cơ sở đủ điều kiện đào tạo, huấn luyện nghiệp vụ nhân viên hàng không cho cơ sở đề nghị theo </w:t>
            </w:r>
            <w:r w:rsidRPr="00DF27B5">
              <w:rPr>
                <w:color w:val="000000"/>
              </w:rPr>
              <w:lastRenderedPageBreak/>
              <w:t>Mẫu số 07 quy định tại Phụ lục ban hành kèm theo Nghị định này, trường hợp từ chối phải nêu rõ lý do.</w:t>
            </w:r>
            <w:bookmarkEnd w:id="8"/>
            <w:r w:rsidRPr="00DF27B5">
              <w:rPr>
                <w:color w:val="000000"/>
              </w:rPr>
              <w:t>”</w:t>
            </w:r>
          </w:p>
        </w:tc>
        <w:tc>
          <w:tcPr>
            <w:tcW w:w="3673" w:type="dxa"/>
          </w:tcPr>
          <w:p w14:paraId="02DD44D0" w14:textId="77777777" w:rsidR="00DF27B5" w:rsidRDefault="00DF27B5" w:rsidP="00DF27B5">
            <w:pPr>
              <w:pStyle w:val="NormalWeb"/>
              <w:shd w:val="clear" w:color="auto" w:fill="FFFFFF"/>
              <w:spacing w:before="0" w:beforeAutospacing="0" w:after="0" w:afterAutospacing="0"/>
              <w:jc w:val="both"/>
              <w:rPr>
                <w:spacing w:val="-4"/>
              </w:rPr>
            </w:pPr>
            <w:r>
              <w:rPr>
                <w:color w:val="000000"/>
              </w:rPr>
              <w:lastRenderedPageBreak/>
              <w:t xml:space="preserve">Thực hiện </w:t>
            </w:r>
            <w:r w:rsidRPr="00F30156">
              <w:rPr>
                <w:spacing w:val="-4"/>
              </w:rPr>
              <w:t xml:space="preserve">Quyết định số 1977/QĐ-TTg ngày 24/11/2021 của Thủ tướng Chính phủ phê duyệt phương án cắt </w:t>
            </w:r>
            <w:r w:rsidRPr="00F30156">
              <w:rPr>
                <w:spacing w:val="-4"/>
              </w:rPr>
              <w:lastRenderedPageBreak/>
              <w:t>giảm, đơn giản hóa quy định liên quan đến hoạt động kinh doanh thuộc phạm vi chức năng quản lý của Bộ Giao thông vận tải;</w:t>
            </w:r>
          </w:p>
          <w:p w14:paraId="2F15869A" w14:textId="77777777" w:rsidR="00DF27B5" w:rsidRPr="00DF27B5" w:rsidRDefault="00DF27B5" w:rsidP="00DF27B5">
            <w:pPr>
              <w:jc w:val="both"/>
              <w:rPr>
                <w:rFonts w:ascii="Times New Roman" w:eastAsia="Times New Roman" w:hAnsi="Times New Roman" w:cs="Times New Roman"/>
                <w:bCs/>
                <w:color w:val="000000"/>
                <w:sz w:val="24"/>
                <w:szCs w:val="24"/>
                <w:lang w:eastAsia="en-GB"/>
              </w:rPr>
            </w:pPr>
          </w:p>
        </w:tc>
      </w:tr>
      <w:tr w:rsidR="00DF27B5" w:rsidRPr="00DF27B5" w14:paraId="17FE2296" w14:textId="67D98D9F" w:rsidTr="00AE27D1">
        <w:trPr>
          <w:trHeight w:val="857"/>
        </w:trPr>
        <w:tc>
          <w:tcPr>
            <w:tcW w:w="716" w:type="dxa"/>
          </w:tcPr>
          <w:p w14:paraId="2F38E919" w14:textId="4A542262" w:rsidR="00DF27B5" w:rsidRPr="00DF27B5" w:rsidRDefault="00DF27B5" w:rsidP="00DF27B5">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233" w:type="dxa"/>
          </w:tcPr>
          <w:p w14:paraId="355329C4" w14:textId="77777777" w:rsidR="00DF27B5" w:rsidRPr="00DF27B5" w:rsidRDefault="00DF27B5" w:rsidP="00DF27B5">
            <w:pPr>
              <w:jc w:val="both"/>
              <w:rPr>
                <w:rFonts w:ascii="Times New Roman" w:hAnsi="Times New Roman" w:cs="Times New Roman"/>
                <w:bCs/>
                <w:color w:val="000000" w:themeColor="text1"/>
                <w:sz w:val="24"/>
                <w:szCs w:val="24"/>
              </w:rPr>
            </w:pPr>
          </w:p>
        </w:tc>
        <w:tc>
          <w:tcPr>
            <w:tcW w:w="4536" w:type="dxa"/>
          </w:tcPr>
          <w:p w14:paraId="52761B32"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Bãi bỏ Khoản 2 Điều 16 Nghị định 92/2016/NĐ-CP ngày 01 tháng 07 năm 2016 của Chính phủ.</w:t>
            </w:r>
          </w:p>
        </w:tc>
        <w:tc>
          <w:tcPr>
            <w:tcW w:w="3673" w:type="dxa"/>
          </w:tcPr>
          <w:p w14:paraId="201AF823"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p>
        </w:tc>
      </w:tr>
      <w:tr w:rsidR="00DF27B5" w:rsidRPr="00DF27B5" w14:paraId="6A11EABE" w14:textId="45AE155B" w:rsidTr="00AE27D1">
        <w:tc>
          <w:tcPr>
            <w:tcW w:w="716" w:type="dxa"/>
          </w:tcPr>
          <w:p w14:paraId="0B818AAB" w14:textId="60CB6129" w:rsidR="00DF27B5" w:rsidRPr="00DF27B5" w:rsidRDefault="00DF27B5" w:rsidP="00DF27B5">
            <w:pPr>
              <w:rPr>
                <w:rFonts w:ascii="Times New Roman" w:hAnsi="Times New Roman" w:cs="Times New Roman"/>
                <w:b/>
                <w:sz w:val="24"/>
                <w:szCs w:val="24"/>
              </w:rPr>
            </w:pPr>
            <w:r>
              <w:rPr>
                <w:rFonts w:ascii="Times New Roman" w:hAnsi="Times New Roman" w:cs="Times New Roman"/>
                <w:b/>
                <w:sz w:val="24"/>
                <w:szCs w:val="24"/>
              </w:rPr>
              <w:t>7</w:t>
            </w:r>
          </w:p>
        </w:tc>
        <w:tc>
          <w:tcPr>
            <w:tcW w:w="5233" w:type="dxa"/>
          </w:tcPr>
          <w:p w14:paraId="03B1821D" w14:textId="77777777" w:rsidR="00DF27B5" w:rsidRPr="00DF27B5" w:rsidRDefault="00DF27B5" w:rsidP="00DF27B5">
            <w:pPr>
              <w:jc w:val="both"/>
              <w:rPr>
                <w:rFonts w:ascii="Times New Roman" w:hAnsi="Times New Roman" w:cs="Times New Roman"/>
                <w:bCs/>
                <w:color w:val="000000" w:themeColor="text1"/>
                <w:sz w:val="24"/>
                <w:szCs w:val="24"/>
              </w:rPr>
            </w:pPr>
          </w:p>
        </w:tc>
        <w:tc>
          <w:tcPr>
            <w:tcW w:w="4536" w:type="dxa"/>
          </w:tcPr>
          <w:p w14:paraId="4BD94AA8"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lang w:eastAsia="en-GB"/>
              </w:rPr>
              <w:t>Bãi bỏ khoản 15, khoản 16, khoản 22 Điều 1 Nghị định 89/2019/NĐ-CP ngày 15 tháng 11 năm 2019 của Chính phủ.</w:t>
            </w:r>
          </w:p>
        </w:tc>
        <w:tc>
          <w:tcPr>
            <w:tcW w:w="3673" w:type="dxa"/>
          </w:tcPr>
          <w:p w14:paraId="42761834"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p>
        </w:tc>
      </w:tr>
      <w:tr w:rsidR="00DF27B5" w:rsidRPr="00DF27B5" w14:paraId="06BA2DFC" w14:textId="478B5C0E" w:rsidTr="00AE27D1">
        <w:tc>
          <w:tcPr>
            <w:tcW w:w="716" w:type="dxa"/>
          </w:tcPr>
          <w:p w14:paraId="4C676173" w14:textId="4CD51601" w:rsidR="00DF27B5" w:rsidRPr="00DF27B5" w:rsidRDefault="00DF27B5" w:rsidP="00DF27B5">
            <w:pPr>
              <w:rPr>
                <w:rFonts w:ascii="Times New Roman" w:hAnsi="Times New Roman" w:cs="Times New Roman"/>
                <w:b/>
                <w:sz w:val="24"/>
                <w:szCs w:val="24"/>
              </w:rPr>
            </w:pPr>
            <w:r>
              <w:rPr>
                <w:rFonts w:ascii="Times New Roman" w:hAnsi="Times New Roman" w:cs="Times New Roman"/>
                <w:b/>
                <w:sz w:val="24"/>
                <w:szCs w:val="24"/>
              </w:rPr>
              <w:t>8</w:t>
            </w:r>
          </w:p>
        </w:tc>
        <w:tc>
          <w:tcPr>
            <w:tcW w:w="5233" w:type="dxa"/>
          </w:tcPr>
          <w:p w14:paraId="35125E3B" w14:textId="77777777" w:rsidR="00DF27B5" w:rsidRPr="00DF27B5" w:rsidRDefault="00DF27B5" w:rsidP="00DF27B5">
            <w:pPr>
              <w:jc w:val="both"/>
              <w:rPr>
                <w:rFonts w:ascii="Times New Roman" w:hAnsi="Times New Roman" w:cs="Times New Roman"/>
                <w:bCs/>
                <w:color w:val="000000" w:themeColor="text1"/>
                <w:sz w:val="24"/>
                <w:szCs w:val="24"/>
              </w:rPr>
            </w:pPr>
          </w:p>
        </w:tc>
        <w:tc>
          <w:tcPr>
            <w:tcW w:w="4536" w:type="dxa"/>
          </w:tcPr>
          <w:p w14:paraId="1CB5D507" w14:textId="77777777" w:rsidR="00DF27B5" w:rsidRPr="00DF27B5" w:rsidRDefault="00DF27B5" w:rsidP="00DF27B5">
            <w:pPr>
              <w:jc w:val="both"/>
              <w:rPr>
                <w:rFonts w:ascii="Times New Roman" w:eastAsia="Times New Roman" w:hAnsi="Times New Roman" w:cs="Times New Roman"/>
                <w:color w:val="000000"/>
                <w:sz w:val="24"/>
                <w:szCs w:val="24"/>
                <w:lang w:eastAsia="en-GB"/>
              </w:rPr>
            </w:pPr>
            <w:r w:rsidRPr="00DF27B5">
              <w:rPr>
                <w:rFonts w:ascii="Times New Roman" w:eastAsia="Times New Roman" w:hAnsi="Times New Roman" w:cs="Times New Roman"/>
                <w:color w:val="000000"/>
                <w:sz w:val="24"/>
                <w:szCs w:val="24"/>
                <w:shd w:val="clear" w:color="auto" w:fill="FFFFFF"/>
                <w:lang w:eastAsia="en-GB"/>
              </w:rPr>
              <w:t>Thay thế Mẫu số 03 và Mẫu số 04 ban hành kèm theo Phụ lục tại Nghị định số 92/2016/NĐ-CP ngày 01/7/2016 bằng Mẫu số 3b, Mẫu số 4 quy định tại Phụ lục ban hành kèm theo Nghị định này</w:t>
            </w:r>
          </w:p>
        </w:tc>
        <w:tc>
          <w:tcPr>
            <w:tcW w:w="3673" w:type="dxa"/>
          </w:tcPr>
          <w:p w14:paraId="485764C5" w14:textId="00F47C16" w:rsidR="00DF27B5" w:rsidRPr="00DF27B5" w:rsidRDefault="00DF27B5" w:rsidP="00DF27B5">
            <w:pPr>
              <w:jc w:val="both"/>
              <w:rPr>
                <w:rFonts w:ascii="Times New Roman" w:eastAsia="Times New Roman" w:hAnsi="Times New Roman" w:cs="Times New Roman"/>
                <w:color w:val="000000"/>
                <w:sz w:val="24"/>
                <w:szCs w:val="24"/>
                <w:shd w:val="clear" w:color="auto" w:fill="FFFFFF"/>
                <w:lang w:eastAsia="en-GB"/>
              </w:rPr>
            </w:pPr>
            <w:r>
              <w:rPr>
                <w:rFonts w:ascii="Times New Roman" w:eastAsia="Times New Roman" w:hAnsi="Times New Roman" w:cs="Times New Roman"/>
                <w:color w:val="000000"/>
                <w:sz w:val="24"/>
                <w:szCs w:val="24"/>
                <w:shd w:val="clear" w:color="auto" w:fill="FFFFFF"/>
                <w:lang w:eastAsia="en-GB"/>
              </w:rPr>
              <w:t>Sửa tên mẫu để thống nhất với tên ngành, nghề kinh doanh theo Danh mục quy định tại Phụ lục 4 Luật Đầu tư.</w:t>
            </w:r>
          </w:p>
        </w:tc>
      </w:tr>
    </w:tbl>
    <w:p w14:paraId="2F82D81E" w14:textId="77777777" w:rsidR="006970A1" w:rsidRPr="00DF27B5" w:rsidRDefault="006970A1" w:rsidP="00DF27B5">
      <w:pPr>
        <w:spacing w:after="0" w:line="240" w:lineRule="auto"/>
        <w:rPr>
          <w:rFonts w:ascii="Times New Roman" w:hAnsi="Times New Roman" w:cs="Times New Roman"/>
          <w:b/>
          <w:sz w:val="24"/>
          <w:szCs w:val="24"/>
        </w:rPr>
      </w:pPr>
    </w:p>
    <w:sectPr w:rsidR="006970A1" w:rsidRPr="00DF27B5" w:rsidSect="00AE27D1">
      <w:pgSz w:w="15840" w:h="12240" w:orient="landscape"/>
      <w:pgMar w:top="873" w:right="873" w:bottom="873" w:left="87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82B47" w14:textId="77777777" w:rsidR="000D6A9C" w:rsidRDefault="000D6A9C" w:rsidP="00362438">
      <w:pPr>
        <w:spacing w:after="0" w:line="240" w:lineRule="auto"/>
      </w:pPr>
      <w:r>
        <w:separator/>
      </w:r>
    </w:p>
  </w:endnote>
  <w:endnote w:type="continuationSeparator" w:id="0">
    <w:p w14:paraId="300E4EDF" w14:textId="77777777" w:rsidR="000D6A9C" w:rsidRDefault="000D6A9C" w:rsidP="0036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83729" w14:textId="77777777" w:rsidR="000D6A9C" w:rsidRDefault="000D6A9C" w:rsidP="00362438">
      <w:pPr>
        <w:spacing w:after="0" w:line="240" w:lineRule="auto"/>
      </w:pPr>
      <w:r>
        <w:separator/>
      </w:r>
    </w:p>
  </w:footnote>
  <w:footnote w:type="continuationSeparator" w:id="0">
    <w:p w14:paraId="0DD62967" w14:textId="77777777" w:rsidR="000D6A9C" w:rsidRDefault="000D6A9C" w:rsidP="00362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09"/>
    <w:rsid w:val="00050BB8"/>
    <w:rsid w:val="000A63C1"/>
    <w:rsid w:val="000D6A9C"/>
    <w:rsid w:val="001B77C0"/>
    <w:rsid w:val="002205A1"/>
    <w:rsid w:val="002515FF"/>
    <w:rsid w:val="00362438"/>
    <w:rsid w:val="00433014"/>
    <w:rsid w:val="00471E1C"/>
    <w:rsid w:val="00634650"/>
    <w:rsid w:val="00657465"/>
    <w:rsid w:val="006970A1"/>
    <w:rsid w:val="0078779F"/>
    <w:rsid w:val="00A65F41"/>
    <w:rsid w:val="00AE27D1"/>
    <w:rsid w:val="00C85136"/>
    <w:rsid w:val="00CA728D"/>
    <w:rsid w:val="00CA7D09"/>
    <w:rsid w:val="00DF27B5"/>
    <w:rsid w:val="00F9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CA5F"/>
  <w15:chartTrackingRefBased/>
  <w15:docId w15:val="{220BB94F-412C-4F5F-81EA-A7085581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243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62438"/>
    <w:pPr>
      <w:ind w:left="720"/>
      <w:contextualSpacing/>
    </w:pPr>
  </w:style>
  <w:style w:type="character" w:styleId="Hyperlink">
    <w:name w:val="Hyperlink"/>
    <w:basedOn w:val="DefaultParagraphFont"/>
    <w:uiPriority w:val="99"/>
    <w:semiHidden/>
    <w:unhideWhenUsed/>
    <w:rsid w:val="00362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huvienphapluat.vn/van-ban/giao-thong-van-tai/nghi-dinh-68-2015-nd-cp-quy-dinh-dang-ky-quoc-tich-va-dang-ky-cac-quyen-doi-voi-tau-bay-287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D8360-9F2D-4770-9039-DAF84B365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58668F-7693-462A-9D0F-5B10370DB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D5BE80-166F-44A2-857D-2A0EB93D2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 Trang</dc:creator>
  <cp:keywords/>
  <dc:description/>
  <cp:lastModifiedBy>SONY</cp:lastModifiedBy>
  <cp:revision>4</cp:revision>
  <dcterms:created xsi:type="dcterms:W3CDTF">2022-04-04T21:49:00Z</dcterms:created>
  <dcterms:modified xsi:type="dcterms:W3CDTF">2022-04-04T21:55:00Z</dcterms:modified>
</cp:coreProperties>
</file>