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jc w:val="center"/>
        <w:tblLayout w:type="fixed"/>
        <w:tblLook w:val="0000" w:firstRow="0" w:lastRow="0" w:firstColumn="0" w:lastColumn="0" w:noHBand="0" w:noVBand="0"/>
      </w:tblPr>
      <w:tblGrid>
        <w:gridCol w:w="2520"/>
        <w:gridCol w:w="6720"/>
      </w:tblGrid>
      <w:tr w:rsidR="003A4E3B" w:rsidRPr="00361F55" w:rsidTr="00E25DA1">
        <w:trPr>
          <w:trHeight w:val="1300"/>
          <w:jc w:val="center"/>
        </w:trPr>
        <w:tc>
          <w:tcPr>
            <w:tcW w:w="2520" w:type="dxa"/>
          </w:tcPr>
          <w:p w:rsidR="003A4E3B" w:rsidRPr="00361F55" w:rsidRDefault="003A4E3B" w:rsidP="00E25DA1">
            <w:pPr>
              <w:ind w:hanging="24"/>
              <w:jc w:val="center"/>
              <w:rPr>
                <w:b/>
                <w:szCs w:val="26"/>
                <w:lang w:val="nl-NL"/>
              </w:rPr>
            </w:pPr>
            <w:r>
              <w:rPr>
                <w:b/>
                <w:spacing w:val="-4"/>
                <w:sz w:val="28"/>
                <w:szCs w:val="28"/>
              </w:rPr>
              <w:t xml:space="preserve">    </w:t>
            </w:r>
            <w:r w:rsidRPr="00361F55">
              <w:rPr>
                <w:b/>
                <w:szCs w:val="26"/>
                <w:lang w:val="nl-NL"/>
              </w:rPr>
              <w:t>BỘ TÀI CHÍNH</w:t>
            </w:r>
          </w:p>
          <w:p w:rsidR="003A4E3B" w:rsidRPr="00361F55" w:rsidRDefault="003A4E3B" w:rsidP="00E25DA1">
            <w:pPr>
              <w:ind w:firstLine="720"/>
              <w:jc w:val="center"/>
              <w:rPr>
                <w:rFonts w:ascii=".VnFree" w:hAnsi=".VnFree"/>
                <w:b/>
                <w:sz w:val="12"/>
                <w:szCs w:val="12"/>
                <w:lang w:val="nl-NL"/>
              </w:rPr>
            </w:pPr>
            <w:r w:rsidRPr="00361F55">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373380</wp:posOffset>
                      </wp:positionH>
                      <wp:positionV relativeFrom="paragraph">
                        <wp:posOffset>38735</wp:posOffset>
                      </wp:positionV>
                      <wp:extent cx="638175" cy="0"/>
                      <wp:effectExtent l="12065"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28EAE6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4pt,3.05pt" to="79.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" strokecolor="#4579b8">
                      <o:lock v:ext="edit" shapetype="f"/>
                    </v:line>
                  </w:pict>
                </mc:Fallback>
              </mc:AlternateContent>
            </w:r>
          </w:p>
          <w:p w:rsidR="003A4E3B" w:rsidRPr="00361F55" w:rsidRDefault="003A4E3B" w:rsidP="00E25DA1">
            <w:pPr>
              <w:ind w:firstLine="720"/>
              <w:jc w:val="center"/>
              <w:rPr>
                <w:rFonts w:ascii=".VnFree" w:hAnsi=".VnFree"/>
                <w:b/>
                <w:sz w:val="12"/>
                <w:szCs w:val="12"/>
                <w:lang w:val="nl-NL"/>
              </w:rPr>
            </w:pPr>
          </w:p>
          <w:p w:rsidR="003A4E3B" w:rsidRPr="00361F55" w:rsidRDefault="003A4E3B" w:rsidP="00E25DA1">
            <w:pPr>
              <w:keepNext/>
              <w:jc w:val="center"/>
              <w:outlineLvl w:val="2"/>
              <w:rPr>
                <w:bCs/>
                <w:szCs w:val="26"/>
                <w:lang w:val="nl-NL"/>
              </w:rPr>
            </w:pPr>
          </w:p>
          <w:p w:rsidR="003A4E3B" w:rsidRPr="00361F55" w:rsidRDefault="003A4E3B" w:rsidP="00E25DA1">
            <w:pPr>
              <w:keepNext/>
              <w:jc w:val="center"/>
              <w:outlineLvl w:val="2"/>
              <w:rPr>
                <w:rFonts w:ascii=".VnTime" w:hAnsi=".VnTime"/>
                <w:bCs/>
                <w:szCs w:val="26"/>
                <w:lang w:val="nl-NL"/>
              </w:rPr>
            </w:pPr>
          </w:p>
        </w:tc>
        <w:tc>
          <w:tcPr>
            <w:tcW w:w="6720" w:type="dxa"/>
          </w:tcPr>
          <w:p w:rsidR="003A4E3B" w:rsidRPr="00361F55" w:rsidRDefault="003A4E3B" w:rsidP="00E25DA1">
            <w:pPr>
              <w:ind w:firstLine="720"/>
              <w:jc w:val="center"/>
              <w:rPr>
                <w:b/>
                <w:szCs w:val="26"/>
                <w:lang w:val="nl-NL"/>
              </w:rPr>
            </w:pPr>
            <w:r w:rsidRPr="00361F55">
              <w:rPr>
                <w:b/>
                <w:szCs w:val="26"/>
                <w:lang w:val="nl-NL"/>
              </w:rPr>
              <w:t>CỘNG HOÀ XÃ HỘI CHỦ NGHĨA VIỆT NAM</w:t>
            </w:r>
          </w:p>
          <w:p w:rsidR="003A4E3B" w:rsidRPr="00361F55" w:rsidRDefault="003A4E3B" w:rsidP="00E25DA1">
            <w:pPr>
              <w:ind w:firstLine="720"/>
              <w:jc w:val="center"/>
              <w:rPr>
                <w:b/>
                <w:sz w:val="28"/>
                <w:szCs w:val="28"/>
                <w:lang w:val="nl-NL"/>
              </w:rPr>
            </w:pPr>
            <w:r w:rsidRPr="00361F55">
              <w:rPr>
                <w:b/>
                <w:sz w:val="28"/>
                <w:szCs w:val="28"/>
                <w:lang w:val="nl-NL"/>
              </w:rPr>
              <w:t>Độc lập - Tự do - Hạnh phúc</w:t>
            </w:r>
          </w:p>
          <w:p w:rsidR="003A4E3B" w:rsidRPr="003A4E3B" w:rsidRDefault="003A4E3B" w:rsidP="003A4E3B">
            <w:pPr>
              <w:keepNext/>
              <w:ind w:firstLine="720"/>
              <w:jc w:val="center"/>
              <w:outlineLvl w:val="0"/>
              <w:rPr>
                <w:i/>
                <w:sz w:val="28"/>
                <w:szCs w:val="28"/>
                <w:lang w:val="nl-NL"/>
              </w:rPr>
            </w:pPr>
            <w:r w:rsidRPr="00361F55">
              <w:rPr>
                <w:rFonts w:ascii=".VnTime" w:hAnsi=".VnTime"/>
                <w:i/>
                <w:noProof/>
                <w:sz w:val="28"/>
              </w:rPr>
              <mc:AlternateContent>
                <mc:Choice Requires="wps">
                  <w:drawing>
                    <wp:anchor distT="4294967295" distB="4294967295" distL="114300" distR="114300" simplePos="0" relativeHeight="251658240" behindDoc="0" locked="0" layoutInCell="1" allowOverlap="1">
                      <wp:simplePos x="0" y="0"/>
                      <wp:positionH relativeFrom="column">
                        <wp:posOffset>1211580</wp:posOffset>
                      </wp:positionH>
                      <wp:positionV relativeFrom="paragraph">
                        <wp:posOffset>27305</wp:posOffset>
                      </wp:positionV>
                      <wp:extent cx="2130425" cy="0"/>
                      <wp:effectExtent l="12065"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F7AA9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4pt,2.15pt" to="26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" strokecolor="#4579b8">
                      <o:lock v:ext="edit" shapetype="f"/>
                    </v:line>
                  </w:pict>
                </mc:Fallback>
              </mc:AlternateContent>
            </w:r>
          </w:p>
        </w:tc>
      </w:tr>
    </w:tbl>
    <w:p w:rsidR="00E143B0" w:rsidRDefault="00E143B0" w:rsidP="00E143B0">
      <w:pPr>
        <w:widowControl w:val="0"/>
        <w:spacing w:before="120" w:after="120"/>
        <w:ind w:firstLine="720"/>
        <w:jc w:val="center"/>
        <w:rPr>
          <w:b/>
          <w:spacing w:val="-4"/>
          <w:sz w:val="28"/>
          <w:szCs w:val="28"/>
        </w:rPr>
      </w:pPr>
      <w:r>
        <w:rPr>
          <w:b/>
          <w:spacing w:val="-4"/>
          <w:sz w:val="28"/>
          <w:szCs w:val="28"/>
        </w:rPr>
        <w:t>BÁO CÁO TỔNG KẾT, ĐÁNH GIÁ</w:t>
      </w:r>
    </w:p>
    <w:p w:rsidR="00E143B0" w:rsidRDefault="00E143B0" w:rsidP="00E143B0">
      <w:pPr>
        <w:spacing w:before="120" w:after="120"/>
        <w:ind w:firstLine="720"/>
        <w:jc w:val="center"/>
        <w:rPr>
          <w:b/>
          <w:spacing w:val="-4"/>
          <w:sz w:val="28"/>
          <w:szCs w:val="28"/>
        </w:rPr>
      </w:pPr>
      <w:r>
        <w:rPr>
          <w:b/>
          <w:spacing w:val="-4"/>
          <w:sz w:val="28"/>
          <w:szCs w:val="28"/>
        </w:rPr>
        <w:t>T</w:t>
      </w:r>
      <w:r w:rsidRPr="00A160B7">
        <w:rPr>
          <w:b/>
          <w:spacing w:val="-4"/>
          <w:sz w:val="28"/>
          <w:szCs w:val="28"/>
        </w:rPr>
        <w:t>ình hình thực hiện Nghị định số 10</w:t>
      </w:r>
      <w:r w:rsidR="00352EBC">
        <w:rPr>
          <w:b/>
          <w:spacing w:val="-4"/>
          <w:sz w:val="28"/>
          <w:szCs w:val="28"/>
        </w:rPr>
        <w:t>4</w:t>
      </w:r>
      <w:r w:rsidRPr="00A160B7">
        <w:rPr>
          <w:b/>
          <w:spacing w:val="-4"/>
          <w:sz w:val="28"/>
          <w:szCs w:val="28"/>
        </w:rPr>
        <w:t>/202</w:t>
      </w:r>
      <w:r w:rsidR="00352EBC">
        <w:rPr>
          <w:b/>
          <w:spacing w:val="-4"/>
          <w:sz w:val="28"/>
          <w:szCs w:val="28"/>
        </w:rPr>
        <w:t>1</w:t>
      </w:r>
      <w:r w:rsidRPr="00A160B7">
        <w:rPr>
          <w:b/>
          <w:spacing w:val="-4"/>
          <w:sz w:val="28"/>
          <w:szCs w:val="28"/>
        </w:rPr>
        <w:t xml:space="preserve">/NĐ-CP ngày </w:t>
      </w:r>
      <w:r w:rsidR="00352EBC">
        <w:rPr>
          <w:b/>
          <w:spacing w:val="-4"/>
          <w:sz w:val="28"/>
          <w:szCs w:val="28"/>
        </w:rPr>
        <w:t>04/12</w:t>
      </w:r>
      <w:r w:rsidRPr="00A160B7">
        <w:rPr>
          <w:b/>
          <w:spacing w:val="-4"/>
          <w:sz w:val="28"/>
          <w:szCs w:val="28"/>
        </w:rPr>
        <w:t>/202</w:t>
      </w:r>
      <w:r w:rsidR="00352EBC">
        <w:rPr>
          <w:b/>
          <w:spacing w:val="-4"/>
          <w:sz w:val="28"/>
          <w:szCs w:val="28"/>
        </w:rPr>
        <w:t>1</w:t>
      </w:r>
      <w:r w:rsidRPr="00A160B7">
        <w:rPr>
          <w:b/>
          <w:spacing w:val="-4"/>
          <w:sz w:val="28"/>
          <w:szCs w:val="28"/>
        </w:rPr>
        <w:t xml:space="preserve"> của Chính phủ về gia hạn thời hạn nộp thuế </w:t>
      </w:r>
      <w:r>
        <w:rPr>
          <w:b/>
          <w:spacing w:val="-4"/>
          <w:sz w:val="28"/>
          <w:szCs w:val="28"/>
        </w:rPr>
        <w:t>tiêu thụ đặc biệt (</w:t>
      </w:r>
      <w:r w:rsidRPr="00A160B7">
        <w:rPr>
          <w:b/>
          <w:spacing w:val="-4"/>
          <w:sz w:val="28"/>
          <w:szCs w:val="28"/>
        </w:rPr>
        <w:t>TTĐB</w:t>
      </w:r>
      <w:r>
        <w:rPr>
          <w:b/>
          <w:spacing w:val="-4"/>
          <w:sz w:val="28"/>
          <w:szCs w:val="28"/>
        </w:rPr>
        <w:t>)</w:t>
      </w:r>
      <w:r w:rsidRPr="00A160B7">
        <w:rPr>
          <w:b/>
          <w:spacing w:val="-4"/>
          <w:sz w:val="28"/>
          <w:szCs w:val="28"/>
        </w:rPr>
        <w:t xml:space="preserve"> đối với ô tô s</w:t>
      </w:r>
      <w:r>
        <w:rPr>
          <w:b/>
          <w:spacing w:val="-4"/>
          <w:sz w:val="28"/>
          <w:szCs w:val="28"/>
        </w:rPr>
        <w:t>ản xuất hoặc lắp ráp trong nước</w:t>
      </w:r>
    </w:p>
    <w:p w:rsidR="00E143B0" w:rsidRPr="003A4E3B" w:rsidRDefault="003A4E3B" w:rsidP="00E143B0">
      <w:pPr>
        <w:spacing w:before="120" w:after="120"/>
        <w:ind w:firstLine="720"/>
        <w:jc w:val="both"/>
        <w:rPr>
          <w:i/>
          <w:spacing w:val="-4"/>
          <w:sz w:val="28"/>
          <w:szCs w:val="28"/>
        </w:rPr>
      </w:pPr>
      <w:r w:rsidRPr="003A4E3B">
        <w:rPr>
          <w:i/>
          <w:spacing w:val="-4"/>
          <w:sz w:val="28"/>
          <w:szCs w:val="28"/>
        </w:rPr>
        <w:t xml:space="preserve">(kèm theo Tờ trình số      </w:t>
      </w:r>
      <w:r w:rsidRPr="003A4E3B">
        <w:rPr>
          <w:bCs/>
          <w:i/>
          <w:sz w:val="28"/>
          <w:szCs w:val="28"/>
          <w:lang w:val="nl-NL"/>
        </w:rPr>
        <w:t>/TTr-BTC</w:t>
      </w:r>
      <w:r>
        <w:rPr>
          <w:bCs/>
          <w:i/>
          <w:sz w:val="28"/>
          <w:szCs w:val="28"/>
          <w:lang w:val="nl-NL"/>
        </w:rPr>
        <w:t xml:space="preserve"> ngày     tháng   </w:t>
      </w:r>
      <w:r w:rsidRPr="003A4E3B">
        <w:rPr>
          <w:bCs/>
          <w:i/>
          <w:sz w:val="28"/>
          <w:szCs w:val="28"/>
          <w:lang w:val="nl-NL"/>
        </w:rPr>
        <w:t xml:space="preserve"> năm 202</w:t>
      </w:r>
      <w:r w:rsidR="00352EBC">
        <w:rPr>
          <w:bCs/>
          <w:i/>
          <w:sz w:val="28"/>
          <w:szCs w:val="28"/>
          <w:lang w:val="nl-NL"/>
        </w:rPr>
        <w:t>2</w:t>
      </w:r>
      <w:bookmarkStart w:id="0" w:name="_GoBack"/>
      <w:bookmarkEnd w:id="0"/>
      <w:r w:rsidRPr="003A4E3B">
        <w:rPr>
          <w:bCs/>
          <w:i/>
          <w:sz w:val="28"/>
          <w:szCs w:val="28"/>
          <w:lang w:val="nl-NL"/>
        </w:rPr>
        <w:t xml:space="preserve"> của Bộ Tài chính)</w:t>
      </w:r>
    </w:p>
    <w:p w:rsidR="003A4E3B" w:rsidRDefault="003A4E3B" w:rsidP="00E143B0">
      <w:pPr>
        <w:spacing w:before="120" w:after="120"/>
        <w:ind w:firstLine="720"/>
        <w:jc w:val="both"/>
        <w:rPr>
          <w:b/>
          <w:spacing w:val="-4"/>
          <w:sz w:val="28"/>
          <w:szCs w:val="28"/>
        </w:rPr>
      </w:pPr>
    </w:p>
    <w:p w:rsidR="00352EBC" w:rsidRPr="005042F9" w:rsidRDefault="00352EBC" w:rsidP="00352EBC">
      <w:pPr>
        <w:spacing w:before="120" w:after="120"/>
        <w:ind w:firstLine="720"/>
        <w:jc w:val="both"/>
        <w:rPr>
          <w:b/>
          <w:spacing w:val="-4"/>
          <w:sz w:val="28"/>
          <w:szCs w:val="28"/>
        </w:rPr>
      </w:pPr>
      <w:r w:rsidRPr="005042F9">
        <w:rPr>
          <w:b/>
          <w:spacing w:val="-4"/>
          <w:sz w:val="28"/>
          <w:szCs w:val="28"/>
        </w:rPr>
        <w:t>1. Tình hình triển khai thực hiện Nghị định số 104/2021/NĐ-CP</w:t>
      </w:r>
    </w:p>
    <w:p w:rsidR="00352EBC" w:rsidRPr="00DE38DB" w:rsidRDefault="00352EBC" w:rsidP="00352EBC">
      <w:pPr>
        <w:tabs>
          <w:tab w:val="left" w:pos="1134"/>
        </w:tabs>
        <w:spacing w:before="120" w:after="120"/>
        <w:ind w:firstLine="720"/>
        <w:jc w:val="both"/>
        <w:rPr>
          <w:sz w:val="28"/>
          <w:szCs w:val="28"/>
          <w:lang w:val="it-IT"/>
        </w:rPr>
      </w:pPr>
      <w:r w:rsidRPr="00DE38DB">
        <w:rPr>
          <w:sz w:val="28"/>
          <w:szCs w:val="28"/>
          <w:lang w:val="it-IT"/>
        </w:rPr>
        <w:t xml:space="preserve">- Ngay sau khi Nghị định số 104/2021/NĐ-CP ngày 04/12/2021 được ban hành, Tổng cục Thuế đã có Công điện số 10/CĐ-TCT ngày </w:t>
      </w:r>
      <w:r>
        <w:rPr>
          <w:sz w:val="28"/>
          <w:szCs w:val="28"/>
          <w:lang w:val="it-IT"/>
        </w:rPr>
        <w:t>0</w:t>
      </w:r>
      <w:r w:rsidRPr="00DE38DB">
        <w:rPr>
          <w:sz w:val="28"/>
          <w:szCs w:val="28"/>
          <w:lang w:val="it-IT"/>
        </w:rPr>
        <w:t xml:space="preserve">6/12/2021 gửi Cục Thuế các tỉnh, thành phố trực thuộc Trung ương yêu cầu Cục Thuế kịp thời triển khai thực hiện gia hạn thời hạn nộp thuế tiêu thụ đặc biệt đối với ô tô sản xuất hoặc lắp ráp trong nước theo quy định tại Nghị định số 104/2020/NĐ-CP để tháo gỡ khó khăn cho sản xuất kinh doanh, hỗ trợ đối tượng bị ảnh hưởng bởi dịch Covid – 19 theo chỉ đạo của Thủ tướng Chính phủ tại </w:t>
      </w:r>
      <w:r w:rsidRPr="00DE38DB">
        <w:rPr>
          <w:sz w:val="28"/>
          <w:szCs w:val="28"/>
          <w:lang w:val="nl-NL"/>
        </w:rPr>
        <w:t xml:space="preserve">Nghị quyết số </w:t>
      </w:r>
      <w:r w:rsidRPr="00DE38DB">
        <w:rPr>
          <w:spacing w:val="-4"/>
          <w:sz w:val="28"/>
          <w:szCs w:val="28"/>
        </w:rPr>
        <w:t>105/NQ-CP</w:t>
      </w:r>
      <w:r w:rsidRPr="00DE38DB">
        <w:rPr>
          <w:sz w:val="28"/>
          <w:szCs w:val="28"/>
          <w:lang w:val="it-IT"/>
        </w:rPr>
        <w:t xml:space="preserve"> ngày </w:t>
      </w:r>
      <w:r>
        <w:rPr>
          <w:sz w:val="28"/>
          <w:szCs w:val="28"/>
          <w:lang w:val="nl-NL"/>
        </w:rPr>
        <w:t>09/</w:t>
      </w:r>
      <w:r w:rsidRPr="00DE38DB">
        <w:rPr>
          <w:sz w:val="28"/>
          <w:szCs w:val="28"/>
          <w:lang w:val="nl-NL"/>
        </w:rPr>
        <w:t>9/2021</w:t>
      </w:r>
      <w:r w:rsidRPr="00DE38DB">
        <w:rPr>
          <w:sz w:val="28"/>
          <w:szCs w:val="28"/>
          <w:lang w:val="it-IT"/>
        </w:rPr>
        <w:t xml:space="preserve">. </w:t>
      </w:r>
    </w:p>
    <w:p w:rsidR="00352EBC" w:rsidRPr="00DE38DB" w:rsidRDefault="00352EBC" w:rsidP="00352EBC">
      <w:pPr>
        <w:tabs>
          <w:tab w:val="left" w:pos="1134"/>
        </w:tabs>
        <w:spacing w:before="120" w:after="120"/>
        <w:ind w:firstLine="720"/>
        <w:jc w:val="both"/>
        <w:rPr>
          <w:sz w:val="28"/>
          <w:szCs w:val="28"/>
          <w:lang w:val="it-IT"/>
        </w:rPr>
      </w:pPr>
      <w:r w:rsidRPr="00DE38DB">
        <w:rPr>
          <w:sz w:val="28"/>
          <w:szCs w:val="28"/>
          <w:lang w:val="it-IT"/>
        </w:rPr>
        <w:t>- Cơ quan thuế các cấp (đặc biệt là các cơ quan thuế quản lý các doanh nghiệp sản xuất hoặc láp ráp ô tô trong nước) đã tổ chức tuyên truyền sâu rộng, đầy đủ nội dung chính sách gia hạn nộp thuế tại Nghị định số 104/2021/NĐ-CP tới người nộp thuế (NNT). Cơ quan thuế đã chủ động phối hợp với các cơ quan thông tấn báo chí, đài phát thanh, đài truyền hình để tổ chức tuyên truyền, phổ biến các nội dung của Nghị định số 104/2021/NĐ-CP theo nhiều hình thức, đảm bảo NNT tiếp cận và hiểu rõ phạm vi, đối tượng, thời hạn, trình tự, thủ tục thực hiện chính sách gia hạn thời hạn nộp thuế tiêu thụ đặc biệt đối với ô tô sản xuất hoặc lắp ráp trong nước để NNT thực hiện đúng và kịp thời chính sách hỗ trợ của Nhà nước, tháo gỡ khó khăn về tài chính cho NNT.</w:t>
      </w:r>
    </w:p>
    <w:p w:rsidR="00352EBC" w:rsidRPr="00DE38DB" w:rsidRDefault="00352EBC" w:rsidP="00352EBC">
      <w:pPr>
        <w:widowControl w:val="0"/>
        <w:spacing w:before="120" w:after="120"/>
        <w:ind w:firstLine="720"/>
        <w:jc w:val="both"/>
        <w:rPr>
          <w:sz w:val="28"/>
          <w:szCs w:val="28"/>
          <w:lang w:val="it-IT"/>
        </w:rPr>
      </w:pPr>
      <w:r w:rsidRPr="00DE38DB">
        <w:rPr>
          <w:sz w:val="28"/>
          <w:szCs w:val="28"/>
          <w:lang w:val="it-IT"/>
        </w:rPr>
        <w:t xml:space="preserve">- Cơ quan thuế thực hiện nâng cấp ứng dụng công nghệ thông tin, hướng dẫn NNT nộp Giấy đề nghị gia hạn theo nhiều phương pháp như qua cổng thông tin điện tử của cơ quan thuế, cổng dịch vụ công quốc gia, gửi qua bưu điện và tiếp nhận trực tiếp tại bộ phận một cửa của cơ quan thuế, đảm bảo hệ thống CNTT vận hành thông suốt 24/7, tạo điều kiện để NNT có thể nộp Giấy đề nghị gia hạn mọi lúc, mọi nơi. </w:t>
      </w:r>
    </w:p>
    <w:p w:rsidR="00352EBC" w:rsidRPr="005042F9" w:rsidRDefault="00352EBC" w:rsidP="00352EBC">
      <w:pPr>
        <w:widowControl w:val="0"/>
        <w:spacing w:before="120" w:after="120"/>
        <w:ind w:firstLine="720"/>
        <w:jc w:val="both"/>
        <w:rPr>
          <w:b/>
          <w:sz w:val="28"/>
          <w:szCs w:val="28"/>
          <w:lang w:val="it-IT"/>
        </w:rPr>
      </w:pPr>
      <w:r w:rsidRPr="005042F9">
        <w:rPr>
          <w:b/>
          <w:sz w:val="28"/>
          <w:szCs w:val="28"/>
          <w:lang w:val="it-IT"/>
        </w:rPr>
        <w:t xml:space="preserve">2. Kết quả thực hiện </w:t>
      </w:r>
    </w:p>
    <w:p w:rsidR="00352EBC" w:rsidRPr="005042F9" w:rsidRDefault="00352EBC" w:rsidP="00352EBC">
      <w:pPr>
        <w:widowControl w:val="0"/>
        <w:spacing w:before="120" w:after="120"/>
        <w:ind w:firstLine="720"/>
        <w:jc w:val="both"/>
        <w:rPr>
          <w:b/>
          <w:i/>
          <w:sz w:val="28"/>
          <w:szCs w:val="28"/>
          <w:lang w:val="it-IT"/>
        </w:rPr>
      </w:pPr>
      <w:r w:rsidRPr="005042F9">
        <w:rPr>
          <w:b/>
          <w:i/>
          <w:sz w:val="28"/>
          <w:szCs w:val="28"/>
          <w:lang w:val="it-IT"/>
        </w:rPr>
        <w:t>2.1. Số tiền thuế TTĐB được gia hạn</w:t>
      </w:r>
    </w:p>
    <w:p w:rsidR="00352EBC" w:rsidRPr="00DE38DB" w:rsidRDefault="00352EBC" w:rsidP="00352EBC">
      <w:pPr>
        <w:widowControl w:val="0"/>
        <w:spacing w:before="120" w:after="120"/>
        <w:ind w:firstLine="720"/>
        <w:jc w:val="both"/>
        <w:rPr>
          <w:sz w:val="28"/>
          <w:szCs w:val="28"/>
          <w:lang w:val="it-IT"/>
        </w:rPr>
      </w:pPr>
      <w:r w:rsidRPr="00DE38DB">
        <w:rPr>
          <w:sz w:val="28"/>
          <w:szCs w:val="28"/>
          <w:lang w:val="it-IT"/>
        </w:rPr>
        <w:t xml:space="preserve">- Cơ quan thuế đã tiếp nhận </w:t>
      </w:r>
      <w:r>
        <w:rPr>
          <w:sz w:val="28"/>
          <w:szCs w:val="28"/>
          <w:lang w:val="it-IT"/>
        </w:rPr>
        <w:t>10</w:t>
      </w:r>
      <w:r w:rsidRPr="00DE38DB">
        <w:rPr>
          <w:sz w:val="28"/>
          <w:szCs w:val="28"/>
          <w:lang w:val="it-IT"/>
        </w:rPr>
        <w:t xml:space="preserve"> giấy đề nghị gia hạn thời hạn nộp thuế tiêu thụ đặc biệt đối với ô tô sản xuất, lắp ráp trong nước của </w:t>
      </w:r>
      <w:r>
        <w:rPr>
          <w:sz w:val="28"/>
          <w:szCs w:val="28"/>
          <w:lang w:val="it-IT"/>
        </w:rPr>
        <w:t>10</w:t>
      </w:r>
      <w:r w:rsidRPr="00DE38DB">
        <w:rPr>
          <w:sz w:val="28"/>
          <w:szCs w:val="28"/>
          <w:lang w:val="it-IT"/>
        </w:rPr>
        <w:t xml:space="preserve"> doanh nghiệp trên địa bàn </w:t>
      </w:r>
      <w:r>
        <w:rPr>
          <w:sz w:val="28"/>
          <w:szCs w:val="28"/>
          <w:lang w:val="it-IT"/>
        </w:rPr>
        <w:t xml:space="preserve"> 5</w:t>
      </w:r>
      <w:r w:rsidRPr="00DE38DB">
        <w:rPr>
          <w:sz w:val="28"/>
          <w:szCs w:val="28"/>
          <w:lang w:val="it-IT"/>
        </w:rPr>
        <w:t xml:space="preserve"> tỉnh, thành phố.</w:t>
      </w:r>
    </w:p>
    <w:p w:rsidR="00352EBC" w:rsidRDefault="00352EBC" w:rsidP="00352EBC">
      <w:pPr>
        <w:pStyle w:val="ListParagraph"/>
        <w:spacing w:after="120" w:line="264" w:lineRule="auto"/>
        <w:ind w:left="0" w:firstLine="711"/>
        <w:jc w:val="both"/>
        <w:rPr>
          <w:sz w:val="28"/>
          <w:szCs w:val="28"/>
          <w:lang w:val="nl-NL"/>
        </w:rPr>
      </w:pPr>
      <w:r w:rsidRPr="009F4029">
        <w:rPr>
          <w:sz w:val="28"/>
          <w:szCs w:val="28"/>
        </w:rPr>
        <w:t xml:space="preserve">- Tổng số tiền được gia hạn thuế TTĐB theo tờ khai: </w:t>
      </w:r>
      <w:r w:rsidRPr="009F4029">
        <w:rPr>
          <w:b/>
          <w:bCs/>
          <w:sz w:val="28"/>
          <w:szCs w:val="28"/>
          <w:lang w:val="nl-NL"/>
        </w:rPr>
        <w:t>5.448 tỷ đồng</w:t>
      </w:r>
      <w:r>
        <w:rPr>
          <w:sz w:val="28"/>
          <w:szCs w:val="28"/>
          <w:lang w:val="nl-NL"/>
        </w:rPr>
        <w:t xml:space="preserve">. </w:t>
      </w:r>
      <w:r w:rsidRPr="009F4029">
        <w:rPr>
          <w:sz w:val="28"/>
          <w:szCs w:val="28"/>
          <w:lang w:val="nl-NL"/>
        </w:rPr>
        <w:t xml:space="preserve">Trong đó: </w:t>
      </w:r>
      <w:r>
        <w:rPr>
          <w:sz w:val="28"/>
          <w:szCs w:val="28"/>
          <w:lang w:val="nl-NL"/>
        </w:rPr>
        <w:t>T</w:t>
      </w:r>
      <w:r w:rsidRPr="009F4029">
        <w:rPr>
          <w:sz w:val="28"/>
          <w:szCs w:val="28"/>
          <w:lang w:val="nl-NL"/>
        </w:rPr>
        <w:t>háng 10: 2.406 tỷ đồng</w:t>
      </w:r>
      <w:r>
        <w:rPr>
          <w:sz w:val="28"/>
          <w:szCs w:val="28"/>
          <w:lang w:val="nl-NL"/>
        </w:rPr>
        <w:t xml:space="preserve">; </w:t>
      </w:r>
      <w:r w:rsidRPr="009F4029">
        <w:rPr>
          <w:sz w:val="28"/>
          <w:szCs w:val="28"/>
          <w:lang w:val="nl-NL"/>
        </w:rPr>
        <w:t>Tháng 11: 3.042 tỷ đồng.</w:t>
      </w:r>
    </w:p>
    <w:p w:rsidR="00352EBC" w:rsidRPr="00D37C4A" w:rsidRDefault="00352EBC" w:rsidP="00352EBC">
      <w:pPr>
        <w:pStyle w:val="ListParagraph"/>
        <w:spacing w:after="120" w:line="264" w:lineRule="auto"/>
        <w:ind w:left="0" w:firstLine="711"/>
        <w:jc w:val="right"/>
        <w:rPr>
          <w:i/>
          <w:sz w:val="28"/>
          <w:szCs w:val="28"/>
          <w:lang w:val="nl-NL"/>
        </w:rPr>
      </w:pPr>
      <w:r w:rsidRPr="00D37C4A">
        <w:rPr>
          <w:i/>
          <w:sz w:val="28"/>
          <w:szCs w:val="28"/>
          <w:lang w:val="nl-NL"/>
        </w:rPr>
        <w:lastRenderedPageBreak/>
        <w:t>Đơn vị tính: triệu đồng</w:t>
      </w:r>
    </w:p>
    <w:tbl>
      <w:tblPr>
        <w:tblW w:w="9133" w:type="dxa"/>
        <w:tblInd w:w="113" w:type="dxa"/>
        <w:tblLook w:val="04A0" w:firstRow="1" w:lastRow="0" w:firstColumn="1" w:lastColumn="0" w:noHBand="0" w:noVBand="1"/>
      </w:tblPr>
      <w:tblGrid>
        <w:gridCol w:w="746"/>
        <w:gridCol w:w="3426"/>
        <w:gridCol w:w="2552"/>
        <w:gridCol w:w="2409"/>
      </w:tblGrid>
      <w:tr w:rsidR="00352EBC" w:rsidRPr="008219EE" w:rsidTr="00385A36">
        <w:trPr>
          <w:trHeight w:val="285"/>
        </w:trPr>
        <w:tc>
          <w:tcPr>
            <w:tcW w:w="7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2EBC" w:rsidRPr="008219EE" w:rsidRDefault="00352EBC" w:rsidP="00385A36">
            <w:pPr>
              <w:jc w:val="center"/>
              <w:rPr>
                <w:b/>
                <w:bCs/>
                <w:color w:val="000000"/>
                <w:sz w:val="28"/>
                <w:szCs w:val="28"/>
              </w:rPr>
            </w:pPr>
            <w:r w:rsidRPr="008219EE">
              <w:rPr>
                <w:b/>
                <w:bCs/>
                <w:color w:val="000000"/>
                <w:sz w:val="28"/>
                <w:szCs w:val="28"/>
              </w:rPr>
              <w:t>STT</w:t>
            </w:r>
          </w:p>
        </w:tc>
        <w:tc>
          <w:tcPr>
            <w:tcW w:w="3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2EBC" w:rsidRPr="008219EE" w:rsidRDefault="00352EBC" w:rsidP="00385A36">
            <w:pPr>
              <w:jc w:val="center"/>
              <w:rPr>
                <w:b/>
                <w:bCs/>
                <w:color w:val="000000"/>
                <w:sz w:val="28"/>
                <w:szCs w:val="28"/>
              </w:rPr>
            </w:pPr>
            <w:r w:rsidRPr="008219EE">
              <w:rPr>
                <w:b/>
                <w:bCs/>
                <w:color w:val="000000"/>
                <w:sz w:val="28"/>
                <w:szCs w:val="28"/>
              </w:rPr>
              <w:t>Tên NNT</w:t>
            </w:r>
          </w:p>
        </w:tc>
        <w:tc>
          <w:tcPr>
            <w:tcW w:w="4961" w:type="dxa"/>
            <w:gridSpan w:val="2"/>
            <w:tcBorders>
              <w:top w:val="single" w:sz="4" w:space="0" w:color="auto"/>
              <w:left w:val="nil"/>
              <w:bottom w:val="single" w:sz="4" w:space="0" w:color="auto"/>
              <w:right w:val="single" w:sz="4" w:space="0" w:color="auto"/>
            </w:tcBorders>
            <w:shd w:val="clear" w:color="auto" w:fill="auto"/>
            <w:vAlign w:val="center"/>
            <w:hideMark/>
          </w:tcPr>
          <w:p w:rsidR="00352EBC" w:rsidRPr="008219EE" w:rsidRDefault="00352EBC" w:rsidP="00385A36">
            <w:pPr>
              <w:jc w:val="center"/>
              <w:rPr>
                <w:b/>
                <w:bCs/>
                <w:sz w:val="28"/>
                <w:szCs w:val="28"/>
              </w:rPr>
            </w:pPr>
            <w:r w:rsidRPr="008219EE">
              <w:rPr>
                <w:b/>
                <w:bCs/>
                <w:sz w:val="28"/>
                <w:szCs w:val="28"/>
              </w:rPr>
              <w:t xml:space="preserve">Số </w:t>
            </w:r>
            <w:r>
              <w:rPr>
                <w:b/>
                <w:bCs/>
                <w:sz w:val="28"/>
                <w:szCs w:val="28"/>
              </w:rPr>
              <w:t xml:space="preserve">thuế </w:t>
            </w:r>
            <w:r w:rsidRPr="008219EE">
              <w:rPr>
                <w:b/>
                <w:bCs/>
                <w:sz w:val="28"/>
                <w:szCs w:val="28"/>
              </w:rPr>
              <w:t>được gia hạn</w:t>
            </w:r>
          </w:p>
        </w:tc>
      </w:tr>
      <w:tr w:rsidR="00352EBC" w:rsidRPr="008219EE" w:rsidTr="00385A36">
        <w:trPr>
          <w:trHeight w:val="285"/>
        </w:trPr>
        <w:tc>
          <w:tcPr>
            <w:tcW w:w="746" w:type="dxa"/>
            <w:vMerge/>
            <w:tcBorders>
              <w:top w:val="single" w:sz="4" w:space="0" w:color="auto"/>
              <w:left w:val="single" w:sz="4" w:space="0" w:color="auto"/>
              <w:bottom w:val="single" w:sz="4" w:space="0" w:color="000000"/>
              <w:right w:val="single" w:sz="4" w:space="0" w:color="auto"/>
            </w:tcBorders>
            <w:vAlign w:val="center"/>
            <w:hideMark/>
          </w:tcPr>
          <w:p w:rsidR="00352EBC" w:rsidRPr="008219EE" w:rsidRDefault="00352EBC" w:rsidP="00385A36">
            <w:pPr>
              <w:rPr>
                <w:b/>
                <w:bCs/>
                <w:color w:val="000000"/>
                <w:sz w:val="28"/>
                <w:szCs w:val="28"/>
              </w:rPr>
            </w:pPr>
          </w:p>
        </w:tc>
        <w:tc>
          <w:tcPr>
            <w:tcW w:w="3426" w:type="dxa"/>
            <w:vMerge/>
            <w:tcBorders>
              <w:top w:val="single" w:sz="4" w:space="0" w:color="auto"/>
              <w:left w:val="single" w:sz="4" w:space="0" w:color="auto"/>
              <w:bottom w:val="single" w:sz="4" w:space="0" w:color="000000"/>
              <w:right w:val="single" w:sz="4" w:space="0" w:color="auto"/>
            </w:tcBorders>
            <w:vAlign w:val="center"/>
            <w:hideMark/>
          </w:tcPr>
          <w:p w:rsidR="00352EBC" w:rsidRPr="008219EE" w:rsidRDefault="00352EBC" w:rsidP="00385A36">
            <w:pPr>
              <w:rPr>
                <w:b/>
                <w:bCs/>
                <w:color w:val="000000"/>
                <w:sz w:val="28"/>
                <w:szCs w:val="28"/>
              </w:rPr>
            </w:pPr>
          </w:p>
        </w:tc>
        <w:tc>
          <w:tcPr>
            <w:tcW w:w="2552" w:type="dxa"/>
            <w:tcBorders>
              <w:top w:val="nil"/>
              <w:left w:val="nil"/>
              <w:bottom w:val="single" w:sz="4" w:space="0" w:color="auto"/>
              <w:right w:val="single" w:sz="4" w:space="0" w:color="auto"/>
            </w:tcBorders>
            <w:shd w:val="clear" w:color="auto" w:fill="auto"/>
            <w:vAlign w:val="center"/>
            <w:hideMark/>
          </w:tcPr>
          <w:p w:rsidR="00352EBC" w:rsidRPr="008219EE" w:rsidRDefault="00352EBC" w:rsidP="00385A36">
            <w:pPr>
              <w:jc w:val="center"/>
              <w:rPr>
                <w:b/>
                <w:bCs/>
                <w:sz w:val="28"/>
                <w:szCs w:val="28"/>
              </w:rPr>
            </w:pPr>
            <w:r w:rsidRPr="008219EE">
              <w:rPr>
                <w:b/>
                <w:bCs/>
                <w:sz w:val="28"/>
                <w:szCs w:val="28"/>
              </w:rPr>
              <w:t xml:space="preserve"> T10/2021 </w:t>
            </w:r>
          </w:p>
        </w:tc>
        <w:tc>
          <w:tcPr>
            <w:tcW w:w="2409" w:type="dxa"/>
            <w:tcBorders>
              <w:top w:val="nil"/>
              <w:left w:val="nil"/>
              <w:bottom w:val="single" w:sz="4" w:space="0" w:color="auto"/>
              <w:right w:val="single" w:sz="4" w:space="0" w:color="auto"/>
            </w:tcBorders>
            <w:shd w:val="clear" w:color="auto" w:fill="auto"/>
            <w:vAlign w:val="center"/>
            <w:hideMark/>
          </w:tcPr>
          <w:p w:rsidR="00352EBC" w:rsidRPr="008219EE" w:rsidRDefault="00352EBC" w:rsidP="00385A36">
            <w:pPr>
              <w:jc w:val="center"/>
              <w:rPr>
                <w:b/>
                <w:bCs/>
                <w:sz w:val="28"/>
                <w:szCs w:val="28"/>
              </w:rPr>
            </w:pPr>
            <w:r w:rsidRPr="008219EE">
              <w:rPr>
                <w:b/>
                <w:bCs/>
                <w:sz w:val="28"/>
                <w:szCs w:val="28"/>
              </w:rPr>
              <w:t xml:space="preserve"> T11/2021 </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1</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Ford Việt Nam</w:t>
            </w:r>
          </w:p>
        </w:tc>
        <w:tc>
          <w:tcPr>
            <w:tcW w:w="2552"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185,663</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147,227</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2</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sản xuất và kinh doanh Vinfast</w:t>
            </w:r>
          </w:p>
        </w:tc>
        <w:tc>
          <w:tcPr>
            <w:tcW w:w="2552"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415,985</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499,347</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3</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Mercedes-Benz Việt Nam</w:t>
            </w:r>
          </w:p>
        </w:tc>
        <w:tc>
          <w:tcPr>
            <w:tcW w:w="2552"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368,278</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363,108</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4</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MTV sản xuất ô tô Thaco-Mazda</w:t>
            </w:r>
          </w:p>
        </w:tc>
        <w:tc>
          <w:tcPr>
            <w:tcW w:w="2552"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321,269</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540,485</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5</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sản xuất và lắp ráp ô tô cao cấp Thaco</w:t>
            </w:r>
          </w:p>
        </w:tc>
        <w:tc>
          <w:tcPr>
            <w:tcW w:w="2552"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287</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6</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sản xuất và lắp ráp ô tô du lịch Trường Hải - Kia</w:t>
            </w:r>
          </w:p>
        </w:tc>
        <w:tc>
          <w:tcPr>
            <w:tcW w:w="2552"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504,293</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554,855</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7</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MTV sản xuất và lắp ráp xe tải Thaco</w:t>
            </w:r>
          </w:p>
        </w:tc>
        <w:tc>
          <w:tcPr>
            <w:tcW w:w="2552"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325</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color w:val="000000"/>
                <w:sz w:val="28"/>
                <w:szCs w:val="28"/>
              </w:rPr>
            </w:pPr>
            <w:r w:rsidRPr="008219EE">
              <w:rPr>
                <w:color w:val="000000"/>
                <w:sz w:val="28"/>
                <w:szCs w:val="28"/>
              </w:rPr>
              <w:t>326</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8</w:t>
            </w:r>
          </w:p>
        </w:tc>
        <w:tc>
          <w:tcPr>
            <w:tcW w:w="3426"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rPr>
                <w:color w:val="000000"/>
                <w:sz w:val="28"/>
                <w:szCs w:val="28"/>
              </w:rPr>
            </w:pPr>
            <w:r w:rsidRPr="008219EE">
              <w:rPr>
                <w:color w:val="000000"/>
                <w:sz w:val="28"/>
                <w:szCs w:val="28"/>
              </w:rPr>
              <w:t>Công ty TNHH MTV sản xuất xe BUS THACO</w:t>
            </w:r>
          </w:p>
        </w:tc>
        <w:tc>
          <w:tcPr>
            <w:tcW w:w="2552" w:type="dxa"/>
            <w:tcBorders>
              <w:top w:val="nil"/>
              <w:left w:val="nil"/>
              <w:bottom w:val="single" w:sz="4" w:space="0" w:color="auto"/>
              <w:right w:val="single" w:sz="4" w:space="0" w:color="auto"/>
            </w:tcBorders>
            <w:shd w:val="clear" w:color="auto" w:fill="auto"/>
            <w:hideMark/>
          </w:tcPr>
          <w:p w:rsidR="00352EBC" w:rsidRPr="008219EE" w:rsidRDefault="00352EBC" w:rsidP="00385A36">
            <w:pPr>
              <w:jc w:val="right"/>
              <w:rPr>
                <w:color w:val="000000"/>
                <w:sz w:val="28"/>
                <w:szCs w:val="28"/>
              </w:rPr>
            </w:pPr>
            <w:r w:rsidRPr="008219EE">
              <w:rPr>
                <w:color w:val="000000"/>
                <w:sz w:val="28"/>
                <w:szCs w:val="28"/>
              </w:rPr>
              <w:t>251</w:t>
            </w:r>
          </w:p>
        </w:tc>
        <w:tc>
          <w:tcPr>
            <w:tcW w:w="2409" w:type="dxa"/>
            <w:tcBorders>
              <w:top w:val="nil"/>
              <w:left w:val="nil"/>
              <w:bottom w:val="single" w:sz="4" w:space="0" w:color="auto"/>
              <w:right w:val="single" w:sz="4" w:space="0" w:color="auto"/>
            </w:tcBorders>
            <w:shd w:val="clear" w:color="auto" w:fill="auto"/>
            <w:hideMark/>
          </w:tcPr>
          <w:p w:rsidR="00352EBC" w:rsidRPr="008219EE" w:rsidRDefault="00352EBC" w:rsidP="00385A36">
            <w:pPr>
              <w:jc w:val="right"/>
              <w:rPr>
                <w:color w:val="000000"/>
                <w:sz w:val="28"/>
                <w:szCs w:val="28"/>
              </w:rPr>
            </w:pPr>
            <w:r w:rsidRPr="008219EE">
              <w:rPr>
                <w:color w:val="000000"/>
                <w:sz w:val="28"/>
                <w:szCs w:val="28"/>
              </w:rPr>
              <w:t>-</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9</w:t>
            </w:r>
          </w:p>
        </w:tc>
        <w:tc>
          <w:tcPr>
            <w:tcW w:w="3426" w:type="dxa"/>
            <w:tcBorders>
              <w:top w:val="nil"/>
              <w:left w:val="nil"/>
              <w:bottom w:val="single" w:sz="4" w:space="0" w:color="auto"/>
              <w:right w:val="single" w:sz="4" w:space="0" w:color="auto"/>
            </w:tcBorders>
            <w:shd w:val="clear" w:color="auto" w:fill="auto"/>
            <w:noWrap/>
            <w:hideMark/>
          </w:tcPr>
          <w:p w:rsidR="00352EBC" w:rsidRPr="008219EE" w:rsidRDefault="00352EBC" w:rsidP="00385A36">
            <w:pPr>
              <w:rPr>
                <w:color w:val="000000"/>
                <w:sz w:val="28"/>
                <w:szCs w:val="28"/>
              </w:rPr>
            </w:pPr>
            <w:r w:rsidRPr="008219EE">
              <w:rPr>
                <w:color w:val="000000"/>
                <w:sz w:val="28"/>
                <w:szCs w:val="28"/>
              </w:rPr>
              <w:t>Công ty ÔTÔ TOYOTA Việt Nam</w:t>
            </w:r>
          </w:p>
        </w:tc>
        <w:tc>
          <w:tcPr>
            <w:tcW w:w="2552" w:type="dxa"/>
            <w:tcBorders>
              <w:top w:val="nil"/>
              <w:left w:val="nil"/>
              <w:bottom w:val="single" w:sz="4" w:space="0" w:color="auto"/>
              <w:right w:val="single" w:sz="4" w:space="0" w:color="auto"/>
            </w:tcBorders>
            <w:shd w:val="clear" w:color="auto" w:fill="auto"/>
            <w:noWrap/>
            <w:vAlign w:val="bottom"/>
            <w:hideMark/>
          </w:tcPr>
          <w:p w:rsidR="00352EBC" w:rsidRPr="008219EE" w:rsidRDefault="00352EBC" w:rsidP="00385A36">
            <w:pPr>
              <w:jc w:val="right"/>
              <w:rPr>
                <w:color w:val="000000"/>
                <w:sz w:val="28"/>
                <w:szCs w:val="28"/>
              </w:rPr>
            </w:pPr>
            <w:r w:rsidRPr="008219EE">
              <w:rPr>
                <w:color w:val="000000"/>
                <w:sz w:val="28"/>
                <w:szCs w:val="28"/>
              </w:rPr>
              <w:t>357,719</w:t>
            </w:r>
          </w:p>
        </w:tc>
        <w:tc>
          <w:tcPr>
            <w:tcW w:w="2409" w:type="dxa"/>
            <w:tcBorders>
              <w:top w:val="nil"/>
              <w:left w:val="nil"/>
              <w:bottom w:val="single" w:sz="4" w:space="0" w:color="auto"/>
              <w:right w:val="single" w:sz="4" w:space="0" w:color="auto"/>
            </w:tcBorders>
            <w:shd w:val="clear" w:color="auto" w:fill="auto"/>
            <w:noWrap/>
            <w:vAlign w:val="bottom"/>
            <w:hideMark/>
          </w:tcPr>
          <w:p w:rsidR="00352EBC" w:rsidRPr="008219EE" w:rsidRDefault="00352EBC" w:rsidP="00385A36">
            <w:pPr>
              <w:jc w:val="right"/>
              <w:rPr>
                <w:color w:val="000000"/>
                <w:sz w:val="28"/>
                <w:szCs w:val="28"/>
              </w:rPr>
            </w:pPr>
            <w:r w:rsidRPr="008219EE">
              <w:rPr>
                <w:color w:val="000000"/>
                <w:sz w:val="28"/>
                <w:szCs w:val="28"/>
              </w:rPr>
              <w:t>541,354</w:t>
            </w:r>
          </w:p>
        </w:tc>
      </w:tr>
      <w:tr w:rsidR="00352EBC" w:rsidRPr="008219EE" w:rsidTr="00385A36">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center"/>
              <w:rPr>
                <w:color w:val="000000"/>
                <w:sz w:val="28"/>
                <w:szCs w:val="28"/>
              </w:rPr>
            </w:pPr>
            <w:r w:rsidRPr="008219EE">
              <w:rPr>
                <w:color w:val="000000"/>
                <w:sz w:val="28"/>
                <w:szCs w:val="28"/>
              </w:rPr>
              <w:t>10</w:t>
            </w:r>
          </w:p>
        </w:tc>
        <w:tc>
          <w:tcPr>
            <w:tcW w:w="3426" w:type="dxa"/>
            <w:tcBorders>
              <w:top w:val="nil"/>
              <w:left w:val="nil"/>
              <w:bottom w:val="single" w:sz="4" w:space="0" w:color="auto"/>
              <w:right w:val="single" w:sz="4" w:space="0" w:color="auto"/>
            </w:tcBorders>
            <w:shd w:val="clear" w:color="auto" w:fill="auto"/>
            <w:noWrap/>
            <w:vAlign w:val="bottom"/>
            <w:hideMark/>
          </w:tcPr>
          <w:p w:rsidR="00352EBC" w:rsidRPr="008219EE" w:rsidRDefault="00352EBC" w:rsidP="00385A36">
            <w:pPr>
              <w:rPr>
                <w:color w:val="000000"/>
                <w:sz w:val="28"/>
                <w:szCs w:val="28"/>
              </w:rPr>
            </w:pPr>
            <w:r w:rsidRPr="008219EE">
              <w:rPr>
                <w:color w:val="000000"/>
                <w:sz w:val="28"/>
                <w:szCs w:val="28"/>
              </w:rPr>
              <w:t>Công ty HONDA VIỆT NAM</w:t>
            </w:r>
          </w:p>
        </w:tc>
        <w:tc>
          <w:tcPr>
            <w:tcW w:w="2552" w:type="dxa"/>
            <w:tcBorders>
              <w:top w:val="nil"/>
              <w:left w:val="nil"/>
              <w:bottom w:val="single" w:sz="4" w:space="0" w:color="auto"/>
              <w:right w:val="single" w:sz="4" w:space="0" w:color="auto"/>
            </w:tcBorders>
            <w:shd w:val="clear" w:color="auto" w:fill="auto"/>
            <w:noWrap/>
            <w:vAlign w:val="bottom"/>
            <w:hideMark/>
          </w:tcPr>
          <w:p w:rsidR="00352EBC" w:rsidRPr="008219EE" w:rsidRDefault="00352EBC" w:rsidP="00385A36">
            <w:pPr>
              <w:jc w:val="right"/>
              <w:rPr>
                <w:color w:val="000000"/>
                <w:sz w:val="28"/>
                <w:szCs w:val="28"/>
              </w:rPr>
            </w:pPr>
            <w:r w:rsidRPr="008219EE">
              <w:rPr>
                <w:color w:val="000000"/>
                <w:sz w:val="28"/>
                <w:szCs w:val="28"/>
              </w:rPr>
              <w:t>251,428</w:t>
            </w:r>
          </w:p>
        </w:tc>
        <w:tc>
          <w:tcPr>
            <w:tcW w:w="2409" w:type="dxa"/>
            <w:tcBorders>
              <w:top w:val="nil"/>
              <w:left w:val="nil"/>
              <w:bottom w:val="single" w:sz="4" w:space="0" w:color="auto"/>
              <w:right w:val="single" w:sz="4" w:space="0" w:color="auto"/>
            </w:tcBorders>
            <w:shd w:val="clear" w:color="auto" w:fill="auto"/>
            <w:noWrap/>
            <w:vAlign w:val="bottom"/>
            <w:hideMark/>
          </w:tcPr>
          <w:p w:rsidR="00352EBC" w:rsidRPr="008219EE" w:rsidRDefault="00352EBC" w:rsidP="00385A36">
            <w:pPr>
              <w:jc w:val="right"/>
              <w:rPr>
                <w:color w:val="000000"/>
                <w:sz w:val="28"/>
                <w:szCs w:val="28"/>
              </w:rPr>
            </w:pPr>
            <w:r w:rsidRPr="008219EE">
              <w:rPr>
                <w:color w:val="000000"/>
                <w:sz w:val="28"/>
                <w:szCs w:val="28"/>
              </w:rPr>
              <w:t>395,576</w:t>
            </w:r>
          </w:p>
        </w:tc>
      </w:tr>
      <w:tr w:rsidR="00352EBC" w:rsidRPr="008219EE" w:rsidTr="00385A36">
        <w:trPr>
          <w:trHeight w:val="615"/>
        </w:trPr>
        <w:tc>
          <w:tcPr>
            <w:tcW w:w="4172" w:type="dxa"/>
            <w:gridSpan w:val="2"/>
            <w:tcBorders>
              <w:top w:val="single" w:sz="4" w:space="0" w:color="auto"/>
              <w:left w:val="single" w:sz="4" w:space="0" w:color="auto"/>
              <w:bottom w:val="single" w:sz="4" w:space="0" w:color="auto"/>
              <w:right w:val="nil"/>
            </w:tcBorders>
            <w:shd w:val="clear" w:color="auto" w:fill="auto"/>
            <w:noWrap/>
            <w:vAlign w:val="center"/>
            <w:hideMark/>
          </w:tcPr>
          <w:p w:rsidR="00352EBC" w:rsidRPr="008219EE" w:rsidRDefault="00352EBC" w:rsidP="00385A36">
            <w:pPr>
              <w:jc w:val="right"/>
              <w:rPr>
                <w:b/>
                <w:bCs/>
                <w:color w:val="000000"/>
                <w:sz w:val="28"/>
                <w:szCs w:val="28"/>
              </w:rPr>
            </w:pPr>
            <w:r w:rsidRPr="008219EE">
              <w:rPr>
                <w:b/>
                <w:bCs/>
                <w:color w:val="000000"/>
                <w:sz w:val="28"/>
                <w:szCs w:val="28"/>
              </w:rPr>
              <w:t>TỔNG</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52EBC" w:rsidRPr="008219EE" w:rsidRDefault="00352EBC" w:rsidP="00385A36">
            <w:pPr>
              <w:jc w:val="right"/>
              <w:rPr>
                <w:b/>
                <w:color w:val="000000"/>
                <w:sz w:val="28"/>
                <w:szCs w:val="28"/>
              </w:rPr>
            </w:pPr>
            <w:r w:rsidRPr="008219EE">
              <w:rPr>
                <w:b/>
                <w:color w:val="000000"/>
                <w:sz w:val="28"/>
                <w:szCs w:val="28"/>
              </w:rPr>
              <w:t>2,405,503</w:t>
            </w:r>
          </w:p>
        </w:tc>
        <w:tc>
          <w:tcPr>
            <w:tcW w:w="2409" w:type="dxa"/>
            <w:tcBorders>
              <w:top w:val="nil"/>
              <w:left w:val="nil"/>
              <w:bottom w:val="single" w:sz="4" w:space="0" w:color="auto"/>
              <w:right w:val="single" w:sz="4" w:space="0" w:color="auto"/>
            </w:tcBorders>
            <w:shd w:val="clear" w:color="auto" w:fill="auto"/>
            <w:noWrap/>
            <w:vAlign w:val="center"/>
            <w:hideMark/>
          </w:tcPr>
          <w:p w:rsidR="00352EBC" w:rsidRPr="008219EE" w:rsidRDefault="00352EBC" w:rsidP="00385A36">
            <w:pPr>
              <w:jc w:val="right"/>
              <w:rPr>
                <w:b/>
                <w:color w:val="000000"/>
                <w:sz w:val="28"/>
                <w:szCs w:val="28"/>
              </w:rPr>
            </w:pPr>
            <w:r w:rsidRPr="008219EE">
              <w:rPr>
                <w:b/>
                <w:color w:val="000000"/>
                <w:sz w:val="28"/>
                <w:szCs w:val="28"/>
              </w:rPr>
              <w:t>3,042,281</w:t>
            </w:r>
          </w:p>
        </w:tc>
      </w:tr>
    </w:tbl>
    <w:p w:rsidR="00352EBC" w:rsidRPr="009F4029" w:rsidRDefault="00352EBC" w:rsidP="00352EBC">
      <w:pPr>
        <w:pStyle w:val="ListParagraph"/>
        <w:spacing w:after="120" w:line="264" w:lineRule="auto"/>
        <w:ind w:left="0" w:firstLine="711"/>
        <w:jc w:val="right"/>
      </w:pPr>
    </w:p>
    <w:p w:rsidR="00352EBC" w:rsidRDefault="00352EBC" w:rsidP="00352EBC">
      <w:pPr>
        <w:shd w:val="clear" w:color="auto" w:fill="FFFFFF"/>
        <w:tabs>
          <w:tab w:val="left" w:pos="709"/>
        </w:tabs>
        <w:spacing w:before="120" w:after="120"/>
        <w:ind w:firstLine="720"/>
        <w:jc w:val="both"/>
        <w:textAlignment w:val="baseline"/>
        <w:rPr>
          <w:sz w:val="28"/>
          <w:szCs w:val="28"/>
          <w:lang w:val="it-IT"/>
        </w:rPr>
      </w:pPr>
      <w:r>
        <w:rPr>
          <w:sz w:val="28"/>
          <w:szCs w:val="28"/>
          <w:lang w:val="it-IT"/>
        </w:rPr>
        <w:t>Trên đây là số tiền thuế TTĐB đối với ô tô sản xuất, lắp ráp trong nước được gia hạn của các kỳ tính thuế tháng 10, tháng 11/2021. Toàn bộ số tiền thuế TTĐB được gia hạn nêu trên đã được các doanh nghiệp nộp đủ vào ngân sách nhà nước theo quy định.</w:t>
      </w:r>
    </w:p>
    <w:p w:rsidR="00352EBC" w:rsidRPr="004D79F8" w:rsidRDefault="00352EBC" w:rsidP="00352EBC">
      <w:pPr>
        <w:shd w:val="clear" w:color="auto" w:fill="FFFFFF"/>
        <w:tabs>
          <w:tab w:val="left" w:pos="709"/>
        </w:tabs>
        <w:spacing w:before="120" w:after="120"/>
        <w:ind w:firstLine="720"/>
        <w:jc w:val="both"/>
        <w:textAlignment w:val="baseline"/>
        <w:rPr>
          <w:b/>
          <w:i/>
          <w:sz w:val="28"/>
          <w:szCs w:val="28"/>
          <w:lang w:val="it-IT"/>
        </w:rPr>
      </w:pPr>
      <w:r>
        <w:rPr>
          <w:b/>
          <w:i/>
          <w:sz w:val="28"/>
          <w:szCs w:val="28"/>
          <w:lang w:val="it-IT"/>
        </w:rPr>
        <w:t>2.2.</w:t>
      </w:r>
      <w:r w:rsidRPr="004D79F8">
        <w:rPr>
          <w:b/>
          <w:i/>
          <w:sz w:val="28"/>
          <w:szCs w:val="28"/>
          <w:lang w:val="it-IT"/>
        </w:rPr>
        <w:t xml:space="preserve"> Tác động của việc gia hạn thời hạn nộp thuế TTĐB</w:t>
      </w:r>
    </w:p>
    <w:p w:rsidR="00352EBC" w:rsidRPr="00071B50" w:rsidRDefault="00352EBC" w:rsidP="00352EBC">
      <w:pPr>
        <w:shd w:val="clear" w:color="auto" w:fill="FFFFFF"/>
        <w:tabs>
          <w:tab w:val="left" w:pos="709"/>
        </w:tabs>
        <w:spacing w:before="120" w:after="120"/>
        <w:ind w:firstLine="720"/>
        <w:jc w:val="both"/>
        <w:textAlignment w:val="baseline"/>
        <w:rPr>
          <w:sz w:val="28"/>
          <w:szCs w:val="28"/>
          <w:lang w:val="it-IT"/>
        </w:rPr>
      </w:pPr>
      <w:r>
        <w:rPr>
          <w:sz w:val="28"/>
          <w:szCs w:val="28"/>
          <w:lang w:val="it-IT"/>
        </w:rPr>
        <w:t>B</w:t>
      </w:r>
      <w:r w:rsidRPr="00A160B7">
        <w:rPr>
          <w:sz w:val="28"/>
          <w:szCs w:val="28"/>
          <w:lang w:val="it-IT"/>
        </w:rPr>
        <w:t xml:space="preserve">iện pháp gia hạn </w:t>
      </w:r>
      <w:r>
        <w:rPr>
          <w:sz w:val="28"/>
          <w:szCs w:val="28"/>
          <w:lang w:val="it-IT"/>
        </w:rPr>
        <w:t xml:space="preserve">thời hạn </w:t>
      </w:r>
      <w:r w:rsidRPr="00A160B7">
        <w:rPr>
          <w:sz w:val="28"/>
          <w:szCs w:val="28"/>
          <w:lang w:val="it-IT"/>
        </w:rPr>
        <w:t xml:space="preserve">nộp thuế </w:t>
      </w:r>
      <w:r>
        <w:rPr>
          <w:sz w:val="28"/>
          <w:szCs w:val="28"/>
          <w:lang w:val="it-IT"/>
        </w:rPr>
        <w:t>tiêu thụ đặc biệt</w:t>
      </w:r>
      <w:r w:rsidRPr="00A160B7">
        <w:rPr>
          <w:sz w:val="28"/>
          <w:szCs w:val="28"/>
          <w:lang w:val="it-IT"/>
        </w:rPr>
        <w:t xml:space="preserve"> nói riêng tại Nghị định số </w:t>
      </w:r>
      <w:r>
        <w:rPr>
          <w:sz w:val="28"/>
          <w:szCs w:val="28"/>
          <w:lang w:val="it-IT"/>
        </w:rPr>
        <w:t xml:space="preserve">104/2021/NĐ-CP </w:t>
      </w:r>
      <w:r w:rsidRPr="00A160B7">
        <w:rPr>
          <w:sz w:val="28"/>
          <w:szCs w:val="28"/>
          <w:lang w:val="it-IT"/>
        </w:rPr>
        <w:t xml:space="preserve">nhằm hỗ trợ các đối tượng bị ảnh hưởng bởi dịch Covid-19 đã góp phần tháo gỡ khó khăn cho sản xuất kinh </w:t>
      </w:r>
      <w:r>
        <w:rPr>
          <w:sz w:val="28"/>
          <w:szCs w:val="28"/>
          <w:lang w:val="it-IT"/>
        </w:rPr>
        <w:t>doanh của doanh nghiệp sản xuất hoặc lắp ráp ô tô trong nước, từ đó</w:t>
      </w:r>
      <w:r w:rsidRPr="00890884">
        <w:rPr>
          <w:sz w:val="28"/>
          <w:szCs w:val="28"/>
        </w:rPr>
        <w:t xml:space="preserve"> góp phần quan trọng nhằm thực hiện có hiệu quả mục tiêu </w:t>
      </w:r>
      <w:r>
        <w:rPr>
          <w:sz w:val="28"/>
          <w:szCs w:val="28"/>
        </w:rPr>
        <w:t xml:space="preserve">chung </w:t>
      </w:r>
      <w:r w:rsidRPr="00DB51E2">
        <w:rPr>
          <w:i/>
          <w:sz w:val="28"/>
          <w:szCs w:val="28"/>
        </w:rPr>
        <w:t>“vừa phòng chống dịch bệnh, vừa phát triển kinh tế – xã hội”</w:t>
      </w:r>
      <w:r>
        <w:rPr>
          <w:sz w:val="28"/>
          <w:szCs w:val="28"/>
        </w:rPr>
        <w:t xml:space="preserve"> đã đem lại kết quả như sau:</w:t>
      </w:r>
    </w:p>
    <w:p w:rsidR="00352EBC" w:rsidRDefault="00352EBC" w:rsidP="00352EBC">
      <w:pPr>
        <w:widowControl w:val="0"/>
        <w:spacing w:before="120" w:after="120"/>
        <w:ind w:firstLine="720"/>
        <w:jc w:val="both"/>
        <w:rPr>
          <w:sz w:val="28"/>
          <w:szCs w:val="28"/>
          <w:lang w:val="it-IT"/>
        </w:rPr>
      </w:pPr>
      <w:r w:rsidRPr="00F041A5">
        <w:rPr>
          <w:i/>
          <w:sz w:val="28"/>
          <w:szCs w:val="28"/>
        </w:rPr>
        <w:t>Thứ nhất,</w:t>
      </w:r>
      <w:r>
        <w:rPr>
          <w:sz w:val="28"/>
          <w:szCs w:val="28"/>
        </w:rPr>
        <w:t xml:space="preserve"> v</w:t>
      </w:r>
      <w:r>
        <w:rPr>
          <w:sz w:val="28"/>
          <w:szCs w:val="28"/>
          <w:lang w:val="it-IT"/>
        </w:rPr>
        <w:t>iệc</w:t>
      </w:r>
      <w:r w:rsidRPr="00A160B7">
        <w:rPr>
          <w:sz w:val="28"/>
          <w:szCs w:val="28"/>
          <w:lang w:val="it-IT"/>
        </w:rPr>
        <w:t xml:space="preserve"> gia hạn </w:t>
      </w:r>
      <w:r>
        <w:rPr>
          <w:sz w:val="28"/>
          <w:szCs w:val="28"/>
          <w:lang w:val="it-IT"/>
        </w:rPr>
        <w:t xml:space="preserve">thời hạn </w:t>
      </w:r>
      <w:r w:rsidRPr="00A160B7">
        <w:rPr>
          <w:sz w:val="28"/>
          <w:szCs w:val="28"/>
          <w:lang w:val="it-IT"/>
        </w:rPr>
        <w:t xml:space="preserve">nộp thuế </w:t>
      </w:r>
      <w:r>
        <w:rPr>
          <w:sz w:val="28"/>
          <w:szCs w:val="28"/>
          <w:lang w:val="it-IT"/>
        </w:rPr>
        <w:t>tiêu thụ đặc biệt</w:t>
      </w:r>
      <w:r w:rsidRPr="00A160B7">
        <w:rPr>
          <w:sz w:val="28"/>
          <w:szCs w:val="28"/>
          <w:lang w:val="it-IT"/>
        </w:rPr>
        <w:t xml:space="preserve"> tại Nghị định số </w:t>
      </w:r>
      <w:r>
        <w:rPr>
          <w:sz w:val="28"/>
          <w:szCs w:val="28"/>
          <w:lang w:val="it-IT"/>
        </w:rPr>
        <w:t>104/2021/NĐ-CP</w:t>
      </w:r>
      <w:r w:rsidRPr="00A160B7">
        <w:rPr>
          <w:sz w:val="28"/>
          <w:szCs w:val="28"/>
          <w:lang w:val="it-IT"/>
        </w:rPr>
        <w:t xml:space="preserve"> </w:t>
      </w:r>
      <w:r>
        <w:rPr>
          <w:sz w:val="28"/>
          <w:szCs w:val="28"/>
          <w:lang w:val="it-IT"/>
        </w:rPr>
        <w:t xml:space="preserve">giúp doanh nghiệp sản xuất, lắp ráp ô tô trong nước có thêm nguồn lực tài chính để xoay vòng vốn đầu tư, duy trì hoạt động sản xuất, kinh doanh, giúp nhiều người lao động duy trì công ăn việc làm trong thời gian bị ảnh hưởng của dịch </w:t>
      </w:r>
      <w:r>
        <w:rPr>
          <w:sz w:val="28"/>
          <w:szCs w:val="28"/>
          <w:lang w:val="it-IT"/>
        </w:rPr>
        <w:lastRenderedPageBreak/>
        <w:t xml:space="preserve">Covid – 19. </w:t>
      </w:r>
    </w:p>
    <w:p w:rsidR="00352EBC" w:rsidRDefault="00352EBC" w:rsidP="00352EBC">
      <w:pPr>
        <w:widowControl w:val="0"/>
        <w:spacing w:before="120" w:after="120"/>
        <w:ind w:firstLine="720"/>
        <w:jc w:val="both"/>
        <w:rPr>
          <w:sz w:val="28"/>
          <w:szCs w:val="28"/>
          <w:lang w:val="it-IT"/>
        </w:rPr>
      </w:pPr>
      <w:r w:rsidRPr="00F041A5">
        <w:rPr>
          <w:i/>
          <w:sz w:val="28"/>
          <w:szCs w:val="28"/>
          <w:lang w:val="it-IT"/>
        </w:rPr>
        <w:t>Thứ hai,</w:t>
      </w:r>
      <w:r>
        <w:rPr>
          <w:sz w:val="28"/>
          <w:szCs w:val="28"/>
          <w:lang w:val="it-IT"/>
        </w:rPr>
        <w:t xml:space="preserve"> </w:t>
      </w:r>
      <w:r w:rsidRPr="00A160B7">
        <w:rPr>
          <w:sz w:val="28"/>
          <w:szCs w:val="28"/>
          <w:lang w:val="it-IT"/>
        </w:rPr>
        <w:t xml:space="preserve">Nghị định số </w:t>
      </w:r>
      <w:r>
        <w:rPr>
          <w:sz w:val="28"/>
          <w:szCs w:val="28"/>
          <w:lang w:val="it-IT"/>
        </w:rPr>
        <w:t>104/2021/NĐ-CP quy định về việc gia hạn thời hạn nộp thuế TTĐB cùng với Nghị định số 103/2021/NĐ-CP ngày 26/11/2021 quy định về việc giảm 50% mức thu lệ phí trước bạ đối với ô tô sản xuất, lắp ráp trong nước đến hết ngày 31/5/2022 đã thúc đẩy ngành sản xuất, lắp ráp ô tô trong nước phát triển trong năm 2021, cụ thể:</w:t>
      </w:r>
    </w:p>
    <w:p w:rsidR="00352EBC" w:rsidRPr="00D37C4A" w:rsidRDefault="00352EBC" w:rsidP="00352EBC">
      <w:pPr>
        <w:pStyle w:val="ListParagraph"/>
        <w:spacing w:after="120" w:line="264" w:lineRule="auto"/>
        <w:ind w:left="0" w:firstLine="711"/>
        <w:jc w:val="right"/>
        <w:rPr>
          <w:i/>
          <w:sz w:val="28"/>
          <w:szCs w:val="28"/>
          <w:lang w:val="nl-NL"/>
        </w:rPr>
      </w:pPr>
      <w:r w:rsidRPr="00D37C4A">
        <w:rPr>
          <w:i/>
          <w:sz w:val="28"/>
          <w:szCs w:val="28"/>
          <w:lang w:val="nl-NL"/>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9"/>
        <w:gridCol w:w="1858"/>
        <w:gridCol w:w="1858"/>
        <w:gridCol w:w="1858"/>
      </w:tblGrid>
      <w:tr w:rsidR="00352EBC" w:rsidRPr="00911048" w:rsidTr="00385A36">
        <w:trPr>
          <w:trHeight w:val="293"/>
        </w:trPr>
        <w:tc>
          <w:tcPr>
            <w:tcW w:w="817" w:type="dxa"/>
            <w:vMerge w:val="restart"/>
            <w:vAlign w:val="center"/>
          </w:tcPr>
          <w:p w:rsidR="00352EBC" w:rsidRPr="00911048" w:rsidRDefault="00352EBC" w:rsidP="00385A36">
            <w:pPr>
              <w:widowControl w:val="0"/>
              <w:spacing w:before="120" w:after="120"/>
              <w:jc w:val="center"/>
              <w:rPr>
                <w:b/>
                <w:iCs/>
                <w:sz w:val="28"/>
                <w:szCs w:val="28"/>
                <w:lang w:val="nl-NL"/>
              </w:rPr>
            </w:pPr>
            <w:r w:rsidRPr="00911048">
              <w:rPr>
                <w:b/>
                <w:iCs/>
                <w:sz w:val="28"/>
                <w:szCs w:val="28"/>
                <w:lang w:val="nl-NL"/>
              </w:rPr>
              <w:t>STT</w:t>
            </w:r>
          </w:p>
        </w:tc>
        <w:tc>
          <w:tcPr>
            <w:tcW w:w="2899" w:type="dxa"/>
            <w:vMerge w:val="restart"/>
            <w:vAlign w:val="center"/>
          </w:tcPr>
          <w:p w:rsidR="00352EBC" w:rsidRPr="00911048" w:rsidRDefault="00352EBC" w:rsidP="00385A36">
            <w:pPr>
              <w:widowControl w:val="0"/>
              <w:spacing w:before="120" w:after="120"/>
              <w:jc w:val="center"/>
              <w:rPr>
                <w:b/>
                <w:iCs/>
                <w:sz w:val="28"/>
                <w:szCs w:val="28"/>
                <w:lang w:val="nl-NL"/>
              </w:rPr>
            </w:pPr>
            <w:r w:rsidRPr="00911048">
              <w:rPr>
                <w:b/>
                <w:iCs/>
                <w:sz w:val="28"/>
                <w:szCs w:val="28"/>
                <w:lang w:val="nl-NL"/>
              </w:rPr>
              <w:t>Tên doanh nghiệp</w:t>
            </w:r>
          </w:p>
        </w:tc>
        <w:tc>
          <w:tcPr>
            <w:tcW w:w="5574" w:type="dxa"/>
            <w:gridSpan w:val="3"/>
            <w:vAlign w:val="center"/>
          </w:tcPr>
          <w:p w:rsidR="00352EBC" w:rsidRPr="004D79F8" w:rsidRDefault="00352EBC" w:rsidP="00385A36">
            <w:pPr>
              <w:spacing w:before="120" w:after="120"/>
              <w:jc w:val="center"/>
              <w:rPr>
                <w:rFonts w:eastAsia="Calibri"/>
                <w:b/>
                <w:sz w:val="28"/>
                <w:szCs w:val="28"/>
              </w:rPr>
            </w:pPr>
            <w:r w:rsidRPr="004D79F8">
              <w:rPr>
                <w:rFonts w:eastAsia="Calibri"/>
                <w:b/>
                <w:sz w:val="28"/>
                <w:szCs w:val="28"/>
              </w:rPr>
              <w:t>Số lượng ô tô sản xuất hoặc lắp ráp</w:t>
            </w:r>
          </w:p>
          <w:p w:rsidR="00352EBC" w:rsidRPr="00911048" w:rsidRDefault="00352EBC" w:rsidP="00385A36">
            <w:pPr>
              <w:widowControl w:val="0"/>
              <w:spacing w:before="120" w:after="120"/>
              <w:jc w:val="center"/>
              <w:rPr>
                <w:b/>
                <w:iCs/>
                <w:sz w:val="28"/>
                <w:szCs w:val="28"/>
                <w:lang w:val="nl-NL"/>
              </w:rPr>
            </w:pPr>
            <w:r w:rsidRPr="00911048">
              <w:rPr>
                <w:rFonts w:eastAsia="Calibri"/>
                <w:b/>
                <w:sz w:val="28"/>
                <w:szCs w:val="28"/>
              </w:rPr>
              <w:t>trong nước bán ra</w:t>
            </w:r>
          </w:p>
        </w:tc>
      </w:tr>
      <w:tr w:rsidR="00352EBC" w:rsidRPr="00911048" w:rsidTr="00385A36">
        <w:trPr>
          <w:trHeight w:val="292"/>
        </w:trPr>
        <w:tc>
          <w:tcPr>
            <w:tcW w:w="817" w:type="dxa"/>
            <w:vMerge/>
            <w:vAlign w:val="center"/>
          </w:tcPr>
          <w:p w:rsidR="00352EBC" w:rsidRPr="00911048" w:rsidRDefault="00352EBC" w:rsidP="00385A36">
            <w:pPr>
              <w:widowControl w:val="0"/>
              <w:spacing w:before="120" w:after="120"/>
              <w:jc w:val="center"/>
              <w:rPr>
                <w:b/>
                <w:iCs/>
                <w:sz w:val="28"/>
                <w:szCs w:val="28"/>
                <w:lang w:val="nl-NL"/>
              </w:rPr>
            </w:pPr>
          </w:p>
        </w:tc>
        <w:tc>
          <w:tcPr>
            <w:tcW w:w="2899" w:type="dxa"/>
            <w:vMerge/>
            <w:vAlign w:val="center"/>
          </w:tcPr>
          <w:p w:rsidR="00352EBC" w:rsidRPr="00911048" w:rsidRDefault="00352EBC" w:rsidP="00385A36">
            <w:pPr>
              <w:widowControl w:val="0"/>
              <w:spacing w:before="120" w:after="120"/>
              <w:jc w:val="center"/>
              <w:rPr>
                <w:b/>
                <w:iCs/>
                <w:sz w:val="28"/>
                <w:szCs w:val="28"/>
                <w:lang w:val="nl-NL"/>
              </w:rPr>
            </w:pPr>
          </w:p>
        </w:tc>
        <w:tc>
          <w:tcPr>
            <w:tcW w:w="1858" w:type="dxa"/>
            <w:vAlign w:val="center"/>
          </w:tcPr>
          <w:p w:rsidR="00352EBC" w:rsidRPr="00911048" w:rsidRDefault="00352EBC" w:rsidP="00385A36">
            <w:pPr>
              <w:widowControl w:val="0"/>
              <w:spacing w:before="120" w:after="120"/>
              <w:jc w:val="center"/>
              <w:rPr>
                <w:b/>
                <w:iCs/>
                <w:sz w:val="28"/>
                <w:szCs w:val="28"/>
                <w:lang w:val="nl-NL"/>
              </w:rPr>
            </w:pPr>
            <w:r w:rsidRPr="00911048">
              <w:rPr>
                <w:b/>
                <w:iCs/>
                <w:sz w:val="28"/>
                <w:szCs w:val="28"/>
                <w:lang w:val="nl-NL"/>
              </w:rPr>
              <w:t>Năm 20</w:t>
            </w:r>
            <w:r>
              <w:rPr>
                <w:b/>
                <w:iCs/>
                <w:sz w:val="28"/>
                <w:szCs w:val="28"/>
                <w:lang w:val="nl-NL"/>
              </w:rPr>
              <w:t>20</w:t>
            </w:r>
          </w:p>
        </w:tc>
        <w:tc>
          <w:tcPr>
            <w:tcW w:w="1858" w:type="dxa"/>
            <w:vAlign w:val="center"/>
          </w:tcPr>
          <w:p w:rsidR="00352EBC" w:rsidRPr="00911048" w:rsidRDefault="00352EBC" w:rsidP="00385A36">
            <w:pPr>
              <w:widowControl w:val="0"/>
              <w:spacing w:before="120" w:after="120"/>
              <w:jc w:val="center"/>
              <w:rPr>
                <w:b/>
                <w:iCs/>
                <w:sz w:val="28"/>
                <w:szCs w:val="28"/>
                <w:lang w:val="nl-NL"/>
              </w:rPr>
            </w:pPr>
            <w:r w:rsidRPr="00911048">
              <w:rPr>
                <w:b/>
                <w:iCs/>
                <w:sz w:val="28"/>
                <w:szCs w:val="28"/>
                <w:lang w:val="nl-NL"/>
              </w:rPr>
              <w:t>Năm 202</w:t>
            </w:r>
            <w:r>
              <w:rPr>
                <w:b/>
                <w:iCs/>
                <w:sz w:val="28"/>
                <w:szCs w:val="28"/>
                <w:lang w:val="nl-NL"/>
              </w:rPr>
              <w:t>1</w:t>
            </w:r>
          </w:p>
        </w:tc>
        <w:tc>
          <w:tcPr>
            <w:tcW w:w="1858" w:type="dxa"/>
            <w:vAlign w:val="center"/>
          </w:tcPr>
          <w:p w:rsidR="00352EBC" w:rsidRPr="00911048" w:rsidRDefault="00352EBC" w:rsidP="00385A36">
            <w:pPr>
              <w:widowControl w:val="0"/>
              <w:spacing w:before="120" w:after="120"/>
              <w:jc w:val="center"/>
              <w:rPr>
                <w:b/>
                <w:iCs/>
                <w:sz w:val="28"/>
                <w:szCs w:val="28"/>
                <w:lang w:val="nl-NL"/>
              </w:rPr>
            </w:pPr>
            <w:r w:rsidRPr="00911048">
              <w:rPr>
                <w:b/>
                <w:iCs/>
                <w:sz w:val="28"/>
                <w:szCs w:val="28"/>
                <w:lang w:val="nl-NL"/>
              </w:rPr>
              <w:t xml:space="preserve">So sánh </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sidRPr="00911048">
              <w:rPr>
                <w:iCs/>
                <w:sz w:val="28"/>
                <w:szCs w:val="28"/>
                <w:lang w:val="nl-NL"/>
              </w:rPr>
              <w:t>1</w:t>
            </w:r>
          </w:p>
        </w:tc>
        <w:tc>
          <w:tcPr>
            <w:tcW w:w="2899" w:type="dxa"/>
          </w:tcPr>
          <w:p w:rsidR="00352EBC" w:rsidRPr="00911048" w:rsidRDefault="00352EBC" w:rsidP="00385A36">
            <w:pPr>
              <w:spacing w:before="120" w:after="120"/>
              <w:jc w:val="both"/>
              <w:rPr>
                <w:sz w:val="28"/>
                <w:szCs w:val="28"/>
              </w:rPr>
            </w:pPr>
            <w:r w:rsidRPr="00911048">
              <w:rPr>
                <w:sz w:val="28"/>
                <w:szCs w:val="28"/>
              </w:rPr>
              <w:t>Công ty Honda Việt Nam</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12.114</w:t>
            </w:r>
          </w:p>
        </w:tc>
        <w:tc>
          <w:tcPr>
            <w:tcW w:w="1858" w:type="dxa"/>
            <w:vAlign w:val="center"/>
          </w:tcPr>
          <w:p w:rsidR="00352EBC" w:rsidRPr="00911048" w:rsidRDefault="00352EBC" w:rsidP="00385A36">
            <w:pPr>
              <w:spacing w:before="120" w:after="120"/>
              <w:jc w:val="right"/>
              <w:rPr>
                <w:sz w:val="28"/>
                <w:szCs w:val="28"/>
              </w:rPr>
            </w:pPr>
            <w:r>
              <w:rPr>
                <w:sz w:val="28"/>
                <w:szCs w:val="28"/>
              </w:rPr>
              <w:t>17.186</w:t>
            </w:r>
          </w:p>
        </w:tc>
        <w:tc>
          <w:tcPr>
            <w:tcW w:w="1858" w:type="dxa"/>
            <w:vAlign w:val="center"/>
          </w:tcPr>
          <w:p w:rsidR="00352EBC" w:rsidRPr="00911048" w:rsidRDefault="00352EBC" w:rsidP="00385A36">
            <w:pPr>
              <w:spacing w:before="120" w:after="120"/>
              <w:jc w:val="right"/>
              <w:rPr>
                <w:sz w:val="28"/>
                <w:szCs w:val="28"/>
              </w:rPr>
            </w:pPr>
            <w:r>
              <w:rPr>
                <w:sz w:val="28"/>
                <w:szCs w:val="28"/>
              </w:rPr>
              <w:t>142%</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2</w:t>
            </w:r>
          </w:p>
        </w:tc>
        <w:tc>
          <w:tcPr>
            <w:tcW w:w="2899" w:type="dxa"/>
          </w:tcPr>
          <w:p w:rsidR="00352EBC" w:rsidRPr="00911048" w:rsidRDefault="00352EBC" w:rsidP="00385A36">
            <w:pPr>
              <w:spacing w:before="120" w:after="120"/>
              <w:jc w:val="both"/>
              <w:rPr>
                <w:sz w:val="28"/>
                <w:szCs w:val="28"/>
              </w:rPr>
            </w:pPr>
            <w:r w:rsidRPr="00911048">
              <w:rPr>
                <w:sz w:val="28"/>
                <w:szCs w:val="28"/>
              </w:rPr>
              <w:t>Công ty ô tô Toyota Việt Nam</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43.213</w:t>
            </w:r>
          </w:p>
        </w:tc>
        <w:tc>
          <w:tcPr>
            <w:tcW w:w="1858" w:type="dxa"/>
            <w:vAlign w:val="center"/>
          </w:tcPr>
          <w:p w:rsidR="00352EBC" w:rsidRPr="00911048" w:rsidRDefault="00352EBC" w:rsidP="00385A36">
            <w:pPr>
              <w:spacing w:before="120" w:after="120"/>
              <w:jc w:val="right"/>
              <w:rPr>
                <w:sz w:val="28"/>
                <w:szCs w:val="28"/>
              </w:rPr>
            </w:pPr>
            <w:r>
              <w:rPr>
                <w:sz w:val="28"/>
                <w:szCs w:val="28"/>
              </w:rPr>
              <w:t>32.406</w:t>
            </w:r>
          </w:p>
        </w:tc>
        <w:tc>
          <w:tcPr>
            <w:tcW w:w="1858" w:type="dxa"/>
            <w:vAlign w:val="center"/>
          </w:tcPr>
          <w:p w:rsidR="00352EBC" w:rsidRPr="00911048" w:rsidRDefault="00352EBC" w:rsidP="00385A36">
            <w:pPr>
              <w:spacing w:before="120" w:after="120"/>
              <w:jc w:val="right"/>
              <w:rPr>
                <w:sz w:val="28"/>
                <w:szCs w:val="28"/>
              </w:rPr>
            </w:pPr>
            <w:r>
              <w:rPr>
                <w:sz w:val="28"/>
                <w:szCs w:val="28"/>
              </w:rPr>
              <w:t>75%</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3</w:t>
            </w:r>
          </w:p>
        </w:tc>
        <w:tc>
          <w:tcPr>
            <w:tcW w:w="2899" w:type="dxa"/>
          </w:tcPr>
          <w:p w:rsidR="00352EBC" w:rsidRPr="00911048" w:rsidRDefault="00352EBC" w:rsidP="00385A36">
            <w:pPr>
              <w:spacing w:before="120" w:after="120"/>
              <w:jc w:val="both"/>
              <w:rPr>
                <w:sz w:val="28"/>
                <w:szCs w:val="28"/>
              </w:rPr>
            </w:pPr>
            <w:r w:rsidRPr="00911048">
              <w:rPr>
                <w:sz w:val="28"/>
                <w:szCs w:val="28"/>
              </w:rPr>
              <w:t>Công ty TNHH ô tô Mitsubishi</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4.900</w:t>
            </w:r>
          </w:p>
        </w:tc>
        <w:tc>
          <w:tcPr>
            <w:tcW w:w="1858" w:type="dxa"/>
            <w:vAlign w:val="center"/>
          </w:tcPr>
          <w:p w:rsidR="00352EBC" w:rsidRPr="00911048" w:rsidRDefault="00352EBC" w:rsidP="00385A36">
            <w:pPr>
              <w:spacing w:before="120" w:after="120"/>
              <w:jc w:val="right"/>
              <w:rPr>
                <w:sz w:val="28"/>
                <w:szCs w:val="28"/>
              </w:rPr>
            </w:pPr>
            <w:r>
              <w:rPr>
                <w:sz w:val="28"/>
                <w:szCs w:val="28"/>
              </w:rPr>
              <w:t>4.029</w:t>
            </w:r>
          </w:p>
        </w:tc>
        <w:tc>
          <w:tcPr>
            <w:tcW w:w="1858" w:type="dxa"/>
            <w:vAlign w:val="center"/>
          </w:tcPr>
          <w:p w:rsidR="00352EBC" w:rsidRPr="00911048" w:rsidRDefault="00352EBC" w:rsidP="00385A36">
            <w:pPr>
              <w:spacing w:before="120" w:after="120"/>
              <w:jc w:val="right"/>
              <w:rPr>
                <w:sz w:val="28"/>
                <w:szCs w:val="28"/>
              </w:rPr>
            </w:pPr>
            <w:r>
              <w:rPr>
                <w:sz w:val="28"/>
                <w:szCs w:val="28"/>
              </w:rPr>
              <w:t>82%</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4</w:t>
            </w:r>
          </w:p>
        </w:tc>
        <w:tc>
          <w:tcPr>
            <w:tcW w:w="2899" w:type="dxa"/>
          </w:tcPr>
          <w:p w:rsidR="00352EBC" w:rsidRPr="00911048" w:rsidRDefault="00352EBC" w:rsidP="00385A36">
            <w:pPr>
              <w:spacing w:before="120" w:after="120"/>
              <w:jc w:val="both"/>
              <w:rPr>
                <w:sz w:val="28"/>
                <w:szCs w:val="28"/>
              </w:rPr>
            </w:pPr>
            <w:r w:rsidRPr="00911048">
              <w:rPr>
                <w:sz w:val="28"/>
                <w:szCs w:val="28"/>
              </w:rPr>
              <w:t>Công ty ô tô Chiến Thắng</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1.862</w:t>
            </w:r>
          </w:p>
        </w:tc>
        <w:tc>
          <w:tcPr>
            <w:tcW w:w="1858" w:type="dxa"/>
            <w:vAlign w:val="center"/>
          </w:tcPr>
          <w:p w:rsidR="00352EBC" w:rsidRPr="00911048" w:rsidRDefault="00352EBC" w:rsidP="00385A36">
            <w:pPr>
              <w:spacing w:before="120" w:after="120"/>
              <w:jc w:val="right"/>
              <w:rPr>
                <w:sz w:val="28"/>
                <w:szCs w:val="28"/>
              </w:rPr>
            </w:pPr>
            <w:r>
              <w:rPr>
                <w:sz w:val="28"/>
                <w:szCs w:val="28"/>
              </w:rPr>
              <w:t>2.295</w:t>
            </w:r>
          </w:p>
        </w:tc>
        <w:tc>
          <w:tcPr>
            <w:tcW w:w="1858" w:type="dxa"/>
            <w:vAlign w:val="center"/>
          </w:tcPr>
          <w:p w:rsidR="00352EBC" w:rsidRPr="00911048" w:rsidRDefault="00352EBC" w:rsidP="00385A36">
            <w:pPr>
              <w:spacing w:before="120" w:after="120"/>
              <w:jc w:val="right"/>
              <w:rPr>
                <w:sz w:val="28"/>
                <w:szCs w:val="28"/>
              </w:rPr>
            </w:pPr>
            <w:r>
              <w:rPr>
                <w:sz w:val="28"/>
                <w:szCs w:val="28"/>
              </w:rPr>
              <w:t>123%</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5</w:t>
            </w:r>
          </w:p>
        </w:tc>
        <w:tc>
          <w:tcPr>
            <w:tcW w:w="2899" w:type="dxa"/>
          </w:tcPr>
          <w:p w:rsidR="00352EBC" w:rsidRPr="00911048" w:rsidRDefault="00352EBC" w:rsidP="00385A36">
            <w:pPr>
              <w:spacing w:before="120" w:after="120"/>
              <w:jc w:val="both"/>
              <w:rPr>
                <w:sz w:val="28"/>
                <w:szCs w:val="28"/>
              </w:rPr>
            </w:pPr>
            <w:r w:rsidRPr="00911048">
              <w:rPr>
                <w:sz w:val="28"/>
                <w:szCs w:val="28"/>
              </w:rPr>
              <w:t>Công ty TNHH sản xuất và kinh doanh Vinfast</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26.106</w:t>
            </w:r>
          </w:p>
        </w:tc>
        <w:tc>
          <w:tcPr>
            <w:tcW w:w="1858" w:type="dxa"/>
            <w:vAlign w:val="center"/>
          </w:tcPr>
          <w:p w:rsidR="00352EBC" w:rsidRPr="00911048" w:rsidRDefault="00352EBC" w:rsidP="00385A36">
            <w:pPr>
              <w:spacing w:before="120" w:after="120"/>
              <w:jc w:val="right"/>
              <w:rPr>
                <w:sz w:val="28"/>
                <w:szCs w:val="28"/>
              </w:rPr>
            </w:pPr>
            <w:r>
              <w:rPr>
                <w:sz w:val="28"/>
                <w:szCs w:val="28"/>
              </w:rPr>
              <w:t>36.555</w:t>
            </w:r>
          </w:p>
        </w:tc>
        <w:tc>
          <w:tcPr>
            <w:tcW w:w="1858" w:type="dxa"/>
            <w:vAlign w:val="center"/>
          </w:tcPr>
          <w:p w:rsidR="00352EBC" w:rsidRPr="00911048" w:rsidRDefault="00352EBC" w:rsidP="00385A36">
            <w:pPr>
              <w:spacing w:before="120" w:after="120"/>
              <w:jc w:val="right"/>
              <w:rPr>
                <w:sz w:val="28"/>
                <w:szCs w:val="28"/>
              </w:rPr>
            </w:pPr>
            <w:r>
              <w:rPr>
                <w:sz w:val="28"/>
                <w:szCs w:val="28"/>
              </w:rPr>
              <w:t>140%</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6</w:t>
            </w:r>
          </w:p>
        </w:tc>
        <w:tc>
          <w:tcPr>
            <w:tcW w:w="2899" w:type="dxa"/>
          </w:tcPr>
          <w:p w:rsidR="00352EBC" w:rsidRPr="00911048" w:rsidRDefault="00352EBC" w:rsidP="00385A36">
            <w:pPr>
              <w:spacing w:before="120" w:after="120"/>
              <w:jc w:val="both"/>
              <w:rPr>
                <w:sz w:val="28"/>
                <w:szCs w:val="28"/>
              </w:rPr>
            </w:pPr>
            <w:r>
              <w:rPr>
                <w:sz w:val="28"/>
                <w:szCs w:val="28"/>
              </w:rPr>
              <w:t>Công ty CP Hyundai Thành Công Việt Nam</w:t>
            </w:r>
          </w:p>
        </w:tc>
        <w:tc>
          <w:tcPr>
            <w:tcW w:w="1858" w:type="dxa"/>
            <w:vAlign w:val="center"/>
          </w:tcPr>
          <w:p w:rsidR="00352EBC" w:rsidRPr="00911048" w:rsidRDefault="00352EBC" w:rsidP="00385A36">
            <w:pPr>
              <w:spacing w:before="120" w:after="120"/>
              <w:jc w:val="right"/>
              <w:rPr>
                <w:sz w:val="28"/>
                <w:szCs w:val="28"/>
              </w:rPr>
            </w:pPr>
            <w:r>
              <w:rPr>
                <w:sz w:val="28"/>
                <w:szCs w:val="28"/>
              </w:rPr>
              <w:t>344</w:t>
            </w:r>
          </w:p>
        </w:tc>
        <w:tc>
          <w:tcPr>
            <w:tcW w:w="1858" w:type="dxa"/>
            <w:vAlign w:val="center"/>
          </w:tcPr>
          <w:p w:rsidR="00352EBC" w:rsidRPr="00911048" w:rsidRDefault="00352EBC" w:rsidP="00385A36">
            <w:pPr>
              <w:spacing w:before="120" w:after="120"/>
              <w:jc w:val="right"/>
              <w:rPr>
                <w:sz w:val="28"/>
                <w:szCs w:val="28"/>
              </w:rPr>
            </w:pPr>
            <w:r>
              <w:rPr>
                <w:sz w:val="28"/>
                <w:szCs w:val="28"/>
              </w:rPr>
              <w:t>450</w:t>
            </w:r>
          </w:p>
        </w:tc>
        <w:tc>
          <w:tcPr>
            <w:tcW w:w="1858" w:type="dxa"/>
            <w:vAlign w:val="center"/>
          </w:tcPr>
          <w:p w:rsidR="00352EBC" w:rsidRPr="00911048" w:rsidRDefault="00352EBC" w:rsidP="00385A36">
            <w:pPr>
              <w:spacing w:before="120" w:after="120"/>
              <w:jc w:val="right"/>
              <w:rPr>
                <w:sz w:val="28"/>
                <w:szCs w:val="28"/>
              </w:rPr>
            </w:pPr>
            <w:r>
              <w:rPr>
                <w:sz w:val="28"/>
                <w:szCs w:val="28"/>
              </w:rPr>
              <w:t>130%</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7</w:t>
            </w:r>
          </w:p>
        </w:tc>
        <w:tc>
          <w:tcPr>
            <w:tcW w:w="2899" w:type="dxa"/>
          </w:tcPr>
          <w:p w:rsidR="00352EBC" w:rsidRPr="00911048" w:rsidRDefault="00352EBC" w:rsidP="00385A36">
            <w:pPr>
              <w:spacing w:before="120" w:after="120"/>
              <w:jc w:val="both"/>
              <w:rPr>
                <w:sz w:val="28"/>
                <w:szCs w:val="28"/>
              </w:rPr>
            </w:pPr>
            <w:r>
              <w:rPr>
                <w:sz w:val="28"/>
                <w:szCs w:val="28"/>
              </w:rPr>
              <w:t>Công ty CP sản xuất H</w:t>
            </w:r>
            <w:r w:rsidRPr="00911048">
              <w:rPr>
                <w:sz w:val="28"/>
                <w:szCs w:val="28"/>
              </w:rPr>
              <w:t xml:space="preserve">yundai Thành Công </w:t>
            </w:r>
            <w:r>
              <w:rPr>
                <w:sz w:val="28"/>
                <w:szCs w:val="28"/>
              </w:rPr>
              <w:t>Việt Nam</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72.276</w:t>
            </w:r>
          </w:p>
        </w:tc>
        <w:tc>
          <w:tcPr>
            <w:tcW w:w="1858" w:type="dxa"/>
            <w:vAlign w:val="center"/>
          </w:tcPr>
          <w:p w:rsidR="00352EBC" w:rsidRPr="00911048" w:rsidRDefault="00352EBC" w:rsidP="00385A36">
            <w:pPr>
              <w:spacing w:before="120" w:after="120"/>
              <w:jc w:val="right"/>
              <w:rPr>
                <w:sz w:val="28"/>
                <w:szCs w:val="28"/>
              </w:rPr>
            </w:pPr>
            <w:r>
              <w:rPr>
                <w:sz w:val="28"/>
                <w:szCs w:val="28"/>
              </w:rPr>
              <w:t>67.904</w:t>
            </w:r>
          </w:p>
        </w:tc>
        <w:tc>
          <w:tcPr>
            <w:tcW w:w="1858" w:type="dxa"/>
            <w:vAlign w:val="center"/>
          </w:tcPr>
          <w:p w:rsidR="00352EBC" w:rsidRPr="00911048" w:rsidRDefault="00352EBC" w:rsidP="00385A36">
            <w:pPr>
              <w:spacing w:before="120" w:after="120"/>
              <w:jc w:val="right"/>
              <w:rPr>
                <w:sz w:val="28"/>
                <w:szCs w:val="28"/>
              </w:rPr>
            </w:pPr>
            <w:r>
              <w:rPr>
                <w:sz w:val="28"/>
                <w:szCs w:val="28"/>
              </w:rPr>
              <w:t>94%</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8</w:t>
            </w:r>
          </w:p>
        </w:tc>
        <w:tc>
          <w:tcPr>
            <w:tcW w:w="2899" w:type="dxa"/>
          </w:tcPr>
          <w:p w:rsidR="00352EBC" w:rsidRPr="00911048" w:rsidRDefault="00352EBC" w:rsidP="00385A36">
            <w:pPr>
              <w:spacing w:before="120" w:after="120"/>
              <w:jc w:val="both"/>
              <w:rPr>
                <w:sz w:val="28"/>
                <w:szCs w:val="28"/>
              </w:rPr>
            </w:pPr>
            <w:r w:rsidRPr="00911048">
              <w:rPr>
                <w:sz w:val="28"/>
                <w:szCs w:val="28"/>
              </w:rPr>
              <w:t>Công ty TNHH MTV Sản xuất ô tô Thaco Mazda</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25.370</w:t>
            </w:r>
          </w:p>
        </w:tc>
        <w:tc>
          <w:tcPr>
            <w:tcW w:w="1858" w:type="dxa"/>
            <w:vAlign w:val="center"/>
          </w:tcPr>
          <w:p w:rsidR="00352EBC" w:rsidRPr="00911048" w:rsidRDefault="00352EBC" w:rsidP="00385A36">
            <w:pPr>
              <w:spacing w:before="120" w:after="120"/>
              <w:jc w:val="right"/>
              <w:rPr>
                <w:sz w:val="28"/>
                <w:szCs w:val="28"/>
              </w:rPr>
            </w:pPr>
            <w:r>
              <w:rPr>
                <w:sz w:val="28"/>
                <w:szCs w:val="28"/>
              </w:rPr>
              <w:t>22.447</w:t>
            </w:r>
          </w:p>
        </w:tc>
        <w:tc>
          <w:tcPr>
            <w:tcW w:w="1858" w:type="dxa"/>
            <w:vAlign w:val="center"/>
          </w:tcPr>
          <w:p w:rsidR="00352EBC" w:rsidRPr="00911048" w:rsidRDefault="00352EBC" w:rsidP="00385A36">
            <w:pPr>
              <w:spacing w:before="120" w:after="120"/>
              <w:jc w:val="right"/>
              <w:rPr>
                <w:sz w:val="28"/>
                <w:szCs w:val="28"/>
              </w:rPr>
            </w:pPr>
            <w:r>
              <w:rPr>
                <w:sz w:val="28"/>
                <w:szCs w:val="28"/>
              </w:rPr>
              <w:t>88%</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9</w:t>
            </w:r>
          </w:p>
        </w:tc>
        <w:tc>
          <w:tcPr>
            <w:tcW w:w="2899" w:type="dxa"/>
          </w:tcPr>
          <w:p w:rsidR="00352EBC" w:rsidRPr="00911048" w:rsidRDefault="00352EBC" w:rsidP="00385A36">
            <w:pPr>
              <w:spacing w:before="120" w:after="120"/>
              <w:jc w:val="both"/>
              <w:rPr>
                <w:sz w:val="28"/>
                <w:szCs w:val="28"/>
              </w:rPr>
            </w:pPr>
            <w:r w:rsidRPr="00911048">
              <w:rPr>
                <w:sz w:val="28"/>
                <w:szCs w:val="28"/>
              </w:rPr>
              <w:t>Công ty TNHH Sản xuất &amp; Lắp ráp ô tô cao cấp Thaco</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1.926</w:t>
            </w:r>
          </w:p>
        </w:tc>
        <w:tc>
          <w:tcPr>
            <w:tcW w:w="1858" w:type="dxa"/>
            <w:vAlign w:val="center"/>
          </w:tcPr>
          <w:p w:rsidR="00352EBC" w:rsidRPr="00911048" w:rsidRDefault="00352EBC" w:rsidP="00385A36">
            <w:pPr>
              <w:spacing w:before="120" w:after="120"/>
              <w:jc w:val="right"/>
              <w:rPr>
                <w:sz w:val="28"/>
                <w:szCs w:val="28"/>
              </w:rPr>
            </w:pPr>
            <w:r>
              <w:rPr>
                <w:sz w:val="28"/>
                <w:szCs w:val="28"/>
              </w:rPr>
              <w:t>19</w:t>
            </w:r>
          </w:p>
        </w:tc>
        <w:tc>
          <w:tcPr>
            <w:tcW w:w="1858" w:type="dxa"/>
            <w:vAlign w:val="center"/>
          </w:tcPr>
          <w:p w:rsidR="00352EBC" w:rsidRPr="00911048" w:rsidRDefault="00352EBC" w:rsidP="00385A36">
            <w:pPr>
              <w:spacing w:before="120" w:after="120"/>
              <w:jc w:val="right"/>
              <w:rPr>
                <w:sz w:val="28"/>
                <w:szCs w:val="28"/>
              </w:rPr>
            </w:pPr>
            <w:r>
              <w:rPr>
                <w:sz w:val="28"/>
                <w:szCs w:val="28"/>
              </w:rPr>
              <w:t>1%</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sidRPr="00911048">
              <w:rPr>
                <w:iCs/>
                <w:sz w:val="28"/>
                <w:szCs w:val="28"/>
                <w:lang w:val="nl-NL"/>
              </w:rPr>
              <w:t>1</w:t>
            </w:r>
            <w:r>
              <w:rPr>
                <w:iCs/>
                <w:sz w:val="28"/>
                <w:szCs w:val="28"/>
                <w:lang w:val="nl-NL"/>
              </w:rPr>
              <w:t>0</w:t>
            </w:r>
          </w:p>
        </w:tc>
        <w:tc>
          <w:tcPr>
            <w:tcW w:w="2899" w:type="dxa"/>
          </w:tcPr>
          <w:p w:rsidR="00352EBC" w:rsidRPr="00911048" w:rsidRDefault="00352EBC" w:rsidP="00385A36">
            <w:pPr>
              <w:spacing w:before="120" w:after="120"/>
              <w:jc w:val="both"/>
              <w:rPr>
                <w:sz w:val="28"/>
                <w:szCs w:val="28"/>
              </w:rPr>
            </w:pPr>
            <w:r w:rsidRPr="00911048">
              <w:rPr>
                <w:sz w:val="28"/>
                <w:szCs w:val="28"/>
              </w:rPr>
              <w:t>Công ty TNHH Ford Việt Nam</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4.295</w:t>
            </w:r>
          </w:p>
        </w:tc>
        <w:tc>
          <w:tcPr>
            <w:tcW w:w="1858" w:type="dxa"/>
            <w:vAlign w:val="center"/>
          </w:tcPr>
          <w:p w:rsidR="00352EBC" w:rsidRPr="00911048" w:rsidRDefault="00352EBC" w:rsidP="00385A36">
            <w:pPr>
              <w:spacing w:before="120" w:after="120"/>
              <w:jc w:val="right"/>
              <w:rPr>
                <w:sz w:val="28"/>
                <w:szCs w:val="28"/>
              </w:rPr>
            </w:pPr>
            <w:r>
              <w:rPr>
                <w:sz w:val="28"/>
                <w:szCs w:val="28"/>
              </w:rPr>
              <w:t>9.920</w:t>
            </w:r>
          </w:p>
        </w:tc>
        <w:tc>
          <w:tcPr>
            <w:tcW w:w="1858" w:type="dxa"/>
            <w:vAlign w:val="center"/>
          </w:tcPr>
          <w:p w:rsidR="00352EBC" w:rsidRPr="00911048" w:rsidRDefault="00352EBC" w:rsidP="00385A36">
            <w:pPr>
              <w:spacing w:before="120" w:after="120"/>
              <w:jc w:val="right"/>
              <w:rPr>
                <w:sz w:val="28"/>
                <w:szCs w:val="28"/>
              </w:rPr>
            </w:pPr>
            <w:r>
              <w:rPr>
                <w:sz w:val="28"/>
                <w:szCs w:val="28"/>
              </w:rPr>
              <w:t>230%</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sidRPr="00911048">
              <w:rPr>
                <w:iCs/>
                <w:sz w:val="28"/>
                <w:szCs w:val="28"/>
                <w:lang w:val="nl-NL"/>
              </w:rPr>
              <w:lastRenderedPageBreak/>
              <w:t>1</w:t>
            </w:r>
            <w:r>
              <w:rPr>
                <w:iCs/>
                <w:sz w:val="28"/>
                <w:szCs w:val="28"/>
                <w:lang w:val="nl-NL"/>
              </w:rPr>
              <w:t>1</w:t>
            </w:r>
          </w:p>
        </w:tc>
        <w:tc>
          <w:tcPr>
            <w:tcW w:w="2899" w:type="dxa"/>
          </w:tcPr>
          <w:p w:rsidR="00352EBC" w:rsidRPr="00911048" w:rsidRDefault="00352EBC" w:rsidP="00385A36">
            <w:pPr>
              <w:spacing w:before="120" w:after="120"/>
              <w:jc w:val="both"/>
              <w:rPr>
                <w:sz w:val="28"/>
                <w:szCs w:val="28"/>
              </w:rPr>
            </w:pPr>
            <w:r w:rsidRPr="00911048">
              <w:rPr>
                <w:sz w:val="28"/>
                <w:szCs w:val="28"/>
              </w:rPr>
              <w:t>Công ty TNHH SX&amp;LR ô tô du lịch Trường Hải - Kia</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35.130</w:t>
            </w:r>
          </w:p>
        </w:tc>
        <w:tc>
          <w:tcPr>
            <w:tcW w:w="1858" w:type="dxa"/>
            <w:vAlign w:val="center"/>
          </w:tcPr>
          <w:p w:rsidR="00352EBC" w:rsidRPr="00911048" w:rsidRDefault="00352EBC" w:rsidP="00385A36">
            <w:pPr>
              <w:spacing w:before="120" w:after="120"/>
              <w:jc w:val="right"/>
              <w:rPr>
                <w:sz w:val="28"/>
                <w:szCs w:val="28"/>
              </w:rPr>
            </w:pPr>
            <w:r>
              <w:rPr>
                <w:sz w:val="28"/>
                <w:szCs w:val="28"/>
              </w:rPr>
              <w:t>33.912</w:t>
            </w:r>
          </w:p>
        </w:tc>
        <w:tc>
          <w:tcPr>
            <w:tcW w:w="1858" w:type="dxa"/>
            <w:vAlign w:val="center"/>
          </w:tcPr>
          <w:p w:rsidR="00352EBC" w:rsidRPr="00911048" w:rsidRDefault="00352EBC" w:rsidP="00385A36">
            <w:pPr>
              <w:spacing w:before="120" w:after="120"/>
              <w:jc w:val="right"/>
              <w:rPr>
                <w:sz w:val="28"/>
                <w:szCs w:val="28"/>
              </w:rPr>
            </w:pPr>
            <w:r>
              <w:rPr>
                <w:sz w:val="28"/>
                <w:szCs w:val="28"/>
              </w:rPr>
              <w:t>96%</w:t>
            </w:r>
          </w:p>
        </w:tc>
      </w:tr>
      <w:tr w:rsidR="00352EBC" w:rsidRPr="00911048" w:rsidTr="00385A36">
        <w:tc>
          <w:tcPr>
            <w:tcW w:w="817" w:type="dxa"/>
          </w:tcPr>
          <w:p w:rsidR="00352EBC" w:rsidRPr="00911048" w:rsidRDefault="00352EBC" w:rsidP="00385A36">
            <w:pPr>
              <w:widowControl w:val="0"/>
              <w:spacing w:before="120" w:after="120"/>
              <w:jc w:val="center"/>
              <w:rPr>
                <w:iCs/>
                <w:sz w:val="28"/>
                <w:szCs w:val="28"/>
                <w:lang w:val="nl-NL"/>
              </w:rPr>
            </w:pPr>
            <w:r>
              <w:rPr>
                <w:iCs/>
                <w:sz w:val="28"/>
                <w:szCs w:val="28"/>
                <w:lang w:val="nl-NL"/>
              </w:rPr>
              <w:t>12</w:t>
            </w:r>
          </w:p>
        </w:tc>
        <w:tc>
          <w:tcPr>
            <w:tcW w:w="2899" w:type="dxa"/>
          </w:tcPr>
          <w:p w:rsidR="00352EBC" w:rsidRPr="00911048" w:rsidRDefault="00352EBC" w:rsidP="00385A36">
            <w:pPr>
              <w:spacing w:before="120" w:after="120"/>
              <w:jc w:val="both"/>
              <w:rPr>
                <w:sz w:val="28"/>
                <w:szCs w:val="28"/>
              </w:rPr>
            </w:pPr>
            <w:r w:rsidRPr="00911048">
              <w:rPr>
                <w:sz w:val="28"/>
                <w:szCs w:val="28"/>
              </w:rPr>
              <w:t>Công ty TNHH Mercedes – Benz Việt Nam</w:t>
            </w:r>
          </w:p>
        </w:tc>
        <w:tc>
          <w:tcPr>
            <w:tcW w:w="1858" w:type="dxa"/>
            <w:vAlign w:val="center"/>
          </w:tcPr>
          <w:p w:rsidR="00352EBC" w:rsidRPr="00911048" w:rsidRDefault="00352EBC" w:rsidP="00385A36">
            <w:pPr>
              <w:spacing w:before="120" w:after="120"/>
              <w:jc w:val="right"/>
              <w:rPr>
                <w:sz w:val="28"/>
                <w:szCs w:val="28"/>
              </w:rPr>
            </w:pPr>
            <w:r w:rsidRPr="00911048">
              <w:rPr>
                <w:sz w:val="28"/>
                <w:szCs w:val="28"/>
              </w:rPr>
              <w:t>5.677</w:t>
            </w:r>
          </w:p>
        </w:tc>
        <w:tc>
          <w:tcPr>
            <w:tcW w:w="1858" w:type="dxa"/>
            <w:vAlign w:val="center"/>
          </w:tcPr>
          <w:p w:rsidR="00352EBC" w:rsidRPr="00911048" w:rsidRDefault="00352EBC" w:rsidP="00385A36">
            <w:pPr>
              <w:spacing w:before="120" w:after="120"/>
              <w:jc w:val="right"/>
              <w:rPr>
                <w:sz w:val="28"/>
                <w:szCs w:val="28"/>
              </w:rPr>
            </w:pPr>
            <w:r>
              <w:rPr>
                <w:sz w:val="28"/>
                <w:szCs w:val="28"/>
              </w:rPr>
              <w:t>5.464</w:t>
            </w:r>
          </w:p>
        </w:tc>
        <w:tc>
          <w:tcPr>
            <w:tcW w:w="1858" w:type="dxa"/>
            <w:vAlign w:val="center"/>
          </w:tcPr>
          <w:p w:rsidR="00352EBC" w:rsidRPr="00911048" w:rsidRDefault="00352EBC" w:rsidP="00385A36">
            <w:pPr>
              <w:spacing w:before="120" w:after="120"/>
              <w:jc w:val="right"/>
              <w:rPr>
                <w:sz w:val="28"/>
                <w:szCs w:val="28"/>
              </w:rPr>
            </w:pPr>
            <w:r>
              <w:rPr>
                <w:sz w:val="28"/>
                <w:szCs w:val="28"/>
              </w:rPr>
              <w:t>96%</w:t>
            </w:r>
          </w:p>
        </w:tc>
      </w:tr>
    </w:tbl>
    <w:p w:rsidR="00352EBC" w:rsidRPr="00727066" w:rsidRDefault="00352EBC" w:rsidP="00352EBC">
      <w:pPr>
        <w:spacing w:before="120" w:after="120"/>
        <w:ind w:firstLine="720"/>
        <w:jc w:val="both"/>
        <w:rPr>
          <w:b/>
          <w:sz w:val="28"/>
          <w:szCs w:val="28"/>
        </w:rPr>
      </w:pPr>
      <w:r w:rsidRPr="00727066">
        <w:rPr>
          <w:b/>
          <w:sz w:val="28"/>
          <w:szCs w:val="28"/>
        </w:rPr>
        <w:t>3. Tổng hợp đánh giá chung</w:t>
      </w:r>
    </w:p>
    <w:p w:rsidR="00352EBC" w:rsidRDefault="00352EBC" w:rsidP="00352EBC">
      <w:pPr>
        <w:spacing w:before="120" w:after="120"/>
        <w:ind w:firstLine="720"/>
        <w:jc w:val="both"/>
        <w:rPr>
          <w:sz w:val="28"/>
          <w:szCs w:val="28"/>
        </w:rPr>
      </w:pPr>
      <w:r w:rsidRPr="00727066">
        <w:rPr>
          <w:sz w:val="28"/>
          <w:szCs w:val="28"/>
        </w:rPr>
        <w:t xml:space="preserve">- Việc gia hạn thời hạn nộp thuế TTĐB đối với ô tô sản xuất và lắp ráp trong nước theo Nghị định số </w:t>
      </w:r>
      <w:r w:rsidRPr="00727066">
        <w:rPr>
          <w:sz w:val="28"/>
          <w:szCs w:val="28"/>
          <w:lang w:val="it-IT"/>
        </w:rPr>
        <w:t xml:space="preserve">104/2021/NĐ-CP </w:t>
      </w:r>
      <w:r w:rsidRPr="00727066">
        <w:rPr>
          <w:sz w:val="28"/>
          <w:szCs w:val="28"/>
        </w:rPr>
        <w:t xml:space="preserve">đã góp phần phát triển sản xuất và tiêu thụ sản phẩm ô tô sản xuất, lắp ráp trong nước. </w:t>
      </w:r>
    </w:p>
    <w:p w:rsidR="00352EBC" w:rsidRPr="00727066" w:rsidRDefault="00352EBC" w:rsidP="00352EBC">
      <w:pPr>
        <w:spacing w:before="120" w:after="120"/>
        <w:ind w:firstLine="720"/>
        <w:jc w:val="both"/>
        <w:rPr>
          <w:sz w:val="28"/>
          <w:szCs w:val="28"/>
        </w:rPr>
      </w:pPr>
      <w:r w:rsidRPr="00727066">
        <w:rPr>
          <w:sz w:val="28"/>
          <w:szCs w:val="28"/>
        </w:rPr>
        <w:t xml:space="preserve">- Bộ Tài chính, cơ quan quản lý thuế đã thực hiện gia hạn thời hạn nộp thuế TTĐB theo Nghị định </w:t>
      </w:r>
      <w:r w:rsidRPr="00727066">
        <w:rPr>
          <w:sz w:val="28"/>
          <w:szCs w:val="28"/>
          <w:lang w:val="it-IT"/>
        </w:rPr>
        <w:t>104/2021/NĐ-CP</w:t>
      </w:r>
      <w:r w:rsidRPr="00727066">
        <w:rPr>
          <w:sz w:val="28"/>
          <w:szCs w:val="28"/>
        </w:rPr>
        <w:t>, tăng cường công tác quản lý thuế, theo đó số thuế được gia hạn đã thu nộp đầy đủ vào Ngân sách nhà nước, góp phần thực hiện nhiệm vụ dự toán Ngân sách nhà nước năm 2021.</w:t>
      </w:r>
    </w:p>
    <w:p w:rsidR="00E143B0" w:rsidRPr="00662C07" w:rsidRDefault="00E143B0" w:rsidP="00E143B0">
      <w:pPr>
        <w:widowControl w:val="0"/>
        <w:spacing w:before="120" w:after="120"/>
        <w:jc w:val="both"/>
        <w:rPr>
          <w:sz w:val="28"/>
          <w:szCs w:val="28"/>
        </w:rPr>
      </w:pPr>
      <w:r>
        <w:rPr>
          <w:sz w:val="28"/>
          <w:szCs w:val="28"/>
        </w:rPr>
        <w:tab/>
        <w:t xml:space="preserve">Trên đây là tổng kết, đánh giá </w:t>
      </w:r>
      <w:r w:rsidRPr="009B1513">
        <w:rPr>
          <w:spacing w:val="-4"/>
          <w:sz w:val="28"/>
          <w:szCs w:val="28"/>
        </w:rPr>
        <w:t>tình hình thực hiện Nghị định số 10</w:t>
      </w:r>
      <w:r w:rsidR="00352EBC">
        <w:rPr>
          <w:spacing w:val="-4"/>
          <w:sz w:val="28"/>
          <w:szCs w:val="28"/>
        </w:rPr>
        <w:t>4</w:t>
      </w:r>
      <w:r w:rsidRPr="009B1513">
        <w:rPr>
          <w:spacing w:val="-4"/>
          <w:sz w:val="28"/>
          <w:szCs w:val="28"/>
        </w:rPr>
        <w:t>/202</w:t>
      </w:r>
      <w:r w:rsidR="00352EBC">
        <w:rPr>
          <w:spacing w:val="-4"/>
          <w:sz w:val="28"/>
          <w:szCs w:val="28"/>
        </w:rPr>
        <w:t>1</w:t>
      </w:r>
      <w:r w:rsidRPr="009B1513">
        <w:rPr>
          <w:spacing w:val="-4"/>
          <w:sz w:val="28"/>
          <w:szCs w:val="28"/>
        </w:rPr>
        <w:t xml:space="preserve">/NĐ-CP ngày </w:t>
      </w:r>
      <w:r w:rsidR="00352EBC">
        <w:rPr>
          <w:spacing w:val="-4"/>
          <w:sz w:val="28"/>
          <w:szCs w:val="28"/>
        </w:rPr>
        <w:t>04/12/2021</w:t>
      </w:r>
      <w:r w:rsidRPr="009B1513">
        <w:rPr>
          <w:spacing w:val="-4"/>
          <w:sz w:val="28"/>
          <w:szCs w:val="28"/>
        </w:rPr>
        <w:t xml:space="preserve"> của Chính phủ về gia hạn thời hạn nộp thuế tiêu thụ đặc biệt đối với ô tô sản xuất hoặc lắp ráp trong nước</w:t>
      </w:r>
      <w:r>
        <w:rPr>
          <w:spacing w:val="-4"/>
          <w:sz w:val="28"/>
          <w:szCs w:val="28"/>
        </w:rPr>
        <w:t xml:space="preserve"> của Bộ Tài chính./.</w:t>
      </w:r>
    </w:p>
    <w:p w:rsidR="00E143B0" w:rsidRPr="00662C07" w:rsidRDefault="00E143B0" w:rsidP="00E143B0">
      <w:pPr>
        <w:widowControl w:val="0"/>
        <w:spacing w:before="120" w:after="120"/>
        <w:ind w:firstLine="720"/>
        <w:jc w:val="both"/>
        <w:rPr>
          <w:sz w:val="28"/>
          <w:szCs w:val="28"/>
        </w:rPr>
      </w:pPr>
    </w:p>
    <w:p w:rsidR="00E143B0" w:rsidRPr="00662C07" w:rsidRDefault="00E143B0" w:rsidP="00E143B0">
      <w:pPr>
        <w:widowControl w:val="0"/>
        <w:spacing w:before="120" w:after="120"/>
        <w:ind w:firstLine="720"/>
        <w:jc w:val="both"/>
        <w:rPr>
          <w:sz w:val="28"/>
          <w:szCs w:val="28"/>
        </w:rPr>
      </w:pPr>
    </w:p>
    <w:p w:rsidR="00E143B0" w:rsidRDefault="00E143B0" w:rsidP="00E143B0">
      <w:pPr>
        <w:widowControl w:val="0"/>
        <w:spacing w:before="120" w:after="120"/>
        <w:ind w:firstLine="720"/>
        <w:jc w:val="both"/>
        <w:rPr>
          <w:iCs/>
          <w:sz w:val="28"/>
          <w:szCs w:val="28"/>
          <w:lang w:val="nl-NL"/>
        </w:rPr>
      </w:pPr>
    </w:p>
    <w:p w:rsidR="00E143B0" w:rsidRDefault="00E143B0" w:rsidP="00E143B0">
      <w:pPr>
        <w:widowControl w:val="0"/>
        <w:spacing w:before="120" w:after="120"/>
        <w:ind w:firstLine="720"/>
        <w:jc w:val="both"/>
        <w:rPr>
          <w:iCs/>
          <w:sz w:val="28"/>
          <w:szCs w:val="28"/>
          <w:lang w:val="nl-NL"/>
        </w:rPr>
      </w:pPr>
    </w:p>
    <w:p w:rsidR="00E143B0" w:rsidRDefault="00E143B0" w:rsidP="00E143B0">
      <w:pPr>
        <w:widowControl w:val="0"/>
        <w:spacing w:before="120" w:after="120"/>
        <w:ind w:firstLine="720"/>
        <w:jc w:val="both"/>
        <w:rPr>
          <w:b/>
          <w:iCs/>
          <w:sz w:val="28"/>
          <w:szCs w:val="28"/>
          <w:lang w:val="nl-NL"/>
        </w:rPr>
      </w:pPr>
    </w:p>
    <w:p w:rsidR="00E143B0" w:rsidRPr="0050378A" w:rsidRDefault="00E143B0" w:rsidP="00E143B0">
      <w:pPr>
        <w:widowControl w:val="0"/>
        <w:spacing w:before="120" w:after="120"/>
        <w:jc w:val="both"/>
        <w:rPr>
          <w:spacing w:val="-4"/>
          <w:sz w:val="28"/>
          <w:szCs w:val="28"/>
        </w:rPr>
      </w:pPr>
    </w:p>
    <w:p w:rsidR="00607C5C" w:rsidRDefault="00607C5C"/>
    <w:sectPr w:rsidR="00607C5C" w:rsidSect="00E143B0">
      <w:headerReference w:type="default" r:id="rId6"/>
      <w:pgSz w:w="11909" w:h="16834" w:code="9"/>
      <w:pgMar w:top="1134" w:right="1134" w:bottom="1134" w:left="1418" w:header="51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AB" w:rsidRDefault="00B557AB">
      <w:r>
        <w:separator/>
      </w:r>
    </w:p>
  </w:endnote>
  <w:endnote w:type="continuationSeparator" w:id="0">
    <w:p w:rsidR="00B557AB" w:rsidRDefault="00B5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nFree">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AB" w:rsidRDefault="00B557AB">
      <w:r>
        <w:separator/>
      </w:r>
    </w:p>
  </w:footnote>
  <w:footnote w:type="continuationSeparator" w:id="0">
    <w:p w:rsidR="00B557AB" w:rsidRDefault="00B55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9D" w:rsidRDefault="00E143B0">
    <w:pPr>
      <w:pStyle w:val="Header"/>
      <w:jc w:val="center"/>
    </w:pPr>
    <w:r>
      <w:fldChar w:fldCharType="begin"/>
    </w:r>
    <w:r>
      <w:instrText xml:space="preserve"> PAGE   \* MERGEFORMAT </w:instrText>
    </w:r>
    <w:r>
      <w:fldChar w:fldCharType="separate"/>
    </w:r>
    <w:r w:rsidR="00352EBC">
      <w:rPr>
        <w:noProof/>
      </w:rPr>
      <w:t>4</w:t>
    </w:r>
    <w:r>
      <w:fldChar w:fldCharType="end"/>
    </w:r>
  </w:p>
  <w:p w:rsidR="00E214E2" w:rsidRDefault="00B55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B0"/>
    <w:rsid w:val="001D2B07"/>
    <w:rsid w:val="00352EBC"/>
    <w:rsid w:val="003A4E3B"/>
    <w:rsid w:val="003E19CB"/>
    <w:rsid w:val="0047537F"/>
    <w:rsid w:val="00607C5C"/>
    <w:rsid w:val="00AC329C"/>
    <w:rsid w:val="00B557AB"/>
    <w:rsid w:val="00E1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F98C"/>
  <w15:chartTrackingRefBased/>
  <w15:docId w15:val="{EBAA1641-D1F9-4AC2-A0A1-0B66D4C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B0"/>
    <w:pPr>
      <w:spacing w:before="0" w:after="0"/>
      <w:ind w:firstLine="0"/>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3B0"/>
    <w:pPr>
      <w:tabs>
        <w:tab w:val="center" w:pos="4680"/>
        <w:tab w:val="right" w:pos="9360"/>
      </w:tabs>
    </w:pPr>
  </w:style>
  <w:style w:type="character" w:customStyle="1" w:styleId="HeaderChar">
    <w:name w:val="Header Char"/>
    <w:basedOn w:val="DefaultParagraphFont"/>
    <w:link w:val="Header"/>
    <w:uiPriority w:val="99"/>
    <w:rsid w:val="00E143B0"/>
    <w:rPr>
      <w:rFonts w:eastAsia="Times New Roman" w:cs="Times New Roman"/>
      <w:sz w:val="26"/>
      <w:szCs w:val="24"/>
    </w:rPr>
  </w:style>
  <w:style w:type="paragraph" w:styleId="BalloonText">
    <w:name w:val="Balloon Text"/>
    <w:basedOn w:val="Normal"/>
    <w:link w:val="BalloonTextChar"/>
    <w:uiPriority w:val="99"/>
    <w:semiHidden/>
    <w:unhideWhenUsed/>
    <w:rsid w:val="003A4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3B"/>
    <w:rPr>
      <w:rFonts w:ascii="Segoe UI" w:eastAsia="Times New Roman" w:hAnsi="Segoe UI" w:cs="Segoe UI"/>
      <w:sz w:val="18"/>
      <w:szCs w:val="18"/>
    </w:rPr>
  </w:style>
  <w:style w:type="paragraph" w:styleId="ListParagraph">
    <w:name w:val="List Paragraph"/>
    <w:basedOn w:val="Normal"/>
    <w:uiPriority w:val="34"/>
    <w:qFormat/>
    <w:rsid w:val="0035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 Thuy Anh (CS-TCT)</dc:creator>
  <cp:keywords/>
  <dc:description/>
  <cp:lastModifiedBy>Anh, Nguyen Thuy Anh (CS-TCT)</cp:lastModifiedBy>
  <cp:revision>3</cp:revision>
  <cp:lastPrinted>2021-11-16T08:25:00Z</cp:lastPrinted>
  <dcterms:created xsi:type="dcterms:W3CDTF">2022-03-11T09:58:00Z</dcterms:created>
  <dcterms:modified xsi:type="dcterms:W3CDTF">2022-03-11T10:00:00Z</dcterms:modified>
</cp:coreProperties>
</file>