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D125" w14:textId="6A1D6ACF" w:rsidR="004F0C6E" w:rsidRPr="00A81EEB" w:rsidRDefault="00A81EEB" w:rsidP="00A81EEB">
      <w:pPr>
        <w:jc w:val="center"/>
        <w:rPr>
          <w:rFonts w:ascii="Times New Roman" w:hAnsi="Times New Roman" w:cs="Times New Roman"/>
          <w:b/>
          <w:bCs/>
          <w:sz w:val="26"/>
          <w:szCs w:val="26"/>
        </w:rPr>
      </w:pPr>
      <w:r w:rsidRPr="00A81EEB">
        <w:rPr>
          <w:rFonts w:ascii="Times New Roman" w:hAnsi="Times New Roman" w:cs="Times New Roman"/>
          <w:b/>
          <w:bCs/>
          <w:sz w:val="26"/>
          <w:szCs w:val="26"/>
        </w:rPr>
        <w:t xml:space="preserve">THAM LUẬN TẠI HỘI THẢO CÔNG BỐ BÁO CÁO </w:t>
      </w:r>
      <w:r w:rsidR="00265DAE">
        <w:rPr>
          <w:rFonts w:ascii="Times New Roman" w:hAnsi="Times New Roman" w:cs="Times New Roman"/>
          <w:b/>
          <w:bCs/>
          <w:sz w:val="26"/>
          <w:szCs w:val="26"/>
        </w:rPr>
        <w:br/>
      </w:r>
      <w:r w:rsidRPr="00A81EEB">
        <w:rPr>
          <w:rFonts w:ascii="Times New Roman" w:hAnsi="Times New Roman" w:cs="Times New Roman"/>
          <w:b/>
          <w:bCs/>
          <w:sz w:val="26"/>
          <w:szCs w:val="26"/>
        </w:rPr>
        <w:t>“DÒNG CHẢY PHÁP LUẬT KINH DOANH NĂM 2021”</w:t>
      </w:r>
    </w:p>
    <w:p w14:paraId="40C16A58" w14:textId="3EA75390" w:rsidR="00A81EEB" w:rsidRDefault="00A81EEB" w:rsidP="00A81EEB">
      <w:pPr>
        <w:jc w:val="center"/>
        <w:rPr>
          <w:rFonts w:ascii="Times New Roman" w:hAnsi="Times New Roman" w:cs="Times New Roman"/>
          <w:b/>
          <w:bCs/>
          <w:sz w:val="26"/>
          <w:szCs w:val="26"/>
        </w:rPr>
      </w:pPr>
      <w:r>
        <w:rPr>
          <w:rFonts w:ascii="Times New Roman" w:hAnsi="Times New Roman" w:cs="Times New Roman"/>
          <w:b/>
          <w:bCs/>
          <w:sz w:val="26"/>
          <w:szCs w:val="26"/>
        </w:rPr>
        <w:t xml:space="preserve">CHỦ ĐỀ: “ĐÁNH GIÁ CHẤT LƯỢNG THÔNG TƯ, CÔNG VĂN </w:t>
      </w:r>
      <w:r>
        <w:rPr>
          <w:rFonts w:ascii="Times New Roman" w:hAnsi="Times New Roman" w:cs="Times New Roman"/>
          <w:b/>
          <w:bCs/>
          <w:sz w:val="26"/>
          <w:szCs w:val="26"/>
        </w:rPr>
        <w:br/>
        <w:t>TRONG VIỆC ÁP DỤNG VÀ THỰC THI PHÁP LUẬT CỦA DOANH NGHIỆP TRONG LĨNH VỰC CHỨNG KHOÁN”</w:t>
      </w:r>
    </w:p>
    <w:p w14:paraId="343D86B1" w14:textId="549DFCA6" w:rsidR="00A81EEB" w:rsidRDefault="00A81EEB" w:rsidP="00265DAE">
      <w:pPr>
        <w:tabs>
          <w:tab w:val="left" w:pos="4140"/>
        </w:tabs>
        <w:spacing w:after="120"/>
        <w:ind w:firstLine="1890"/>
        <w:rPr>
          <w:rFonts w:ascii="Times New Roman" w:hAnsi="Times New Roman" w:cs="Times New Roman"/>
          <w:b/>
          <w:bCs/>
          <w:sz w:val="26"/>
          <w:szCs w:val="26"/>
        </w:rPr>
      </w:pPr>
      <w:r>
        <w:rPr>
          <w:rFonts w:ascii="Times New Roman" w:hAnsi="Times New Roman" w:cs="Times New Roman"/>
          <w:b/>
          <w:bCs/>
          <w:sz w:val="26"/>
          <w:szCs w:val="26"/>
        </w:rPr>
        <w:t xml:space="preserve">Người trình bày:   </w:t>
      </w:r>
      <w:r w:rsidR="00265DAE">
        <w:rPr>
          <w:rFonts w:ascii="Times New Roman" w:hAnsi="Times New Roman" w:cs="Times New Roman"/>
          <w:b/>
          <w:bCs/>
          <w:sz w:val="26"/>
          <w:szCs w:val="26"/>
        </w:rPr>
        <w:tab/>
      </w:r>
      <w:r>
        <w:rPr>
          <w:rFonts w:ascii="Times New Roman" w:hAnsi="Times New Roman" w:cs="Times New Roman"/>
          <w:b/>
          <w:bCs/>
          <w:sz w:val="26"/>
          <w:szCs w:val="26"/>
        </w:rPr>
        <w:t xml:space="preserve">Ths QTKD, Ths Luật kinh tế Hoàng Hải Anh    </w:t>
      </w:r>
    </w:p>
    <w:p w14:paraId="533399D0" w14:textId="6FD0FEB8" w:rsidR="00A81EEB" w:rsidRDefault="00A81EEB" w:rsidP="00265DAE">
      <w:pPr>
        <w:spacing w:after="120"/>
        <w:jc w:val="right"/>
        <w:rPr>
          <w:rFonts w:ascii="Times New Roman" w:hAnsi="Times New Roman" w:cs="Times New Roman"/>
          <w:b/>
          <w:bCs/>
          <w:sz w:val="26"/>
          <w:szCs w:val="26"/>
        </w:rPr>
      </w:pPr>
      <w:r>
        <w:rPr>
          <w:rFonts w:ascii="Times New Roman" w:hAnsi="Times New Roman" w:cs="Times New Roman"/>
          <w:b/>
          <w:bCs/>
          <w:sz w:val="26"/>
          <w:szCs w:val="26"/>
        </w:rPr>
        <w:t>Phó chủ tịch Hiệu hội kinh doanh chứng khoán</w:t>
      </w:r>
    </w:p>
    <w:p w14:paraId="3FC8DDEB" w14:textId="17F64AA1" w:rsidR="00A81EEB" w:rsidRDefault="00A81EEB" w:rsidP="00A81EEB">
      <w:pPr>
        <w:jc w:val="both"/>
        <w:rPr>
          <w:rFonts w:ascii="Times New Roman" w:hAnsi="Times New Roman" w:cs="Times New Roman"/>
          <w:sz w:val="26"/>
          <w:szCs w:val="26"/>
        </w:rPr>
      </w:pPr>
    </w:p>
    <w:p w14:paraId="5E99B630" w14:textId="1D223860" w:rsidR="00A81EEB" w:rsidRDefault="00A81EEB" w:rsidP="00A81EEB">
      <w:pPr>
        <w:ind w:firstLine="720"/>
        <w:jc w:val="both"/>
        <w:rPr>
          <w:rFonts w:ascii="Times New Roman" w:hAnsi="Times New Roman" w:cs="Times New Roman"/>
          <w:sz w:val="26"/>
          <w:szCs w:val="26"/>
        </w:rPr>
      </w:pPr>
      <w:r>
        <w:rPr>
          <w:rFonts w:ascii="Times New Roman" w:hAnsi="Times New Roman" w:cs="Times New Roman"/>
          <w:sz w:val="26"/>
          <w:szCs w:val="26"/>
        </w:rPr>
        <w:t>Kính thưa Đoàn chủ tọa</w:t>
      </w:r>
      <w:r w:rsidR="00265DAE">
        <w:rPr>
          <w:rFonts w:ascii="Times New Roman" w:hAnsi="Times New Roman" w:cs="Times New Roman"/>
          <w:sz w:val="26"/>
          <w:szCs w:val="26"/>
        </w:rPr>
        <w:t>,</w:t>
      </w:r>
    </w:p>
    <w:p w14:paraId="300AA421" w14:textId="70EEBC10" w:rsidR="00A81EEB" w:rsidRDefault="00A81EEB" w:rsidP="00A81EEB">
      <w:pPr>
        <w:ind w:firstLine="720"/>
        <w:jc w:val="both"/>
        <w:rPr>
          <w:rFonts w:ascii="Times New Roman" w:hAnsi="Times New Roman" w:cs="Times New Roman"/>
          <w:sz w:val="26"/>
          <w:szCs w:val="26"/>
        </w:rPr>
      </w:pPr>
      <w:r>
        <w:rPr>
          <w:rFonts w:ascii="Times New Roman" w:hAnsi="Times New Roman" w:cs="Times New Roman"/>
          <w:sz w:val="26"/>
          <w:szCs w:val="26"/>
        </w:rPr>
        <w:t>Kính</w:t>
      </w:r>
      <w:r w:rsidR="00265DAE">
        <w:rPr>
          <w:rFonts w:ascii="Times New Roman" w:hAnsi="Times New Roman" w:cs="Times New Roman"/>
          <w:sz w:val="26"/>
          <w:szCs w:val="26"/>
        </w:rPr>
        <w:t xml:space="preserve"> thưa toàn thể Hội nghị,</w:t>
      </w:r>
    </w:p>
    <w:p w14:paraId="14828654" w14:textId="77777777" w:rsidR="00265DAE" w:rsidRDefault="00265DAE" w:rsidP="00A81EEB">
      <w:pPr>
        <w:ind w:firstLine="720"/>
        <w:jc w:val="both"/>
        <w:rPr>
          <w:rFonts w:ascii="Times New Roman" w:hAnsi="Times New Roman" w:cs="Times New Roman"/>
          <w:sz w:val="26"/>
          <w:szCs w:val="26"/>
        </w:rPr>
      </w:pPr>
      <w:r>
        <w:rPr>
          <w:rFonts w:ascii="Times New Roman" w:hAnsi="Times New Roman" w:cs="Times New Roman"/>
          <w:sz w:val="26"/>
          <w:szCs w:val="26"/>
        </w:rPr>
        <w:t>Năm 2021 là một năm hết sức quan trọng đối với ngành Chứng khoán khi Luật Chứng khoán 2019 và các Nghị định, Thông tư quan trọng bắt đầu có hiệu lực. Có thể thấy, nỗ lực của ngành chứng khoán trong việc ban hành hệ thống hành lang pháp lý mới đã cơ bản thành công. Cụ thể:</w:t>
      </w:r>
    </w:p>
    <w:p w14:paraId="11B1B756" w14:textId="1DE72C13" w:rsidR="00265DAE" w:rsidRDefault="00265DAE"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Thứ nhất, Luật Chứng khoán 2019 </w:t>
      </w:r>
      <w:r w:rsidR="00E24E2E">
        <w:rPr>
          <w:rFonts w:ascii="Times New Roman" w:hAnsi="Times New Roman" w:cs="Times New Roman"/>
          <w:sz w:val="26"/>
          <w:szCs w:val="26"/>
        </w:rPr>
        <w:t>trong quá trình xây dựng</w:t>
      </w:r>
      <w:r>
        <w:rPr>
          <w:rFonts w:ascii="Times New Roman" w:hAnsi="Times New Roman" w:cs="Times New Roman"/>
          <w:sz w:val="26"/>
          <w:szCs w:val="26"/>
        </w:rPr>
        <w:t xml:space="preserve"> được đánh giá cao không chỉ bởi tính công phu và khoa học trong quá trình xây dựng, mà còn </w:t>
      </w:r>
      <w:r w:rsidR="00E24E2E">
        <w:rPr>
          <w:rFonts w:ascii="Times New Roman" w:hAnsi="Times New Roman" w:cs="Times New Roman"/>
          <w:sz w:val="26"/>
          <w:szCs w:val="26"/>
        </w:rPr>
        <w:t xml:space="preserve">bởi “tầm nhìn” khá sâu và rộng, mở ra rất nhiều sản phẩm mới trong tương lai cho thị trường chứng khoán. Hiếm có luật nào mà trong quy định lại có nhiều hướng mở cho tương lai </w:t>
      </w:r>
      <w:r w:rsidR="007E06C7">
        <w:rPr>
          <w:rFonts w:ascii="Times New Roman" w:hAnsi="Times New Roman" w:cs="Times New Roman"/>
          <w:sz w:val="26"/>
          <w:szCs w:val="26"/>
        </w:rPr>
        <w:t xml:space="preserve">và </w:t>
      </w:r>
      <w:r w:rsidR="00E24E2E">
        <w:rPr>
          <w:rFonts w:ascii="Times New Roman" w:hAnsi="Times New Roman" w:cs="Times New Roman"/>
          <w:sz w:val="26"/>
          <w:szCs w:val="26"/>
        </w:rPr>
        <w:t>tương đối hiện đại như Luật Chứng khoán 2019. Việc tổ chức lại các cơ quan quản lý thị trường với định hướng khá rõ ràng, sẵn sàng trong tương lai có thể xã hội hóa một phần. Các sản phẩm, dịch vụ mới, các sàn giao dịch mới hiện chưa có cũng được quy định sẵn nhằm tạo điều kiện cho Chính Phủ có thể chủ động phát triển, thể hiện rõ</w:t>
      </w:r>
      <w:r w:rsidR="007E06C7">
        <w:rPr>
          <w:rFonts w:ascii="Times New Roman" w:hAnsi="Times New Roman" w:cs="Times New Roman"/>
          <w:sz w:val="26"/>
          <w:szCs w:val="26"/>
        </w:rPr>
        <w:t xml:space="preserve"> quyết tâm phát triển thị trường cho giai đoạn tiếp theo. Với chất lượng như vậy, Luật Chứng khoán đã xóa bỏ được định kiến trong việc xây dựng luật trong dân chúng, đó là Luật ra đời chỉ sửa chữa được những quy định bất hợp lý với thực tế hiện tại mà không có tầm nhìn cho tương lai.</w:t>
      </w:r>
    </w:p>
    <w:p w14:paraId="48929065" w14:textId="3FED9C4C" w:rsidR="007E06C7" w:rsidRDefault="007E06C7" w:rsidP="00A81EEB">
      <w:pPr>
        <w:ind w:firstLine="720"/>
        <w:jc w:val="both"/>
        <w:rPr>
          <w:rFonts w:ascii="Times New Roman" w:hAnsi="Times New Roman" w:cs="Times New Roman"/>
          <w:sz w:val="26"/>
          <w:szCs w:val="26"/>
        </w:rPr>
      </w:pPr>
      <w:r>
        <w:rPr>
          <w:rFonts w:ascii="Times New Roman" w:hAnsi="Times New Roman" w:cs="Times New Roman"/>
          <w:sz w:val="26"/>
          <w:szCs w:val="26"/>
        </w:rPr>
        <w:t>Thứ hai, thực hiện chủ trương chung của Chính Phủ, ngay từ thời điểm có hiệu lực thì các Nghị định mới</w:t>
      </w:r>
      <w:r w:rsidR="00EF0E8D">
        <w:rPr>
          <w:rFonts w:ascii="Times New Roman" w:hAnsi="Times New Roman" w:cs="Times New Roman"/>
          <w:sz w:val="26"/>
          <w:szCs w:val="26"/>
        </w:rPr>
        <w:t xml:space="preserve"> </w:t>
      </w:r>
      <w:r w:rsidR="00EF0E8D">
        <w:rPr>
          <w:rFonts w:ascii="Times New Roman" w:hAnsi="Times New Roman" w:cs="Times New Roman"/>
          <w:sz w:val="26"/>
          <w:szCs w:val="26"/>
        </w:rPr>
        <w:t>(04 Nghị định)</w:t>
      </w:r>
      <w:r>
        <w:rPr>
          <w:rFonts w:ascii="Times New Roman" w:hAnsi="Times New Roman" w:cs="Times New Roman"/>
          <w:sz w:val="26"/>
          <w:szCs w:val="26"/>
        </w:rPr>
        <w:t xml:space="preserve"> cũng được ban hành và có hiệu lực</w:t>
      </w:r>
      <w:r w:rsidR="00EF0E8D">
        <w:rPr>
          <w:rFonts w:ascii="Times New Roman" w:hAnsi="Times New Roman" w:cs="Times New Roman"/>
          <w:sz w:val="26"/>
          <w:szCs w:val="26"/>
        </w:rPr>
        <w:t xml:space="preserve">, </w:t>
      </w:r>
      <w:r>
        <w:rPr>
          <w:rFonts w:ascii="Times New Roman" w:hAnsi="Times New Roman" w:cs="Times New Roman"/>
          <w:sz w:val="26"/>
          <w:szCs w:val="26"/>
        </w:rPr>
        <w:t xml:space="preserve">khắc phục tình trạng có Luật mà chưa thể áp dụng thực thế vì thiếu Nghị định. </w:t>
      </w:r>
      <w:r w:rsidR="00EF0E8D">
        <w:rPr>
          <w:rFonts w:ascii="Times New Roman" w:hAnsi="Times New Roman" w:cs="Times New Roman"/>
          <w:sz w:val="26"/>
          <w:szCs w:val="26"/>
        </w:rPr>
        <w:t>Không những vậy, các Thông tư hướng dẫn cũng được Bộ Tài chính ban hành đa số có hiệu lực cùng thời điểm với Luật và các Nghị định có hiệu lực (tổng số 6/</w:t>
      </w:r>
      <w:r w:rsidR="00BA0A47">
        <w:rPr>
          <w:rFonts w:ascii="Times New Roman" w:hAnsi="Times New Roman" w:cs="Times New Roman"/>
          <w:sz w:val="26"/>
          <w:szCs w:val="26"/>
        </w:rPr>
        <w:t>24</w:t>
      </w:r>
      <w:r w:rsidR="00EF0E8D">
        <w:rPr>
          <w:rFonts w:ascii="Times New Roman" w:hAnsi="Times New Roman" w:cs="Times New Roman"/>
          <w:sz w:val="26"/>
          <w:szCs w:val="26"/>
        </w:rPr>
        <w:t xml:space="preserve"> Thông tư đã được sửa đổi kịp thời có hiệu lực ngay khi Luật và Nghị định có hiệu lực, </w:t>
      </w:r>
      <w:r w:rsidR="00BA0A47">
        <w:rPr>
          <w:rFonts w:ascii="Times New Roman" w:hAnsi="Times New Roman" w:cs="Times New Roman"/>
          <w:sz w:val="26"/>
          <w:szCs w:val="26"/>
        </w:rPr>
        <w:t>11/24</w:t>
      </w:r>
      <w:r w:rsidR="00EF0E8D">
        <w:rPr>
          <w:rFonts w:ascii="Times New Roman" w:hAnsi="Times New Roman" w:cs="Times New Roman"/>
          <w:sz w:val="26"/>
          <w:szCs w:val="26"/>
        </w:rPr>
        <w:t xml:space="preserve"> </w:t>
      </w:r>
      <w:r w:rsidR="00BA0A47">
        <w:rPr>
          <w:rFonts w:ascii="Times New Roman" w:hAnsi="Times New Roman" w:cs="Times New Roman"/>
          <w:sz w:val="26"/>
          <w:szCs w:val="26"/>
        </w:rPr>
        <w:t>T</w:t>
      </w:r>
      <w:r w:rsidR="00EF0E8D">
        <w:rPr>
          <w:rFonts w:ascii="Times New Roman" w:hAnsi="Times New Roman" w:cs="Times New Roman"/>
          <w:sz w:val="26"/>
          <w:szCs w:val="26"/>
        </w:rPr>
        <w:t xml:space="preserve">hông tư còn lại cũng được ban hành trong tháng tiếp theo). </w:t>
      </w:r>
    </w:p>
    <w:p w14:paraId="00E271BA" w14:textId="64FC770C" w:rsidR="00EF0E8D" w:rsidRDefault="00EF0E8D"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Thứ ba, trong năm đầu tiên áp dụng vào thực tiễn, mặc dù toàn bộ hệ thống từ Luật, Nghị định, Thông tư được sửa đổi nhưng các đối tượng áp dụng đều thích nghi tốt và hoạt động của thị trường chứng khoán không bị trở ngại hay khó khăn đáng kể khi vận hành </w:t>
      </w:r>
      <w:r>
        <w:rPr>
          <w:rFonts w:ascii="Times New Roman" w:hAnsi="Times New Roman" w:cs="Times New Roman"/>
          <w:sz w:val="26"/>
          <w:szCs w:val="26"/>
        </w:rPr>
        <w:lastRenderedPageBreak/>
        <w:t xml:space="preserve">theo hệ thống hành lang pháp lý mới. </w:t>
      </w:r>
      <w:r w:rsidR="00F876B1">
        <w:rPr>
          <w:rFonts w:ascii="Times New Roman" w:hAnsi="Times New Roman" w:cs="Times New Roman"/>
          <w:sz w:val="26"/>
          <w:szCs w:val="26"/>
        </w:rPr>
        <w:t>Điều này có được là do c</w:t>
      </w:r>
      <w:r>
        <w:rPr>
          <w:rFonts w:ascii="Times New Roman" w:hAnsi="Times New Roman" w:cs="Times New Roman"/>
          <w:sz w:val="26"/>
          <w:szCs w:val="26"/>
        </w:rPr>
        <w:t xml:space="preserve">ác đối tượng của Luật Chứng khoán không những đã được phổ biến, tập huấn tốt mà đã được tham gia đóng góp, xây dựng hệ thống này khá sát sao </w:t>
      </w:r>
      <w:r w:rsidR="00F876B1">
        <w:rPr>
          <w:rFonts w:ascii="Times New Roman" w:hAnsi="Times New Roman" w:cs="Times New Roman"/>
          <w:sz w:val="26"/>
          <w:szCs w:val="26"/>
        </w:rPr>
        <w:t>ngay trong quá trình xây dựng luật.</w:t>
      </w:r>
    </w:p>
    <w:p w14:paraId="446FF9A0" w14:textId="2ACEE714" w:rsidR="00F876B1" w:rsidRDefault="00F876B1" w:rsidP="00A81EEB">
      <w:pPr>
        <w:ind w:firstLine="720"/>
        <w:jc w:val="both"/>
        <w:rPr>
          <w:rFonts w:ascii="Times New Roman" w:hAnsi="Times New Roman" w:cs="Times New Roman"/>
          <w:sz w:val="26"/>
          <w:szCs w:val="26"/>
        </w:rPr>
      </w:pPr>
      <w:r>
        <w:rPr>
          <w:rFonts w:ascii="Times New Roman" w:hAnsi="Times New Roman" w:cs="Times New Roman"/>
          <w:sz w:val="26"/>
          <w:szCs w:val="26"/>
        </w:rPr>
        <w:t>Với ba đặc điểm như trên, qua năm đầu tiên áp dụng, có thể thấy việc áp dụng hệ thống hành lang pháp lý mới trong lĩnh vực Chứng khoán đã đạt được những thành công nhất định. Không những không tạo ra rào cản, khó khăn trong quá trình áp dụng cho đối tượng áp dụng mà còn tạo động lực, định hướng cho thị trường phát triển.</w:t>
      </w:r>
    </w:p>
    <w:p w14:paraId="5E83C1B5" w14:textId="1D447806" w:rsidR="00F876B1" w:rsidRDefault="00F876B1"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Trong lĩnh vực chứng khoán và thị trường chứng khoán, hiện nay có 4 Nghị định và 8 Thông tư hướng dẫn. Nhìn chung, các Thông tư </w:t>
      </w:r>
      <w:r w:rsidR="00E6363B">
        <w:rPr>
          <w:rFonts w:ascii="Times New Roman" w:hAnsi="Times New Roman" w:cs="Times New Roman"/>
          <w:sz w:val="26"/>
          <w:szCs w:val="26"/>
        </w:rPr>
        <w:t>hướng dẫn mới được ban hành trong ngành chứng khoán đã đạt được các tiêu chí:</w:t>
      </w:r>
    </w:p>
    <w:p w14:paraId="66BD5039" w14:textId="1E9C4418" w:rsidR="00E6363B" w:rsidRDefault="00E6363B" w:rsidP="00A81EEB">
      <w:pPr>
        <w:ind w:firstLine="720"/>
        <w:jc w:val="both"/>
        <w:rPr>
          <w:rFonts w:ascii="Times New Roman" w:hAnsi="Times New Roman" w:cs="Times New Roman"/>
          <w:sz w:val="26"/>
          <w:szCs w:val="26"/>
        </w:rPr>
      </w:pPr>
      <w:r>
        <w:rPr>
          <w:rFonts w:ascii="Times New Roman" w:hAnsi="Times New Roman" w:cs="Times New Roman"/>
          <w:sz w:val="26"/>
          <w:szCs w:val="26"/>
        </w:rPr>
        <w:t>Thứ nhất, các quy định về điều kiện con đã được xóa bỏ toàn bộ, Thông tư chỉ mang tính hướng dẫn cụ thể nghiệp vụ.</w:t>
      </w:r>
    </w:p>
    <w:p w14:paraId="6BED0B48" w14:textId="0E0B35B6" w:rsidR="00E6363B" w:rsidRDefault="00E6363B"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Thứ hai, nội dung hướng dẫn trong các Thông tư đã khá rõ ràng, </w:t>
      </w:r>
      <w:r w:rsidR="003C1E60">
        <w:rPr>
          <w:rFonts w:ascii="Times New Roman" w:hAnsi="Times New Roman" w:cs="Times New Roman"/>
          <w:sz w:val="26"/>
          <w:szCs w:val="26"/>
        </w:rPr>
        <w:t xml:space="preserve">dễ hiêu, </w:t>
      </w:r>
      <w:r>
        <w:rPr>
          <w:rFonts w:ascii="Times New Roman" w:hAnsi="Times New Roman" w:cs="Times New Roman"/>
          <w:sz w:val="26"/>
          <w:szCs w:val="26"/>
        </w:rPr>
        <w:t>bao trùm các đối tượng liên quan. Vì vậy, sau năm đầu tiên áp dụng, Bộ Tài chính chưa phải ban hành thêm các Công văn hướng dẫn bổ sung đối tượng chưa được hư</w:t>
      </w:r>
      <w:r w:rsidR="003C1E60">
        <w:rPr>
          <w:rFonts w:ascii="Times New Roman" w:hAnsi="Times New Roman" w:cs="Times New Roman"/>
          <w:sz w:val="26"/>
          <w:szCs w:val="26"/>
        </w:rPr>
        <w:t>ớ</w:t>
      </w:r>
      <w:r>
        <w:rPr>
          <w:rFonts w:ascii="Times New Roman" w:hAnsi="Times New Roman" w:cs="Times New Roman"/>
          <w:sz w:val="26"/>
          <w:szCs w:val="26"/>
        </w:rPr>
        <w:t>ng dẫn trong Thông tư.</w:t>
      </w:r>
      <w:r w:rsidR="003C1E60">
        <w:rPr>
          <w:rFonts w:ascii="Times New Roman" w:hAnsi="Times New Roman" w:cs="Times New Roman"/>
          <w:sz w:val="26"/>
          <w:szCs w:val="26"/>
        </w:rPr>
        <w:t xml:space="preserve"> </w:t>
      </w:r>
    </w:p>
    <w:p w14:paraId="6D8F6A2C" w14:textId="75111417" w:rsidR="003C1E60" w:rsidRDefault="003C1E60" w:rsidP="00A81EEB">
      <w:pPr>
        <w:ind w:firstLine="720"/>
        <w:jc w:val="both"/>
        <w:rPr>
          <w:rFonts w:ascii="Times New Roman" w:hAnsi="Times New Roman" w:cs="Times New Roman"/>
          <w:sz w:val="26"/>
          <w:szCs w:val="26"/>
        </w:rPr>
      </w:pPr>
      <w:r>
        <w:rPr>
          <w:rFonts w:ascii="Times New Roman" w:hAnsi="Times New Roman" w:cs="Times New Roman"/>
          <w:sz w:val="26"/>
          <w:szCs w:val="26"/>
        </w:rPr>
        <w:t>Thứ ba, UBCKNN, cơ quan tham mưu cho Bộ Tài chính cũng thường kỳ tổ chức các buổi trao đổi, tập huấn, các buổi đối thoại với các thành viên Hiệp hội để các thành viên thị trường dễ dàng hơn trong việc phối hợp áp dụng nghiệp vụ.</w:t>
      </w:r>
    </w:p>
    <w:p w14:paraId="0B1C98CF" w14:textId="62405E0F" w:rsidR="00B16697" w:rsidRDefault="003C1E60"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Có thể thấy, các Thông tư hướng dẫn trong ngành chứng khoán, do mới được nghiên cứu ban hành nên đã đáp ứng khá sát các điều kiện yêu cầu và thực tế áp dụng. VASB khảo sát nhanh các công ty chứng khoán và thấy rằng hầu hết các công ty chứng khoán đều cho rằng </w:t>
      </w:r>
      <w:r w:rsidR="00467F41">
        <w:rPr>
          <w:rFonts w:ascii="Times New Roman" w:hAnsi="Times New Roman" w:cs="Times New Roman"/>
          <w:sz w:val="26"/>
          <w:szCs w:val="26"/>
        </w:rPr>
        <w:t>không gặp khó khăn gì đáng kể khi tri</w:t>
      </w:r>
      <w:r w:rsidR="0052783B">
        <w:rPr>
          <w:rFonts w:ascii="Times New Roman" w:hAnsi="Times New Roman" w:cs="Times New Roman"/>
          <w:sz w:val="26"/>
          <w:szCs w:val="26"/>
        </w:rPr>
        <w:t>ển</w:t>
      </w:r>
      <w:r w:rsidR="00467F41">
        <w:rPr>
          <w:rFonts w:ascii="Times New Roman" w:hAnsi="Times New Roman" w:cs="Times New Roman"/>
          <w:sz w:val="26"/>
          <w:szCs w:val="26"/>
        </w:rPr>
        <w:t xml:space="preserve"> khai nghiệp vụ theo hướng dẫn của </w:t>
      </w:r>
      <w:r>
        <w:rPr>
          <w:rFonts w:ascii="Times New Roman" w:hAnsi="Times New Roman" w:cs="Times New Roman"/>
          <w:sz w:val="26"/>
          <w:szCs w:val="26"/>
        </w:rPr>
        <w:t>hệ thống Thông tư mới</w:t>
      </w:r>
      <w:r w:rsidR="00467F41">
        <w:rPr>
          <w:rFonts w:ascii="Times New Roman" w:hAnsi="Times New Roman" w:cs="Times New Roman"/>
          <w:sz w:val="26"/>
          <w:szCs w:val="26"/>
        </w:rPr>
        <w:t xml:space="preserve">. </w:t>
      </w:r>
      <w:r w:rsidR="007F6FEB">
        <w:rPr>
          <w:rFonts w:ascii="Times New Roman" w:hAnsi="Times New Roman" w:cs="Times New Roman"/>
          <w:sz w:val="26"/>
          <w:szCs w:val="26"/>
        </w:rPr>
        <w:t xml:space="preserve">Tuy nhiên, </w:t>
      </w:r>
      <w:r w:rsidR="00B16697">
        <w:rPr>
          <w:rFonts w:ascii="Times New Roman" w:hAnsi="Times New Roman" w:cs="Times New Roman"/>
          <w:sz w:val="26"/>
          <w:szCs w:val="26"/>
        </w:rPr>
        <w:t>do Luật mới mở ra các sản phẩm mới và một số quy định  mới trong tổ chức và quản lý thị trường, nên UBCKNN- Bộ Tài chính cũng các thành viên thị trường vẫn tiếp tục trao đổi, thảo luận về các vấn đề phát sinh. Cụ thể:</w:t>
      </w:r>
    </w:p>
    <w:p w14:paraId="2B3CA450" w14:textId="57665353" w:rsidR="003C1E60" w:rsidRDefault="00B16697"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 Các </w:t>
      </w:r>
      <w:r w:rsidR="007F6FEB">
        <w:rPr>
          <w:rFonts w:ascii="Times New Roman" w:hAnsi="Times New Roman" w:cs="Times New Roman"/>
          <w:sz w:val="26"/>
          <w:szCs w:val="26"/>
        </w:rPr>
        <w:t xml:space="preserve">sản phẩm dịch vụ mới như Chứng chỉ lưu ký không có quyền biểu quyết NVDR,  do chưa có nhiều trải nghiệm trên thị trường nên hiện nay vẫn còn một số vấn đề </w:t>
      </w:r>
      <w:r>
        <w:rPr>
          <w:rFonts w:ascii="Times New Roman" w:hAnsi="Times New Roman" w:cs="Times New Roman"/>
          <w:sz w:val="26"/>
          <w:szCs w:val="26"/>
        </w:rPr>
        <w:t>cần được làm rõ để phù hợp hơn với thực tế áp dụng tại Việt nam và đáp ứng nhu cầu của các nahf đầu tư nước ngoài.</w:t>
      </w:r>
    </w:p>
    <w:p w14:paraId="6B186A99" w14:textId="55D688F5" w:rsidR="007F6FEB" w:rsidRDefault="00B16697"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 Các quy định mới như quy định về </w:t>
      </w:r>
      <w:r>
        <w:rPr>
          <w:rFonts w:ascii="Times New Roman" w:hAnsi="Times New Roman" w:cs="Times New Roman"/>
          <w:sz w:val="26"/>
          <w:szCs w:val="26"/>
        </w:rPr>
        <w:t xml:space="preserve">Tỷ lệ sở hữu của Nhà đầu tư nước ngoài liên quan đến ngành nghề tiếp cận thị trường có điều kiện, </w:t>
      </w:r>
      <w:r>
        <w:rPr>
          <w:rFonts w:ascii="Times New Roman" w:hAnsi="Times New Roman" w:cs="Times New Roman"/>
          <w:sz w:val="26"/>
          <w:szCs w:val="26"/>
        </w:rPr>
        <w:t>Xếp hạng tín nhiệm đối với Tổ chức phát hành trái phiếu, Xác định tư cách Nhà đầu tư chứng khoán chuyên nghiệp</w:t>
      </w:r>
      <w:r w:rsidR="0065207D">
        <w:rPr>
          <w:rFonts w:ascii="Times New Roman" w:hAnsi="Times New Roman" w:cs="Times New Roman"/>
          <w:sz w:val="26"/>
          <w:szCs w:val="26"/>
        </w:rPr>
        <w:t>… vẫn cần có hướng dẫn cụ thể hơn để đạt được mục tiêu khi ban hành quy định nhưng không gây khó khăn cho đối tượng áp dụng.</w:t>
      </w:r>
    </w:p>
    <w:p w14:paraId="22510462" w14:textId="72727270" w:rsidR="0065207D" w:rsidRDefault="0065207D" w:rsidP="00A81EEB">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Ngoài ra, các vấn đề mới theo xu hướng tất yếu của thị trường cũng cần được xem xét nghiên cứu kỹ lưỡng tránh sự tụt hậu và mất kiểm soát khi các sản phẩm theo nhu cầu thị trường vẫn diễn ra. Cụ thể như: Việc áp dụng AI trong tư vấn và đầu tư chứng khoán; Hợp đồng giao dịch điện tử, chữ ký số áp dụng trong lĩnh vực chứng khoán; Giải quyết tranh chấp online trong lĩnh vực chứng khoán…</w:t>
      </w:r>
    </w:p>
    <w:p w14:paraId="13F0F19B" w14:textId="6A25C3CC" w:rsidR="0052783B" w:rsidRDefault="0065207D" w:rsidP="00A81EEB">
      <w:pPr>
        <w:ind w:firstLine="720"/>
        <w:jc w:val="both"/>
        <w:rPr>
          <w:rFonts w:ascii="Times New Roman" w:hAnsi="Times New Roman" w:cs="Times New Roman"/>
          <w:sz w:val="26"/>
          <w:szCs w:val="26"/>
        </w:rPr>
      </w:pPr>
      <w:r>
        <w:rPr>
          <w:rFonts w:ascii="Times New Roman" w:hAnsi="Times New Roman" w:cs="Times New Roman"/>
          <w:sz w:val="26"/>
          <w:szCs w:val="26"/>
        </w:rPr>
        <w:t xml:space="preserve">Trên đây là một số cái nhìn chung về việc áp dụng và thực thi Luật chứng khoán 2019 cùng các Nghị định, Thông tư mới ban hành. Trong khuôn khổ Hội thảo ngày hôm nay, VASB không có điều kiện đưa ra các vấn đề chi tiết. </w:t>
      </w:r>
      <w:r w:rsidR="00BA0A47">
        <w:rPr>
          <w:rFonts w:ascii="Times New Roman" w:hAnsi="Times New Roman" w:cs="Times New Roman"/>
          <w:sz w:val="26"/>
          <w:szCs w:val="26"/>
        </w:rPr>
        <w:t>VASB kỳ vọng đã đưa đến cho Hội nghị cái nhìn tổng thể về pháp luật trong lĩnh vực chứng khoán và thị trường chứng khoán năm 2021.</w:t>
      </w:r>
    </w:p>
    <w:p w14:paraId="45D54785" w14:textId="5DF2FF98" w:rsidR="00BA0A47" w:rsidRDefault="00BA0A47" w:rsidP="00A81EEB">
      <w:pPr>
        <w:ind w:firstLine="720"/>
        <w:jc w:val="both"/>
        <w:rPr>
          <w:rFonts w:ascii="Times New Roman" w:hAnsi="Times New Roman" w:cs="Times New Roman"/>
          <w:sz w:val="26"/>
          <w:szCs w:val="26"/>
        </w:rPr>
      </w:pPr>
      <w:r>
        <w:rPr>
          <w:rFonts w:ascii="Times New Roman" w:hAnsi="Times New Roman" w:cs="Times New Roman"/>
          <w:sz w:val="26"/>
          <w:szCs w:val="26"/>
        </w:rPr>
        <w:t>Kính chúc các quý vị sức khỏe. Chúc Hội nghị thành công tốt đẹp!</w:t>
      </w:r>
    </w:p>
    <w:p w14:paraId="4E446254" w14:textId="519CABE1" w:rsidR="00BA0A47" w:rsidRDefault="00BA0A47" w:rsidP="00A81EEB">
      <w:pPr>
        <w:ind w:firstLine="720"/>
        <w:jc w:val="both"/>
        <w:rPr>
          <w:rFonts w:ascii="Times New Roman" w:hAnsi="Times New Roman" w:cs="Times New Roman"/>
          <w:sz w:val="26"/>
          <w:szCs w:val="26"/>
        </w:rPr>
      </w:pPr>
      <w:r>
        <w:rPr>
          <w:rFonts w:ascii="Times New Roman" w:hAnsi="Times New Roman" w:cs="Times New Roman"/>
          <w:sz w:val="26"/>
          <w:szCs w:val="26"/>
        </w:rPr>
        <w:t>Trân trọng!</w:t>
      </w:r>
    </w:p>
    <w:p w14:paraId="654F63FE" w14:textId="77777777" w:rsidR="00265DAE" w:rsidRPr="00A81EEB" w:rsidRDefault="00265DAE" w:rsidP="00265DAE">
      <w:pPr>
        <w:tabs>
          <w:tab w:val="left" w:pos="4230"/>
        </w:tabs>
        <w:ind w:firstLine="720"/>
        <w:jc w:val="both"/>
        <w:rPr>
          <w:rFonts w:ascii="Times New Roman" w:hAnsi="Times New Roman" w:cs="Times New Roman"/>
          <w:sz w:val="26"/>
          <w:szCs w:val="26"/>
        </w:rPr>
      </w:pPr>
    </w:p>
    <w:p w14:paraId="188DF1C7" w14:textId="77777777" w:rsidR="00A81EEB" w:rsidRPr="00A81EEB" w:rsidRDefault="00A81EEB" w:rsidP="00A81EEB">
      <w:pPr>
        <w:jc w:val="center"/>
        <w:rPr>
          <w:rFonts w:ascii="Times New Roman" w:hAnsi="Times New Roman" w:cs="Times New Roman"/>
          <w:b/>
          <w:bCs/>
          <w:sz w:val="26"/>
          <w:szCs w:val="26"/>
        </w:rPr>
      </w:pPr>
    </w:p>
    <w:sectPr w:rsidR="00A81EEB" w:rsidRPr="00A81E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E44E" w14:textId="77777777" w:rsidR="00692337" w:rsidRDefault="00692337" w:rsidP="003C1E60">
      <w:pPr>
        <w:spacing w:after="0" w:line="240" w:lineRule="auto"/>
      </w:pPr>
      <w:r>
        <w:separator/>
      </w:r>
    </w:p>
  </w:endnote>
  <w:endnote w:type="continuationSeparator" w:id="0">
    <w:p w14:paraId="4A6C7174" w14:textId="77777777" w:rsidR="00692337" w:rsidRDefault="00692337" w:rsidP="003C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443456"/>
      <w:docPartObj>
        <w:docPartGallery w:val="Page Numbers (Bottom of Page)"/>
        <w:docPartUnique/>
      </w:docPartObj>
    </w:sdtPr>
    <w:sdtEndPr>
      <w:rPr>
        <w:noProof/>
      </w:rPr>
    </w:sdtEndPr>
    <w:sdtContent>
      <w:p w14:paraId="27261A8B" w14:textId="370A7A29" w:rsidR="003C1E60" w:rsidRDefault="003C1E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A28C7" w14:textId="77777777" w:rsidR="003C1E60" w:rsidRDefault="003C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4BE4" w14:textId="77777777" w:rsidR="00692337" w:rsidRDefault="00692337" w:rsidP="003C1E60">
      <w:pPr>
        <w:spacing w:after="0" w:line="240" w:lineRule="auto"/>
      </w:pPr>
      <w:r>
        <w:separator/>
      </w:r>
    </w:p>
  </w:footnote>
  <w:footnote w:type="continuationSeparator" w:id="0">
    <w:p w14:paraId="472DB40B" w14:textId="77777777" w:rsidR="00692337" w:rsidRDefault="00692337" w:rsidP="003C1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EB"/>
    <w:rsid w:val="00265DAE"/>
    <w:rsid w:val="003C1E60"/>
    <w:rsid w:val="00467F41"/>
    <w:rsid w:val="004F0C6E"/>
    <w:rsid w:val="0052783B"/>
    <w:rsid w:val="0065207D"/>
    <w:rsid w:val="00692337"/>
    <w:rsid w:val="007E06C7"/>
    <w:rsid w:val="007F6FEB"/>
    <w:rsid w:val="00A81EEB"/>
    <w:rsid w:val="00B16697"/>
    <w:rsid w:val="00BA0A47"/>
    <w:rsid w:val="00E24E2E"/>
    <w:rsid w:val="00E6363B"/>
    <w:rsid w:val="00EF0E8D"/>
    <w:rsid w:val="00F8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45C1"/>
  <w15:chartTrackingRefBased/>
  <w15:docId w15:val="{6FFA86B9-7031-4F27-B45C-F39BB95B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60"/>
  </w:style>
  <w:style w:type="paragraph" w:styleId="Footer">
    <w:name w:val="footer"/>
    <w:basedOn w:val="Normal"/>
    <w:link w:val="FooterChar"/>
    <w:uiPriority w:val="99"/>
    <w:unhideWhenUsed/>
    <w:rsid w:val="003C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Hai Anh</dc:creator>
  <cp:keywords/>
  <dc:description/>
  <cp:lastModifiedBy>Hoang Hai Anh</cp:lastModifiedBy>
  <cp:revision>2</cp:revision>
  <dcterms:created xsi:type="dcterms:W3CDTF">2022-03-28T02:31:00Z</dcterms:created>
  <dcterms:modified xsi:type="dcterms:W3CDTF">2022-03-28T04:09:00Z</dcterms:modified>
</cp:coreProperties>
</file>