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03" w:rsidRPr="0024623E" w:rsidRDefault="00071A03" w:rsidP="0021545C">
      <w:pPr>
        <w:pStyle w:val="ThngthngWeb"/>
        <w:spacing w:beforeAutospacing="0" w:afterAutospacing="0"/>
        <w:jc w:val="center"/>
        <w:rPr>
          <w:rStyle w:val="Nhnmanh"/>
          <w:b/>
          <w:i w:val="0"/>
          <w:iCs w:val="0"/>
          <w:color w:val="000000"/>
          <w:sz w:val="28"/>
          <w:szCs w:val="28"/>
        </w:rPr>
      </w:pPr>
      <w:bookmarkStart w:id="0" w:name="_GoBack"/>
      <w:bookmarkEnd w:id="0"/>
      <w:r w:rsidRPr="0024623E">
        <w:rPr>
          <w:rStyle w:val="Nhnmanh"/>
          <w:b/>
          <w:i w:val="0"/>
          <w:color w:val="000000"/>
          <w:sz w:val="28"/>
          <w:szCs w:val="28"/>
        </w:rPr>
        <w:t>Phụ lục I</w:t>
      </w:r>
    </w:p>
    <w:p w:rsidR="00071A03" w:rsidRPr="0024623E" w:rsidRDefault="00071A03" w:rsidP="00071A03">
      <w:pPr>
        <w:pStyle w:val="ThngthngWeb"/>
        <w:spacing w:beforeAutospacing="0" w:afterAutospacing="0"/>
        <w:jc w:val="center"/>
        <w:rPr>
          <w:rStyle w:val="Nhnmanh"/>
          <w:b/>
          <w:i w:val="0"/>
          <w:iCs w:val="0"/>
          <w:color w:val="000000"/>
          <w:sz w:val="26"/>
          <w:szCs w:val="28"/>
        </w:rPr>
      </w:pPr>
      <w:r w:rsidRPr="0024623E">
        <w:rPr>
          <w:rStyle w:val="Nhnmanh"/>
          <w:b/>
          <w:i w:val="0"/>
          <w:color w:val="000000"/>
          <w:sz w:val="26"/>
          <w:szCs w:val="28"/>
        </w:rPr>
        <w:t>TỔNG HỢP PHƯƠNG ÁN PHÂN CẤP TRONG GIẢI QUYẾT TTHC</w:t>
      </w:r>
    </w:p>
    <w:p w:rsidR="00071A03" w:rsidRPr="0024623E" w:rsidRDefault="003267A3" w:rsidP="00071A03">
      <w:pPr>
        <w:pStyle w:val="ThngthngWeb"/>
        <w:spacing w:beforeAutospacing="0" w:afterAutospacing="0"/>
        <w:jc w:val="center"/>
        <w:rPr>
          <w:rStyle w:val="Nhnmanh"/>
          <w:i w:val="0"/>
          <w:color w:val="000000"/>
          <w:sz w:val="28"/>
          <w:szCs w:val="28"/>
          <w:lang w:val="vi-VN"/>
        </w:rPr>
      </w:pPr>
      <w:r>
        <w:rPr>
          <w:iCs/>
          <w:noProof/>
          <w:color w:val="000000"/>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4045585</wp:posOffset>
                </wp:positionH>
                <wp:positionV relativeFrom="paragraph">
                  <wp:posOffset>136525</wp:posOffset>
                </wp:positionV>
                <wp:extent cx="762000" cy="0"/>
                <wp:effectExtent l="6985" t="6985" r="1206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2CBB3" id="_x0000_t32" coordsize="21600,21600" o:spt="32" o:oned="t" path="m,l21600,21600e" filled="f">
                <v:path arrowok="t" fillok="f" o:connecttype="none"/>
                <o:lock v:ext="edit" shapetype="t"/>
              </v:shapetype>
              <v:shape id="AutoShape 2" o:spid="_x0000_s1026" type="#_x0000_t32" style="position:absolute;margin-left:318.55pt;margin-top:10.75pt;width: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t2HA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"/>
            </w:pict>
          </mc:Fallback>
        </mc:AlternateContent>
      </w:r>
    </w:p>
    <w:p w:rsidR="00071A03" w:rsidRPr="0024623E" w:rsidRDefault="00071A03" w:rsidP="00071A03">
      <w:pPr>
        <w:pStyle w:val="ThngthngWeb"/>
        <w:spacing w:beforeAutospacing="0" w:afterAutospacing="0"/>
        <w:jc w:val="center"/>
        <w:rPr>
          <w:rStyle w:val="Nhnmanh"/>
          <w:i w:val="0"/>
          <w:color w:val="000000"/>
          <w:sz w:val="28"/>
          <w:szCs w:val="28"/>
          <w:lang w:val="vi-VN"/>
        </w:rPr>
      </w:pPr>
    </w:p>
    <w:tbl>
      <w:tblPr>
        <w:tblStyle w:val="LiBang"/>
        <w:tblW w:w="14567" w:type="dxa"/>
        <w:tblLayout w:type="fixed"/>
        <w:tblLook w:val="04A0" w:firstRow="1" w:lastRow="0" w:firstColumn="1" w:lastColumn="0" w:noHBand="0" w:noVBand="1"/>
      </w:tblPr>
      <w:tblGrid>
        <w:gridCol w:w="671"/>
        <w:gridCol w:w="1705"/>
        <w:gridCol w:w="1276"/>
        <w:gridCol w:w="992"/>
        <w:gridCol w:w="1276"/>
        <w:gridCol w:w="1134"/>
        <w:gridCol w:w="992"/>
        <w:gridCol w:w="993"/>
        <w:gridCol w:w="1134"/>
        <w:gridCol w:w="4394"/>
      </w:tblGrid>
      <w:tr w:rsidR="00071A03" w:rsidRPr="0024623E" w:rsidTr="00F37E70">
        <w:trPr>
          <w:trHeight w:val="469"/>
        </w:trPr>
        <w:tc>
          <w:tcPr>
            <w:tcW w:w="671" w:type="dxa"/>
            <w:vMerge w:val="restart"/>
            <w:tcBorders>
              <w:top w:val="single" w:sz="4" w:space="0" w:color="auto"/>
              <w:left w:val="single" w:sz="4" w:space="0" w:color="auto"/>
              <w:right w:val="single" w:sz="4" w:space="0" w:color="auto"/>
            </w:tcBorders>
            <w:vAlign w:val="center"/>
            <w:hideMark/>
          </w:tcPr>
          <w:p w:rsidR="00071A03" w:rsidRPr="00EC6D02" w:rsidRDefault="00071A03" w:rsidP="005751EE">
            <w:pPr>
              <w:pStyle w:val="ThngthngWeb"/>
              <w:spacing w:before="120" w:beforeAutospacing="0" w:after="120" w:afterAutospacing="0"/>
              <w:jc w:val="center"/>
              <w:rPr>
                <w:rStyle w:val="Nhnmanh"/>
                <w:b/>
                <w:i w:val="0"/>
                <w:color w:val="000000"/>
              </w:rPr>
            </w:pPr>
            <w:r w:rsidRPr="00EC6D02">
              <w:rPr>
                <w:rStyle w:val="Nhnmanh"/>
                <w:b/>
                <w:i w:val="0"/>
                <w:color w:val="000000"/>
              </w:rPr>
              <w:t>STT</w:t>
            </w:r>
          </w:p>
          <w:p w:rsidR="00071A03" w:rsidRPr="00EC6D02" w:rsidRDefault="00071A03" w:rsidP="005751EE">
            <w:pPr>
              <w:pStyle w:val="ThngthngWeb"/>
              <w:spacing w:before="60" w:after="60"/>
              <w:jc w:val="center"/>
              <w:rPr>
                <w:rStyle w:val="Nhnmanh"/>
                <w:b/>
                <w:i w:val="0"/>
                <w:color w:val="000000"/>
                <w:lang w:val="vi-VN"/>
              </w:rPr>
            </w:pPr>
          </w:p>
        </w:tc>
        <w:tc>
          <w:tcPr>
            <w:tcW w:w="1705" w:type="dxa"/>
            <w:vMerge w:val="restart"/>
            <w:tcBorders>
              <w:top w:val="single" w:sz="4" w:space="0" w:color="auto"/>
              <w:left w:val="single" w:sz="4" w:space="0" w:color="auto"/>
              <w:right w:val="single" w:sz="4" w:space="0" w:color="auto"/>
            </w:tcBorders>
            <w:vAlign w:val="center"/>
            <w:hideMark/>
          </w:tcPr>
          <w:p w:rsidR="00071A03" w:rsidRPr="00EC6D02" w:rsidRDefault="00071A03" w:rsidP="005751EE">
            <w:pPr>
              <w:pStyle w:val="ThngthngWeb"/>
              <w:spacing w:before="120" w:beforeAutospacing="0" w:after="120" w:afterAutospacing="0"/>
              <w:jc w:val="center"/>
              <w:rPr>
                <w:rStyle w:val="Nhnmanh"/>
                <w:b/>
                <w:i w:val="0"/>
                <w:color w:val="000000"/>
              </w:rPr>
            </w:pPr>
            <w:r w:rsidRPr="00EC6D02">
              <w:rPr>
                <w:rStyle w:val="Nhnmanh"/>
                <w:b/>
                <w:i w:val="0"/>
                <w:color w:val="000000"/>
              </w:rPr>
              <w:t>Tên TTHC</w:t>
            </w:r>
          </w:p>
        </w:tc>
        <w:tc>
          <w:tcPr>
            <w:tcW w:w="1276" w:type="dxa"/>
            <w:vMerge w:val="restart"/>
            <w:tcBorders>
              <w:top w:val="single" w:sz="4" w:space="0" w:color="auto"/>
              <w:left w:val="single" w:sz="4" w:space="0" w:color="auto"/>
              <w:right w:val="single" w:sz="4" w:space="0" w:color="auto"/>
            </w:tcBorders>
            <w:vAlign w:val="center"/>
            <w:hideMark/>
          </w:tcPr>
          <w:p w:rsidR="00071A03" w:rsidRPr="00EC6D02" w:rsidRDefault="00071A03" w:rsidP="005751EE">
            <w:pPr>
              <w:pStyle w:val="ThngthngWeb"/>
              <w:spacing w:before="120" w:beforeAutospacing="0" w:after="120" w:afterAutospacing="0"/>
              <w:jc w:val="center"/>
              <w:rPr>
                <w:rStyle w:val="Nhnmanh"/>
                <w:b/>
                <w:i w:val="0"/>
                <w:color w:val="000000"/>
              </w:rPr>
            </w:pPr>
            <w:r w:rsidRPr="00EC6D02">
              <w:rPr>
                <w:rStyle w:val="Nhnmanh"/>
                <w:b/>
                <w:i w:val="0"/>
                <w:color w:val="000000"/>
              </w:rPr>
              <w:t xml:space="preserve">Mã số </w:t>
            </w:r>
            <w:r w:rsidRPr="00EC6D02">
              <w:rPr>
                <w:rStyle w:val="Nhnmanh"/>
                <w:b/>
                <w:i w:val="0"/>
                <w:color w:val="000000"/>
                <w:lang w:val="vi-VN"/>
              </w:rPr>
              <w:t xml:space="preserve">TTHC </w:t>
            </w:r>
            <w:r w:rsidRPr="00EC6D02">
              <w:rPr>
                <w:rStyle w:val="Nhnmanh"/>
                <w:b/>
                <w:i w:val="0"/>
                <w:color w:val="000000"/>
              </w:rPr>
              <w:t>trên CSDLQG</w:t>
            </w:r>
          </w:p>
        </w:tc>
        <w:tc>
          <w:tcPr>
            <w:tcW w:w="992" w:type="dxa"/>
            <w:vMerge w:val="restart"/>
            <w:tcBorders>
              <w:top w:val="single" w:sz="4" w:space="0" w:color="auto"/>
              <w:left w:val="single" w:sz="4" w:space="0" w:color="auto"/>
              <w:right w:val="single" w:sz="4" w:space="0" w:color="auto"/>
            </w:tcBorders>
            <w:vAlign w:val="center"/>
            <w:hideMark/>
          </w:tcPr>
          <w:p w:rsidR="00071A03" w:rsidRPr="00EC6D02" w:rsidRDefault="00071A03" w:rsidP="005751EE">
            <w:pPr>
              <w:pStyle w:val="ThngthngWeb"/>
              <w:spacing w:before="120" w:beforeAutospacing="0" w:after="120" w:afterAutospacing="0"/>
              <w:jc w:val="center"/>
              <w:rPr>
                <w:rStyle w:val="Nhnmanh"/>
                <w:b/>
                <w:i w:val="0"/>
                <w:color w:val="000000"/>
                <w:lang w:val="vi-VN"/>
              </w:rPr>
            </w:pPr>
            <w:r w:rsidRPr="00EC6D02">
              <w:rPr>
                <w:rStyle w:val="Nhnmanh"/>
                <w:b/>
                <w:i w:val="0"/>
                <w:color w:val="000000"/>
                <w:lang w:val="vi-VN"/>
              </w:rPr>
              <w:t>Cơ quan có thẩm quyền quyết định</w:t>
            </w:r>
            <w:r w:rsidRPr="00EC6D02">
              <w:rPr>
                <w:rStyle w:val="Nhnmanh"/>
                <w:b/>
                <w:i w:val="0"/>
                <w:color w:val="000000"/>
              </w:rPr>
              <w:t xml:space="preserve"> </w:t>
            </w:r>
            <w:r w:rsidRPr="00EC6D02">
              <w:rPr>
                <w:rStyle w:val="Nhnmanh"/>
                <w:b/>
                <w:i w:val="0"/>
                <w:color w:val="000000"/>
                <w:lang w:val="vi-VN"/>
              </w:rPr>
              <w:t>TTHC</w:t>
            </w: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rsidR="00071A03" w:rsidRPr="00EC6D02" w:rsidRDefault="00071A03" w:rsidP="005751EE">
            <w:pPr>
              <w:jc w:val="center"/>
              <w:rPr>
                <w:rStyle w:val="Nhnmanh"/>
                <w:b/>
                <w:i w:val="0"/>
                <w:color w:val="000000"/>
                <w:sz w:val="24"/>
                <w:szCs w:val="24"/>
                <w:lang w:val="vi-VN"/>
              </w:rPr>
            </w:pPr>
            <w:r w:rsidRPr="00EC6D02">
              <w:rPr>
                <w:rStyle w:val="Nhnmanh"/>
                <w:b/>
                <w:i w:val="0"/>
                <w:color w:val="000000"/>
                <w:sz w:val="24"/>
                <w:szCs w:val="24"/>
                <w:lang w:val="vi-VN"/>
              </w:rPr>
              <w:t xml:space="preserve">Phương án phân cấp </w:t>
            </w:r>
            <w:r w:rsidRPr="00EC6D02">
              <w:rPr>
                <w:rStyle w:val="Nhnmanh"/>
                <w:b/>
                <w:i w:val="0"/>
                <w:color w:val="000000"/>
                <w:lang w:val="vi-VN"/>
              </w:rPr>
              <w:t>(PC)</w:t>
            </w:r>
          </w:p>
          <w:p w:rsidR="00071A03" w:rsidRPr="00EC6D02" w:rsidRDefault="00071A03" w:rsidP="005751EE">
            <w:pPr>
              <w:jc w:val="center"/>
              <w:rPr>
                <w:rStyle w:val="Nhnmanh"/>
                <w:b/>
                <w:i w:val="0"/>
                <w:color w:val="000000"/>
                <w:sz w:val="24"/>
                <w:szCs w:val="24"/>
                <w:lang w:val="vi-VN" w:eastAsia="zh-CN"/>
              </w:rPr>
            </w:pPr>
          </w:p>
        </w:tc>
        <w:tc>
          <w:tcPr>
            <w:tcW w:w="4394" w:type="dxa"/>
            <w:vMerge w:val="restart"/>
            <w:tcBorders>
              <w:top w:val="single" w:sz="4" w:space="0" w:color="auto"/>
              <w:left w:val="single" w:sz="4" w:space="0" w:color="auto"/>
              <w:right w:val="single" w:sz="4" w:space="0" w:color="auto"/>
            </w:tcBorders>
            <w:vAlign w:val="center"/>
          </w:tcPr>
          <w:p w:rsidR="00071A03" w:rsidRPr="0024623E" w:rsidRDefault="00071A03" w:rsidP="005751EE">
            <w:pPr>
              <w:pStyle w:val="ThngthngWeb"/>
              <w:spacing w:before="120" w:beforeAutospacing="0" w:after="120" w:afterAutospacing="0"/>
              <w:jc w:val="center"/>
              <w:rPr>
                <w:rStyle w:val="Nhnmanh"/>
                <w:b/>
                <w:i w:val="0"/>
                <w:color w:val="000000"/>
              </w:rPr>
            </w:pPr>
            <w:r w:rsidRPr="0024623E">
              <w:rPr>
                <w:rStyle w:val="Nhnmanh"/>
                <w:b/>
                <w:i w:val="0"/>
                <w:color w:val="000000"/>
              </w:rPr>
              <w:t>Kiến nghị thực thi</w:t>
            </w:r>
          </w:p>
          <w:p w:rsidR="00071A03" w:rsidRPr="0024623E" w:rsidRDefault="00071A03" w:rsidP="005751EE">
            <w:pPr>
              <w:jc w:val="center"/>
              <w:rPr>
                <w:rStyle w:val="Nhnmanh"/>
                <w:b/>
                <w:i w:val="0"/>
                <w:color w:val="000000"/>
                <w:sz w:val="24"/>
                <w:szCs w:val="24"/>
                <w:lang w:val="vi-VN" w:eastAsia="zh-CN"/>
              </w:rPr>
            </w:pPr>
          </w:p>
        </w:tc>
      </w:tr>
      <w:tr w:rsidR="00071A03" w:rsidRPr="006D6233" w:rsidTr="00F37E70">
        <w:trPr>
          <w:trHeight w:val="1002"/>
        </w:trPr>
        <w:tc>
          <w:tcPr>
            <w:tcW w:w="671" w:type="dxa"/>
            <w:vMerge/>
            <w:tcBorders>
              <w:left w:val="single" w:sz="4" w:space="0" w:color="auto"/>
              <w:right w:val="single" w:sz="4" w:space="0" w:color="auto"/>
            </w:tcBorders>
            <w:vAlign w:val="center"/>
            <w:hideMark/>
          </w:tcPr>
          <w:p w:rsidR="00071A03" w:rsidRPr="00EC6D02" w:rsidRDefault="00071A03" w:rsidP="005751EE">
            <w:pPr>
              <w:pStyle w:val="ThngthngWeb"/>
              <w:spacing w:before="60" w:after="60"/>
              <w:jc w:val="center"/>
              <w:rPr>
                <w:rStyle w:val="Nhnmanh"/>
                <w:b/>
                <w:i w:val="0"/>
                <w:color w:val="000000"/>
              </w:rPr>
            </w:pPr>
          </w:p>
        </w:tc>
        <w:tc>
          <w:tcPr>
            <w:tcW w:w="1705" w:type="dxa"/>
            <w:vMerge/>
            <w:tcBorders>
              <w:left w:val="single" w:sz="4" w:space="0" w:color="auto"/>
              <w:right w:val="single" w:sz="4" w:space="0" w:color="auto"/>
            </w:tcBorders>
            <w:vAlign w:val="center"/>
            <w:hideMark/>
          </w:tcPr>
          <w:p w:rsidR="00071A03" w:rsidRPr="00EC6D02" w:rsidRDefault="00071A03" w:rsidP="005751EE">
            <w:pPr>
              <w:rPr>
                <w:rStyle w:val="Nhnmanh"/>
                <w:b/>
                <w:i w:val="0"/>
                <w:color w:val="000000"/>
                <w:sz w:val="24"/>
                <w:szCs w:val="24"/>
                <w:lang w:eastAsia="zh-CN"/>
              </w:rPr>
            </w:pPr>
          </w:p>
        </w:tc>
        <w:tc>
          <w:tcPr>
            <w:tcW w:w="1276" w:type="dxa"/>
            <w:vMerge/>
            <w:tcBorders>
              <w:left w:val="single" w:sz="4" w:space="0" w:color="auto"/>
              <w:right w:val="single" w:sz="4" w:space="0" w:color="auto"/>
            </w:tcBorders>
            <w:vAlign w:val="center"/>
          </w:tcPr>
          <w:p w:rsidR="00071A03" w:rsidRPr="00EC6D02" w:rsidRDefault="00071A03" w:rsidP="005751EE">
            <w:pPr>
              <w:rPr>
                <w:rStyle w:val="Nhnmanh"/>
                <w:b/>
                <w:i w:val="0"/>
                <w:color w:val="000000"/>
                <w:sz w:val="24"/>
                <w:szCs w:val="24"/>
                <w:lang w:eastAsia="zh-CN"/>
              </w:rPr>
            </w:pPr>
          </w:p>
        </w:tc>
        <w:tc>
          <w:tcPr>
            <w:tcW w:w="992" w:type="dxa"/>
            <w:vMerge/>
            <w:tcBorders>
              <w:left w:val="single" w:sz="4" w:space="0" w:color="auto"/>
              <w:right w:val="single" w:sz="4" w:space="0" w:color="auto"/>
            </w:tcBorders>
            <w:vAlign w:val="center"/>
          </w:tcPr>
          <w:p w:rsidR="00071A03" w:rsidRPr="00EC6D02" w:rsidRDefault="00071A03" w:rsidP="005751EE">
            <w:pPr>
              <w:rPr>
                <w:rStyle w:val="Nhnmanh"/>
                <w:b/>
                <w:i w:val="0"/>
                <w:color w:val="000000"/>
                <w:sz w:val="24"/>
                <w:szCs w:val="24"/>
                <w:lang w:eastAsia="zh-CN"/>
              </w:rPr>
            </w:pPr>
          </w:p>
        </w:tc>
        <w:tc>
          <w:tcPr>
            <w:tcW w:w="2410" w:type="dxa"/>
            <w:gridSpan w:val="2"/>
            <w:tcBorders>
              <w:top w:val="single" w:sz="4" w:space="0" w:color="auto"/>
              <w:left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b/>
                <w:i w:val="0"/>
                <w:color w:val="000000"/>
                <w:lang w:val="vi-VN"/>
              </w:rPr>
            </w:pPr>
            <w:r w:rsidRPr="00EC6D02">
              <w:rPr>
                <w:rStyle w:val="Nhnmanh"/>
                <w:b/>
                <w:i w:val="0"/>
                <w:color w:val="000000"/>
                <w:lang w:val="vi-VN"/>
              </w:rPr>
              <w:t>PC ngay</w:t>
            </w:r>
          </w:p>
        </w:tc>
        <w:tc>
          <w:tcPr>
            <w:tcW w:w="3119" w:type="dxa"/>
            <w:gridSpan w:val="3"/>
            <w:tcBorders>
              <w:top w:val="single" w:sz="4" w:space="0" w:color="auto"/>
              <w:left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b/>
                <w:i w:val="0"/>
                <w:color w:val="000000"/>
                <w:lang w:val="vi-VN"/>
              </w:rPr>
            </w:pPr>
            <w:r w:rsidRPr="00EC6D02">
              <w:rPr>
                <w:rStyle w:val="Nhnmanh"/>
                <w:b/>
                <w:i w:val="0"/>
                <w:color w:val="000000"/>
                <w:lang w:val="vi-VN"/>
              </w:rPr>
              <w:t>PC kèm theo điều kiện bảo đảm về nhân lực, kinh phí, CSVC khác...</w:t>
            </w:r>
          </w:p>
        </w:tc>
        <w:tc>
          <w:tcPr>
            <w:tcW w:w="4394" w:type="dxa"/>
            <w:vMerge/>
            <w:tcBorders>
              <w:left w:val="single" w:sz="4" w:space="0" w:color="auto"/>
              <w:right w:val="single" w:sz="4" w:space="0" w:color="auto"/>
            </w:tcBorders>
          </w:tcPr>
          <w:p w:rsidR="00071A03" w:rsidRPr="0024623E" w:rsidRDefault="00071A03" w:rsidP="005751EE">
            <w:pPr>
              <w:pStyle w:val="ThngthngWeb"/>
              <w:spacing w:before="60" w:beforeAutospacing="0" w:after="60" w:afterAutospacing="0"/>
              <w:jc w:val="center"/>
              <w:rPr>
                <w:rStyle w:val="Nhnmanh"/>
                <w:b/>
                <w:i w:val="0"/>
                <w:color w:val="000000"/>
                <w:lang w:val="vi-VN"/>
              </w:rPr>
            </w:pPr>
          </w:p>
        </w:tc>
      </w:tr>
      <w:tr w:rsidR="00071A03" w:rsidRPr="006D6233" w:rsidTr="00F37E70">
        <w:tc>
          <w:tcPr>
            <w:tcW w:w="671" w:type="dxa"/>
            <w:vMerge/>
            <w:tcBorders>
              <w:left w:val="single" w:sz="4" w:space="0" w:color="auto"/>
              <w:bottom w:val="single" w:sz="4" w:space="0" w:color="auto"/>
              <w:right w:val="single" w:sz="4" w:space="0" w:color="auto"/>
            </w:tcBorders>
            <w:vAlign w:val="center"/>
            <w:hideMark/>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1705" w:type="dxa"/>
            <w:vMerge/>
            <w:tcBorders>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both"/>
              <w:rPr>
                <w:rStyle w:val="Nhnmanh"/>
                <w:b/>
                <w:i w:val="0"/>
                <w:color w:val="000000"/>
                <w:lang w:val="vi-VN"/>
              </w:rPr>
            </w:pPr>
          </w:p>
        </w:tc>
        <w:tc>
          <w:tcPr>
            <w:tcW w:w="1276" w:type="dxa"/>
            <w:vMerge/>
            <w:tcBorders>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992" w:type="dxa"/>
            <w:vMerge/>
            <w:tcBorders>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1276"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i w:val="0"/>
                <w:color w:val="000000"/>
                <w:lang w:val="vi-VN"/>
              </w:rPr>
            </w:pPr>
            <w:r w:rsidRPr="00EC6D02">
              <w:rPr>
                <w:rStyle w:val="Nhnmanh"/>
                <w:i w:val="0"/>
                <w:color w:val="000000"/>
                <w:lang w:val="vi-VN"/>
              </w:rPr>
              <w:t>Cơ quan PC được đề xuất</w:t>
            </w:r>
          </w:p>
        </w:tc>
        <w:tc>
          <w:tcPr>
            <w:tcW w:w="1134"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i w:val="0"/>
                <w:color w:val="000000"/>
                <w:lang w:val="vi-VN"/>
              </w:rPr>
            </w:pPr>
            <w:r w:rsidRPr="00EC6D02">
              <w:rPr>
                <w:lang w:val="vi-VN"/>
              </w:rPr>
              <w:t>Đề xuất ĐGH khác gắn với PC</w:t>
            </w:r>
          </w:p>
        </w:tc>
        <w:tc>
          <w:tcPr>
            <w:tcW w:w="992"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i w:val="0"/>
                <w:color w:val="000000"/>
                <w:lang w:val="vi-VN"/>
              </w:rPr>
            </w:pPr>
            <w:r w:rsidRPr="00EC6D02">
              <w:rPr>
                <w:rStyle w:val="Nhnmanh"/>
                <w:i w:val="0"/>
                <w:color w:val="000000"/>
                <w:lang w:val="vi-VN"/>
              </w:rPr>
              <w:t>Cơ quan PC được đề xuất</w:t>
            </w:r>
          </w:p>
        </w:tc>
        <w:tc>
          <w:tcPr>
            <w:tcW w:w="993"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i w:val="0"/>
                <w:color w:val="000000"/>
                <w:lang w:val="vi-VN"/>
              </w:rPr>
            </w:pPr>
            <w:r w:rsidRPr="00EC6D02">
              <w:rPr>
                <w:lang w:val="vi-VN"/>
              </w:rPr>
              <w:t>Đề xuất ĐGH khác gắn với PC</w:t>
            </w:r>
          </w:p>
        </w:tc>
        <w:tc>
          <w:tcPr>
            <w:tcW w:w="1134"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i w:val="0"/>
                <w:color w:val="000000"/>
                <w:lang w:val="vi-VN"/>
              </w:rPr>
            </w:pPr>
            <w:r w:rsidRPr="00EC6D02">
              <w:rPr>
                <w:rStyle w:val="Nhnmanh"/>
                <w:i w:val="0"/>
                <w:color w:val="000000"/>
                <w:lang w:val="vi-VN"/>
              </w:rPr>
              <w:t>Đề xuất khác để bảo đảm PC hiệu quả (nếu có)</w:t>
            </w:r>
          </w:p>
        </w:tc>
        <w:tc>
          <w:tcPr>
            <w:tcW w:w="4394" w:type="dxa"/>
            <w:vMerge/>
            <w:tcBorders>
              <w:left w:val="single" w:sz="4" w:space="0" w:color="auto"/>
              <w:bottom w:val="single" w:sz="4" w:space="0" w:color="auto"/>
              <w:right w:val="single" w:sz="4" w:space="0" w:color="auto"/>
            </w:tcBorders>
          </w:tcPr>
          <w:p w:rsidR="00071A03" w:rsidRPr="0024623E" w:rsidRDefault="00071A03" w:rsidP="005751EE">
            <w:pPr>
              <w:pStyle w:val="ThngthngWeb"/>
              <w:spacing w:before="60" w:beforeAutospacing="0" w:after="60" w:afterAutospacing="0"/>
              <w:jc w:val="center"/>
              <w:rPr>
                <w:rStyle w:val="Nhnmanh"/>
                <w:b/>
                <w:i w:val="0"/>
                <w:color w:val="000000"/>
                <w:lang w:val="vi-VN"/>
              </w:rPr>
            </w:pPr>
          </w:p>
        </w:tc>
      </w:tr>
      <w:tr w:rsidR="00071A03" w:rsidRPr="0024623E" w:rsidTr="00F37E70">
        <w:tc>
          <w:tcPr>
            <w:tcW w:w="671" w:type="dxa"/>
            <w:tcBorders>
              <w:left w:val="single" w:sz="4" w:space="0" w:color="auto"/>
              <w:bottom w:val="single" w:sz="4" w:space="0" w:color="auto"/>
              <w:right w:val="single" w:sz="4" w:space="0" w:color="auto"/>
            </w:tcBorders>
            <w:vAlign w:val="center"/>
            <w:hideMark/>
          </w:tcPr>
          <w:p w:rsidR="00071A03" w:rsidRPr="00EC6D02" w:rsidRDefault="00071A03"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(1)</w:t>
            </w:r>
          </w:p>
        </w:tc>
        <w:tc>
          <w:tcPr>
            <w:tcW w:w="1705" w:type="dxa"/>
            <w:tcBorders>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(2)</w:t>
            </w:r>
          </w:p>
        </w:tc>
        <w:tc>
          <w:tcPr>
            <w:tcW w:w="1276" w:type="dxa"/>
            <w:tcBorders>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(3)</w:t>
            </w:r>
          </w:p>
        </w:tc>
        <w:tc>
          <w:tcPr>
            <w:tcW w:w="992" w:type="dxa"/>
            <w:tcBorders>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(4)</w:t>
            </w:r>
          </w:p>
        </w:tc>
        <w:tc>
          <w:tcPr>
            <w:tcW w:w="1276"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i w:val="0"/>
                <w:color w:val="000000"/>
                <w:lang w:val="vi-VN"/>
              </w:rPr>
            </w:pPr>
            <w:r w:rsidRPr="00EC6D02">
              <w:rPr>
                <w:rStyle w:val="Nhnmanh"/>
                <w:i w:val="0"/>
                <w:color w:val="000000"/>
                <w:lang w:val="vi-VN"/>
              </w:rPr>
              <w:t>(5)</w:t>
            </w:r>
          </w:p>
        </w:tc>
        <w:tc>
          <w:tcPr>
            <w:tcW w:w="1134"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lang w:val="vi-VN"/>
              </w:rPr>
            </w:pPr>
            <w:r w:rsidRPr="00EC6D02">
              <w:rPr>
                <w:lang w:val="vi-VN"/>
              </w:rPr>
              <w:t>(6)</w:t>
            </w:r>
          </w:p>
        </w:tc>
        <w:tc>
          <w:tcPr>
            <w:tcW w:w="992"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i w:val="0"/>
                <w:color w:val="000000"/>
                <w:lang w:val="vi-VN"/>
              </w:rPr>
            </w:pPr>
            <w:r w:rsidRPr="00EC6D02">
              <w:rPr>
                <w:rStyle w:val="Nhnmanh"/>
                <w:i w:val="0"/>
                <w:color w:val="000000"/>
                <w:lang w:val="vi-VN"/>
              </w:rPr>
              <w:t>(7)</w:t>
            </w:r>
          </w:p>
        </w:tc>
        <w:tc>
          <w:tcPr>
            <w:tcW w:w="993"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lang w:val="vi-VN"/>
              </w:rPr>
            </w:pPr>
            <w:r w:rsidRPr="00EC6D02">
              <w:rPr>
                <w:lang w:val="vi-VN"/>
              </w:rPr>
              <w:t>(8)</w:t>
            </w:r>
          </w:p>
        </w:tc>
        <w:tc>
          <w:tcPr>
            <w:tcW w:w="1134"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120" w:beforeAutospacing="0" w:after="120" w:afterAutospacing="0"/>
              <w:jc w:val="center"/>
              <w:rPr>
                <w:rStyle w:val="Nhnmanh"/>
                <w:i w:val="0"/>
                <w:color w:val="000000"/>
                <w:lang w:val="vi-VN"/>
              </w:rPr>
            </w:pPr>
            <w:r w:rsidRPr="00EC6D02">
              <w:rPr>
                <w:rStyle w:val="Nhnmanh"/>
                <w:i w:val="0"/>
                <w:color w:val="000000"/>
                <w:lang w:val="vi-VN"/>
              </w:rPr>
              <w:t>(9)</w:t>
            </w:r>
          </w:p>
        </w:tc>
        <w:tc>
          <w:tcPr>
            <w:tcW w:w="4394" w:type="dxa"/>
            <w:tcBorders>
              <w:left w:val="single" w:sz="4" w:space="0" w:color="auto"/>
              <w:bottom w:val="single" w:sz="4" w:space="0" w:color="auto"/>
              <w:right w:val="single" w:sz="4" w:space="0" w:color="auto"/>
            </w:tcBorders>
          </w:tcPr>
          <w:p w:rsidR="00071A03" w:rsidRPr="0024623E" w:rsidRDefault="00071A03" w:rsidP="005751EE">
            <w:pPr>
              <w:pStyle w:val="ThngthngWeb"/>
              <w:spacing w:before="60" w:beforeAutospacing="0" w:after="60" w:afterAutospacing="0"/>
              <w:jc w:val="center"/>
              <w:rPr>
                <w:rStyle w:val="Nhnmanh"/>
                <w:i w:val="0"/>
                <w:color w:val="000000"/>
                <w:lang w:val="vi-VN"/>
              </w:rPr>
            </w:pPr>
            <w:r w:rsidRPr="0024623E">
              <w:rPr>
                <w:rStyle w:val="Nhnmanh"/>
                <w:i w:val="0"/>
                <w:color w:val="000000"/>
                <w:lang w:val="vi-VN"/>
              </w:rPr>
              <w:t>(10)</w:t>
            </w:r>
          </w:p>
        </w:tc>
      </w:tr>
      <w:tr w:rsidR="006C5049" w:rsidRPr="0024623E" w:rsidTr="00811248">
        <w:tc>
          <w:tcPr>
            <w:tcW w:w="671" w:type="dxa"/>
            <w:tcBorders>
              <w:left w:val="single" w:sz="4" w:space="0" w:color="auto"/>
              <w:bottom w:val="single" w:sz="4" w:space="0" w:color="auto"/>
              <w:right w:val="single" w:sz="4" w:space="0" w:color="auto"/>
            </w:tcBorders>
            <w:vAlign w:val="center"/>
            <w:hideMark/>
          </w:tcPr>
          <w:p w:rsidR="006C5049" w:rsidRPr="00EC6D02" w:rsidRDefault="006C5049" w:rsidP="005751EE">
            <w:pPr>
              <w:pStyle w:val="ThngthngWeb"/>
              <w:spacing w:before="60" w:beforeAutospacing="0" w:after="60" w:afterAutospacing="0"/>
              <w:jc w:val="center"/>
              <w:rPr>
                <w:rStyle w:val="Nhnmanh"/>
                <w:b/>
                <w:i w:val="0"/>
                <w:color w:val="000000"/>
                <w:lang w:val="vi-VN"/>
              </w:rPr>
            </w:pPr>
            <w:r w:rsidRPr="00EC6D02">
              <w:rPr>
                <w:rStyle w:val="Nhnmanh"/>
                <w:b/>
                <w:i w:val="0"/>
                <w:color w:val="000000"/>
                <w:lang w:val="vi-VN"/>
              </w:rPr>
              <w:t>I</w:t>
            </w:r>
          </w:p>
        </w:tc>
        <w:tc>
          <w:tcPr>
            <w:tcW w:w="13896" w:type="dxa"/>
            <w:gridSpan w:val="9"/>
            <w:tcBorders>
              <w:left w:val="single" w:sz="4" w:space="0" w:color="auto"/>
              <w:bottom w:val="single" w:sz="4" w:space="0" w:color="auto"/>
              <w:right w:val="single" w:sz="4" w:space="0" w:color="auto"/>
            </w:tcBorders>
            <w:vAlign w:val="center"/>
          </w:tcPr>
          <w:p w:rsidR="006C5049" w:rsidRPr="0024623E" w:rsidRDefault="006C5049" w:rsidP="006C5049">
            <w:pPr>
              <w:pStyle w:val="ThngthngWeb"/>
              <w:spacing w:before="60" w:beforeAutospacing="0" w:after="60" w:afterAutospacing="0"/>
              <w:rPr>
                <w:rStyle w:val="Nhnmanh"/>
                <w:b/>
                <w:i w:val="0"/>
                <w:color w:val="000000"/>
                <w:lang w:val="vi-VN"/>
              </w:rPr>
            </w:pPr>
            <w:r w:rsidRPr="00EC6D02">
              <w:rPr>
                <w:b/>
                <w:iCs/>
                <w:color w:val="000000"/>
              </w:rPr>
              <w:t>Hoạt động ngoại hối</w:t>
            </w:r>
          </w:p>
        </w:tc>
      </w:tr>
      <w:tr w:rsidR="006C5049" w:rsidRPr="006D6233" w:rsidTr="00811248">
        <w:tc>
          <w:tcPr>
            <w:tcW w:w="671" w:type="dxa"/>
            <w:tcBorders>
              <w:left w:val="single" w:sz="4" w:space="0" w:color="auto"/>
              <w:bottom w:val="single" w:sz="4" w:space="0" w:color="auto"/>
              <w:right w:val="single" w:sz="4" w:space="0" w:color="auto"/>
            </w:tcBorders>
            <w:vAlign w:val="center"/>
            <w:hideMark/>
          </w:tcPr>
          <w:p w:rsidR="006C5049" w:rsidRPr="00EC6D02" w:rsidRDefault="006C5049" w:rsidP="005751EE">
            <w:pPr>
              <w:pStyle w:val="ThngthngWeb"/>
              <w:spacing w:before="60" w:beforeAutospacing="0" w:after="60" w:afterAutospacing="0"/>
              <w:jc w:val="center"/>
              <w:rPr>
                <w:rStyle w:val="Nhnmanh"/>
                <w:i w:val="0"/>
                <w:color w:val="000000"/>
                <w:lang w:val="vi-VN"/>
              </w:rPr>
            </w:pPr>
          </w:p>
        </w:tc>
        <w:tc>
          <w:tcPr>
            <w:tcW w:w="13896" w:type="dxa"/>
            <w:gridSpan w:val="9"/>
            <w:tcBorders>
              <w:left w:val="single" w:sz="4" w:space="0" w:color="auto"/>
              <w:bottom w:val="single" w:sz="4" w:space="0" w:color="auto"/>
              <w:right w:val="single" w:sz="4" w:space="0" w:color="auto"/>
            </w:tcBorders>
            <w:vAlign w:val="center"/>
          </w:tcPr>
          <w:p w:rsidR="006C5049" w:rsidRPr="0024623E" w:rsidRDefault="006C5049" w:rsidP="006C5049">
            <w:pPr>
              <w:pStyle w:val="ThngthngWeb"/>
              <w:spacing w:before="60" w:beforeAutospacing="0" w:after="60" w:afterAutospacing="0"/>
              <w:rPr>
                <w:rStyle w:val="Nhnmanh"/>
                <w:b/>
                <w:i w:val="0"/>
                <w:color w:val="000000"/>
                <w:lang w:val="vi-VN"/>
              </w:rPr>
            </w:pPr>
            <w:r w:rsidRPr="00EC6D02">
              <w:rPr>
                <w:b/>
                <w:iCs/>
                <w:color w:val="000000"/>
                <w:lang w:val="vi-VN"/>
              </w:rPr>
              <w:t>Hoạt động cung ứng dịch vụ và sử dụng ngoại tệ</w:t>
            </w:r>
          </w:p>
        </w:tc>
      </w:tr>
      <w:tr w:rsidR="00071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071A03" w:rsidRPr="00EC6D02" w:rsidRDefault="001219CC" w:rsidP="001219CC">
            <w:pPr>
              <w:pStyle w:val="ThngthngWeb"/>
              <w:spacing w:before="60" w:beforeAutospacing="0" w:after="60" w:afterAutospacing="0"/>
              <w:jc w:val="center"/>
              <w:rPr>
                <w:rStyle w:val="Nhnmanh"/>
                <w:i w:val="0"/>
                <w:color w:val="000000"/>
              </w:rPr>
            </w:pPr>
            <w:r w:rsidRPr="00EC6D02">
              <w:rPr>
                <w:rStyle w:val="Nhnmanh"/>
                <w:i w:val="0"/>
                <w:color w:val="000000"/>
              </w:rPr>
              <w:t>1</w:t>
            </w:r>
          </w:p>
        </w:tc>
        <w:tc>
          <w:tcPr>
            <w:tcW w:w="1705"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both"/>
              <w:rPr>
                <w:rStyle w:val="Nhnmanh"/>
                <w:b/>
                <w:i w:val="0"/>
                <w:color w:val="000000"/>
                <w:lang w:val="vi-VN"/>
              </w:rPr>
            </w:pPr>
            <w:r w:rsidRPr="00EC6D02">
              <w:t>Thủ tục cấp giấy phép thu ngoại tệ tiền mặt từ xuất khẩu sang Campuchia</w:t>
            </w:r>
          </w:p>
        </w:tc>
        <w:tc>
          <w:tcPr>
            <w:tcW w:w="1276"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center"/>
              <w:rPr>
                <w:rStyle w:val="Nhnmanh"/>
                <w:b/>
                <w:i w:val="0"/>
                <w:color w:val="000000"/>
                <w:lang w:val="vi-VN"/>
              </w:rPr>
            </w:pPr>
            <w:r w:rsidRPr="00EC6D02">
              <w:t>1.001841</w:t>
            </w:r>
          </w:p>
        </w:tc>
        <w:tc>
          <w:tcPr>
            <w:tcW w:w="992"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center"/>
              <w:rPr>
                <w:rStyle w:val="Nhnmanh"/>
                <w:b/>
                <w:i w:val="0"/>
                <w:color w:val="000000"/>
                <w:lang w:val="vi-VN"/>
              </w:rPr>
            </w:pPr>
            <w:r w:rsidRPr="00EC6D02">
              <w:rPr>
                <w:rStyle w:val="Nhnmanh"/>
                <w:i w:val="0"/>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center"/>
              <w:rPr>
                <w:rStyle w:val="Nhnmanh"/>
                <w:b/>
                <w:i w:val="0"/>
                <w:color w:val="000000"/>
                <w:highlight w:val="yellow"/>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071A03" w:rsidRPr="00EC6D02" w:rsidRDefault="00EC6D02" w:rsidP="005751EE">
            <w:pPr>
              <w:pStyle w:val="ThngthngWeb"/>
              <w:spacing w:before="60" w:beforeAutospacing="0" w:after="60" w:afterAutospacing="0"/>
              <w:jc w:val="center"/>
              <w:rPr>
                <w:rStyle w:val="Nhnmanh"/>
                <w:i w:val="0"/>
                <w:color w:val="000000"/>
                <w:highlight w:val="yellow"/>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564C6A" w:rsidRPr="00564C6A" w:rsidRDefault="00564C6A" w:rsidP="00564C6A">
            <w:pPr>
              <w:pStyle w:val="ThngthngWeb"/>
              <w:spacing w:before="60" w:beforeAutospacing="0" w:after="60" w:afterAutospacing="0"/>
              <w:jc w:val="both"/>
              <w:rPr>
                <w:rStyle w:val="Nhnmanh"/>
                <w:i w:val="0"/>
                <w:lang w:val="vi-VN"/>
              </w:rPr>
            </w:pPr>
            <w:r w:rsidRPr="00564C6A">
              <w:rPr>
                <w:rStyle w:val="Nhnmanh"/>
                <w:lang w:val="vi-VN"/>
              </w:rPr>
              <w:t xml:space="preserve">Sửa đổi: </w:t>
            </w:r>
          </w:p>
          <w:p w:rsidR="00564C6A" w:rsidRPr="00564C6A" w:rsidRDefault="00564C6A" w:rsidP="00564C6A">
            <w:pPr>
              <w:pStyle w:val="ThngthngWeb"/>
              <w:spacing w:before="60" w:beforeAutospacing="0" w:after="60" w:afterAutospacing="0"/>
              <w:jc w:val="both"/>
              <w:rPr>
                <w:lang w:val="vi-VN"/>
              </w:rPr>
            </w:pPr>
            <w:r w:rsidRPr="00564C6A">
              <w:rPr>
                <w:rStyle w:val="Nhnmanh"/>
                <w:lang w:val="vi-VN"/>
              </w:rPr>
              <w:t xml:space="preserve">- </w:t>
            </w:r>
            <w:r w:rsidRPr="00564C6A">
              <w:rPr>
                <w:lang w:val="vi-VN"/>
              </w:rPr>
              <w:t>Khoản 1 Điều 8 Quyết định 17/2004/QĐ-NHNN;</w:t>
            </w:r>
          </w:p>
          <w:p w:rsidR="00564C6A" w:rsidRPr="00564C6A" w:rsidRDefault="00564C6A" w:rsidP="00564C6A">
            <w:pPr>
              <w:pStyle w:val="ThngthngWeb"/>
              <w:spacing w:before="60" w:beforeAutospacing="0" w:after="60" w:afterAutospacing="0"/>
              <w:jc w:val="both"/>
              <w:rPr>
                <w:lang w:val="vi-VN"/>
              </w:rPr>
            </w:pPr>
            <w:r w:rsidRPr="00564C6A">
              <w:rPr>
                <w:lang w:val="vi-VN"/>
              </w:rPr>
              <w:t>- Điều 9 Thông tư 25/2011/TT-NHNN;</w:t>
            </w:r>
          </w:p>
          <w:p w:rsidR="00071A03" w:rsidRPr="0024623E" w:rsidRDefault="00564C6A" w:rsidP="00564C6A">
            <w:pPr>
              <w:pStyle w:val="ThngthngWeb"/>
              <w:spacing w:before="60" w:beforeAutospacing="0" w:after="60" w:afterAutospacing="0"/>
              <w:jc w:val="both"/>
              <w:rPr>
                <w:rStyle w:val="Nhnmanh"/>
                <w:b/>
                <w:i w:val="0"/>
                <w:color w:val="000000"/>
                <w:lang w:val="vi-VN"/>
              </w:rPr>
            </w:pPr>
            <w:r w:rsidRPr="00EC6D02">
              <w:rPr>
                <w:lang w:val="vi-VN"/>
              </w:rPr>
              <w:t>- Điều 3 Thông tư 29/2015/TT-NHNN.</w:t>
            </w:r>
          </w:p>
        </w:tc>
      </w:tr>
      <w:tr w:rsidR="006C5049" w:rsidRPr="006D6233" w:rsidTr="00811248">
        <w:tc>
          <w:tcPr>
            <w:tcW w:w="671" w:type="dxa"/>
            <w:tcBorders>
              <w:top w:val="single" w:sz="4" w:space="0" w:color="auto"/>
              <w:left w:val="single" w:sz="4" w:space="0" w:color="auto"/>
              <w:bottom w:val="single" w:sz="4" w:space="0" w:color="auto"/>
              <w:right w:val="single" w:sz="4" w:space="0" w:color="auto"/>
            </w:tcBorders>
            <w:vAlign w:val="center"/>
            <w:hideMark/>
          </w:tcPr>
          <w:p w:rsidR="006C5049" w:rsidRPr="00EC6D02" w:rsidRDefault="006C5049" w:rsidP="005751EE">
            <w:pPr>
              <w:pStyle w:val="ThngthngWeb"/>
              <w:spacing w:before="60" w:beforeAutospacing="0" w:after="60" w:afterAutospacing="0"/>
              <w:jc w:val="center"/>
              <w:rPr>
                <w:rStyle w:val="Nhnmanh"/>
                <w:i w:val="0"/>
                <w:color w:val="000000"/>
                <w:lang w:val="vi-VN"/>
              </w:rPr>
            </w:pPr>
          </w:p>
        </w:tc>
        <w:tc>
          <w:tcPr>
            <w:tcW w:w="13896" w:type="dxa"/>
            <w:gridSpan w:val="9"/>
            <w:tcBorders>
              <w:top w:val="single" w:sz="4" w:space="0" w:color="auto"/>
              <w:left w:val="single" w:sz="4" w:space="0" w:color="auto"/>
              <w:bottom w:val="single" w:sz="4" w:space="0" w:color="auto"/>
              <w:right w:val="single" w:sz="4" w:space="0" w:color="auto"/>
            </w:tcBorders>
            <w:vAlign w:val="center"/>
          </w:tcPr>
          <w:p w:rsidR="006C5049" w:rsidRPr="0024623E" w:rsidRDefault="006C5049" w:rsidP="006C5049">
            <w:pPr>
              <w:pStyle w:val="ThngthngWeb"/>
              <w:spacing w:before="60" w:beforeAutospacing="0" w:after="60" w:afterAutospacing="0"/>
              <w:rPr>
                <w:rStyle w:val="Nhnmanh"/>
                <w:b/>
                <w:i w:val="0"/>
                <w:color w:val="000000"/>
                <w:lang w:val="vi-VN"/>
              </w:rPr>
            </w:pPr>
            <w:r w:rsidRPr="00EC6D02">
              <w:rPr>
                <w:b/>
                <w:iCs/>
                <w:color w:val="000000"/>
                <w:lang w:val="vi-VN"/>
              </w:rPr>
              <w:t>Vay trả nợ nước ngoài</w:t>
            </w:r>
          </w:p>
        </w:tc>
      </w:tr>
      <w:tr w:rsidR="00071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071A03" w:rsidRPr="00EC6D02" w:rsidRDefault="00564C6A" w:rsidP="005751EE">
            <w:pPr>
              <w:pStyle w:val="ThngthngWeb"/>
              <w:spacing w:before="60" w:beforeAutospacing="0" w:after="60" w:afterAutospacing="0"/>
              <w:jc w:val="center"/>
              <w:rPr>
                <w:rStyle w:val="Nhnmanh"/>
                <w:i w:val="0"/>
                <w:color w:val="000000"/>
              </w:rPr>
            </w:pPr>
            <w:r w:rsidRPr="00EC6D02">
              <w:rPr>
                <w:rStyle w:val="Nhnmanh"/>
                <w:i w:val="0"/>
                <w:color w:val="000000"/>
              </w:rPr>
              <w:t>2</w:t>
            </w:r>
          </w:p>
        </w:tc>
        <w:tc>
          <w:tcPr>
            <w:tcW w:w="1705"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both"/>
              <w:rPr>
                <w:rStyle w:val="Nhnmanh"/>
                <w:i w:val="0"/>
                <w:color w:val="000000"/>
                <w:lang w:val="vi-VN"/>
              </w:rPr>
            </w:pPr>
            <w:r w:rsidRPr="00EC6D02">
              <w:rPr>
                <w:iCs/>
                <w:color w:val="000000"/>
              </w:rPr>
              <w:t xml:space="preserve">Thủ tục đăng ký khoản vay </w:t>
            </w:r>
            <w:r w:rsidRPr="00EC6D02">
              <w:rPr>
                <w:iCs/>
                <w:color w:val="000000"/>
              </w:rPr>
              <w:lastRenderedPageBreak/>
              <w:t>nước ngoài của doanh nghiệp không được Chính phủ bảo lãnh</w:t>
            </w:r>
          </w:p>
        </w:tc>
        <w:tc>
          <w:tcPr>
            <w:tcW w:w="1276"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center"/>
              <w:rPr>
                <w:rStyle w:val="Nhnmanh"/>
                <w:i w:val="0"/>
                <w:color w:val="000000"/>
                <w:lang w:val="vi-VN"/>
              </w:rPr>
            </w:pPr>
            <w:r w:rsidRPr="00EC6D02">
              <w:rPr>
                <w:iCs/>
                <w:color w:val="000000"/>
              </w:rPr>
              <w:lastRenderedPageBreak/>
              <w:t>1.000972</w:t>
            </w:r>
          </w:p>
        </w:tc>
        <w:tc>
          <w:tcPr>
            <w:tcW w:w="992"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center"/>
              <w:rPr>
                <w:rStyle w:val="Nhnmanh"/>
                <w:b/>
                <w:i w:val="0"/>
                <w:color w:val="000000"/>
                <w:lang w:val="vi-VN"/>
              </w:rPr>
            </w:pPr>
            <w:r w:rsidRPr="00EC6D02">
              <w:rPr>
                <w:rStyle w:val="Nhnmanh"/>
                <w:i w:val="0"/>
                <w:lang w:val="vi-VN"/>
              </w:rPr>
              <w:t xml:space="preserve">Ngân hàng </w:t>
            </w:r>
            <w:r w:rsidRPr="00EC6D02">
              <w:rPr>
                <w:rStyle w:val="Nhnmanh"/>
                <w:i w:val="0"/>
                <w:lang w:val="vi-VN"/>
              </w:rPr>
              <w:lastRenderedPageBreak/>
              <w:t>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071A03" w:rsidRPr="00EC6D02" w:rsidRDefault="00564C6A" w:rsidP="005751EE">
            <w:pPr>
              <w:pStyle w:val="ThngthngWeb"/>
              <w:spacing w:before="60" w:beforeAutospacing="0" w:after="60" w:afterAutospacing="0"/>
              <w:jc w:val="center"/>
              <w:rPr>
                <w:rStyle w:val="Nhnmanh"/>
                <w:b/>
                <w:i w:val="0"/>
                <w:color w:val="000000"/>
                <w:lang w:val="vi-VN"/>
              </w:rPr>
            </w:pPr>
            <w:r w:rsidRPr="00EC6D02">
              <w:rPr>
                <w:rStyle w:val="Nhnmanh"/>
                <w:i w:val="0"/>
                <w:lang w:val="vi-VN"/>
              </w:rPr>
              <w:lastRenderedPageBreak/>
              <w:t xml:space="preserve">NHNN Chi nhánh </w:t>
            </w:r>
            <w:r w:rsidRPr="00EC6D02">
              <w:rPr>
                <w:rStyle w:val="Nhnmanh"/>
                <w:i w:val="0"/>
                <w:lang w:val="vi-VN"/>
              </w:rPr>
              <w:lastRenderedPageBreak/>
              <w:t>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071A03" w:rsidRPr="00EC6D02" w:rsidRDefault="00EC6D02" w:rsidP="005751EE">
            <w:pPr>
              <w:pStyle w:val="ThngthngWeb"/>
              <w:spacing w:before="60" w:beforeAutospacing="0" w:after="60" w:afterAutospacing="0"/>
              <w:jc w:val="center"/>
              <w:rPr>
                <w:rStyle w:val="Nhnmanh"/>
                <w:b/>
                <w:i w:val="0"/>
                <w:color w:val="000000"/>
                <w:lang w:val="vi-VN"/>
              </w:rPr>
            </w:pPr>
            <w:r w:rsidRPr="00EC6D02">
              <w:rPr>
                <w:rStyle w:val="Nhnmanh"/>
                <w:i w:val="0"/>
                <w:color w:val="000000"/>
              </w:rPr>
              <w:lastRenderedPageBreak/>
              <w:t>Không</w:t>
            </w:r>
          </w:p>
        </w:tc>
        <w:tc>
          <w:tcPr>
            <w:tcW w:w="992" w:type="dxa"/>
            <w:tcBorders>
              <w:top w:val="single" w:sz="4" w:space="0" w:color="auto"/>
              <w:left w:val="single" w:sz="4" w:space="0" w:color="auto"/>
              <w:bottom w:val="single" w:sz="4" w:space="0" w:color="auto"/>
              <w:right w:val="single" w:sz="4" w:space="0" w:color="auto"/>
            </w:tcBorders>
            <w:vAlign w:val="center"/>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071A03" w:rsidRPr="00EC6D02" w:rsidRDefault="00071A03" w:rsidP="005751EE">
            <w:pPr>
              <w:pStyle w:val="ThngthngWeb"/>
              <w:spacing w:before="60" w:beforeAutospacing="0" w:after="60" w:afterAutospacing="0"/>
              <w:jc w:val="center"/>
              <w:rPr>
                <w:rStyle w:val="Nhnmanh"/>
                <w:b/>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071A03" w:rsidRPr="00EC6D02" w:rsidRDefault="009F4223" w:rsidP="009F4223">
            <w:pPr>
              <w:pStyle w:val="ThngthngWeb"/>
              <w:spacing w:before="60" w:beforeAutospacing="0" w:after="60" w:afterAutospacing="0"/>
              <w:rPr>
                <w:rStyle w:val="Nhnmanh"/>
                <w:color w:val="000000"/>
                <w:lang w:val="vi-VN"/>
              </w:rPr>
            </w:pPr>
            <w:r w:rsidRPr="00EC6D02">
              <w:rPr>
                <w:rStyle w:val="Nhnmanh"/>
                <w:i w:val="0"/>
                <w:color w:val="000000"/>
                <w:lang w:val="vi-VN"/>
              </w:rPr>
              <w:t xml:space="preserve">Khoản 2 Điều 18 Thông tư hướng dẫn một số nội dung về quản lý ngoại hối đối với </w:t>
            </w:r>
            <w:r w:rsidRPr="00EC6D02">
              <w:rPr>
                <w:rStyle w:val="Nhnmanh"/>
                <w:i w:val="0"/>
                <w:color w:val="000000"/>
                <w:lang w:val="vi-VN"/>
              </w:rPr>
              <w:lastRenderedPageBreak/>
              <w:t xml:space="preserve">việc vay, trả nợ nước ngoài của doanh nghiệp (thay thế Thông tư 03/2016/TT-NHNN ngày 26/02/2016) </w:t>
            </w:r>
            <w:r w:rsidRPr="00EC6D02">
              <w:rPr>
                <w:rStyle w:val="Nhnmanh"/>
                <w:color w:val="000000"/>
                <w:lang w:val="vi-VN"/>
              </w:rPr>
              <w:t>(dự thảo Thông tư đang được đăng tải trên Cổng thông tin điện tử Chính phủ và Cổng thông tin điện tử NHNN để xin ý kiến rộng rãi)</w:t>
            </w:r>
          </w:p>
        </w:tc>
      </w:tr>
      <w:tr w:rsidR="00564C6A"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564C6A" w:rsidRPr="00EC6D02" w:rsidRDefault="00564C6A" w:rsidP="005751EE">
            <w:pPr>
              <w:pStyle w:val="ThngthngWeb"/>
              <w:spacing w:before="60" w:beforeAutospacing="0" w:after="60" w:afterAutospacing="0"/>
              <w:jc w:val="center"/>
              <w:rPr>
                <w:rStyle w:val="Nhnmanh"/>
                <w:i w:val="0"/>
                <w:color w:val="000000"/>
              </w:rPr>
            </w:pPr>
            <w:r w:rsidRPr="00EC6D02">
              <w:rPr>
                <w:rStyle w:val="Nhnmanh"/>
                <w:i w:val="0"/>
                <w:color w:val="000000"/>
              </w:rPr>
              <w:lastRenderedPageBreak/>
              <w:t>3</w:t>
            </w:r>
          </w:p>
        </w:tc>
        <w:tc>
          <w:tcPr>
            <w:tcW w:w="1705"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both"/>
              <w:rPr>
                <w:rStyle w:val="Nhnmanh"/>
                <w:i w:val="0"/>
                <w:color w:val="000000"/>
              </w:rPr>
            </w:pPr>
            <w:r w:rsidRPr="00EC6D02">
              <w:rPr>
                <w:rStyle w:val="Nhnmanh"/>
                <w:i w:val="0"/>
                <w:color w:val="000000"/>
              </w:rPr>
              <w:t>Thủ tục đăng ký thay đổi khoản vay nước ngoài của doanh nghiệp không được Chính phủ bảo lãnh</w:t>
            </w:r>
          </w:p>
        </w:tc>
        <w:tc>
          <w:tcPr>
            <w:tcW w:w="1276"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color w:val="000000"/>
              </w:rPr>
            </w:pPr>
            <w:r w:rsidRPr="00EC6D02">
              <w:rPr>
                <w:rStyle w:val="Nhnmanh"/>
                <w:i w:val="0"/>
                <w:color w:val="000000"/>
              </w:rPr>
              <w:t>1.000111</w:t>
            </w:r>
          </w:p>
        </w:tc>
        <w:tc>
          <w:tcPr>
            <w:tcW w:w="992"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564C6A" w:rsidRPr="00EC6D02" w:rsidRDefault="00EC6D02" w:rsidP="005751EE">
            <w:pPr>
              <w:pStyle w:val="ThngthngWeb"/>
              <w:spacing w:before="60" w:beforeAutospacing="0" w:after="60" w:afterAutospacing="0"/>
              <w:jc w:val="center"/>
              <w:rPr>
                <w:rStyle w:val="Nhnmanh"/>
                <w:b/>
                <w:i w:val="0"/>
                <w:color w:val="000000"/>
                <w:lang w:val="vi-VN"/>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564C6A" w:rsidRPr="0024623E" w:rsidRDefault="009F4223" w:rsidP="009F4223">
            <w:pPr>
              <w:pStyle w:val="ThngthngWeb"/>
              <w:spacing w:before="60" w:beforeAutospacing="0" w:after="60" w:afterAutospacing="0"/>
              <w:rPr>
                <w:rStyle w:val="Nhnmanh"/>
                <w:b/>
                <w:i w:val="0"/>
                <w:color w:val="000000"/>
                <w:lang w:val="vi-VN"/>
              </w:rPr>
            </w:pPr>
            <w:r w:rsidRPr="00EC6D02">
              <w:rPr>
                <w:rStyle w:val="Nhnmanh"/>
                <w:i w:val="0"/>
                <w:color w:val="000000"/>
                <w:lang w:val="vi-VN"/>
              </w:rPr>
              <w:t xml:space="preserve">Khoản 2 Điều 18 Thông tư hướng dẫn một số nội dung về quản lý ngoại hối đối với việc vay, trả nợ nước ngoài của doanh nghiệp (thay thế Thông tư 03/2016/TT-NHNN ngày 26/02/2016) </w:t>
            </w:r>
            <w:r w:rsidRPr="00EC6D02">
              <w:rPr>
                <w:rStyle w:val="Nhnmanh"/>
                <w:color w:val="000000"/>
                <w:lang w:val="vi-VN"/>
              </w:rPr>
              <w:t>(dự thảo Thông tư đang được đăng tải trên Cổng thông tin điện tử Chính phủ và Cổng thông tin điện tử NHNN để xin ý kiến rộng rãi)</w:t>
            </w:r>
          </w:p>
        </w:tc>
      </w:tr>
      <w:tr w:rsidR="00564C6A"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564C6A" w:rsidRPr="00EC6D02" w:rsidRDefault="00564C6A" w:rsidP="005751EE">
            <w:pPr>
              <w:pStyle w:val="ThngthngWeb"/>
              <w:spacing w:before="60" w:beforeAutospacing="0" w:after="60" w:afterAutospacing="0"/>
              <w:jc w:val="center"/>
              <w:rPr>
                <w:rStyle w:val="Nhnmanh"/>
                <w:i w:val="0"/>
                <w:color w:val="000000"/>
              </w:rPr>
            </w:pPr>
            <w:r w:rsidRPr="00EC6D02">
              <w:rPr>
                <w:rStyle w:val="Nhnmanh"/>
                <w:i w:val="0"/>
                <w:color w:val="000000"/>
              </w:rPr>
              <w:t>4</w:t>
            </w:r>
          </w:p>
        </w:tc>
        <w:tc>
          <w:tcPr>
            <w:tcW w:w="1705"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both"/>
              <w:rPr>
                <w:rStyle w:val="Nhnmanh"/>
                <w:i w:val="0"/>
                <w:color w:val="000000"/>
              </w:rPr>
            </w:pPr>
            <w:r w:rsidRPr="00EC6D02">
              <w:rPr>
                <w:rStyle w:val="Nhnmanh"/>
                <w:i w:val="0"/>
                <w:color w:val="000000"/>
              </w:rPr>
              <w:t>Thủ tục đăng ký tài khoản truy cập Trang điện tử quản lý vay, trả nợ nước ngoài không được Chính phủ bảo lãnh</w:t>
            </w:r>
          </w:p>
        </w:tc>
        <w:tc>
          <w:tcPr>
            <w:tcW w:w="1276"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color w:val="000000"/>
              </w:rPr>
            </w:pPr>
            <w:r w:rsidRPr="00EC6D02">
              <w:rPr>
                <w:rStyle w:val="Nhnmanh"/>
                <w:i w:val="0"/>
                <w:color w:val="000000"/>
              </w:rPr>
              <w:t>1.000122</w:t>
            </w:r>
          </w:p>
        </w:tc>
        <w:tc>
          <w:tcPr>
            <w:tcW w:w="992"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564C6A" w:rsidRPr="00EC6D02" w:rsidRDefault="00EC6D02" w:rsidP="005751EE">
            <w:pPr>
              <w:pStyle w:val="ThngthngWeb"/>
              <w:spacing w:before="60" w:beforeAutospacing="0" w:after="60" w:afterAutospacing="0"/>
              <w:jc w:val="center"/>
              <w:rPr>
                <w:rStyle w:val="Nhnmanh"/>
                <w:b/>
                <w:i w:val="0"/>
                <w:color w:val="000000"/>
                <w:lang w:val="vi-VN"/>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564C6A" w:rsidRPr="00EC6D02" w:rsidRDefault="009F4223" w:rsidP="009F4223">
            <w:pPr>
              <w:pStyle w:val="ThngthngWeb"/>
              <w:spacing w:before="60" w:beforeAutospacing="0" w:after="60" w:afterAutospacing="0"/>
              <w:jc w:val="both"/>
              <w:rPr>
                <w:rStyle w:val="Nhnmanh"/>
                <w:i w:val="0"/>
                <w:color w:val="000000"/>
                <w:lang w:val="vi-VN"/>
              </w:rPr>
            </w:pPr>
            <w:r w:rsidRPr="00EC6D02">
              <w:rPr>
                <w:rStyle w:val="Nhnmanh"/>
                <w:i w:val="0"/>
                <w:color w:val="000000"/>
                <w:lang w:val="vi-VN"/>
              </w:rPr>
              <w:t xml:space="preserve">Khoản 6 Điều 8 Thông tư hướng dẫn một số nội dung về quản lý ngoại hối đối với việc vay, trả nợ nước ngoài của doanh nghiệp (thay thế Thông tư 03/2016/TT-NHNN ngày 26/02/2016) </w:t>
            </w:r>
            <w:r w:rsidRPr="00EC6D02">
              <w:rPr>
                <w:rStyle w:val="Nhnmanh"/>
                <w:color w:val="000000"/>
                <w:lang w:val="vi-VN"/>
              </w:rPr>
              <w:t>(dự thảo Thông tư đang được đăng tải trên Cổng thông tin điện tử Chính phủ và Cổng thông tin điện tử NHNN để xin ý kiến rộng rãi)</w:t>
            </w:r>
          </w:p>
        </w:tc>
      </w:tr>
      <w:tr w:rsidR="00564C6A"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564C6A" w:rsidRPr="00EC6D02" w:rsidRDefault="00564C6A" w:rsidP="005751EE">
            <w:pPr>
              <w:pStyle w:val="ThngthngWeb"/>
              <w:spacing w:before="60" w:beforeAutospacing="0" w:after="60" w:afterAutospacing="0"/>
              <w:jc w:val="center"/>
              <w:rPr>
                <w:rStyle w:val="Nhnmanh"/>
                <w:i w:val="0"/>
                <w:color w:val="000000"/>
              </w:rPr>
            </w:pPr>
            <w:r w:rsidRPr="00EC6D02">
              <w:rPr>
                <w:rStyle w:val="Nhnmanh"/>
                <w:i w:val="0"/>
                <w:color w:val="000000"/>
              </w:rPr>
              <w:t>5</w:t>
            </w:r>
          </w:p>
        </w:tc>
        <w:tc>
          <w:tcPr>
            <w:tcW w:w="1705"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both"/>
              <w:rPr>
                <w:rStyle w:val="Nhnmanh"/>
                <w:i w:val="0"/>
                <w:color w:val="000000"/>
                <w:lang w:val="vi-VN"/>
              </w:rPr>
            </w:pPr>
            <w:r w:rsidRPr="00EC6D02">
              <w:rPr>
                <w:rStyle w:val="Nhnmanh"/>
                <w:i w:val="0"/>
                <w:color w:val="000000"/>
                <w:lang w:val="vi-VN"/>
              </w:rPr>
              <w:t>Thủ tục đăng ký thay đổi thông tin tài khoản truy cập Trang điện tử quản lý vay, trả nợ nước ngoài</w:t>
            </w:r>
          </w:p>
        </w:tc>
        <w:tc>
          <w:tcPr>
            <w:tcW w:w="1276"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color w:val="000000"/>
              </w:rPr>
            </w:pPr>
            <w:r w:rsidRPr="00EC6D02">
              <w:rPr>
                <w:rStyle w:val="Nhnmanh"/>
                <w:i w:val="0"/>
                <w:color w:val="000000"/>
              </w:rPr>
              <w:t>1.000116</w:t>
            </w:r>
          </w:p>
        </w:tc>
        <w:tc>
          <w:tcPr>
            <w:tcW w:w="992"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i w:val="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564C6A" w:rsidRPr="00EC6D02" w:rsidRDefault="00EC6D02" w:rsidP="005751EE">
            <w:pPr>
              <w:pStyle w:val="ThngthngWeb"/>
              <w:spacing w:before="60" w:beforeAutospacing="0" w:after="60" w:afterAutospacing="0"/>
              <w:jc w:val="center"/>
              <w:rPr>
                <w:rStyle w:val="Nhnmanh"/>
                <w:b/>
                <w:i w:val="0"/>
                <w:color w:val="000000"/>
                <w:lang w:val="vi-VN"/>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564C6A" w:rsidRPr="00EC6D02" w:rsidRDefault="00564C6A" w:rsidP="005751EE">
            <w:pPr>
              <w:pStyle w:val="ThngthngWeb"/>
              <w:spacing w:before="60" w:beforeAutospacing="0" w:after="60" w:afterAutospacing="0"/>
              <w:jc w:val="center"/>
              <w:rPr>
                <w:rStyle w:val="Nhnmanh"/>
                <w:b/>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564C6A" w:rsidRPr="0024623E" w:rsidRDefault="009F4223" w:rsidP="009F4223">
            <w:pPr>
              <w:pStyle w:val="ThngthngWeb"/>
              <w:spacing w:before="60" w:beforeAutospacing="0" w:after="60" w:afterAutospacing="0"/>
              <w:jc w:val="both"/>
              <w:rPr>
                <w:rStyle w:val="Nhnmanh"/>
                <w:b/>
                <w:i w:val="0"/>
                <w:color w:val="000000"/>
                <w:lang w:val="vi-VN"/>
              </w:rPr>
            </w:pPr>
            <w:r w:rsidRPr="00EC6D02">
              <w:rPr>
                <w:rStyle w:val="Nhnmanh"/>
                <w:i w:val="0"/>
                <w:color w:val="000000"/>
                <w:lang w:val="vi-VN"/>
              </w:rPr>
              <w:t xml:space="preserve">Khoản 6 Điều 8 Thông tư hướng dẫn một số nội dung về quản lý ngoại hối đối với việc vay, trả nợ nước ngoài của doanh nghiệp (thay thế Thông tư 03/2016/TT-NHNN ngày 26/02/2016) </w:t>
            </w:r>
            <w:r w:rsidRPr="00EC6D02">
              <w:rPr>
                <w:rStyle w:val="Nhnmanh"/>
                <w:color w:val="000000"/>
                <w:lang w:val="vi-VN"/>
              </w:rPr>
              <w:t>(dự thảo Thông tư đang được đăng tải trên Cổng thông tin điện tử Chính phủ và Cổng thông tin điện tử NHNN để xin ý kiến rộng rãi).</w:t>
            </w:r>
          </w:p>
        </w:tc>
      </w:tr>
      <w:tr w:rsidR="0060488B"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60488B" w:rsidRPr="00EC6D02" w:rsidRDefault="0060488B" w:rsidP="005751EE">
            <w:pPr>
              <w:pStyle w:val="ThngthngWeb"/>
              <w:spacing w:before="60" w:beforeAutospacing="0" w:after="60" w:afterAutospacing="0"/>
              <w:jc w:val="center"/>
              <w:rPr>
                <w:rStyle w:val="Nhnmanh"/>
                <w:i w:val="0"/>
                <w:color w:val="000000"/>
              </w:rPr>
            </w:pPr>
            <w:r>
              <w:rPr>
                <w:rStyle w:val="Nhnmanh"/>
                <w:i w:val="0"/>
                <w:color w:val="000000"/>
              </w:rPr>
              <w:lastRenderedPageBreak/>
              <w:t>6</w:t>
            </w:r>
          </w:p>
        </w:tc>
        <w:tc>
          <w:tcPr>
            <w:tcW w:w="1705" w:type="dxa"/>
            <w:tcBorders>
              <w:top w:val="single" w:sz="4" w:space="0" w:color="auto"/>
              <w:left w:val="single" w:sz="4" w:space="0" w:color="auto"/>
              <w:bottom w:val="single" w:sz="4" w:space="0" w:color="auto"/>
              <w:right w:val="single" w:sz="4" w:space="0" w:color="auto"/>
            </w:tcBorders>
            <w:vAlign w:val="center"/>
          </w:tcPr>
          <w:p w:rsidR="0060488B" w:rsidRPr="00EC6D02" w:rsidRDefault="0060488B" w:rsidP="005751EE">
            <w:pPr>
              <w:pStyle w:val="ThngthngWeb"/>
              <w:spacing w:before="60" w:beforeAutospacing="0" w:after="60" w:afterAutospacing="0"/>
              <w:jc w:val="both"/>
              <w:rPr>
                <w:rStyle w:val="Nhnmanh"/>
                <w:i w:val="0"/>
                <w:color w:val="000000"/>
                <w:lang w:val="vi-VN"/>
              </w:rPr>
            </w:pPr>
            <w:r w:rsidRPr="0060488B">
              <w:rPr>
                <w:rStyle w:val="Nhnmanh"/>
                <w:i w:val="0"/>
                <w:color w:val="000000"/>
                <w:lang w:val="vi-VN"/>
              </w:rPr>
              <w:t>Thủ tục đăng ký thực hiện chương trình thưởng cổ phiếu phát hành ở nước ngoài có đối tượng tham gia là người lao động có quốc tịch Việt Nam</w:t>
            </w:r>
          </w:p>
        </w:tc>
        <w:tc>
          <w:tcPr>
            <w:tcW w:w="1276" w:type="dxa"/>
            <w:tcBorders>
              <w:top w:val="single" w:sz="4" w:space="0" w:color="auto"/>
              <w:left w:val="single" w:sz="4" w:space="0" w:color="auto"/>
              <w:bottom w:val="single" w:sz="4" w:space="0" w:color="auto"/>
              <w:right w:val="single" w:sz="4" w:space="0" w:color="auto"/>
            </w:tcBorders>
            <w:vAlign w:val="center"/>
          </w:tcPr>
          <w:p w:rsidR="0060488B" w:rsidRPr="00EC6D02" w:rsidRDefault="0060488B" w:rsidP="005751EE">
            <w:pPr>
              <w:pStyle w:val="ThngthngWeb"/>
              <w:spacing w:before="60" w:beforeAutospacing="0" w:after="60" w:afterAutospacing="0"/>
              <w:jc w:val="center"/>
              <w:rPr>
                <w:rStyle w:val="Nhnmanh"/>
                <w:i w:val="0"/>
                <w:color w:val="000000"/>
              </w:rPr>
            </w:pPr>
            <w:r>
              <w:rPr>
                <w:rStyle w:val="Nhnmanh"/>
                <w:i w:val="0"/>
                <w:color w:val="000000"/>
              </w:rPr>
              <w:t>2.</w:t>
            </w:r>
            <w:r w:rsidRPr="0060488B">
              <w:rPr>
                <w:rStyle w:val="Nhnmanh"/>
                <w:i w:val="0"/>
                <w:color w:val="000000"/>
              </w:rPr>
              <w:t>000553</w:t>
            </w:r>
          </w:p>
        </w:tc>
        <w:tc>
          <w:tcPr>
            <w:tcW w:w="992" w:type="dxa"/>
            <w:tcBorders>
              <w:top w:val="single" w:sz="4" w:space="0" w:color="auto"/>
              <w:left w:val="single" w:sz="4" w:space="0" w:color="auto"/>
              <w:bottom w:val="single" w:sz="4" w:space="0" w:color="auto"/>
              <w:right w:val="single" w:sz="4" w:space="0" w:color="auto"/>
            </w:tcBorders>
            <w:vAlign w:val="center"/>
          </w:tcPr>
          <w:p w:rsidR="0060488B" w:rsidRPr="00EC6D02" w:rsidRDefault="0060488B" w:rsidP="005751EE">
            <w:pPr>
              <w:pStyle w:val="ThngthngWeb"/>
              <w:spacing w:before="60" w:beforeAutospacing="0" w:after="60" w:afterAutospacing="0"/>
              <w:jc w:val="center"/>
              <w:rPr>
                <w:rStyle w:val="Nhnmanh"/>
                <w:i w:val="0"/>
                <w:color w:val="000000"/>
                <w:lang w:val="vi-VN"/>
              </w:rPr>
            </w:pPr>
            <w:r w:rsidRPr="00EC6D02">
              <w:rPr>
                <w:rStyle w:val="Nhnmanh"/>
                <w:i w:val="0"/>
                <w:color w:val="000000"/>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60488B" w:rsidRPr="0060488B" w:rsidRDefault="0060488B" w:rsidP="005751EE">
            <w:pPr>
              <w:pStyle w:val="ThngthngWeb"/>
              <w:spacing w:before="60" w:beforeAutospacing="0" w:after="60" w:afterAutospacing="0"/>
              <w:jc w:val="center"/>
              <w:rPr>
                <w:rStyle w:val="Nhnmanh"/>
                <w:i w:val="0"/>
                <w:lang w:val="vi-VN"/>
              </w:rPr>
            </w:pPr>
            <w:r w:rsidRPr="0060488B">
              <w:rPr>
                <w:rStyle w:val="Nhnmanh"/>
                <w:i w:val="0"/>
                <w:lang w:val="vi-VN"/>
              </w:rPr>
              <w:t>Vụ Quản lý ngoại hối</w:t>
            </w:r>
          </w:p>
        </w:tc>
        <w:tc>
          <w:tcPr>
            <w:tcW w:w="1134" w:type="dxa"/>
            <w:tcBorders>
              <w:top w:val="single" w:sz="4" w:space="0" w:color="auto"/>
              <w:left w:val="single" w:sz="4" w:space="0" w:color="auto"/>
              <w:bottom w:val="single" w:sz="4" w:space="0" w:color="auto"/>
              <w:right w:val="single" w:sz="4" w:space="0" w:color="auto"/>
            </w:tcBorders>
            <w:vAlign w:val="center"/>
          </w:tcPr>
          <w:p w:rsidR="0060488B" w:rsidRPr="0060488B" w:rsidRDefault="0060488B" w:rsidP="005751EE">
            <w:pPr>
              <w:pStyle w:val="ThngthngWeb"/>
              <w:spacing w:before="60" w:beforeAutospacing="0" w:after="60" w:afterAutospacing="0"/>
              <w:jc w:val="center"/>
              <w:rPr>
                <w:rStyle w:val="Nhnmanh"/>
                <w:i w:val="0"/>
                <w:color w:val="000000"/>
              </w:rPr>
            </w:pPr>
            <w:r>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60488B" w:rsidRPr="00EC6D02" w:rsidRDefault="0060488B" w:rsidP="005751EE">
            <w:pPr>
              <w:pStyle w:val="ThngthngWeb"/>
              <w:spacing w:before="60" w:beforeAutospacing="0" w:after="60" w:afterAutospacing="0"/>
              <w:jc w:val="center"/>
              <w:rPr>
                <w:rStyle w:val="Nhnmanh"/>
                <w:b/>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60488B" w:rsidRPr="00EC6D02" w:rsidRDefault="0060488B" w:rsidP="005751EE">
            <w:pPr>
              <w:pStyle w:val="ThngthngWeb"/>
              <w:spacing w:before="60" w:beforeAutospacing="0" w:after="60" w:afterAutospacing="0"/>
              <w:jc w:val="center"/>
              <w:rPr>
                <w:rStyle w:val="Nhnmanh"/>
                <w:b/>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60488B" w:rsidRPr="00EC6D02" w:rsidRDefault="0060488B" w:rsidP="005751EE">
            <w:pPr>
              <w:pStyle w:val="ThngthngWeb"/>
              <w:spacing w:before="60" w:beforeAutospacing="0" w:after="60" w:afterAutospacing="0"/>
              <w:jc w:val="center"/>
              <w:rPr>
                <w:rStyle w:val="Nhnmanh"/>
                <w:b/>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60488B" w:rsidRPr="0060488B" w:rsidRDefault="0060488B" w:rsidP="009F4223">
            <w:pPr>
              <w:pStyle w:val="ThngthngWeb"/>
              <w:spacing w:before="60" w:beforeAutospacing="0" w:after="60" w:afterAutospacing="0"/>
              <w:jc w:val="both"/>
              <w:rPr>
                <w:rStyle w:val="Nhnmanh"/>
                <w:i w:val="0"/>
                <w:color w:val="000000"/>
                <w:lang w:val="vi-VN"/>
              </w:rPr>
            </w:pPr>
            <w:r w:rsidRPr="0060488B">
              <w:rPr>
                <w:rStyle w:val="Nhnmanh"/>
                <w:i w:val="0"/>
                <w:color w:val="000000"/>
                <w:lang w:val="vi-VN"/>
              </w:rPr>
              <w:t>- Khoản 3 Điều 11, Điều 29  Thông tư 10/2016/TT-NHNN ngày 29/6/2016</w:t>
            </w:r>
          </w:p>
          <w:p w:rsidR="0060488B" w:rsidRPr="0060488B" w:rsidRDefault="0060488B" w:rsidP="009F4223">
            <w:pPr>
              <w:pStyle w:val="ThngthngWeb"/>
              <w:spacing w:before="60" w:beforeAutospacing="0" w:after="60" w:afterAutospacing="0"/>
              <w:jc w:val="both"/>
              <w:rPr>
                <w:rStyle w:val="Nhnmanh"/>
                <w:i w:val="0"/>
                <w:color w:val="000000"/>
                <w:lang w:val="vi-VN"/>
              </w:rPr>
            </w:pPr>
          </w:p>
        </w:tc>
      </w:tr>
      <w:tr w:rsidR="006C5049" w:rsidRPr="0024623E" w:rsidTr="00811248">
        <w:tc>
          <w:tcPr>
            <w:tcW w:w="671" w:type="dxa"/>
            <w:tcBorders>
              <w:top w:val="single" w:sz="4" w:space="0" w:color="auto"/>
              <w:left w:val="single" w:sz="4" w:space="0" w:color="auto"/>
              <w:bottom w:val="single" w:sz="4" w:space="0" w:color="auto"/>
              <w:right w:val="single" w:sz="4" w:space="0" w:color="auto"/>
            </w:tcBorders>
            <w:vAlign w:val="center"/>
            <w:hideMark/>
          </w:tcPr>
          <w:p w:rsidR="006C5049" w:rsidRPr="00EC6D02" w:rsidRDefault="006C5049" w:rsidP="005751EE">
            <w:pPr>
              <w:pStyle w:val="ThngthngWeb"/>
              <w:spacing w:before="60" w:beforeAutospacing="0" w:after="60" w:afterAutospacing="0"/>
              <w:jc w:val="center"/>
              <w:rPr>
                <w:rStyle w:val="Nhnmanh"/>
                <w:b/>
                <w:i w:val="0"/>
                <w:color w:val="000000"/>
              </w:rPr>
            </w:pPr>
            <w:r w:rsidRPr="00EC6D02">
              <w:rPr>
                <w:rStyle w:val="Nhnmanh"/>
                <w:b/>
                <w:i w:val="0"/>
                <w:color w:val="000000"/>
              </w:rPr>
              <w:t>II</w:t>
            </w:r>
          </w:p>
        </w:tc>
        <w:tc>
          <w:tcPr>
            <w:tcW w:w="13896" w:type="dxa"/>
            <w:gridSpan w:val="9"/>
            <w:tcBorders>
              <w:top w:val="single" w:sz="4" w:space="0" w:color="auto"/>
              <w:left w:val="single" w:sz="4" w:space="0" w:color="auto"/>
              <w:bottom w:val="single" w:sz="4" w:space="0" w:color="auto"/>
              <w:right w:val="single" w:sz="4" w:space="0" w:color="auto"/>
            </w:tcBorders>
            <w:vAlign w:val="center"/>
          </w:tcPr>
          <w:p w:rsidR="006C5049" w:rsidRPr="0024623E" w:rsidRDefault="006C5049" w:rsidP="006C5049">
            <w:pPr>
              <w:pStyle w:val="ThngthngWeb"/>
              <w:spacing w:before="60" w:beforeAutospacing="0" w:after="60" w:afterAutospacing="0"/>
              <w:rPr>
                <w:rStyle w:val="Nhnmanh"/>
                <w:b/>
                <w:i w:val="0"/>
                <w:color w:val="000000"/>
                <w:lang w:val="vi-VN"/>
              </w:rPr>
            </w:pPr>
            <w:r w:rsidRPr="00EC6D02">
              <w:rPr>
                <w:rStyle w:val="Nhnmanh"/>
                <w:b/>
                <w:i w:val="0"/>
                <w:color w:val="000000"/>
              </w:rPr>
              <w:t>Lĩnh vực thành lập và hoạt động ngân hàng</w:t>
            </w:r>
          </w:p>
        </w:tc>
      </w:tr>
      <w:tr w:rsidR="002D3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2D3A03" w:rsidRPr="00EC6D02" w:rsidRDefault="005E23D3" w:rsidP="005751EE">
            <w:pPr>
              <w:pStyle w:val="ThngthngWeb"/>
              <w:spacing w:before="60" w:beforeAutospacing="0" w:after="60" w:afterAutospacing="0"/>
              <w:jc w:val="center"/>
              <w:rPr>
                <w:rStyle w:val="Nhnmanh"/>
                <w:i w:val="0"/>
                <w:color w:val="000000"/>
              </w:rPr>
            </w:pPr>
            <w:r>
              <w:rPr>
                <w:rStyle w:val="Nhnmanh"/>
                <w:i w:val="0"/>
                <w:color w:val="000000"/>
              </w:rPr>
              <w:t>1</w:t>
            </w:r>
          </w:p>
        </w:tc>
        <w:tc>
          <w:tcPr>
            <w:tcW w:w="1705"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both"/>
              <w:rPr>
                <w:rStyle w:val="Nhnmanh"/>
                <w:b/>
                <w:i w:val="0"/>
                <w:color w:val="000000"/>
                <w:lang w:val="vi-VN"/>
              </w:rPr>
            </w:pPr>
            <w:r w:rsidRPr="00EC6D02">
              <w:rPr>
                <w:rFonts w:eastAsia="Times New Roman"/>
              </w:rPr>
              <w:t>Thủ tục tự nguyện chấm dứt hoạt động phòng giao dịch bưu điện</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rPr>
              <w:t>1.001201</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811248" w:rsidP="005751EE">
            <w:pPr>
              <w:pStyle w:val="ThngthngWeb"/>
              <w:spacing w:before="60" w:beforeAutospacing="0" w:after="60" w:afterAutospacing="0"/>
              <w:jc w:val="center"/>
              <w:rPr>
                <w:rStyle w:val="Nhnmanh"/>
                <w:i w:val="0"/>
                <w:color w:val="00000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2D3A03" w:rsidRPr="002D3A03" w:rsidRDefault="002D3A03" w:rsidP="005751EE">
            <w:pPr>
              <w:spacing w:before="120" w:after="0" w:line="240" w:lineRule="auto"/>
              <w:jc w:val="both"/>
              <w:rPr>
                <w:rFonts w:eastAsia="Times New Roman"/>
                <w:sz w:val="24"/>
                <w:szCs w:val="24"/>
                <w:lang w:val="vi-VN"/>
              </w:rPr>
            </w:pPr>
            <w:r w:rsidRPr="002D3A03">
              <w:rPr>
                <w:rStyle w:val="bold"/>
                <w:rFonts w:eastAsia="Times New Roman"/>
                <w:sz w:val="24"/>
                <w:szCs w:val="24"/>
                <w:lang w:val="vi-VN"/>
              </w:rPr>
              <w:t>Dự kiến sửa đổi Thông tư số 43/2015/TT-NHNN ngày 31/12/2015 quy định về tổ chức và hoạt động của phòng giao dịch bưu điện trực thuộc Ngân hàng thương mại cổ phần Bưu điện Liên Việt như sau:</w:t>
            </w:r>
          </w:p>
          <w:p w:rsidR="002D3A03" w:rsidRPr="002D3A03" w:rsidRDefault="002D3A03" w:rsidP="005751EE">
            <w:pPr>
              <w:pStyle w:val="italic1"/>
              <w:spacing w:before="120" w:after="0"/>
              <w:jc w:val="both"/>
              <w:rPr>
                <w:sz w:val="24"/>
                <w:szCs w:val="24"/>
                <w:lang w:val="vi-VN"/>
              </w:rPr>
            </w:pPr>
            <w:r w:rsidRPr="002D3A03">
              <w:rPr>
                <w:sz w:val="24"/>
                <w:szCs w:val="24"/>
                <w:lang w:val="vi-VN"/>
              </w:rPr>
              <w:t>- Khoản 7 Điều 3: Bãi bỏ cụm từ “nơi không có Cục Thanh tra, giám sát ngân hàng”</w:t>
            </w:r>
          </w:p>
          <w:p w:rsidR="002D3A03" w:rsidRPr="002D3A03" w:rsidRDefault="002D3A03" w:rsidP="005751EE">
            <w:pPr>
              <w:pStyle w:val="italic1"/>
              <w:spacing w:before="120" w:after="0"/>
              <w:jc w:val="both"/>
              <w:rPr>
                <w:sz w:val="24"/>
                <w:szCs w:val="24"/>
                <w:lang w:val="vi-VN"/>
              </w:rPr>
            </w:pPr>
            <w:r w:rsidRPr="002D3A03">
              <w:rPr>
                <w:sz w:val="24"/>
                <w:szCs w:val="24"/>
                <w:lang w:val="vi-VN"/>
              </w:rPr>
              <w:t xml:space="preserve">- Khoản 2 Điều 4: Cụm từ “Chánh Thanh tra, giám sát ngân hàng (trong trường hợp phòng giao dịch bưu điện đặt trụ sở tại tỉnh, thành phố nơi có Cục Thanh tra, giám sát ngân hàng), Giám đốc Ngân hàng Nhà nước chi nhánh (trong trường hợp phòng giao dịch bưu điện đặt trụ sở tại tỉnh, thành phố nơi không có Cục Thanh tra, giám sát ngân hàng)” được sửa đổi thành “Giám đốc Ngân hàng Nhà nước chi nhánh nơi </w:t>
            </w:r>
            <w:r w:rsidRPr="002D3A03">
              <w:rPr>
                <w:sz w:val="24"/>
                <w:szCs w:val="24"/>
                <w:lang w:val="vi-VN"/>
              </w:rPr>
              <w:lastRenderedPageBreak/>
              <w:t>phòng giao dịch bưu điện đặt trụ sở”.</w:t>
            </w:r>
          </w:p>
          <w:p w:rsidR="002D3A03" w:rsidRPr="002D3A03" w:rsidRDefault="002D3A03" w:rsidP="005751EE">
            <w:pPr>
              <w:pStyle w:val="italic1"/>
              <w:spacing w:before="120" w:after="0"/>
              <w:jc w:val="both"/>
              <w:rPr>
                <w:sz w:val="24"/>
                <w:szCs w:val="24"/>
                <w:lang w:val="vi-VN"/>
              </w:rPr>
            </w:pPr>
            <w:r w:rsidRPr="002D3A03">
              <w:rPr>
                <w:sz w:val="24"/>
                <w:szCs w:val="24"/>
                <w:lang w:val="vi-VN"/>
              </w:rPr>
              <w:t>- Khoản 3 Điều 14: Bãi bỏ cụm từ “Cục Thanh tra, giám sát ngân hàng”</w:t>
            </w:r>
          </w:p>
          <w:p w:rsidR="002D3A03" w:rsidRPr="002D3A03" w:rsidRDefault="002D3A03" w:rsidP="005751EE">
            <w:pPr>
              <w:pStyle w:val="italic1"/>
              <w:spacing w:before="120" w:after="0"/>
              <w:jc w:val="both"/>
              <w:rPr>
                <w:sz w:val="24"/>
                <w:szCs w:val="24"/>
                <w:lang w:val="vi-VN"/>
              </w:rPr>
            </w:pPr>
            <w:r w:rsidRPr="002D3A03">
              <w:rPr>
                <w:sz w:val="24"/>
                <w:szCs w:val="24"/>
                <w:lang w:val="vi-VN"/>
              </w:rPr>
              <w:t>- Khoản 2 Điều 14: Bãi bỏ cụm từ “hoặc Cục Thanh tra, giám sát ngân hàng”</w:t>
            </w:r>
          </w:p>
          <w:p w:rsidR="002D3A03" w:rsidRPr="00940485" w:rsidRDefault="002D3A03" w:rsidP="005751EE">
            <w:pPr>
              <w:pStyle w:val="ThngthngWeb"/>
              <w:spacing w:before="120" w:beforeAutospacing="0" w:afterAutospacing="0"/>
              <w:jc w:val="both"/>
              <w:rPr>
                <w:rStyle w:val="Nhnmanh"/>
                <w:i w:val="0"/>
                <w:color w:val="000000"/>
                <w:lang w:val="vi-VN"/>
              </w:rPr>
            </w:pPr>
            <w:r w:rsidRPr="002D3A03">
              <w:rPr>
                <w:lang w:val="vi-VN"/>
              </w:rPr>
              <w:t>- Khoản 3 Điều 14: Bãi bỏ cụm từ “hoặc Cục Thanh tra, giám sát ngân hàng”</w:t>
            </w:r>
          </w:p>
        </w:tc>
      </w:tr>
      <w:tr w:rsidR="002D3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2D3A03" w:rsidRPr="00EC6D02" w:rsidRDefault="005E23D3" w:rsidP="005751EE">
            <w:pPr>
              <w:pStyle w:val="ThngthngWeb"/>
              <w:spacing w:before="60" w:beforeAutospacing="0" w:after="60" w:afterAutospacing="0"/>
              <w:jc w:val="center"/>
              <w:rPr>
                <w:rStyle w:val="Nhnmanh"/>
                <w:i w:val="0"/>
                <w:color w:val="000000"/>
              </w:rPr>
            </w:pPr>
            <w:r>
              <w:rPr>
                <w:rStyle w:val="Nhnmanh"/>
                <w:i w:val="0"/>
                <w:color w:val="000000"/>
              </w:rPr>
              <w:lastRenderedPageBreak/>
              <w:t>2</w:t>
            </w:r>
          </w:p>
        </w:tc>
        <w:tc>
          <w:tcPr>
            <w:tcW w:w="1705"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both"/>
              <w:rPr>
                <w:rStyle w:val="Nhnmanh"/>
                <w:b/>
                <w:i w:val="0"/>
                <w:color w:val="000000"/>
                <w:lang w:val="vi-VN"/>
              </w:rPr>
            </w:pPr>
            <w:r w:rsidRPr="00EC6D02">
              <w:rPr>
                <w:rFonts w:eastAsia="Times New Roman"/>
              </w:rPr>
              <w:t>Thủ tục xác nhận đủ điều kiện khai trương hoạt động phòng giao dịch bưu điện</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rPr>
              <w:t>1.001508</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811248" w:rsidP="005751EE">
            <w:pPr>
              <w:pStyle w:val="ThngthngWeb"/>
              <w:spacing w:before="60" w:beforeAutospacing="0" w:after="60" w:afterAutospacing="0"/>
              <w:jc w:val="center"/>
              <w:rPr>
                <w:rStyle w:val="Nhnmanh"/>
                <w:i w:val="0"/>
                <w:color w:val="00000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2D3A03" w:rsidRPr="002D3A03" w:rsidRDefault="002D3A03" w:rsidP="005751EE">
            <w:pPr>
              <w:spacing w:before="120" w:after="0" w:line="240" w:lineRule="auto"/>
              <w:jc w:val="both"/>
              <w:rPr>
                <w:rFonts w:eastAsia="Times New Roman"/>
                <w:sz w:val="24"/>
                <w:szCs w:val="24"/>
                <w:lang w:val="vi-VN"/>
              </w:rPr>
            </w:pPr>
            <w:r w:rsidRPr="002D3A03">
              <w:rPr>
                <w:rStyle w:val="bold"/>
                <w:rFonts w:eastAsia="Times New Roman"/>
                <w:sz w:val="24"/>
                <w:szCs w:val="24"/>
                <w:lang w:val="vi-VN"/>
              </w:rPr>
              <w:t>Dự kiến sửa đổi Thông tư số 43/2015/TT-NHNN như sau:</w:t>
            </w:r>
          </w:p>
          <w:p w:rsidR="002D3A03" w:rsidRPr="002D3A03" w:rsidRDefault="002D3A03" w:rsidP="005751EE">
            <w:pPr>
              <w:pStyle w:val="italic1"/>
              <w:spacing w:before="120" w:after="0"/>
              <w:jc w:val="both"/>
              <w:rPr>
                <w:sz w:val="24"/>
                <w:szCs w:val="24"/>
                <w:lang w:val="vi-VN"/>
              </w:rPr>
            </w:pPr>
            <w:r w:rsidRPr="002D3A03">
              <w:rPr>
                <w:sz w:val="24"/>
                <w:szCs w:val="24"/>
                <w:lang w:val="vi-VN"/>
              </w:rPr>
              <w:t xml:space="preserve">- Khoản 7 Điều 3 Bãi bỏ cụm từ “nơi không có Cục Thanh tra, giám sát ngân hàng” </w:t>
            </w:r>
          </w:p>
          <w:p w:rsidR="002D3A03" w:rsidRPr="00940485" w:rsidRDefault="002D3A03" w:rsidP="005751EE">
            <w:pPr>
              <w:pStyle w:val="ThngthngWeb"/>
              <w:spacing w:before="120" w:beforeAutospacing="0" w:afterAutospacing="0"/>
              <w:jc w:val="both"/>
              <w:rPr>
                <w:rStyle w:val="Nhnmanh"/>
                <w:i w:val="0"/>
                <w:color w:val="000000"/>
                <w:lang w:val="vi-VN"/>
              </w:rPr>
            </w:pPr>
            <w:r w:rsidRPr="002D3A03">
              <w:rPr>
                <w:lang w:val="vi-VN"/>
              </w:rPr>
              <w:t>- Khoản 2 Điều 4 Cụm từ “Chánh Thanh tra, giám sát ngân hàng (trong trường hợp phòng giao dịch bưu điện đặt trụ sở tại tỉnh, thành phố nơi có Cục Thanh tra, giám sát ngân hàng), Giám đốc Ngân hàng Nhà nước chi nhánh (trong trường hợp phòng giao dịch bưu điện đặt trụ sở tại tỉnh, thành phố nơi không có Cục Thanh tra, giám sát ngân hàng)” được sửa đổi thành “Giám đốc Ngân hàng Nhà nước chi nhánh nơi phòng giao dịch bưu điện đặt trụ sở”.</w:t>
            </w:r>
          </w:p>
        </w:tc>
      </w:tr>
      <w:tr w:rsidR="002D3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2D3A03" w:rsidRPr="00EC6D02" w:rsidRDefault="005E23D3" w:rsidP="005751EE">
            <w:pPr>
              <w:pStyle w:val="ThngthngWeb"/>
              <w:spacing w:before="60" w:beforeAutospacing="0" w:after="60" w:afterAutospacing="0"/>
              <w:jc w:val="center"/>
              <w:rPr>
                <w:rStyle w:val="Nhnmanh"/>
                <w:i w:val="0"/>
                <w:color w:val="000000"/>
              </w:rPr>
            </w:pPr>
            <w:r>
              <w:rPr>
                <w:rStyle w:val="Nhnmanh"/>
                <w:i w:val="0"/>
                <w:color w:val="000000"/>
              </w:rPr>
              <w:t>3</w:t>
            </w:r>
          </w:p>
        </w:tc>
        <w:tc>
          <w:tcPr>
            <w:tcW w:w="1705"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both"/>
              <w:rPr>
                <w:rStyle w:val="Nhnmanh"/>
                <w:b/>
                <w:i w:val="0"/>
                <w:color w:val="000000"/>
                <w:lang w:val="vi-VN"/>
              </w:rPr>
            </w:pPr>
            <w:r w:rsidRPr="00EC6D02">
              <w:t xml:space="preserve">Thủ tục xác nhận đủ điều kiện hoạt động tại địa điểm mới đối với phòng giao </w:t>
            </w:r>
            <w:r w:rsidRPr="00EC6D02">
              <w:lastRenderedPageBreak/>
              <w:t>dịch bưu điện thay đổi địa điểm</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lastRenderedPageBreak/>
              <w:t>1.001300</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811248" w:rsidP="005751EE">
            <w:pPr>
              <w:pStyle w:val="ThngthngWeb"/>
              <w:spacing w:before="60" w:beforeAutospacing="0" w:after="60" w:afterAutospacing="0"/>
              <w:jc w:val="center"/>
              <w:rPr>
                <w:rStyle w:val="Nhnmanh"/>
                <w:i w:val="0"/>
                <w:color w:val="00000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2D3A03" w:rsidRPr="002D3A03" w:rsidRDefault="002D3A03" w:rsidP="005751EE">
            <w:pPr>
              <w:spacing w:before="120" w:after="0" w:line="240" w:lineRule="auto"/>
              <w:jc w:val="both"/>
              <w:rPr>
                <w:sz w:val="24"/>
                <w:szCs w:val="24"/>
                <w:lang w:val="vi-VN"/>
              </w:rPr>
            </w:pPr>
            <w:r w:rsidRPr="002D3A03">
              <w:rPr>
                <w:rStyle w:val="bold"/>
                <w:sz w:val="24"/>
                <w:szCs w:val="24"/>
                <w:lang w:val="vi-VN"/>
              </w:rPr>
              <w:t>Dự kiến sửa đổi Thông tư số 43/2015/TT-NHNN như sau:</w:t>
            </w:r>
          </w:p>
          <w:p w:rsidR="002D3A03" w:rsidRPr="002D3A03" w:rsidRDefault="002D3A03" w:rsidP="005751EE">
            <w:pPr>
              <w:pStyle w:val="italic1"/>
              <w:spacing w:before="120" w:after="0"/>
              <w:jc w:val="both"/>
              <w:rPr>
                <w:sz w:val="24"/>
                <w:szCs w:val="24"/>
                <w:lang w:val="vi-VN"/>
              </w:rPr>
            </w:pPr>
            <w:r w:rsidRPr="002D3A03">
              <w:rPr>
                <w:sz w:val="24"/>
                <w:szCs w:val="24"/>
                <w:lang w:val="vi-VN"/>
              </w:rPr>
              <w:t>- Khoản 7 Điều 3 Bãi bỏ cụm từ “nơi không có Cục Thanh tra, giám sát ngân hàng”</w:t>
            </w:r>
          </w:p>
          <w:p w:rsidR="002D3A03" w:rsidRPr="002D3A03" w:rsidRDefault="002D3A03" w:rsidP="005751EE">
            <w:pPr>
              <w:pStyle w:val="italic1"/>
              <w:spacing w:before="120" w:after="0"/>
              <w:jc w:val="both"/>
              <w:rPr>
                <w:sz w:val="24"/>
                <w:szCs w:val="24"/>
                <w:lang w:val="vi-VN"/>
              </w:rPr>
            </w:pPr>
            <w:r w:rsidRPr="002D3A03">
              <w:rPr>
                <w:sz w:val="24"/>
                <w:szCs w:val="24"/>
                <w:lang w:val="vi-VN"/>
              </w:rPr>
              <w:lastRenderedPageBreak/>
              <w:t>- Khoản 2 Điều 4 Cụm từ “Chánh Thanh tra, giám sát ngân hàng (trong trường hợp phòng giao dịch bưu điện đặt trụ sở tại tỉnh, thành phố nơi có Cục Thanh tra, giám sát ngân hàng), Giám đốc Ngân hàng Nhà nước chi nhánh (trong trường hợp phòng giao dịch bưu điện đặt trụ sở tại tỉnh, thành phố nơi không có Cục Thanh tra, giám sát ngân hàng)” được sửa đổi thành “Giám đốc Ngân hàng Nhà nước chi nhánh nơi phòng giao dịch bưu điện đặt trụ sở”.</w:t>
            </w:r>
          </w:p>
          <w:p w:rsidR="002D3A03" w:rsidRPr="002D3A03" w:rsidRDefault="002D3A03" w:rsidP="005751EE">
            <w:pPr>
              <w:pStyle w:val="italic1"/>
              <w:spacing w:before="120" w:after="0"/>
              <w:jc w:val="both"/>
              <w:rPr>
                <w:sz w:val="24"/>
                <w:szCs w:val="24"/>
                <w:lang w:val="vi-VN"/>
              </w:rPr>
            </w:pPr>
            <w:r w:rsidRPr="002D3A03">
              <w:rPr>
                <w:sz w:val="24"/>
                <w:szCs w:val="24"/>
                <w:lang w:val="vi-VN"/>
              </w:rPr>
              <w:t>- Khoản 4 Điều 10 Bãi bỏ cụm từ “Cục Thanh tra, giám sát ngân hàng”</w:t>
            </w:r>
          </w:p>
          <w:p w:rsidR="002D3A03" w:rsidRPr="00940485" w:rsidRDefault="002D3A03" w:rsidP="005751EE">
            <w:pPr>
              <w:pStyle w:val="ThngthngWeb"/>
              <w:spacing w:before="120" w:beforeAutospacing="0" w:afterAutospacing="0"/>
              <w:jc w:val="both"/>
              <w:rPr>
                <w:rStyle w:val="Nhnmanh"/>
                <w:i w:val="0"/>
                <w:color w:val="000000"/>
                <w:lang w:val="vi-VN"/>
              </w:rPr>
            </w:pPr>
            <w:r w:rsidRPr="002D3A03">
              <w:rPr>
                <w:lang w:val="vi-VN"/>
              </w:rPr>
              <w:t>- Khoản 3 Điều 10 Bãi bỏ cụm từ “hoặc Cục Thanh tra, giám sát ngân hàng”</w:t>
            </w:r>
          </w:p>
        </w:tc>
      </w:tr>
      <w:tr w:rsidR="002D3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2D3A03" w:rsidRPr="00EC6D02" w:rsidRDefault="005E23D3" w:rsidP="005751EE">
            <w:pPr>
              <w:pStyle w:val="ThngthngWeb"/>
              <w:spacing w:before="60" w:beforeAutospacing="0" w:after="60" w:afterAutospacing="0"/>
              <w:jc w:val="center"/>
              <w:rPr>
                <w:rStyle w:val="Nhnmanh"/>
                <w:i w:val="0"/>
                <w:color w:val="000000"/>
              </w:rPr>
            </w:pPr>
            <w:r>
              <w:rPr>
                <w:rStyle w:val="Nhnmanh"/>
                <w:i w:val="0"/>
                <w:color w:val="000000"/>
              </w:rPr>
              <w:lastRenderedPageBreak/>
              <w:t>4</w:t>
            </w:r>
          </w:p>
        </w:tc>
        <w:tc>
          <w:tcPr>
            <w:tcW w:w="1705"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both"/>
              <w:rPr>
                <w:rStyle w:val="Nhnmanh"/>
                <w:b/>
                <w:i w:val="0"/>
                <w:color w:val="000000"/>
              </w:rPr>
            </w:pPr>
            <w:r w:rsidRPr="00EC6D02">
              <w:t>Thủ tục thay đổi địa chỉ đặt trụ sở chi nhánh do thay đổi địa giới hành chính (không thay đổi địa điểm đặt trụ sở chi nhánh) của tổ chức tín dụng phi ngân hàng</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t>1.001655</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lang w:val="vi-V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811248" w:rsidP="005751EE">
            <w:pPr>
              <w:pStyle w:val="ThngthngWeb"/>
              <w:spacing w:before="60" w:beforeAutospacing="0" w:after="60" w:afterAutospacing="0"/>
              <w:jc w:val="center"/>
              <w:rPr>
                <w:rStyle w:val="Nhnmanh"/>
                <w:i w:val="0"/>
                <w:color w:val="00000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2D3A03" w:rsidRPr="002D3A03" w:rsidRDefault="002D3A03" w:rsidP="005751EE">
            <w:pPr>
              <w:spacing w:before="120" w:after="0" w:line="240" w:lineRule="auto"/>
              <w:jc w:val="both"/>
              <w:rPr>
                <w:rStyle w:val="bold"/>
                <w:sz w:val="24"/>
                <w:szCs w:val="24"/>
                <w:lang w:val="vi-VN"/>
              </w:rPr>
            </w:pPr>
            <w:r w:rsidRPr="002D3A03">
              <w:rPr>
                <w:rStyle w:val="bold"/>
                <w:sz w:val="24"/>
                <w:szCs w:val="24"/>
                <w:lang w:val="vi-VN"/>
              </w:rPr>
              <w:t xml:space="preserve">Sửa đổi Thông tư số 53/2018/TT-NHNN ngày 31/12/2018 quy định về mạng lưới hoạt động của tổ chức tín dụng phi ngân hàng như sau: </w:t>
            </w:r>
          </w:p>
          <w:p w:rsidR="002D3A03" w:rsidRPr="002D3A03" w:rsidRDefault="002D3A03" w:rsidP="005751EE">
            <w:pPr>
              <w:spacing w:before="120" w:after="0" w:line="240" w:lineRule="auto"/>
              <w:jc w:val="both"/>
              <w:rPr>
                <w:rFonts w:eastAsia="Times New Roman"/>
                <w:sz w:val="24"/>
                <w:szCs w:val="24"/>
                <w:lang w:val="vi-VN"/>
              </w:rPr>
            </w:pPr>
            <w:r w:rsidRPr="002D3A03">
              <w:rPr>
                <w:sz w:val="24"/>
                <w:szCs w:val="24"/>
                <w:lang w:val="vi-VN"/>
              </w:rPr>
              <w:t>- Khoản 6 Điều 13: Sửa đổi "Cục Thanh tra, giám sát ngân hàng hoặc Ngân hàng Nhà nước chi nhánh (nơi không có Cục Thanh tra, giám sát ngân hàng)" thành "Ngân hàng Nhà nước chi nhánh".</w:t>
            </w:r>
          </w:p>
          <w:p w:rsidR="002D3A03" w:rsidRPr="00940485" w:rsidRDefault="002D3A03" w:rsidP="005751EE">
            <w:pPr>
              <w:pStyle w:val="ThngthngWeb"/>
              <w:spacing w:before="120" w:beforeAutospacing="0" w:afterAutospacing="0"/>
              <w:jc w:val="both"/>
              <w:rPr>
                <w:rStyle w:val="Nhnmanh"/>
                <w:i w:val="0"/>
                <w:color w:val="000000"/>
                <w:lang w:val="vi-VN"/>
              </w:rPr>
            </w:pPr>
            <w:r w:rsidRPr="002D3A03">
              <w:rPr>
                <w:lang w:val="vi-VN"/>
              </w:rPr>
              <w:t>- Khoản 6 Điều 13: Bỏ cụm từ "hoặc Cục Thanh tra, giám sát ngân hàng"</w:t>
            </w:r>
          </w:p>
        </w:tc>
      </w:tr>
      <w:tr w:rsidR="002D3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2D3A03" w:rsidRPr="00EC6D02" w:rsidRDefault="005E23D3" w:rsidP="005751EE">
            <w:pPr>
              <w:pStyle w:val="ThngthngWeb"/>
              <w:spacing w:before="60" w:beforeAutospacing="0" w:after="60" w:afterAutospacing="0"/>
              <w:jc w:val="center"/>
              <w:rPr>
                <w:rStyle w:val="Nhnmanh"/>
                <w:i w:val="0"/>
                <w:color w:val="000000"/>
              </w:rPr>
            </w:pPr>
            <w:r>
              <w:rPr>
                <w:rStyle w:val="Nhnmanh"/>
                <w:i w:val="0"/>
                <w:color w:val="000000"/>
              </w:rPr>
              <w:t>5</w:t>
            </w:r>
          </w:p>
        </w:tc>
        <w:tc>
          <w:tcPr>
            <w:tcW w:w="1705"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both"/>
            </w:pPr>
            <w:r w:rsidRPr="00EC6D02">
              <w:rPr>
                <w:rFonts w:eastAsia="Times New Roman"/>
              </w:rPr>
              <w:t xml:space="preserve">Thủ tục thay đổi địa điểm đặt trụ sở chi </w:t>
            </w:r>
            <w:r w:rsidRPr="00EC6D02">
              <w:rPr>
                <w:rFonts w:eastAsia="Times New Roman"/>
              </w:rPr>
              <w:lastRenderedPageBreak/>
              <w:t>nhánh của tổ chức tín dụng phi ngân hàng</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pPr>
            <w:r w:rsidRPr="00EC6D02">
              <w:rPr>
                <w:rFonts w:eastAsia="Times New Roman"/>
              </w:rPr>
              <w:lastRenderedPageBreak/>
              <w:t>1.001668</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rPr>
              <w:t xml:space="preserve">Ngân hàng Nhà </w:t>
            </w:r>
            <w:r w:rsidRPr="00EC6D02">
              <w:rPr>
                <w:rFonts w:eastAsia="Times New Roman"/>
              </w:rPr>
              <w:lastRenderedPageBreak/>
              <w:t>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811248" w:rsidP="005751EE">
            <w:pPr>
              <w:pStyle w:val="ThngthngWeb"/>
              <w:spacing w:before="60" w:beforeAutospacing="0" w:after="60" w:afterAutospacing="0"/>
              <w:jc w:val="center"/>
              <w:rPr>
                <w:rStyle w:val="Nhnmanh"/>
                <w:i w:val="0"/>
                <w:color w:val="000000"/>
                <w:lang w:val="vi-VN"/>
              </w:rPr>
            </w:pPr>
            <w:r w:rsidRPr="00EC6D02">
              <w:rPr>
                <w:rStyle w:val="Nhnmanh"/>
                <w:i w:val="0"/>
                <w:lang w:val="vi-VN"/>
              </w:rPr>
              <w:lastRenderedPageBreak/>
              <w:t xml:space="preserve">NHNN Chi nhánh tỉnh, thành </w:t>
            </w:r>
            <w:r w:rsidRPr="00EC6D02">
              <w:rPr>
                <w:rStyle w:val="Nhnmanh"/>
                <w:i w:val="0"/>
                <w:lang w:val="vi-VN"/>
              </w:rPr>
              <w:lastRenderedPageBreak/>
              <w:t>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rPr>
            </w:pPr>
            <w:r w:rsidRPr="00EC6D02">
              <w:rPr>
                <w:rStyle w:val="Nhnmanh"/>
                <w:i w:val="0"/>
                <w:color w:val="000000"/>
              </w:rPr>
              <w:lastRenderedPageBreak/>
              <w:t>Không</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2D3A03" w:rsidRPr="002D3A03" w:rsidRDefault="002D3A03" w:rsidP="005751EE">
            <w:pPr>
              <w:spacing w:before="120" w:after="0" w:line="240" w:lineRule="auto"/>
              <w:jc w:val="both"/>
              <w:rPr>
                <w:sz w:val="24"/>
                <w:szCs w:val="24"/>
                <w:lang w:val="vi-VN"/>
              </w:rPr>
            </w:pPr>
            <w:r w:rsidRPr="002D3A03">
              <w:rPr>
                <w:rStyle w:val="bold"/>
                <w:sz w:val="24"/>
                <w:szCs w:val="24"/>
                <w:lang w:val="vi-VN"/>
              </w:rPr>
              <w:t>Sửa đổi Thông tư số 53/2018/TT-NHNN như sau:</w:t>
            </w:r>
          </w:p>
          <w:p w:rsidR="002D3A03" w:rsidRPr="002D3A03" w:rsidRDefault="002D3A03" w:rsidP="005751EE">
            <w:pPr>
              <w:pStyle w:val="italic1"/>
              <w:spacing w:before="120" w:after="0"/>
              <w:jc w:val="both"/>
              <w:rPr>
                <w:sz w:val="24"/>
                <w:szCs w:val="24"/>
                <w:lang w:val="vi-VN"/>
              </w:rPr>
            </w:pPr>
            <w:r w:rsidRPr="002D3A03">
              <w:rPr>
                <w:sz w:val="24"/>
                <w:szCs w:val="24"/>
                <w:lang w:val="vi-VN"/>
              </w:rPr>
              <w:lastRenderedPageBreak/>
              <w:t>- Khoản 2 Điều 4: Bỏ cụm từ "nơi không có Cục Thanh tra, giám sát ngân hàng hoặc Cục trưởng Cục Thanh tra, giám sát ngân hàng (nơi có Cục Thanh tra, giám sát ngân hàng)".</w:t>
            </w:r>
          </w:p>
          <w:p w:rsidR="002D3A03" w:rsidRPr="002D3A03" w:rsidRDefault="002D3A03" w:rsidP="005751EE">
            <w:pPr>
              <w:pStyle w:val="italic1"/>
              <w:spacing w:before="120" w:after="0"/>
              <w:jc w:val="both"/>
              <w:rPr>
                <w:sz w:val="24"/>
                <w:szCs w:val="24"/>
                <w:lang w:val="vi-VN"/>
              </w:rPr>
            </w:pPr>
            <w:r w:rsidRPr="002D3A03">
              <w:rPr>
                <w:sz w:val="24"/>
                <w:szCs w:val="24"/>
                <w:lang w:val="vi-VN"/>
              </w:rPr>
              <w:t>- Điểm a Khoản 3 Điều 13: sửa cụm từ "Cục Thanh tra, giám sát ngân hàng hoặc Ngân hàng Nhà nước chi nhánh (nơi không có Cục Thanh tra, giám sát ngân hàng)" thành "Ngân hàng Nhà nước chi nhánh"; bỏ cụm từ "Cục Thanh tra giám sát ngân hàng hoặc "</w:t>
            </w:r>
          </w:p>
          <w:p w:rsidR="002D3A03" w:rsidRPr="002D3A03" w:rsidRDefault="002D3A03" w:rsidP="005751EE">
            <w:pPr>
              <w:spacing w:before="120" w:after="0" w:line="240" w:lineRule="auto"/>
              <w:jc w:val="both"/>
              <w:rPr>
                <w:rStyle w:val="bold"/>
                <w:sz w:val="24"/>
                <w:szCs w:val="24"/>
                <w:lang w:val="vi-VN"/>
              </w:rPr>
            </w:pPr>
            <w:r w:rsidRPr="002D3A03">
              <w:rPr>
                <w:sz w:val="24"/>
                <w:szCs w:val="24"/>
                <w:lang w:val="vi-VN"/>
              </w:rPr>
              <w:t>- Điểm b Khoản 3 Điều 13: Sửa cụm từ "Cục Thanh tra, giám sát ngân hàng hoặc Ngân hàng Nhà nước chi nhánh (nơi không có Cục Thanh tra, giám sát ngân hàng)" thành "Ngân hàng Nhà nước chi nhánh"</w:t>
            </w:r>
          </w:p>
        </w:tc>
      </w:tr>
      <w:tr w:rsidR="002D3A03"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2D3A03" w:rsidRPr="00EC6D02" w:rsidRDefault="005E23D3" w:rsidP="005751EE">
            <w:pPr>
              <w:pStyle w:val="ThngthngWeb"/>
              <w:spacing w:before="60" w:beforeAutospacing="0" w:after="60" w:afterAutospacing="0"/>
              <w:jc w:val="center"/>
              <w:rPr>
                <w:rStyle w:val="Nhnmanh"/>
                <w:i w:val="0"/>
                <w:color w:val="000000"/>
              </w:rPr>
            </w:pPr>
            <w:r>
              <w:rPr>
                <w:rStyle w:val="Nhnmanh"/>
                <w:i w:val="0"/>
                <w:color w:val="000000"/>
              </w:rPr>
              <w:lastRenderedPageBreak/>
              <w:t>6</w:t>
            </w:r>
          </w:p>
        </w:tc>
        <w:tc>
          <w:tcPr>
            <w:tcW w:w="1705"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both"/>
              <w:rPr>
                <w:rFonts w:eastAsia="Times New Roman"/>
              </w:rPr>
            </w:pPr>
            <w:r w:rsidRPr="00EC6D02">
              <w:rPr>
                <w:rFonts w:eastAsia="Times New Roman"/>
              </w:rPr>
              <w:t>Thủ tục tự nguyện chấm dứt hoạt động, giải thể chi nhánh của tổ chức tín dụng phi ngân hàng</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Fonts w:eastAsia="Times New Roman"/>
              </w:rPr>
            </w:pPr>
            <w:r w:rsidRPr="00EC6D02">
              <w:rPr>
                <w:rFonts w:eastAsia="Times New Roman"/>
              </w:rPr>
              <w:t>1.001650</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r w:rsidRPr="00EC6D02">
              <w:rPr>
                <w:rFonts w:eastAsia="Times New Roman"/>
              </w:rPr>
              <w:t>Ngân hàng Nhà nước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D3A03" w:rsidRPr="00EC6D02" w:rsidRDefault="00811248" w:rsidP="005751EE">
            <w:pPr>
              <w:pStyle w:val="ThngthngWeb"/>
              <w:spacing w:before="60" w:beforeAutospacing="0" w:after="60" w:afterAutospacing="0"/>
              <w:jc w:val="center"/>
              <w:rPr>
                <w:rStyle w:val="Nhnmanh"/>
                <w:i w:val="0"/>
                <w:color w:val="000000"/>
                <w:lang w:val="vi-VN"/>
              </w:rPr>
            </w:pPr>
            <w:r w:rsidRPr="00EC6D02">
              <w:rPr>
                <w:rStyle w:val="Nhnmanh"/>
                <w:i w:val="0"/>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2D3A03" w:rsidRPr="00EC6D02" w:rsidRDefault="002D3A03" w:rsidP="005751EE">
            <w:pPr>
              <w:pStyle w:val="ThngthngWeb"/>
              <w:spacing w:before="60" w:beforeAutospacing="0" w:after="60" w:afterAutospacing="0"/>
              <w:jc w:val="center"/>
              <w:rPr>
                <w:rStyle w:val="Nhnmanh"/>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2D3A03" w:rsidRPr="002D3A03" w:rsidRDefault="002D3A03" w:rsidP="005751EE">
            <w:pPr>
              <w:spacing w:before="120" w:after="0" w:line="240" w:lineRule="auto"/>
              <w:jc w:val="both"/>
              <w:rPr>
                <w:rFonts w:eastAsia="Times New Roman"/>
                <w:sz w:val="24"/>
                <w:szCs w:val="24"/>
                <w:lang w:val="vi-VN"/>
              </w:rPr>
            </w:pPr>
            <w:r w:rsidRPr="002D3A03">
              <w:rPr>
                <w:rStyle w:val="bold"/>
                <w:rFonts w:eastAsia="Times New Roman"/>
                <w:sz w:val="24"/>
                <w:szCs w:val="24"/>
                <w:lang w:val="vi-VN"/>
              </w:rPr>
              <w:t xml:space="preserve">Sửa Thông tư số 53/2018/TT-NHNN: </w:t>
            </w:r>
          </w:p>
          <w:p w:rsidR="002D3A03" w:rsidRPr="002D3A03" w:rsidRDefault="002D3A03" w:rsidP="005751EE">
            <w:pPr>
              <w:pStyle w:val="italic1"/>
              <w:spacing w:before="120" w:after="0"/>
              <w:jc w:val="both"/>
              <w:rPr>
                <w:sz w:val="24"/>
                <w:szCs w:val="24"/>
                <w:lang w:val="vi-VN"/>
              </w:rPr>
            </w:pPr>
            <w:r w:rsidRPr="002D3A03">
              <w:rPr>
                <w:sz w:val="24"/>
                <w:szCs w:val="24"/>
                <w:lang w:val="vi-VN"/>
              </w:rPr>
              <w:t>- Khoản 2 Điều 4:  Bỏ cụm từ "nơi không có Cục Thanh tra, giám sát ngân hàng hoặc Cục trưởng Cục Thanh tra, giám sát ngân hàng (nơi có Cục Thanh tra, giám sát ngân hàng)"</w:t>
            </w:r>
          </w:p>
          <w:p w:rsidR="002D3A03" w:rsidRPr="002D3A03" w:rsidRDefault="002D3A03" w:rsidP="005751EE">
            <w:pPr>
              <w:pStyle w:val="italic1"/>
              <w:spacing w:before="120" w:after="0"/>
              <w:jc w:val="both"/>
              <w:rPr>
                <w:sz w:val="24"/>
                <w:szCs w:val="24"/>
                <w:lang w:val="vi-VN"/>
              </w:rPr>
            </w:pPr>
            <w:r w:rsidRPr="002D3A03">
              <w:rPr>
                <w:sz w:val="24"/>
                <w:szCs w:val="24"/>
                <w:lang w:val="vi-VN"/>
              </w:rPr>
              <w:t>- Điểm a Khoản 2 Điều 18: Bỏ cụm từ "(nơi không có Cục Thanh tra, giám sát ngân hàng) hoặc Cục Thanh tra, giám sát ngân hàng"</w:t>
            </w:r>
          </w:p>
          <w:p w:rsidR="002D3A03" w:rsidRPr="002D3A03" w:rsidRDefault="002D3A03" w:rsidP="005751EE">
            <w:pPr>
              <w:pStyle w:val="italic1"/>
              <w:spacing w:before="120" w:after="0"/>
              <w:jc w:val="both"/>
              <w:rPr>
                <w:sz w:val="24"/>
                <w:szCs w:val="24"/>
                <w:lang w:val="vi-VN"/>
              </w:rPr>
            </w:pPr>
            <w:r w:rsidRPr="002D3A03">
              <w:rPr>
                <w:sz w:val="24"/>
                <w:szCs w:val="24"/>
                <w:lang w:val="vi-VN"/>
              </w:rPr>
              <w:t xml:space="preserve">- Điểm b Khoản 2 Điều 18: Bỏ cụm từ "(nơi không có Cục Thanh tra, giám sát </w:t>
            </w:r>
            <w:r w:rsidRPr="002D3A03">
              <w:rPr>
                <w:sz w:val="24"/>
                <w:szCs w:val="24"/>
                <w:lang w:val="vi-VN"/>
              </w:rPr>
              <w:lastRenderedPageBreak/>
              <w:t>ngân hàng) hoặc Cục Thanh tra, giám sát ngân hàng"</w:t>
            </w:r>
          </w:p>
          <w:p w:rsidR="002D3A03" w:rsidRPr="002D3A03" w:rsidRDefault="002D3A03" w:rsidP="005751EE">
            <w:pPr>
              <w:spacing w:before="120" w:after="0" w:line="240" w:lineRule="auto"/>
              <w:jc w:val="both"/>
              <w:rPr>
                <w:rStyle w:val="bold"/>
                <w:sz w:val="24"/>
                <w:szCs w:val="24"/>
                <w:lang w:val="vi-VN"/>
              </w:rPr>
            </w:pPr>
            <w:r w:rsidRPr="002D3A03">
              <w:rPr>
                <w:sz w:val="24"/>
                <w:szCs w:val="24"/>
                <w:lang w:val="vi-VN"/>
              </w:rPr>
              <w:t>- Khoản 3 Điều 18: Bỏ cụm từ "(nơi không có Cục Thanh tra, giám sát ngân hàng) hoặc Cục Thanh tra, giám sát ngân hàng"</w:t>
            </w:r>
          </w:p>
        </w:tc>
      </w:tr>
      <w:tr w:rsidR="00F37E70" w:rsidRPr="006D6233"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1B0764" w:rsidRPr="001B0764" w:rsidRDefault="001B0764" w:rsidP="005751EE">
            <w:pPr>
              <w:pStyle w:val="ThngthngWeb"/>
              <w:spacing w:before="60" w:beforeAutospacing="0" w:after="60" w:afterAutospacing="0"/>
              <w:jc w:val="center"/>
              <w:rPr>
                <w:rStyle w:val="Nhnmanh"/>
                <w:i w:val="0"/>
                <w:color w:val="000000"/>
              </w:rPr>
            </w:pPr>
            <w:r>
              <w:rPr>
                <w:rStyle w:val="Nhnmanh"/>
                <w:i w:val="0"/>
                <w:color w:val="000000"/>
              </w:rPr>
              <w:lastRenderedPageBreak/>
              <w:t>7</w:t>
            </w:r>
          </w:p>
        </w:tc>
        <w:tc>
          <w:tcPr>
            <w:tcW w:w="1705" w:type="dxa"/>
            <w:tcBorders>
              <w:top w:val="single" w:sz="4" w:space="0" w:color="auto"/>
              <w:left w:val="single" w:sz="4" w:space="0" w:color="auto"/>
              <w:bottom w:val="single" w:sz="4" w:space="0" w:color="auto"/>
              <w:right w:val="single" w:sz="4" w:space="0" w:color="auto"/>
            </w:tcBorders>
            <w:vAlign w:val="center"/>
          </w:tcPr>
          <w:p w:rsidR="001B0764" w:rsidRPr="001B0764" w:rsidRDefault="001B0764" w:rsidP="00DD7369">
            <w:pPr>
              <w:pBdr>
                <w:top w:val="nil"/>
                <w:left w:val="nil"/>
                <w:bottom w:val="nil"/>
                <w:right w:val="nil"/>
                <w:between w:val="nil"/>
              </w:pBdr>
              <w:spacing w:before="120" w:after="120" w:line="240" w:lineRule="auto"/>
              <w:ind w:hanging="2"/>
              <w:jc w:val="both"/>
              <w:rPr>
                <w:sz w:val="24"/>
                <w:szCs w:val="24"/>
                <w:lang w:val="vi-VN"/>
              </w:rPr>
            </w:pPr>
            <w:r w:rsidRPr="001B0764">
              <w:rPr>
                <w:sz w:val="24"/>
                <w:szCs w:val="24"/>
                <w:lang w:val="vi-VN"/>
              </w:rPr>
              <w:t xml:space="preserve">Thủ tục tự nguyện chấm dứt hoạt động chi nhánh ở trong nước của ngân hàng thương mại </w:t>
            </w:r>
          </w:p>
        </w:tc>
        <w:tc>
          <w:tcPr>
            <w:tcW w:w="1276" w:type="dxa"/>
            <w:tcBorders>
              <w:top w:val="single" w:sz="4" w:space="0" w:color="auto"/>
              <w:left w:val="single" w:sz="4" w:space="0" w:color="auto"/>
              <w:bottom w:val="single" w:sz="4" w:space="0" w:color="auto"/>
              <w:right w:val="single" w:sz="4" w:space="0" w:color="auto"/>
            </w:tcBorders>
            <w:vAlign w:val="center"/>
          </w:tcPr>
          <w:p w:rsidR="001B0764" w:rsidRPr="001B0764" w:rsidRDefault="001B0764" w:rsidP="005751EE">
            <w:pPr>
              <w:pStyle w:val="ThngthngWeb"/>
              <w:spacing w:before="60" w:beforeAutospacing="0" w:after="60" w:afterAutospacing="0"/>
              <w:jc w:val="center"/>
              <w:rPr>
                <w:rFonts w:eastAsia="Times New Roman"/>
                <w:lang w:val="vi-VN"/>
              </w:rPr>
            </w:pPr>
            <w:r w:rsidRPr="00E60CB2">
              <w:t>1.000394</w:t>
            </w:r>
          </w:p>
        </w:tc>
        <w:tc>
          <w:tcPr>
            <w:tcW w:w="992" w:type="dxa"/>
            <w:tcBorders>
              <w:top w:val="single" w:sz="4" w:space="0" w:color="auto"/>
              <w:left w:val="single" w:sz="4" w:space="0" w:color="auto"/>
              <w:bottom w:val="single" w:sz="4" w:space="0" w:color="auto"/>
              <w:right w:val="single" w:sz="4" w:space="0" w:color="auto"/>
            </w:tcBorders>
            <w:vAlign w:val="center"/>
          </w:tcPr>
          <w:p w:rsidR="001B0764" w:rsidRPr="001B0764" w:rsidRDefault="001B0764" w:rsidP="005751EE">
            <w:pPr>
              <w:pStyle w:val="ThngthngWeb"/>
              <w:spacing w:before="60" w:beforeAutospacing="0" w:after="60" w:afterAutospacing="0"/>
              <w:jc w:val="center"/>
              <w:rPr>
                <w:rFonts w:eastAsia="Times New Roman"/>
                <w:lang w:val="vi-VN"/>
              </w:rPr>
            </w:pPr>
            <w:r w:rsidRPr="001B0764">
              <w:rPr>
                <w:lang w:val="vi-VN"/>
              </w:rPr>
              <w:t xml:space="preserve">Ngân hàng Nhà nước Việt Nam </w:t>
            </w:r>
          </w:p>
        </w:tc>
        <w:tc>
          <w:tcPr>
            <w:tcW w:w="1276" w:type="dxa"/>
            <w:tcBorders>
              <w:top w:val="single" w:sz="4" w:space="0" w:color="auto"/>
              <w:left w:val="single" w:sz="4" w:space="0" w:color="auto"/>
              <w:bottom w:val="single" w:sz="4" w:space="0" w:color="auto"/>
              <w:right w:val="single" w:sz="4" w:space="0" w:color="auto"/>
            </w:tcBorders>
            <w:vAlign w:val="center"/>
          </w:tcPr>
          <w:p w:rsidR="001B0764" w:rsidRPr="00811248" w:rsidRDefault="00811248" w:rsidP="005751EE">
            <w:pPr>
              <w:jc w:val="center"/>
              <w:rPr>
                <w:rFonts w:eastAsia="Times New Roman"/>
                <w:bCs/>
                <w:sz w:val="24"/>
                <w:szCs w:val="24"/>
                <w:lang w:val="vi-VN"/>
              </w:rPr>
            </w:pPr>
            <w:r w:rsidRPr="00811248">
              <w:rPr>
                <w:rStyle w:val="Nhnmanh"/>
                <w:i w:val="0"/>
                <w:sz w:val="24"/>
                <w:szCs w:val="24"/>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1B0764" w:rsidRPr="001B0764" w:rsidRDefault="00A6448D" w:rsidP="005751EE">
            <w:pPr>
              <w:pStyle w:val="ThngthngWeb"/>
              <w:spacing w:before="60" w:beforeAutospacing="0" w:after="60" w:afterAutospacing="0"/>
              <w:jc w:val="center"/>
              <w:rPr>
                <w:rStyle w:val="Nhnmanh"/>
                <w:i w:val="0"/>
                <w:color w:val="000000"/>
                <w:lang w:val="vi-VN"/>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1B0764" w:rsidRPr="00EC6D02" w:rsidRDefault="001B0764" w:rsidP="005751EE">
            <w:pPr>
              <w:pStyle w:val="ThngthngWeb"/>
              <w:spacing w:before="60" w:beforeAutospacing="0" w:after="60" w:afterAutospacing="0"/>
              <w:jc w:val="center"/>
              <w:rPr>
                <w:rStyle w:val="Nhnmanh"/>
                <w:i w:val="0"/>
                <w:color w:val="000000"/>
                <w:lang w:val="vi-VN"/>
              </w:rPr>
            </w:pPr>
          </w:p>
        </w:tc>
        <w:tc>
          <w:tcPr>
            <w:tcW w:w="993" w:type="dxa"/>
            <w:tcBorders>
              <w:top w:val="single" w:sz="4" w:space="0" w:color="auto"/>
              <w:left w:val="single" w:sz="4" w:space="0" w:color="auto"/>
              <w:bottom w:val="single" w:sz="4" w:space="0" w:color="auto"/>
              <w:right w:val="single" w:sz="4" w:space="0" w:color="auto"/>
            </w:tcBorders>
          </w:tcPr>
          <w:p w:rsidR="001B0764" w:rsidRPr="00EC6D02" w:rsidRDefault="001B0764" w:rsidP="005751EE">
            <w:pPr>
              <w:pStyle w:val="ThngthngWeb"/>
              <w:spacing w:before="60" w:beforeAutospacing="0" w:after="60" w:afterAutospacing="0"/>
              <w:jc w:val="center"/>
              <w:rPr>
                <w:rStyle w:val="Nhnmanh"/>
                <w:i w:val="0"/>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1B0764" w:rsidRPr="00EC6D02" w:rsidRDefault="001B0764" w:rsidP="005751EE">
            <w:pPr>
              <w:pStyle w:val="ThngthngWeb"/>
              <w:spacing w:before="60" w:beforeAutospacing="0" w:after="60" w:afterAutospacing="0"/>
              <w:jc w:val="center"/>
              <w:rPr>
                <w:rStyle w:val="Nhnmanh"/>
                <w:i w:val="0"/>
                <w:color w:val="000000"/>
                <w:lang w:val="vi-VN"/>
              </w:rPr>
            </w:pPr>
          </w:p>
        </w:tc>
        <w:tc>
          <w:tcPr>
            <w:tcW w:w="4394" w:type="dxa"/>
            <w:tcBorders>
              <w:top w:val="single" w:sz="4" w:space="0" w:color="auto"/>
              <w:left w:val="single" w:sz="4" w:space="0" w:color="auto"/>
              <w:bottom w:val="single" w:sz="4" w:space="0" w:color="auto"/>
              <w:right w:val="single" w:sz="4" w:space="0" w:color="auto"/>
            </w:tcBorders>
          </w:tcPr>
          <w:p w:rsidR="001B0764" w:rsidRPr="001B0764" w:rsidRDefault="001B0764" w:rsidP="001B0764">
            <w:pPr>
              <w:spacing w:before="120" w:after="0" w:line="240" w:lineRule="auto"/>
              <w:ind w:hanging="2"/>
              <w:jc w:val="both"/>
              <w:rPr>
                <w:sz w:val="24"/>
                <w:szCs w:val="24"/>
                <w:lang w:val="vi-VN"/>
              </w:rPr>
            </w:pPr>
            <w:r w:rsidRPr="001B0764">
              <w:rPr>
                <w:sz w:val="24"/>
                <w:szCs w:val="24"/>
                <w:lang w:val="vi-VN"/>
              </w:rPr>
              <w:t>Sửa đổi Thông tư số 21/2013/TT-NHNN như sau:</w:t>
            </w:r>
          </w:p>
          <w:p w:rsidR="001B0764" w:rsidRPr="001B0764" w:rsidRDefault="001B0764" w:rsidP="001B0764">
            <w:pPr>
              <w:spacing w:before="120" w:after="0" w:line="240" w:lineRule="auto"/>
              <w:ind w:hanging="2"/>
              <w:jc w:val="both"/>
              <w:rPr>
                <w:sz w:val="24"/>
                <w:szCs w:val="24"/>
                <w:lang w:val="vi-VN"/>
              </w:rPr>
            </w:pPr>
            <w:r w:rsidRPr="001B0764">
              <w:rPr>
                <w:sz w:val="24"/>
                <w:szCs w:val="24"/>
                <w:lang w:val="vi-VN"/>
              </w:rPr>
              <w:t>- Sửa đổi, bổ sung điểm b khoản 2 Điều 4 như sau: “Chấm dứt hoạt động chi nhánh ở trong nước, phòng giao dịch trên địa bàn (trong trường hợp tự nguyện chấm dứt hoạt động).</w:t>
            </w:r>
          </w:p>
          <w:p w:rsidR="001B0764" w:rsidRPr="002D3A03" w:rsidRDefault="001B0764" w:rsidP="001B0764">
            <w:pPr>
              <w:spacing w:before="120" w:after="0" w:line="240" w:lineRule="auto"/>
              <w:jc w:val="both"/>
              <w:rPr>
                <w:rStyle w:val="bold"/>
                <w:rFonts w:eastAsia="Times New Roman"/>
                <w:sz w:val="24"/>
                <w:szCs w:val="24"/>
                <w:lang w:val="vi-VN"/>
              </w:rPr>
            </w:pPr>
            <w:r w:rsidRPr="00FF57D7">
              <w:rPr>
                <w:sz w:val="24"/>
                <w:szCs w:val="24"/>
                <w:lang w:val="vi-VN"/>
              </w:rPr>
              <w:t xml:space="preserve">- Sửa đổi, bổ sung khoản 2 Điều 24 quy định theo hướng Ngân hàng Nhà nước chi nhánh nơi đặt trụ sở chi nhánh dự kiến chấm dứt hoạt động chấp thuận đề nghị chấm dứt hoạt động chi nhánh ở trong nước của NHTM. </w:t>
            </w:r>
          </w:p>
        </w:tc>
      </w:tr>
      <w:tr w:rsidR="001B0764" w:rsidRPr="001B0764" w:rsidTr="00F37E70">
        <w:tc>
          <w:tcPr>
            <w:tcW w:w="671" w:type="dxa"/>
            <w:tcBorders>
              <w:top w:val="single" w:sz="4" w:space="0" w:color="auto"/>
              <w:left w:val="single" w:sz="4" w:space="0" w:color="auto"/>
              <w:bottom w:val="single" w:sz="4" w:space="0" w:color="auto"/>
              <w:right w:val="single" w:sz="4" w:space="0" w:color="auto"/>
            </w:tcBorders>
            <w:vAlign w:val="center"/>
            <w:hideMark/>
          </w:tcPr>
          <w:p w:rsidR="001B0764" w:rsidRDefault="006D6233" w:rsidP="005751EE">
            <w:pPr>
              <w:pStyle w:val="ThngthngWeb"/>
              <w:spacing w:before="60" w:beforeAutospacing="0" w:after="60" w:afterAutospacing="0"/>
              <w:jc w:val="center"/>
              <w:rPr>
                <w:rStyle w:val="Nhnmanh"/>
                <w:i w:val="0"/>
                <w:color w:val="000000"/>
              </w:rPr>
            </w:pPr>
            <w:r>
              <w:rPr>
                <w:rStyle w:val="Nhnmanh"/>
                <w:i w:val="0"/>
                <w:color w:val="000000"/>
              </w:rPr>
              <w:t>8</w:t>
            </w:r>
          </w:p>
        </w:tc>
        <w:tc>
          <w:tcPr>
            <w:tcW w:w="1705" w:type="dxa"/>
            <w:tcBorders>
              <w:top w:val="single" w:sz="4" w:space="0" w:color="auto"/>
              <w:left w:val="single" w:sz="4" w:space="0" w:color="auto"/>
              <w:bottom w:val="single" w:sz="4" w:space="0" w:color="auto"/>
              <w:right w:val="single" w:sz="4" w:space="0" w:color="auto"/>
            </w:tcBorders>
            <w:vAlign w:val="center"/>
          </w:tcPr>
          <w:p w:rsidR="001B0764" w:rsidRPr="002E7E4D" w:rsidRDefault="001B0764" w:rsidP="00DD7369">
            <w:pPr>
              <w:pBdr>
                <w:top w:val="nil"/>
                <w:left w:val="nil"/>
                <w:bottom w:val="nil"/>
                <w:right w:val="nil"/>
                <w:between w:val="nil"/>
              </w:pBdr>
              <w:spacing w:before="120" w:after="120" w:line="240" w:lineRule="auto"/>
              <w:ind w:hanging="2"/>
              <w:jc w:val="both"/>
              <w:rPr>
                <w:sz w:val="24"/>
                <w:szCs w:val="24"/>
              </w:rPr>
            </w:pPr>
            <w:r w:rsidRPr="002E7E4D">
              <w:rPr>
                <w:rStyle w:val="Nhnmanh"/>
                <w:i w:val="0"/>
                <w:color w:val="000000"/>
                <w:sz w:val="24"/>
                <w:szCs w:val="24"/>
              </w:rPr>
              <w:t>Thủ tục chấp thuận thành lập Phòng giao dịch của Ngân hàng Hợp tác xã</w:t>
            </w:r>
          </w:p>
        </w:tc>
        <w:tc>
          <w:tcPr>
            <w:tcW w:w="1276" w:type="dxa"/>
            <w:tcBorders>
              <w:top w:val="single" w:sz="4" w:space="0" w:color="auto"/>
              <w:left w:val="single" w:sz="4" w:space="0" w:color="auto"/>
              <w:bottom w:val="single" w:sz="4" w:space="0" w:color="auto"/>
              <w:right w:val="single" w:sz="4" w:space="0" w:color="auto"/>
            </w:tcBorders>
            <w:vAlign w:val="center"/>
          </w:tcPr>
          <w:p w:rsidR="001B0764" w:rsidRPr="002E7E4D" w:rsidRDefault="001B0764" w:rsidP="00DD7369">
            <w:pPr>
              <w:pBdr>
                <w:top w:val="nil"/>
                <w:left w:val="nil"/>
                <w:bottom w:val="nil"/>
                <w:right w:val="nil"/>
                <w:between w:val="nil"/>
              </w:pBdr>
              <w:spacing w:before="120" w:after="120" w:line="240" w:lineRule="auto"/>
              <w:ind w:hanging="2"/>
              <w:jc w:val="center"/>
              <w:rPr>
                <w:sz w:val="24"/>
                <w:szCs w:val="24"/>
              </w:rPr>
            </w:pPr>
            <w:r w:rsidRPr="002E7E4D">
              <w:rPr>
                <w:rStyle w:val="Nhnmanh"/>
                <w:i w:val="0"/>
                <w:color w:val="000000"/>
                <w:sz w:val="24"/>
                <w:szCs w:val="24"/>
              </w:rPr>
              <w:t>1.000633</w:t>
            </w:r>
          </w:p>
        </w:tc>
        <w:tc>
          <w:tcPr>
            <w:tcW w:w="992" w:type="dxa"/>
            <w:tcBorders>
              <w:top w:val="single" w:sz="4" w:space="0" w:color="auto"/>
              <w:left w:val="single" w:sz="4" w:space="0" w:color="auto"/>
              <w:bottom w:val="single" w:sz="4" w:space="0" w:color="auto"/>
              <w:right w:val="single" w:sz="4" w:space="0" w:color="auto"/>
            </w:tcBorders>
            <w:vAlign w:val="center"/>
          </w:tcPr>
          <w:p w:rsidR="001B0764" w:rsidRPr="002E7E4D" w:rsidRDefault="001B0764" w:rsidP="00DD7369">
            <w:pPr>
              <w:pBdr>
                <w:top w:val="nil"/>
                <w:left w:val="nil"/>
                <w:bottom w:val="nil"/>
                <w:right w:val="nil"/>
                <w:between w:val="nil"/>
              </w:pBdr>
              <w:spacing w:before="120" w:after="120" w:line="240" w:lineRule="auto"/>
              <w:ind w:hanging="2"/>
              <w:jc w:val="center"/>
              <w:rPr>
                <w:sz w:val="24"/>
                <w:szCs w:val="24"/>
              </w:rPr>
            </w:pPr>
            <w:r w:rsidRPr="002E7E4D">
              <w:rPr>
                <w:rStyle w:val="Nhnmanh"/>
                <w:i w:val="0"/>
                <w:color w:val="000000"/>
                <w:sz w:val="24"/>
                <w:szCs w:val="24"/>
                <w:lang w:val="vi-VN"/>
              </w:rPr>
              <w:t xml:space="preserve">Ngân hàng Nhà nước </w:t>
            </w:r>
            <w:r w:rsidRPr="002E7E4D">
              <w:rPr>
                <w:rStyle w:val="Nhnmanh"/>
                <w:i w:val="0"/>
                <w:color w:val="000000"/>
                <w:sz w:val="24"/>
                <w:szCs w:val="24"/>
              </w:rPr>
              <w:t>Việt Nam</w:t>
            </w:r>
          </w:p>
        </w:tc>
        <w:tc>
          <w:tcPr>
            <w:tcW w:w="1276" w:type="dxa"/>
            <w:tcBorders>
              <w:top w:val="single" w:sz="4" w:space="0" w:color="auto"/>
              <w:left w:val="single" w:sz="4" w:space="0" w:color="auto"/>
              <w:bottom w:val="single" w:sz="4" w:space="0" w:color="auto"/>
              <w:right w:val="single" w:sz="4" w:space="0" w:color="auto"/>
            </w:tcBorders>
            <w:vAlign w:val="center"/>
          </w:tcPr>
          <w:p w:rsidR="001B0764" w:rsidRPr="002E7E4D" w:rsidRDefault="00811248" w:rsidP="00DD7369">
            <w:pPr>
              <w:spacing w:before="120" w:after="120" w:line="240" w:lineRule="auto"/>
              <w:ind w:hanging="2"/>
              <w:rPr>
                <w:sz w:val="24"/>
                <w:szCs w:val="24"/>
              </w:rPr>
            </w:pPr>
            <w:r w:rsidRPr="00811248">
              <w:rPr>
                <w:iCs/>
                <w:sz w:val="24"/>
                <w:szCs w:val="24"/>
                <w:lang w:val="vi-VN"/>
              </w:rPr>
              <w:t>NHNN Chi nhánh tỉnh, thành phố trực thuộc TW</w:t>
            </w:r>
          </w:p>
        </w:tc>
        <w:tc>
          <w:tcPr>
            <w:tcW w:w="1134" w:type="dxa"/>
            <w:tcBorders>
              <w:top w:val="single" w:sz="4" w:space="0" w:color="auto"/>
              <w:left w:val="single" w:sz="4" w:space="0" w:color="auto"/>
              <w:bottom w:val="single" w:sz="4" w:space="0" w:color="auto"/>
              <w:right w:val="single" w:sz="4" w:space="0" w:color="auto"/>
            </w:tcBorders>
            <w:vAlign w:val="center"/>
          </w:tcPr>
          <w:p w:rsidR="001B0764" w:rsidRPr="002E7E4D" w:rsidRDefault="00A6448D" w:rsidP="00DD7369">
            <w:pPr>
              <w:pBdr>
                <w:top w:val="nil"/>
                <w:left w:val="nil"/>
                <w:bottom w:val="nil"/>
                <w:right w:val="nil"/>
                <w:between w:val="nil"/>
              </w:pBdr>
              <w:spacing w:before="120" w:after="120" w:line="240" w:lineRule="auto"/>
              <w:ind w:hanging="2"/>
              <w:jc w:val="center"/>
              <w:rPr>
                <w:color w:val="000000"/>
                <w:sz w:val="24"/>
                <w:szCs w:val="24"/>
              </w:rPr>
            </w:pPr>
            <w:r w:rsidRPr="00EC6D02">
              <w:rPr>
                <w:rStyle w:val="Nhnmanh"/>
                <w:i w:val="0"/>
                <w:color w:val="000000"/>
              </w:rPr>
              <w:t>Không</w:t>
            </w:r>
          </w:p>
        </w:tc>
        <w:tc>
          <w:tcPr>
            <w:tcW w:w="992" w:type="dxa"/>
            <w:tcBorders>
              <w:top w:val="single" w:sz="4" w:space="0" w:color="auto"/>
              <w:left w:val="single" w:sz="4" w:space="0" w:color="auto"/>
              <w:bottom w:val="single" w:sz="4" w:space="0" w:color="auto"/>
              <w:right w:val="single" w:sz="4" w:space="0" w:color="auto"/>
            </w:tcBorders>
            <w:vAlign w:val="center"/>
          </w:tcPr>
          <w:p w:rsidR="001B0764" w:rsidRPr="002E7E4D" w:rsidRDefault="001B0764" w:rsidP="00DD7369">
            <w:pPr>
              <w:pBdr>
                <w:top w:val="nil"/>
                <w:left w:val="nil"/>
                <w:bottom w:val="nil"/>
                <w:right w:val="nil"/>
                <w:between w:val="nil"/>
              </w:pBdr>
              <w:spacing w:before="120" w:after="120" w:line="240" w:lineRule="auto"/>
              <w:ind w:hanging="2"/>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1B0764" w:rsidRPr="002E7E4D" w:rsidRDefault="001B0764" w:rsidP="00DD7369">
            <w:pPr>
              <w:pBdr>
                <w:top w:val="nil"/>
                <w:left w:val="nil"/>
                <w:bottom w:val="nil"/>
                <w:right w:val="nil"/>
                <w:between w:val="nil"/>
              </w:pBdr>
              <w:spacing w:before="120" w:after="120" w:line="240" w:lineRule="auto"/>
              <w:ind w:hanging="2"/>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1B0764" w:rsidRPr="002E7E4D" w:rsidRDefault="001B0764" w:rsidP="00DD7369">
            <w:pPr>
              <w:pBdr>
                <w:top w:val="nil"/>
                <w:left w:val="nil"/>
                <w:bottom w:val="nil"/>
                <w:right w:val="nil"/>
                <w:between w:val="nil"/>
              </w:pBdr>
              <w:spacing w:before="120" w:after="0" w:line="240" w:lineRule="auto"/>
              <w:ind w:hanging="2"/>
              <w:jc w:val="center"/>
              <w:rPr>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1B0764" w:rsidRPr="00D77A9C" w:rsidRDefault="001B0764" w:rsidP="00DD7369">
            <w:pPr>
              <w:spacing w:before="120" w:after="0" w:line="240" w:lineRule="auto"/>
              <w:ind w:hanging="2"/>
              <w:jc w:val="both"/>
              <w:rPr>
                <w:sz w:val="24"/>
                <w:szCs w:val="24"/>
              </w:rPr>
            </w:pPr>
            <w:r w:rsidRPr="00D77A9C">
              <w:rPr>
                <w:sz w:val="24"/>
                <w:szCs w:val="24"/>
              </w:rPr>
              <w:t>- Đề nghị tách mã TTHC số 1.000633 thành 02 thủ tục: (i) Thủ tục chấp thuận thành lập Phòng giao dịch của Ngân hàng Hợp tác xã (Cơ quan có thẩm quyền quyết định TTHC là NHNN chi nhánh tỉnh, thành phố); (ii) Thủ tục chấp thuận thành lập chi nhánh của Ngân hàng Hợp tác xã (Cơ quan có thẩm quyền quyết định TTHC là NHNN Việt Nam).</w:t>
            </w:r>
          </w:p>
          <w:p w:rsidR="001B0764" w:rsidRPr="002E7E4D" w:rsidRDefault="001B0764" w:rsidP="00DD7369">
            <w:pPr>
              <w:spacing w:before="120" w:after="0" w:line="240" w:lineRule="auto"/>
              <w:ind w:hanging="2"/>
              <w:jc w:val="both"/>
              <w:rPr>
                <w:sz w:val="24"/>
                <w:szCs w:val="24"/>
              </w:rPr>
            </w:pPr>
            <w:r>
              <w:rPr>
                <w:sz w:val="24"/>
                <w:szCs w:val="24"/>
              </w:rPr>
              <w:t xml:space="preserve">- Điều 30 Luật Các TCTD cjir quy định việc thành lập chi nhánh, văn phòng đại </w:t>
            </w:r>
            <w:r>
              <w:rPr>
                <w:sz w:val="24"/>
                <w:szCs w:val="24"/>
              </w:rPr>
              <w:lastRenderedPageBreak/>
              <w:t>diện, đơn vị sự nghiệp và hiện diện thương mại mà không quy định đối với việc thành lập phòng giao dịch. Do vậy, cần sửa đổi, bổ sung Luật C</w:t>
            </w:r>
            <w:r w:rsidRPr="002E7E4D">
              <w:rPr>
                <w:sz w:val="24"/>
                <w:szCs w:val="24"/>
              </w:rPr>
              <w:t>ác TCTD</w:t>
            </w:r>
            <w:r>
              <w:rPr>
                <w:sz w:val="24"/>
                <w:szCs w:val="24"/>
              </w:rPr>
              <w:t>.</w:t>
            </w:r>
          </w:p>
        </w:tc>
      </w:tr>
    </w:tbl>
    <w:p w:rsidR="0095517E" w:rsidRPr="00D84011" w:rsidRDefault="0095517E">
      <w:pPr>
        <w:rPr>
          <w:lang w:val="vi-VN"/>
        </w:rPr>
      </w:pPr>
    </w:p>
    <w:sectPr w:rsidR="0095517E" w:rsidRPr="00D84011" w:rsidSect="00071A03">
      <w:headerReference w:type="default" r:id="rId6"/>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7F6" w:rsidRDefault="002657F6" w:rsidP="00071A03">
      <w:pPr>
        <w:spacing w:after="0" w:line="240" w:lineRule="auto"/>
      </w:pPr>
      <w:r>
        <w:separator/>
      </w:r>
    </w:p>
  </w:endnote>
  <w:endnote w:type="continuationSeparator" w:id="0">
    <w:p w:rsidR="002657F6" w:rsidRDefault="002657F6" w:rsidP="0007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7F6" w:rsidRDefault="002657F6" w:rsidP="00071A03">
      <w:pPr>
        <w:spacing w:after="0" w:line="240" w:lineRule="auto"/>
      </w:pPr>
      <w:r>
        <w:separator/>
      </w:r>
    </w:p>
  </w:footnote>
  <w:footnote w:type="continuationSeparator" w:id="0">
    <w:p w:rsidR="002657F6" w:rsidRDefault="002657F6" w:rsidP="00071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248"/>
      <w:docPartObj>
        <w:docPartGallery w:val="Page Numbers (Top of Page)"/>
        <w:docPartUnique/>
      </w:docPartObj>
    </w:sdtPr>
    <w:sdtEndPr/>
    <w:sdtContent>
      <w:p w:rsidR="00D93C5E" w:rsidRDefault="002657F6">
        <w:pPr>
          <w:pStyle w:val="utrang"/>
          <w:jc w:val="center"/>
        </w:pPr>
        <w:r>
          <w:fldChar w:fldCharType="begin"/>
        </w:r>
        <w:r>
          <w:instrText xml:space="preserve"> PAGE   \* MERGEFORMAT </w:instrText>
        </w:r>
        <w:r>
          <w:fldChar w:fldCharType="separate"/>
        </w:r>
        <w:r w:rsidR="0021545C">
          <w:rPr>
            <w:noProof/>
          </w:rPr>
          <w:t>7</w:t>
        </w:r>
        <w:r>
          <w:rPr>
            <w:noProof/>
          </w:rPr>
          <w:fldChar w:fldCharType="end"/>
        </w:r>
      </w:p>
    </w:sdtContent>
  </w:sdt>
  <w:p w:rsidR="00D93C5E" w:rsidRDefault="00D93C5E">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03"/>
    <w:rsid w:val="000247CC"/>
    <w:rsid w:val="00071A03"/>
    <w:rsid w:val="000C4ED6"/>
    <w:rsid w:val="000C6ABC"/>
    <w:rsid w:val="001219CC"/>
    <w:rsid w:val="001B0764"/>
    <w:rsid w:val="0021545C"/>
    <w:rsid w:val="002657F6"/>
    <w:rsid w:val="00283F6F"/>
    <w:rsid w:val="002D3A03"/>
    <w:rsid w:val="00322AE1"/>
    <w:rsid w:val="003264AC"/>
    <w:rsid w:val="003267A3"/>
    <w:rsid w:val="00381715"/>
    <w:rsid w:val="00424D31"/>
    <w:rsid w:val="004608CC"/>
    <w:rsid w:val="00461150"/>
    <w:rsid w:val="00564C6A"/>
    <w:rsid w:val="00580F77"/>
    <w:rsid w:val="005C5D85"/>
    <w:rsid w:val="005E23D3"/>
    <w:rsid w:val="0060488B"/>
    <w:rsid w:val="006A67DC"/>
    <w:rsid w:val="006C5049"/>
    <w:rsid w:val="006D6233"/>
    <w:rsid w:val="007E1D4A"/>
    <w:rsid w:val="00811248"/>
    <w:rsid w:val="00821B68"/>
    <w:rsid w:val="00833B6E"/>
    <w:rsid w:val="008676FE"/>
    <w:rsid w:val="0095517E"/>
    <w:rsid w:val="0096395C"/>
    <w:rsid w:val="009F4223"/>
    <w:rsid w:val="00A6448D"/>
    <w:rsid w:val="00AC65DE"/>
    <w:rsid w:val="00AD2819"/>
    <w:rsid w:val="00B92F83"/>
    <w:rsid w:val="00BB109B"/>
    <w:rsid w:val="00D03526"/>
    <w:rsid w:val="00D043B2"/>
    <w:rsid w:val="00D1252A"/>
    <w:rsid w:val="00D50E22"/>
    <w:rsid w:val="00D84011"/>
    <w:rsid w:val="00D93C5E"/>
    <w:rsid w:val="00EC6D02"/>
    <w:rsid w:val="00ED2574"/>
    <w:rsid w:val="00F21086"/>
    <w:rsid w:val="00F37E70"/>
    <w:rsid w:val="00FF57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8B0A-86DA-4558-996D-AE6274D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120" w:after="120" w:line="360" w:lineRule="atLeast"/>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71A03"/>
    <w:pPr>
      <w:spacing w:before="0" w:after="200" w:line="276" w:lineRule="auto"/>
      <w:ind w:firstLine="0"/>
      <w:jc w:val="left"/>
    </w:pPr>
    <w:rPr>
      <w:rFonts w:ascii="Times New Roman" w:hAnsi="Times New Roman" w:cs="Times New Roman"/>
      <w:sz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20"/>
    <w:qFormat/>
    <w:rsid w:val="00071A03"/>
    <w:rPr>
      <w:i/>
      <w:iCs/>
    </w:rPr>
  </w:style>
  <w:style w:type="character" w:styleId="ThamchiuCcchu">
    <w:name w:val="footnote reference"/>
    <w:basedOn w:val="Phngmcinhcuaoanvn"/>
    <w:uiPriority w:val="99"/>
    <w:unhideWhenUsed/>
    <w:qFormat/>
    <w:rsid w:val="00071A03"/>
    <w:rPr>
      <w:vertAlign w:val="superscript"/>
    </w:rPr>
  </w:style>
  <w:style w:type="paragraph" w:styleId="VnbanCcchu">
    <w:name w:val="footnote text"/>
    <w:basedOn w:val="Binhthng"/>
    <w:link w:val="VnbanCcchuChar"/>
    <w:uiPriority w:val="99"/>
    <w:unhideWhenUsed/>
    <w:rsid w:val="00071A03"/>
    <w:pPr>
      <w:spacing w:after="0" w:line="240" w:lineRule="auto"/>
    </w:pPr>
    <w:rPr>
      <w:sz w:val="20"/>
      <w:szCs w:val="20"/>
    </w:rPr>
  </w:style>
  <w:style w:type="character" w:customStyle="1" w:styleId="VnbanCcchuChar">
    <w:name w:val="Văn bản Cước chú Char"/>
    <w:basedOn w:val="Phngmcinhcuaoanvn"/>
    <w:link w:val="VnbanCcchu"/>
    <w:uiPriority w:val="99"/>
    <w:rsid w:val="00071A03"/>
    <w:rPr>
      <w:rFonts w:ascii="Times New Roman" w:hAnsi="Times New Roman" w:cs="Times New Roman"/>
      <w:sz w:val="20"/>
      <w:szCs w:val="20"/>
      <w:lang w:val="en-US"/>
    </w:rPr>
  </w:style>
  <w:style w:type="paragraph" w:styleId="ThngthngWeb">
    <w:name w:val="Normal (Web)"/>
    <w:uiPriority w:val="99"/>
    <w:unhideWhenUsed/>
    <w:qFormat/>
    <w:rsid w:val="00071A03"/>
    <w:pPr>
      <w:spacing w:before="0" w:beforeAutospacing="1" w:after="0" w:afterAutospacing="1" w:line="240" w:lineRule="auto"/>
      <w:ind w:firstLine="0"/>
      <w:jc w:val="left"/>
    </w:pPr>
    <w:rPr>
      <w:rFonts w:ascii="Times New Roman" w:eastAsia="SimSun" w:hAnsi="Times New Roman" w:cs="Times New Roman"/>
      <w:sz w:val="24"/>
      <w:szCs w:val="24"/>
      <w:lang w:val="en-US" w:eastAsia="zh-CN"/>
    </w:rPr>
  </w:style>
  <w:style w:type="table" w:styleId="LiBang">
    <w:name w:val="Table Grid"/>
    <w:basedOn w:val="BangThngthng"/>
    <w:uiPriority w:val="59"/>
    <w:qFormat/>
    <w:rsid w:val="00071A03"/>
    <w:pPr>
      <w:spacing w:before="0" w:after="0" w:line="240" w:lineRule="auto"/>
      <w:ind w:firstLine="0"/>
      <w:jc w:val="lef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2D3A03"/>
  </w:style>
  <w:style w:type="paragraph" w:customStyle="1" w:styleId="italic1">
    <w:name w:val="italic1"/>
    <w:basedOn w:val="Binhthng"/>
    <w:rsid w:val="002D3A03"/>
    <w:pPr>
      <w:spacing w:before="60" w:after="60" w:line="240" w:lineRule="auto"/>
    </w:pPr>
    <w:rPr>
      <w:rFonts w:eastAsia="Times New Roman"/>
      <w:sz w:val="26"/>
      <w:szCs w:val="26"/>
    </w:rPr>
  </w:style>
  <w:style w:type="character" w:styleId="Siuktni">
    <w:name w:val="Hyperlink"/>
    <w:basedOn w:val="Phngmcinhcuaoanvn"/>
    <w:uiPriority w:val="99"/>
    <w:semiHidden/>
    <w:unhideWhenUsed/>
    <w:rsid w:val="001B0764"/>
    <w:rPr>
      <w:color w:val="0000FF"/>
      <w:u w:val="single"/>
    </w:rPr>
  </w:style>
  <w:style w:type="paragraph" w:styleId="utrang">
    <w:name w:val="header"/>
    <w:basedOn w:val="Binhthng"/>
    <w:link w:val="utrangChar"/>
    <w:uiPriority w:val="99"/>
    <w:unhideWhenUsed/>
    <w:rsid w:val="00D93C5E"/>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D93C5E"/>
    <w:rPr>
      <w:rFonts w:ascii="Times New Roman" w:hAnsi="Times New Roman" w:cs="Times New Roman"/>
      <w:sz w:val="28"/>
      <w:lang w:val="en-US"/>
    </w:rPr>
  </w:style>
  <w:style w:type="paragraph" w:styleId="Chntrang">
    <w:name w:val="footer"/>
    <w:basedOn w:val="Binhthng"/>
    <w:link w:val="ChntrangChar"/>
    <w:uiPriority w:val="99"/>
    <w:semiHidden/>
    <w:unhideWhenUsed/>
    <w:rsid w:val="00D93C5E"/>
    <w:pPr>
      <w:tabs>
        <w:tab w:val="center" w:pos="4513"/>
        <w:tab w:val="right" w:pos="9026"/>
      </w:tabs>
      <w:spacing w:after="0" w:line="240" w:lineRule="auto"/>
    </w:pPr>
  </w:style>
  <w:style w:type="character" w:customStyle="1" w:styleId="ChntrangChar">
    <w:name w:val="Chân trang Char"/>
    <w:basedOn w:val="Phngmcinhcuaoanvn"/>
    <w:link w:val="Chntrang"/>
    <w:uiPriority w:val="99"/>
    <w:semiHidden/>
    <w:rsid w:val="00D93C5E"/>
    <w:rPr>
      <w:rFonts w:ascii="Times New Roman" w:hAnsi="Times New Roman" w:cs="Times New Roman"/>
      <w:sz w:val="28"/>
      <w:lang w:val="en-US"/>
    </w:rPr>
  </w:style>
  <w:style w:type="paragraph" w:customStyle="1" w:styleId="Default">
    <w:name w:val="Default"/>
    <w:rsid w:val="00D03526"/>
    <w:pPr>
      <w:autoSpaceDE w:val="0"/>
      <w:autoSpaceDN w:val="0"/>
      <w:adjustRightInd w:val="0"/>
      <w:spacing w:before="0" w:after="0" w:line="240" w:lineRule="auto"/>
      <w:ind w:firstLine="0"/>
      <w:jc w:val="left"/>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8049</Characters>
  <Application>Microsoft Office Word</Application>
  <DocSecurity>0</DocSecurity>
  <Lines>67</Lines>
  <Paragraphs>18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2022-01-11T10:00:00Z</cp:lastPrinted>
  <dcterms:created xsi:type="dcterms:W3CDTF">2022-01-17T09:09:00Z</dcterms:created>
  <dcterms:modified xsi:type="dcterms:W3CDTF">2022-01-17T09:09:00Z</dcterms:modified>
</cp:coreProperties>
</file>