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4395"/>
        <w:gridCol w:w="5529"/>
      </w:tblGrid>
      <w:tr w:rsidR="00D21069" w:rsidRPr="00D21069" w14:paraId="53DAE88D" w14:textId="77777777" w:rsidTr="00102B46">
        <w:trPr>
          <w:tblCellSpacing w:w="15" w:type="dxa"/>
        </w:trPr>
        <w:tc>
          <w:tcPr>
            <w:tcW w:w="4350" w:type="dxa"/>
            <w:shd w:val="clear" w:color="auto" w:fill="auto"/>
          </w:tcPr>
          <w:p w14:paraId="3EAFC678" w14:textId="77777777" w:rsidR="00D21069" w:rsidRPr="00D21069" w:rsidRDefault="00D21069" w:rsidP="00D21069">
            <w:pPr>
              <w:widowControl w:val="0"/>
              <w:spacing w:after="0" w:line="240" w:lineRule="auto"/>
              <w:jc w:val="center"/>
              <w:rPr>
                <w:rFonts w:ascii="Times New Roman" w:eastAsia="SimSun" w:hAnsi="Times New Roman" w:cs="Tahoma"/>
                <w:b/>
                <w:color w:val="000000" w:themeColor="text1"/>
                <w:sz w:val="26"/>
                <w:szCs w:val="28"/>
                <w:lang w:val="vi-VN" w:eastAsia="zh-CN"/>
              </w:rPr>
            </w:pPr>
            <w:bookmarkStart w:id="0" w:name="_Hlk79263195"/>
            <w:r w:rsidRPr="00D21069">
              <w:rPr>
                <w:rFonts w:ascii="Times New Roman" w:eastAsia="SimSun" w:hAnsi="Times New Roman" w:cs="Tahoma"/>
                <w:b/>
                <w:bCs/>
                <w:color w:val="000000" w:themeColor="text1"/>
                <w:sz w:val="26"/>
                <w:szCs w:val="26"/>
                <w:lang w:val="vi-VN" w:eastAsia="zh-CN"/>
              </w:rPr>
              <w:t>BỘ NÔNG NGHIỆP</w:t>
            </w:r>
          </w:p>
          <w:p w14:paraId="785DBFC2" w14:textId="77777777" w:rsidR="00D21069" w:rsidRPr="00D21069" w:rsidRDefault="00D21069" w:rsidP="00D21069">
            <w:pPr>
              <w:widowControl w:val="0"/>
              <w:spacing w:after="0" w:line="240" w:lineRule="auto"/>
              <w:jc w:val="center"/>
              <w:rPr>
                <w:rFonts w:ascii="Times New Roman" w:eastAsia="SimSun" w:hAnsi="Times New Roman" w:cs="Tahoma"/>
                <w:bCs/>
                <w:color w:val="000000" w:themeColor="text1"/>
                <w:sz w:val="24"/>
                <w:szCs w:val="24"/>
                <w:lang w:val="vi-VN" w:eastAsia="zh-CN"/>
              </w:rPr>
            </w:pPr>
            <w:r w:rsidRPr="00D21069">
              <w:rPr>
                <w:rFonts w:ascii="Times New Roman" w:eastAsia="SimSun" w:hAnsi="Times New Roman" w:cs="Tahoma"/>
                <w:b/>
                <w:bCs/>
                <w:color w:val="000000" w:themeColor="text1"/>
                <w:sz w:val="26"/>
                <w:szCs w:val="26"/>
                <w:lang w:val="vi-VN" w:eastAsia="zh-CN"/>
              </w:rPr>
              <w:t>VÀ PHÁT TRIỂN NÔNG THÔN</w:t>
            </w:r>
            <w:r w:rsidRPr="00D21069">
              <w:rPr>
                <w:rFonts w:ascii="Times New Roman" w:eastAsia="Calibri" w:hAnsi="Times New Roman" w:cs="Tahoma"/>
                <w:noProof/>
                <w:color w:val="000000" w:themeColor="text1"/>
                <w:sz w:val="28"/>
                <w:szCs w:val="28"/>
              </w:rPr>
              <mc:AlternateContent>
                <mc:Choice Requires="wps">
                  <w:drawing>
                    <wp:anchor distT="0" distB="0" distL="114300" distR="114300" simplePos="0" relativeHeight="251664384" behindDoc="0" locked="0" layoutInCell="1" allowOverlap="1" wp14:anchorId="4521C4B2" wp14:editId="3B83CC7D">
                      <wp:simplePos x="0" y="0"/>
                      <wp:positionH relativeFrom="column">
                        <wp:posOffset>840740</wp:posOffset>
                      </wp:positionH>
                      <wp:positionV relativeFrom="paragraph">
                        <wp:posOffset>188595</wp:posOffset>
                      </wp:positionV>
                      <wp:extent cx="1028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w14:anchorId="5362324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2pt,14.85pt" to="147.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"/>
                  </w:pict>
                </mc:Fallback>
              </mc:AlternateContent>
            </w:r>
            <w:bookmarkStart w:id="1" w:name="graphic05"/>
            <w:bookmarkEnd w:id="1"/>
          </w:p>
          <w:p w14:paraId="3F927155" w14:textId="77777777" w:rsidR="00D21069" w:rsidRPr="00D21069" w:rsidRDefault="00D21069" w:rsidP="00D21069">
            <w:pPr>
              <w:widowControl w:val="0"/>
              <w:spacing w:before="360" w:after="0" w:line="240" w:lineRule="auto"/>
              <w:jc w:val="center"/>
              <w:rPr>
                <w:rFonts w:ascii="Times New Roman" w:eastAsia="Calibri" w:hAnsi="Times New Roman" w:cs="Tahoma"/>
                <w:b/>
                <w:bCs/>
                <w:color w:val="000000" w:themeColor="text1"/>
                <w:sz w:val="26"/>
                <w:szCs w:val="26"/>
                <w:lang w:eastAsia="vi-VN"/>
              </w:rPr>
            </w:pPr>
            <w:r w:rsidRPr="00D21069">
              <w:rPr>
                <w:rFonts w:ascii="Times New Roman" w:eastAsia="Calibri" w:hAnsi="Times New Roman" w:cs="Tahoma"/>
                <w:color w:val="000000" w:themeColor="text1"/>
                <w:sz w:val="26"/>
                <w:szCs w:val="28"/>
                <w:lang w:val="vi-VN" w:eastAsia="vi-VN"/>
              </w:rPr>
              <w:t>Số</w:t>
            </w:r>
            <w:r w:rsidRPr="00D21069">
              <w:rPr>
                <w:rFonts w:ascii="Times New Roman" w:eastAsia="Calibri" w:hAnsi="Times New Roman" w:cs="Tahoma"/>
                <w:bCs/>
                <w:color w:val="000000" w:themeColor="text1"/>
                <w:sz w:val="26"/>
                <w:szCs w:val="26"/>
                <w:lang w:val="vi-VN" w:eastAsia="vi-VN"/>
              </w:rPr>
              <w:t>:</w:t>
            </w:r>
            <w:r w:rsidRPr="00D21069">
              <w:rPr>
                <w:rFonts w:ascii="Times New Roman" w:eastAsia="Calibri" w:hAnsi="Times New Roman" w:cs="Tahoma"/>
                <w:b/>
                <w:bCs/>
                <w:color w:val="000000" w:themeColor="text1"/>
                <w:sz w:val="26"/>
                <w:szCs w:val="26"/>
                <w:lang w:val="vi-VN" w:eastAsia="vi-VN"/>
              </w:rPr>
              <w:t xml:space="preserve">               /</w:t>
            </w:r>
            <w:r w:rsidRPr="00D21069">
              <w:rPr>
                <w:rFonts w:ascii="Times New Roman" w:eastAsia="Calibri" w:hAnsi="Times New Roman" w:cs="Tahoma"/>
                <w:color w:val="000000" w:themeColor="text1"/>
                <w:sz w:val="26"/>
                <w:szCs w:val="26"/>
                <w:lang w:eastAsia="vi-VN"/>
              </w:rPr>
              <w:t>TTr</w:t>
            </w:r>
            <w:r w:rsidRPr="00D21069">
              <w:rPr>
                <w:rFonts w:ascii="Times New Roman" w:eastAsia="Calibri" w:hAnsi="Times New Roman" w:cs="Tahoma"/>
                <w:color w:val="000000" w:themeColor="text1"/>
                <w:sz w:val="26"/>
                <w:szCs w:val="28"/>
                <w:lang w:val="vi-VN" w:eastAsia="vi-VN"/>
              </w:rPr>
              <w:t>-BNN</w:t>
            </w:r>
            <w:r w:rsidRPr="00D21069">
              <w:rPr>
                <w:rFonts w:ascii="Times New Roman" w:eastAsia="Calibri" w:hAnsi="Times New Roman" w:cs="Tahoma"/>
                <w:color w:val="000000" w:themeColor="text1"/>
                <w:sz w:val="26"/>
                <w:szCs w:val="28"/>
                <w:lang w:eastAsia="vi-VN"/>
              </w:rPr>
              <w:t>-VP</w:t>
            </w:r>
          </w:p>
        </w:tc>
        <w:tc>
          <w:tcPr>
            <w:tcW w:w="5484" w:type="dxa"/>
            <w:shd w:val="clear" w:color="auto" w:fill="auto"/>
          </w:tcPr>
          <w:p w14:paraId="7012AD75" w14:textId="77777777" w:rsidR="00D21069" w:rsidRPr="00D21069" w:rsidRDefault="00D21069" w:rsidP="00D21069">
            <w:pPr>
              <w:widowControl w:val="0"/>
              <w:spacing w:after="0" w:line="240" w:lineRule="auto"/>
              <w:jc w:val="center"/>
              <w:rPr>
                <w:rFonts w:ascii="Times New Roman" w:eastAsia="SimSun" w:hAnsi="Times New Roman" w:cs="Tahoma"/>
                <w:b/>
                <w:color w:val="000000" w:themeColor="text1"/>
                <w:sz w:val="26"/>
                <w:szCs w:val="28"/>
                <w:lang w:val="vi-VN" w:eastAsia="zh-CN"/>
              </w:rPr>
            </w:pPr>
            <w:r w:rsidRPr="00D21069">
              <w:rPr>
                <w:rFonts w:ascii="Times New Roman" w:eastAsia="SimSun" w:hAnsi="Times New Roman" w:cs="Tahoma"/>
                <w:b/>
                <w:bCs/>
                <w:color w:val="000000" w:themeColor="text1"/>
                <w:sz w:val="26"/>
                <w:szCs w:val="26"/>
                <w:lang w:val="vi-VN" w:eastAsia="zh-CN"/>
              </w:rPr>
              <w:t>CỘNG HOÀ XÃ HỘI CHỦ NGHĨA VIỆT NAM</w:t>
            </w:r>
          </w:p>
          <w:p w14:paraId="17954AB5" w14:textId="77777777" w:rsidR="00D21069" w:rsidRPr="00D21069" w:rsidRDefault="00D21069" w:rsidP="00D21069">
            <w:pPr>
              <w:widowControl w:val="0"/>
              <w:spacing w:after="0" w:line="240" w:lineRule="auto"/>
              <w:jc w:val="center"/>
              <w:rPr>
                <w:rFonts w:ascii="Times New Roman" w:eastAsia="Calibri" w:hAnsi="Times New Roman" w:cs="Tahoma"/>
                <w:b/>
                <w:bCs/>
                <w:color w:val="000000" w:themeColor="text1"/>
                <w:sz w:val="28"/>
                <w:szCs w:val="26"/>
                <w:lang w:val="vi-VN" w:eastAsia="vi-VN"/>
              </w:rPr>
            </w:pPr>
            <w:bookmarkStart w:id="2" w:name="graphic06"/>
            <w:bookmarkEnd w:id="2"/>
            <w:r w:rsidRPr="00D21069">
              <w:rPr>
                <w:rFonts w:ascii="Times New Roman" w:eastAsia="Calibri" w:hAnsi="Times New Roman" w:cs="Tahoma"/>
                <w:b/>
                <w:bCs/>
                <w:color w:val="000000" w:themeColor="text1"/>
                <w:sz w:val="28"/>
                <w:szCs w:val="26"/>
                <w:lang w:val="vi-VN" w:eastAsia="vi-VN"/>
              </w:rPr>
              <w:t>Độc lập - Tự do - Hạnh phúc</w:t>
            </w:r>
          </w:p>
          <w:p w14:paraId="555FB621" w14:textId="77777777" w:rsidR="00D21069" w:rsidRPr="00D21069" w:rsidRDefault="00D21069" w:rsidP="00D21069">
            <w:pPr>
              <w:widowControl w:val="0"/>
              <w:spacing w:before="360" w:after="0" w:line="240" w:lineRule="auto"/>
              <w:jc w:val="center"/>
              <w:rPr>
                <w:rFonts w:ascii="Times New Roman" w:eastAsia="Calibri" w:hAnsi="Times New Roman" w:cs="Tahoma"/>
                <w:color w:val="000000" w:themeColor="text1"/>
                <w:sz w:val="28"/>
                <w:szCs w:val="28"/>
                <w:lang w:eastAsia="vi-VN"/>
              </w:rPr>
            </w:pPr>
            <w:r w:rsidRPr="00D21069">
              <w:rPr>
                <w:rFonts w:ascii="Times New Roman" w:eastAsia="Calibri" w:hAnsi="Times New Roman" w:cs="Tahoma"/>
                <w:i/>
                <w:iCs/>
                <w:noProof/>
                <w:color w:val="000000" w:themeColor="text1"/>
                <w:sz w:val="26"/>
                <w:szCs w:val="26"/>
              </w:rPr>
              <mc:AlternateContent>
                <mc:Choice Requires="wps">
                  <w:drawing>
                    <wp:anchor distT="0" distB="0" distL="114300" distR="114300" simplePos="0" relativeHeight="251665408" behindDoc="0" locked="0" layoutInCell="1" allowOverlap="1" wp14:anchorId="4A48997F" wp14:editId="5E357EEB">
                      <wp:simplePos x="0" y="0"/>
                      <wp:positionH relativeFrom="column">
                        <wp:posOffset>744220</wp:posOffset>
                      </wp:positionH>
                      <wp:positionV relativeFrom="paragraph">
                        <wp:posOffset>18415</wp:posOffset>
                      </wp:positionV>
                      <wp:extent cx="19418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a:solidFill>
                                  <a:srgbClr val="000000"/>
                                </a:solidFill>
                                <a:round/>
                              </a:ln>
                              <a:effectLst/>
                            </wps:spPr>
                            <wps:bodyPr/>
                          </wps:wsp>
                        </a:graphicData>
                      </a:graphic>
                    </wp:anchor>
                  </w:drawing>
                </mc:Choice>
                <mc:Fallback>
                  <w:pict>
                    <v:line w14:anchorId="4F6F4B8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6pt,1.45pt" to="2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"/>
                  </w:pict>
                </mc:Fallback>
              </mc:AlternateContent>
            </w:r>
            <w:r w:rsidRPr="00D21069">
              <w:rPr>
                <w:rFonts w:ascii="Times New Roman" w:eastAsia="Calibri" w:hAnsi="Times New Roman" w:cs="Tahoma"/>
                <w:i/>
                <w:iCs/>
                <w:color w:val="000000" w:themeColor="text1"/>
                <w:sz w:val="26"/>
                <w:szCs w:val="26"/>
                <w:lang w:val="vi-VN" w:eastAsia="vi-VN"/>
              </w:rPr>
              <w:t>Hà Nội, ngày      tháng        năm</w:t>
            </w:r>
            <w:r w:rsidRPr="00D21069">
              <w:rPr>
                <w:rFonts w:ascii="Times New Roman" w:eastAsia="Calibri" w:hAnsi="Times New Roman" w:cs="Tahoma"/>
                <w:i/>
                <w:iCs/>
                <w:color w:val="000000" w:themeColor="text1"/>
                <w:sz w:val="26"/>
                <w:szCs w:val="26"/>
                <w:lang w:eastAsia="vi-VN"/>
              </w:rPr>
              <w:t xml:space="preserve"> 2021</w:t>
            </w:r>
          </w:p>
        </w:tc>
      </w:tr>
    </w:tbl>
    <w:p w14:paraId="10185DE4" w14:textId="77777777" w:rsidR="00D21069" w:rsidRPr="00D21069" w:rsidRDefault="00D21069" w:rsidP="00D21069">
      <w:pPr>
        <w:spacing w:after="200" w:line="276" w:lineRule="auto"/>
        <w:ind w:firstLine="720"/>
        <w:jc w:val="center"/>
        <w:rPr>
          <w:rFonts w:ascii="Times New Roman" w:hAnsi="Times New Roman"/>
          <w:sz w:val="28"/>
        </w:rPr>
      </w:pPr>
    </w:p>
    <w:p w14:paraId="11D6A030" w14:textId="77777777" w:rsidR="00D21069" w:rsidRPr="00D21069" w:rsidRDefault="00D21069" w:rsidP="00D21069">
      <w:pPr>
        <w:spacing w:after="0" w:line="240" w:lineRule="auto"/>
        <w:ind w:firstLine="720"/>
        <w:jc w:val="center"/>
        <w:rPr>
          <w:rFonts w:ascii="Times New Roman" w:hAnsi="Times New Roman"/>
          <w:b/>
          <w:sz w:val="28"/>
        </w:rPr>
      </w:pPr>
      <w:r w:rsidRPr="00D21069">
        <w:rPr>
          <w:rFonts w:ascii="Times New Roman" w:hAnsi="Times New Roman"/>
          <w:b/>
          <w:sz w:val="28"/>
        </w:rPr>
        <w:t>TỜ TRÌNH</w:t>
      </w:r>
    </w:p>
    <w:p w14:paraId="71CC194B" w14:textId="77777777" w:rsidR="00D21069" w:rsidRPr="00D21069" w:rsidRDefault="00D21069" w:rsidP="00D21069">
      <w:pPr>
        <w:spacing w:after="0" w:line="240" w:lineRule="auto"/>
        <w:ind w:firstLine="720"/>
        <w:jc w:val="center"/>
        <w:rPr>
          <w:rFonts w:ascii="Times New Roman" w:hAnsi="Times New Roman"/>
          <w:b/>
          <w:sz w:val="28"/>
        </w:rPr>
      </w:pPr>
      <w:r w:rsidRPr="00D21069">
        <w:rPr>
          <w:rFonts w:ascii="Times New Roman" w:hAnsi="Times New Roman"/>
          <w:b/>
          <w:sz w:val="28"/>
        </w:rPr>
        <w:t>Về phương án cắt giảm, đơn giản hóa quy định liên quan đến hoạt động kinh doanh năm 2021 của Bộ Nông nghiệp và Phát triển nông thôn</w:t>
      </w:r>
    </w:p>
    <w:p w14:paraId="3DF33381" w14:textId="77777777" w:rsidR="00D21069" w:rsidRPr="00D21069" w:rsidRDefault="00D21069" w:rsidP="00D21069">
      <w:pPr>
        <w:spacing w:before="360" w:after="360" w:line="276" w:lineRule="auto"/>
        <w:ind w:firstLine="720"/>
        <w:jc w:val="center"/>
        <w:rPr>
          <w:rFonts w:ascii="Times New Roman" w:hAnsi="Times New Roman"/>
          <w:sz w:val="28"/>
        </w:rPr>
      </w:pPr>
      <w:r w:rsidRPr="00D21069">
        <w:rPr>
          <w:rFonts w:ascii="Times New Roman" w:hAnsi="Times New Roman"/>
          <w:sz w:val="28"/>
        </w:rPr>
        <w:t>Kính gửi: Thủ tướng Chính phủ</w:t>
      </w:r>
    </w:p>
    <w:p w14:paraId="360BAD03" w14:textId="77777777" w:rsidR="00D21069" w:rsidRPr="00D21069" w:rsidRDefault="00D21069" w:rsidP="00D21069">
      <w:pPr>
        <w:spacing w:before="120" w:after="120" w:line="360" w:lineRule="exact"/>
        <w:ind w:firstLine="720"/>
        <w:jc w:val="both"/>
        <w:rPr>
          <w:rFonts w:ascii="Times New Roman" w:hAnsi="Times New Roman" w:cs="Times New Roman"/>
          <w:sz w:val="28"/>
          <w:szCs w:val="28"/>
        </w:rPr>
      </w:pPr>
      <w:r w:rsidRPr="00D21069">
        <w:rPr>
          <w:rFonts w:ascii="Times New Roman" w:hAnsi="Times New Roman" w:cs="Times New Roman"/>
          <w:sz w:val="28"/>
          <w:szCs w:val="28"/>
        </w:rPr>
        <w:t>Thực hiện Nghị quyết số 68/NQ-CP ngày 12 tháng 5 năm 2020 của Chính phủ ban hành Chương trình cắt giảm, đơn giản hóa quy định liên quan đến hoạt động kinh doanh giai đoạn 2020 -2025 (sau đây gọi là Nghị quyết số 68/NQ-CP), Bộ Nông nghiệp và Phát triển nông thôn (PTNT) kính báo cáo Thủ tướng Chính phủ nội dung triển khai rà soát, xây dựng phương án cắt giảm đơn giản hóa quy định liên quan đến hoạt động kinh doanh thuộc lĩnh vực quản lý của Bộ năm 2021 như sau:</w:t>
      </w:r>
    </w:p>
    <w:p w14:paraId="78F91B10" w14:textId="77777777" w:rsidR="00D21069" w:rsidRPr="00D21069" w:rsidRDefault="00D21069" w:rsidP="00D21069">
      <w:pPr>
        <w:tabs>
          <w:tab w:val="left" w:pos="851"/>
        </w:tabs>
        <w:spacing w:before="120" w:after="120" w:line="360" w:lineRule="exact"/>
        <w:jc w:val="both"/>
        <w:rPr>
          <w:rFonts w:ascii="Times New Roman" w:hAnsi="Times New Roman" w:cs="Times New Roman"/>
          <w:b/>
          <w:sz w:val="26"/>
          <w:szCs w:val="26"/>
        </w:rPr>
      </w:pPr>
      <w:r w:rsidRPr="00D21069">
        <w:rPr>
          <w:rFonts w:ascii="Times New Roman" w:hAnsi="Times New Roman" w:cs="Times New Roman"/>
          <w:b/>
          <w:sz w:val="26"/>
          <w:szCs w:val="26"/>
        </w:rPr>
        <w:tab/>
        <w:t>I. TÌNH HÌNH TRIỂN KHAI NGHỊ QUYẾT SỐ 68/NQ-CP</w:t>
      </w:r>
    </w:p>
    <w:p w14:paraId="07901FE4" w14:textId="77777777" w:rsidR="00D21069" w:rsidRPr="00D21069" w:rsidRDefault="00D21069" w:rsidP="00D21069">
      <w:pPr>
        <w:tabs>
          <w:tab w:val="left" w:pos="851"/>
        </w:tabs>
        <w:spacing w:before="120" w:after="120" w:line="360" w:lineRule="exact"/>
        <w:jc w:val="both"/>
        <w:rPr>
          <w:rFonts w:ascii="Times New Roman" w:hAnsi="Times New Roman" w:cs="Times New Roman"/>
          <w:b/>
          <w:sz w:val="28"/>
          <w:szCs w:val="28"/>
        </w:rPr>
      </w:pPr>
      <w:r w:rsidRPr="00D21069">
        <w:rPr>
          <w:rFonts w:ascii="Times New Roman" w:hAnsi="Times New Roman" w:cs="Times New Roman"/>
          <w:b/>
          <w:sz w:val="28"/>
          <w:szCs w:val="28"/>
        </w:rPr>
        <w:tab/>
        <w:t xml:space="preserve">1. </w:t>
      </w:r>
      <w:r w:rsidRPr="00D21069">
        <w:rPr>
          <w:rFonts w:ascii="Times New Roman" w:eastAsia="Times New Roman" w:hAnsi="Times New Roman" w:cs="Times New Roman"/>
          <w:b/>
          <w:spacing w:val="-4"/>
          <w:sz w:val="28"/>
          <w:szCs w:val="28"/>
        </w:rPr>
        <w:t>Về xây dựng Kế hoạch:</w:t>
      </w:r>
    </w:p>
    <w:p w14:paraId="3F2410AC" w14:textId="77777777" w:rsidR="00D21069" w:rsidRPr="00D21069" w:rsidRDefault="00D21069" w:rsidP="00D21069">
      <w:pPr>
        <w:tabs>
          <w:tab w:val="left" w:pos="851"/>
        </w:tabs>
        <w:spacing w:before="120" w:after="120" w:line="360" w:lineRule="exact"/>
        <w:ind w:firstLine="720"/>
        <w:jc w:val="both"/>
        <w:rPr>
          <w:rFonts w:ascii="Times New Roman" w:eastAsia="Times New Roman" w:hAnsi="Times New Roman" w:cs="Times New Roman"/>
          <w:spacing w:val="-4"/>
          <w:sz w:val="28"/>
          <w:szCs w:val="28"/>
        </w:rPr>
      </w:pPr>
      <w:r w:rsidRPr="00D21069">
        <w:rPr>
          <w:rFonts w:ascii="Times New Roman" w:eastAsia="Times New Roman" w:hAnsi="Times New Roman" w:cs="Times New Roman"/>
          <w:spacing w:val="-4"/>
          <w:sz w:val="28"/>
          <w:szCs w:val="28"/>
        </w:rPr>
        <w:tab/>
        <w:t>- Ngày 08/6/2020, Bộ trưởng Bộ Nông nghiệp và PTNT đã ký Quyết định số 2069/QĐ-BNN-PC ban hành Kế hoạch cắt giảm, đơn giản hóa quy định liên quan đến hoạt động kinh doanh năm 2020 của Bộ, trong đó nêu rõ mục tiêu, yêu cầu và phân công trách nhiệm triển khai thực hiện của các cơ quan, đơn vị thuộc Bộ đảm bảo thực hiện các nhiệm vụ tại Nghị quyết số 68/NQ-CP của Chính phủ.</w:t>
      </w:r>
    </w:p>
    <w:p w14:paraId="65A05BB7" w14:textId="77777777" w:rsidR="00D21069" w:rsidRPr="00D21069" w:rsidRDefault="00D21069" w:rsidP="00D21069">
      <w:pPr>
        <w:tabs>
          <w:tab w:val="left" w:pos="851"/>
        </w:tabs>
        <w:spacing w:before="120" w:after="120" w:line="360" w:lineRule="exact"/>
        <w:ind w:firstLine="720"/>
        <w:jc w:val="both"/>
        <w:rPr>
          <w:rFonts w:ascii="Times New Roman" w:eastAsia="Times New Roman" w:hAnsi="Times New Roman" w:cs="Times New Roman"/>
          <w:spacing w:val="-4"/>
          <w:sz w:val="28"/>
          <w:szCs w:val="28"/>
        </w:rPr>
      </w:pPr>
      <w:r w:rsidRPr="00D21069">
        <w:rPr>
          <w:rFonts w:ascii="Times New Roman" w:eastAsia="Times New Roman" w:hAnsi="Times New Roman" w:cs="Times New Roman"/>
          <w:spacing w:val="-4"/>
          <w:sz w:val="28"/>
          <w:szCs w:val="28"/>
        </w:rPr>
        <w:tab/>
        <w:t>- Ngày 14/01/2021, Bộ trưởng Bộ Nông nghiệp và PTNT đã ban hành kế hoạch hành động thực hiện Nghị quyết số 02/NQ-CP ngày 01/01/2021 và Nghị quyết số 68/NQ-CP ngày 12/5/2020 cùa Chính phủ (Quyết định số 206/QĐ-BNN-PC).</w:t>
      </w:r>
    </w:p>
    <w:p w14:paraId="53EB7563" w14:textId="77777777" w:rsidR="00D21069" w:rsidRPr="00D21069" w:rsidRDefault="00D21069" w:rsidP="00D21069">
      <w:pPr>
        <w:tabs>
          <w:tab w:val="left" w:pos="851"/>
        </w:tabs>
        <w:spacing w:before="120" w:after="120" w:line="360" w:lineRule="exact"/>
        <w:ind w:firstLine="720"/>
        <w:jc w:val="both"/>
        <w:rPr>
          <w:rFonts w:ascii="Times New Roman" w:eastAsia="Times New Roman" w:hAnsi="Times New Roman" w:cs="Times New Roman"/>
          <w:spacing w:val="-4"/>
          <w:sz w:val="28"/>
          <w:szCs w:val="28"/>
        </w:rPr>
      </w:pPr>
      <w:r w:rsidRPr="00D21069">
        <w:rPr>
          <w:rFonts w:ascii="Times New Roman" w:eastAsia="Times New Roman" w:hAnsi="Times New Roman" w:cs="Times New Roman"/>
          <w:b/>
          <w:bCs/>
          <w:spacing w:val="-4"/>
          <w:sz w:val="28"/>
          <w:szCs w:val="28"/>
        </w:rPr>
        <w:t>2. Về thành lập Tổ công tác:</w:t>
      </w:r>
    </w:p>
    <w:p w14:paraId="0B03451D"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bCs/>
          <w:sz w:val="28"/>
          <w:szCs w:val="28"/>
          <w:lang w:val="vi-VN"/>
        </w:rPr>
      </w:pPr>
      <w:r w:rsidRPr="00D21069">
        <w:rPr>
          <w:rFonts w:ascii="Times New Roman" w:eastAsia="Times New Roman" w:hAnsi="Times New Roman" w:cs="Times New Roman"/>
          <w:bCs/>
          <w:sz w:val="28"/>
          <w:szCs w:val="28"/>
        </w:rPr>
        <w:t xml:space="preserve">Ngày 29/7/2020, Bộ Nông nghiệp và PTNT đã ban hành </w:t>
      </w:r>
      <w:r w:rsidRPr="00D21069">
        <w:rPr>
          <w:rFonts w:ascii="Times New Roman" w:eastAsia="Times New Roman" w:hAnsi="Times New Roman" w:cs="Times New Roman"/>
          <w:bCs/>
          <w:sz w:val="28"/>
          <w:szCs w:val="28"/>
          <w:lang w:val="vi-VN"/>
        </w:rPr>
        <w:t xml:space="preserve">Quyết định </w:t>
      </w:r>
      <w:r w:rsidRPr="00D21069">
        <w:rPr>
          <w:rFonts w:ascii="Times New Roman" w:eastAsia="Times New Roman" w:hAnsi="Times New Roman" w:cs="Times New Roman"/>
          <w:bCs/>
          <w:sz w:val="28"/>
          <w:szCs w:val="28"/>
        </w:rPr>
        <w:t xml:space="preserve">số </w:t>
      </w:r>
      <w:r w:rsidRPr="00D21069">
        <w:rPr>
          <w:rFonts w:ascii="Times New Roman" w:eastAsia="Times New Roman" w:hAnsi="Times New Roman" w:cs="Times New Roman"/>
          <w:bCs/>
          <w:sz w:val="28"/>
          <w:szCs w:val="28"/>
          <w:lang w:val="vi-VN"/>
        </w:rPr>
        <w:t>2841/QĐ-BNN-VP</w:t>
      </w:r>
      <w:r w:rsidRPr="00D21069">
        <w:rPr>
          <w:rFonts w:ascii="Times New Roman" w:eastAsia="Times New Roman" w:hAnsi="Times New Roman" w:cs="Times New Roman"/>
          <w:bCs/>
          <w:sz w:val="28"/>
          <w:szCs w:val="28"/>
        </w:rPr>
        <w:t xml:space="preserve"> về việc t</w:t>
      </w:r>
      <w:r w:rsidRPr="00D21069">
        <w:rPr>
          <w:rFonts w:ascii="Times New Roman" w:eastAsia="Times New Roman" w:hAnsi="Times New Roman" w:cs="Times New Roman"/>
          <w:bCs/>
          <w:sz w:val="28"/>
          <w:szCs w:val="28"/>
          <w:lang w:val="vi-VN"/>
        </w:rPr>
        <w:t>hành lập Tổ công tác thực hiện Nghị quyết</w:t>
      </w:r>
      <w:r w:rsidRPr="00D21069">
        <w:rPr>
          <w:rFonts w:ascii="Times New Roman" w:eastAsia="Times New Roman" w:hAnsi="Times New Roman" w:cs="Times New Roman"/>
          <w:bCs/>
          <w:sz w:val="28"/>
          <w:szCs w:val="28"/>
        </w:rPr>
        <w:t xml:space="preserve"> số</w:t>
      </w:r>
      <w:r w:rsidRPr="00D21069">
        <w:rPr>
          <w:rFonts w:ascii="Times New Roman" w:eastAsia="Times New Roman" w:hAnsi="Times New Roman" w:cs="Times New Roman"/>
          <w:bCs/>
          <w:sz w:val="28"/>
          <w:szCs w:val="28"/>
          <w:lang w:val="vi-VN"/>
        </w:rPr>
        <w:t xml:space="preserve"> 68/NQ-CP </w:t>
      </w:r>
      <w:r w:rsidRPr="00D21069">
        <w:rPr>
          <w:rFonts w:ascii="Times New Roman" w:eastAsia="Times New Roman" w:hAnsi="Times New Roman" w:cs="Times New Roman"/>
          <w:bCs/>
          <w:sz w:val="28"/>
          <w:szCs w:val="28"/>
        </w:rPr>
        <w:t>của Chính phủ tại</w:t>
      </w:r>
      <w:r w:rsidRPr="00D21069">
        <w:rPr>
          <w:rFonts w:ascii="Times New Roman" w:eastAsia="Times New Roman" w:hAnsi="Times New Roman" w:cs="Times New Roman"/>
          <w:bCs/>
          <w:sz w:val="28"/>
          <w:szCs w:val="28"/>
          <w:lang w:val="vi-VN"/>
        </w:rPr>
        <w:t xml:space="preserve"> Bộ, theo đó Chánh Văn phòng Bộ làm Tổ trưởng Tổ công tác, Vụ trưởng Vụ Pháp chế là Tổ phó thường trực Tổ công tác. Tham gia Tổ công tác là thủ trưởng của các đơn vị thuộc Bộ có liên quan.</w:t>
      </w:r>
    </w:p>
    <w:p w14:paraId="177F1D77"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bCs/>
          <w:sz w:val="28"/>
          <w:szCs w:val="28"/>
        </w:rPr>
      </w:pPr>
      <w:r w:rsidRPr="00D21069">
        <w:rPr>
          <w:rFonts w:ascii="Times New Roman" w:eastAsia="Times New Roman" w:hAnsi="Times New Roman" w:cs="Times New Roman"/>
          <w:bCs/>
          <w:sz w:val="28"/>
          <w:szCs w:val="28"/>
        </w:rPr>
        <w:t xml:space="preserve">Đồng thời Tổ công tác thực hiện Nghị quyết số 68/NQ-CP đã lập riêng một website, phân quyền cho cán bộ, công chức của các đơn vị thuộc Bộ tham gia thực hiện Nghị quyết số 68 để trao đổi, cung cấp thông tin, cập nhật báo cáo hàng tuần việc thực hiện Nghị quyết đến các thành viên Tổ công tác. </w:t>
      </w:r>
    </w:p>
    <w:p w14:paraId="029A0CFD"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b/>
          <w:sz w:val="28"/>
          <w:szCs w:val="28"/>
        </w:rPr>
      </w:pPr>
      <w:r w:rsidRPr="00D21069">
        <w:rPr>
          <w:rFonts w:ascii="Times New Roman" w:eastAsia="Times New Roman" w:hAnsi="Times New Roman" w:cs="Times New Roman"/>
          <w:b/>
          <w:sz w:val="28"/>
          <w:szCs w:val="28"/>
        </w:rPr>
        <w:lastRenderedPageBreak/>
        <w:t>3. Về thống kê, cập nhật các quy định liên quan đến hoạt động kinh doanh trên phần mềm:</w:t>
      </w:r>
    </w:p>
    <w:p w14:paraId="6AF10692"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sz w:val="28"/>
          <w:szCs w:val="28"/>
        </w:rPr>
      </w:pPr>
      <w:r w:rsidRPr="00D21069">
        <w:rPr>
          <w:rFonts w:ascii="Times New Roman" w:eastAsia="Times New Roman" w:hAnsi="Times New Roman" w:cs="Times New Roman"/>
          <w:bCs/>
          <w:sz w:val="28"/>
          <w:szCs w:val="28"/>
        </w:rPr>
        <w:t>- Ngày 07-08/10/2020, Bộ Nông nghiệp và Phát triển nông thôn đã cử đại diện của Tổ công tác thực hiện Nghị quyết 68/NQ-CP tham dự buổi tập huấn hướng dẫn sử dụng công cụ thống kê, tính chi phí tuân thủ, rà soát, đánh giá các quy định liên quan đến hoạt động kinh doanh do Văn phòng Chính phủ tổ chức.</w:t>
      </w:r>
      <w:r w:rsidRPr="00D21069">
        <w:rPr>
          <w:rFonts w:ascii="Times New Roman" w:eastAsia="Times New Roman" w:hAnsi="Times New Roman" w:cs="Times New Roman"/>
          <w:sz w:val="28"/>
          <w:szCs w:val="28"/>
        </w:rPr>
        <w:t xml:space="preserve"> Sau khi tham dự tập huấn do Văn phòng Chính phủ tổ chức, ngày 13-14/10/2020, Bộ Nông nghiệp và PTNT tổ chức Hội nghị tập huấn cho cán bộ, công chức tham gia thực hiện Nghị quyết số 68/NQ-CP của các Tổng cục, Cục, Vụ về việc sử dụng phần mềm thống kê, tính chi phí tuân thủ, rà soát, đánh giá quy định liên quan đến hoạt động kinh doanh tại địa chỉ: </w:t>
      </w:r>
      <w:hyperlink r:id="rId8" w:history="1">
        <w:r w:rsidRPr="00D21069">
          <w:rPr>
            <w:rFonts w:ascii="Times New Roman" w:eastAsia="Times New Roman" w:hAnsi="Times New Roman" w:cs="Times New Roman"/>
            <w:sz w:val="28"/>
            <w:szCs w:val="28"/>
            <w:u w:val="single"/>
          </w:rPr>
          <w:t>http://nq68.baocaochinhphu.gov.vn</w:t>
        </w:r>
      </w:hyperlink>
      <w:r w:rsidRPr="00D21069">
        <w:rPr>
          <w:rFonts w:ascii="Times New Roman" w:eastAsia="Times New Roman" w:hAnsi="Times New Roman" w:cs="Times New Roman"/>
          <w:sz w:val="28"/>
          <w:szCs w:val="28"/>
        </w:rPr>
        <w:t xml:space="preserve">. </w:t>
      </w:r>
    </w:p>
    <w:p w14:paraId="3B9605E1"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spacing w:val="-4"/>
          <w:sz w:val="28"/>
          <w:szCs w:val="28"/>
        </w:rPr>
      </w:pPr>
      <w:r w:rsidRPr="00D21069">
        <w:rPr>
          <w:rFonts w:ascii="Times New Roman" w:eastAsia="Times New Roman" w:hAnsi="Times New Roman" w:cs="Times New Roman"/>
          <w:sz w:val="28"/>
          <w:szCs w:val="28"/>
        </w:rPr>
        <w:t xml:space="preserve">- Sau khi tổ chức tập huấn, Bộ yêu cầu các đơn vị tiến hành </w:t>
      </w:r>
      <w:r w:rsidRPr="00D21069">
        <w:rPr>
          <w:rFonts w:ascii="Times New Roman" w:eastAsia="Calibri" w:hAnsi="Times New Roman" w:cs="Times New Roman"/>
          <w:sz w:val="28"/>
          <w:szCs w:val="28"/>
        </w:rPr>
        <w:t xml:space="preserve">cập nhật đầy đủ </w:t>
      </w:r>
      <w:r w:rsidRPr="00D21069">
        <w:rPr>
          <w:rFonts w:ascii="Times New Roman" w:eastAsia="Times New Roman" w:hAnsi="Times New Roman" w:cs="Times New Roman"/>
          <w:spacing w:val="-4"/>
          <w:sz w:val="28"/>
          <w:szCs w:val="28"/>
        </w:rPr>
        <w:t>dữ liệu các quy định liên quan đến hoạt động kinh doanh thuộc phạm vi chức năng quản lý đang có hiệu lực thi hành tính đến hết ngày 31/5/2020 (gồm: thủ tục hành chính; yêu cầu, điều kiện kinh doanh; chế độ báo cáo) và tính chi phí tuân thủ các quy định này trên Phần mềm. Đồng thời, rà soát, đề xuất phương án cắt giảm, đơn giản hóa các quy định liên quan đến hoạt động kinh doanh.</w:t>
      </w:r>
    </w:p>
    <w:p w14:paraId="056C5671" w14:textId="77777777"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Ngày 07/6/2021, Bộ tổ chức hội nghị về thúc đẩy triển khai Nghị quyết số 68/NQ-CP của Chính phủ, triển khai Quyết định 468/QĐ-TTg của Thủ tướng Chính phủ và Nghị quyết số 17/NQ-CP của Chính phủ; sau hội nghị, Bộ Nông nghiệp và PTNT đã thành lập đoàn công tác với thành phần là Văn phòng Bộ, Vụ Pháp chế, Vụ Khoa học Công nghệ và Môi trường làm việc trực tiếp với các đơn vị thuộc Bộ có liên quan để thống nhất phương án cắt giảm, đơn giản hóa các quy định liên quan đến hoạt động kinh doanh.</w:t>
      </w:r>
    </w:p>
    <w:p w14:paraId="283CEE64" w14:textId="77777777" w:rsidR="00D21069" w:rsidRPr="00D21069" w:rsidRDefault="00D21069" w:rsidP="00D21069">
      <w:pPr>
        <w:tabs>
          <w:tab w:val="left" w:pos="0"/>
          <w:tab w:val="left" w:pos="709"/>
        </w:tabs>
        <w:spacing w:before="120" w:after="120" w:line="360" w:lineRule="exact"/>
        <w:jc w:val="both"/>
        <w:rPr>
          <w:rFonts w:ascii="Times New Roman" w:eastAsia="Times New Roman" w:hAnsi="Times New Roman" w:cs="Times New Roman"/>
          <w:spacing w:val="-4"/>
          <w:sz w:val="28"/>
          <w:szCs w:val="28"/>
        </w:rPr>
      </w:pPr>
      <w:r w:rsidRPr="00D21069">
        <w:rPr>
          <w:rFonts w:ascii="Times New Roman" w:eastAsia="Calibri" w:hAnsi="Times New Roman" w:cs="Times New Roman"/>
          <w:sz w:val="28"/>
          <w:szCs w:val="28"/>
        </w:rPr>
        <w:tab/>
        <w:t>Đến nay Bộ Nông nghiệp và Phát triển nông thôn đã cập nhật trên phần mềm các quy định liên quan đến hoạt động kinh doanh thuộc phạm vi chức năng quản lý của Bộ có hiệu lực thi hành tính đến 31/5/2020</w:t>
      </w:r>
      <w:r w:rsidRPr="00D21069">
        <w:rPr>
          <w:rFonts w:ascii="Times New Roman" w:eastAsia="Times New Roman" w:hAnsi="Times New Roman" w:cs="Times New Roman"/>
          <w:spacing w:val="-4"/>
          <w:sz w:val="28"/>
          <w:szCs w:val="28"/>
        </w:rPr>
        <w:t>, cụ thể:</w:t>
      </w:r>
    </w:p>
    <w:p w14:paraId="449234CA" w14:textId="0C0D98C8"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xml:space="preserve">- Quy định về TTHC: 159 </w:t>
      </w:r>
      <w:r w:rsidR="005E2B88">
        <w:rPr>
          <w:rFonts w:ascii="Times New Roman" w:eastAsia="Calibri" w:hAnsi="Times New Roman" w:cs="Times New Roman"/>
          <w:sz w:val="28"/>
          <w:szCs w:val="28"/>
        </w:rPr>
        <w:t>(</w:t>
      </w:r>
      <w:r w:rsidR="00D41094">
        <w:rPr>
          <w:rFonts w:ascii="Times New Roman" w:eastAsia="Calibri" w:hAnsi="Times New Roman" w:cs="Times New Roman"/>
          <w:sz w:val="28"/>
          <w:szCs w:val="28"/>
        </w:rPr>
        <w:t xml:space="preserve">có </w:t>
      </w:r>
      <w:r w:rsidR="005E2B88">
        <w:rPr>
          <w:rFonts w:ascii="Times New Roman" w:eastAsia="Calibri" w:hAnsi="Times New Roman" w:cs="Times New Roman"/>
          <w:sz w:val="28"/>
          <w:szCs w:val="28"/>
        </w:rPr>
        <w:t>21 TTHC được lặp lại tại các ngành nghề khác nhau; 20 TTHC thuộc thẩm quyền quản lý của bộ, ngành khác)</w:t>
      </w:r>
    </w:p>
    <w:p w14:paraId="380007A5" w14:textId="0074E499"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xml:space="preserve">- Quy định về chế độ báo cáo: 17 </w:t>
      </w:r>
      <w:r w:rsidR="005E2B88">
        <w:rPr>
          <w:rFonts w:ascii="Times New Roman" w:eastAsia="Calibri" w:hAnsi="Times New Roman" w:cs="Times New Roman"/>
          <w:sz w:val="28"/>
          <w:szCs w:val="28"/>
        </w:rPr>
        <w:t>(</w:t>
      </w:r>
      <w:r w:rsidR="00D41094">
        <w:rPr>
          <w:rFonts w:ascii="Times New Roman" w:eastAsia="Calibri" w:hAnsi="Times New Roman" w:cs="Times New Roman"/>
          <w:sz w:val="28"/>
          <w:szCs w:val="28"/>
        </w:rPr>
        <w:t xml:space="preserve">có </w:t>
      </w:r>
      <w:r w:rsidR="005E2B88">
        <w:rPr>
          <w:rFonts w:ascii="Times New Roman" w:eastAsia="Calibri" w:hAnsi="Times New Roman" w:cs="Times New Roman"/>
          <w:sz w:val="28"/>
          <w:szCs w:val="28"/>
        </w:rPr>
        <w:t>03 báo cáo được lặp lại tại các ngành nghề khác nhau)</w:t>
      </w:r>
    </w:p>
    <w:p w14:paraId="74320BBF" w14:textId="77777777"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xml:space="preserve">- Quy định về yêu cầu điều kiện: 423 </w:t>
      </w:r>
    </w:p>
    <w:p w14:paraId="3EF9912D" w14:textId="77777777"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Quy định về Tiêu chuẩn Quy chuẩn: 227</w:t>
      </w:r>
    </w:p>
    <w:p w14:paraId="07434FAE" w14:textId="77777777"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eastAsia="Calibri" w:hAnsi="Times New Roman" w:cs="Times New Roman"/>
          <w:sz w:val="28"/>
          <w:szCs w:val="28"/>
        </w:rPr>
        <w:t>- Quy định về Kiểm tra chuyên ngành: 1.768</w:t>
      </w:r>
    </w:p>
    <w:p w14:paraId="3C548201" w14:textId="77777777" w:rsidR="00D21069" w:rsidRPr="00D21069" w:rsidRDefault="00D21069" w:rsidP="00D21069">
      <w:pPr>
        <w:spacing w:before="120" w:after="120" w:line="360" w:lineRule="exact"/>
        <w:ind w:firstLine="720"/>
        <w:jc w:val="both"/>
        <w:rPr>
          <w:rFonts w:ascii="Times New Roman" w:eastAsia="Times New Roman" w:hAnsi="Times New Roman" w:cs="Times New Roman"/>
          <w:spacing w:val="-4"/>
          <w:sz w:val="26"/>
          <w:szCs w:val="26"/>
        </w:rPr>
      </w:pPr>
      <w:r w:rsidRPr="00D21069">
        <w:rPr>
          <w:rFonts w:ascii="Times New Roman" w:eastAsia="Times New Roman" w:hAnsi="Times New Roman" w:cs="Times New Roman"/>
          <w:b/>
          <w:spacing w:val="-4"/>
          <w:sz w:val="26"/>
          <w:szCs w:val="26"/>
        </w:rPr>
        <w:t xml:space="preserve">II. TÌNH HÌNH RÀ SOÁT, XÂY DỰNG PHƯƠNG ÁN CẮT GIẢM, ĐƠN GIẢN HÓA QUY ĐỊNH LIÊN QUAN ĐẾN HOẠT ĐỘNG KINH DOANH </w:t>
      </w:r>
    </w:p>
    <w:p w14:paraId="110C3842" w14:textId="77777777" w:rsidR="00D21069" w:rsidRPr="00D21069" w:rsidRDefault="00D21069" w:rsidP="00D21069">
      <w:pPr>
        <w:spacing w:before="120" w:after="120" w:line="360" w:lineRule="exact"/>
        <w:ind w:firstLine="720"/>
        <w:jc w:val="both"/>
        <w:rPr>
          <w:rFonts w:ascii="Times New Roman" w:hAnsi="Times New Roman" w:cs="Times New Roman"/>
          <w:sz w:val="28"/>
          <w:szCs w:val="28"/>
        </w:rPr>
      </w:pPr>
      <w:r w:rsidRPr="00D21069">
        <w:rPr>
          <w:rFonts w:ascii="Times New Roman" w:hAnsi="Times New Roman" w:cs="Times New Roman"/>
          <w:b/>
          <w:bCs/>
          <w:sz w:val="28"/>
          <w:szCs w:val="28"/>
        </w:rPr>
        <w:lastRenderedPageBreak/>
        <w:t>1.</w:t>
      </w:r>
      <w:r w:rsidRPr="00D21069">
        <w:rPr>
          <w:rFonts w:ascii="Times New Roman" w:hAnsi="Times New Roman" w:cs="Times New Roman"/>
          <w:sz w:val="28"/>
          <w:szCs w:val="28"/>
        </w:rPr>
        <w:t xml:space="preserve"> Ngày …… Bộ Nông nghiệp và PTNT gửi văn bản số ……… xin ý kiến Văn phòng Chính phủ, các Bộ, ngành địa phương; Phòng Thương mại và Công nghiệp Việt Nam; các cơ quan, đơn vị có liên quan về dự thảo Phương án cắt giảm, đơn giản hoá quy định liên quan đến hoạt động kinh doanh thuộc phạm vi chức năng quản lý nhà nước của Bộ năm 2021 theo yêu cầu của Nghị quyết số 68/NQ-CP.</w:t>
      </w:r>
    </w:p>
    <w:p w14:paraId="1CD6F1ED" w14:textId="77777777" w:rsidR="00D21069" w:rsidRPr="00D21069" w:rsidRDefault="00D21069" w:rsidP="00D21069">
      <w:pPr>
        <w:spacing w:before="120" w:after="120" w:line="360" w:lineRule="exact"/>
        <w:ind w:firstLine="720"/>
        <w:jc w:val="both"/>
        <w:rPr>
          <w:rFonts w:ascii="Times New Roman" w:hAnsi="Times New Roman" w:cs="Times New Roman"/>
          <w:sz w:val="28"/>
          <w:szCs w:val="28"/>
        </w:rPr>
      </w:pPr>
      <w:r w:rsidRPr="00D21069">
        <w:rPr>
          <w:rFonts w:ascii="Times New Roman" w:hAnsi="Times New Roman" w:cs="Times New Roman"/>
          <w:b/>
          <w:bCs/>
          <w:sz w:val="28"/>
          <w:szCs w:val="28"/>
        </w:rPr>
        <w:t>2.</w:t>
      </w:r>
      <w:r w:rsidRPr="00D21069">
        <w:rPr>
          <w:rFonts w:ascii="Times New Roman" w:hAnsi="Times New Roman" w:cs="Times New Roman"/>
          <w:sz w:val="28"/>
          <w:szCs w:val="28"/>
        </w:rPr>
        <w:t xml:space="preserve"> Ngày …….. Văn phòng Chính phủ đã có văn bản số ……… về việc góp ý phương án cắt giảm, đơn giản hóa các quy định liên quan đến hoạt động kinh doanh của Bộ Nông nghiệp và PTNT.</w:t>
      </w:r>
    </w:p>
    <w:p w14:paraId="7D0BE28B" w14:textId="77777777" w:rsidR="00D21069" w:rsidRPr="00D21069" w:rsidRDefault="00D21069" w:rsidP="00D21069">
      <w:pPr>
        <w:spacing w:before="120" w:after="120" w:line="360" w:lineRule="exact"/>
        <w:ind w:firstLine="720"/>
        <w:jc w:val="both"/>
        <w:rPr>
          <w:rFonts w:ascii="Times New Roman" w:hAnsi="Times New Roman" w:cs="Times New Roman"/>
          <w:sz w:val="28"/>
          <w:szCs w:val="28"/>
        </w:rPr>
      </w:pPr>
      <w:r w:rsidRPr="00D21069">
        <w:rPr>
          <w:rFonts w:ascii="Times New Roman" w:hAnsi="Times New Roman" w:cs="Times New Roman"/>
          <w:b/>
          <w:bCs/>
          <w:sz w:val="28"/>
          <w:szCs w:val="28"/>
        </w:rPr>
        <w:t>3.</w:t>
      </w:r>
      <w:r w:rsidRPr="00D21069">
        <w:rPr>
          <w:rFonts w:ascii="Times New Roman" w:hAnsi="Times New Roman" w:cs="Times New Roman"/>
          <w:sz w:val="28"/>
          <w:szCs w:val="28"/>
        </w:rPr>
        <w:t xml:space="preserve"> Bộ Nông nghiệp và PTNT đã nhận được …. văn bản góp ý từ các Bộ ngành, địa phương …… ; theo đó đã tiếp thu các ý kiến góp ý về dự thảo Phương án đơn giản hoá</w:t>
      </w:r>
    </w:p>
    <w:p w14:paraId="4BFED958" w14:textId="77777777" w:rsidR="00D21069" w:rsidRPr="00D21069" w:rsidRDefault="00D21069" w:rsidP="00D21069">
      <w:pPr>
        <w:spacing w:before="120" w:after="120" w:line="360" w:lineRule="exact"/>
        <w:ind w:firstLine="720"/>
        <w:jc w:val="both"/>
        <w:rPr>
          <w:rFonts w:ascii="Times New Roman" w:eastAsia="Calibri" w:hAnsi="Times New Roman" w:cs="Times New Roman"/>
          <w:sz w:val="28"/>
          <w:szCs w:val="28"/>
        </w:rPr>
      </w:pPr>
      <w:r w:rsidRPr="00D21069">
        <w:rPr>
          <w:rFonts w:ascii="Times New Roman" w:hAnsi="Times New Roman" w:cs="Times New Roman"/>
          <w:b/>
          <w:bCs/>
          <w:spacing w:val="-2"/>
          <w:sz w:val="28"/>
          <w:szCs w:val="28"/>
        </w:rPr>
        <w:t>4.</w:t>
      </w:r>
      <w:r w:rsidRPr="00D21069">
        <w:rPr>
          <w:rFonts w:ascii="Times New Roman" w:hAnsi="Times New Roman" w:cs="Times New Roman"/>
          <w:spacing w:val="-2"/>
          <w:sz w:val="28"/>
          <w:szCs w:val="28"/>
        </w:rPr>
        <w:t xml:space="preserve"> Trên cơ sở các ý kiến góp ý, Bộ Nông nghiệp và PTNT đã hoàn thiện dự thảo Quyết định của Thủ tướng Chính phủ về Phương án cắt giảm, đơn giản hoá quy định liên quan đến hoạt động kinh doanh thuộc phạm vi chức năng quản lý nhà nước của Bộ Nông nghiệp và PTNT năm 2021; </w:t>
      </w:r>
      <w:r w:rsidRPr="00D21069">
        <w:rPr>
          <w:rFonts w:ascii="Times New Roman" w:eastAsia="SimSun" w:hAnsi="Times New Roman" w:cs="Times New Roman"/>
          <w:sz w:val="28"/>
          <w:szCs w:val="28"/>
        </w:rPr>
        <w:t xml:space="preserve">trong đó dự </w:t>
      </w:r>
      <w:r w:rsidRPr="00D21069">
        <w:rPr>
          <w:rFonts w:ascii="Times New Roman" w:eastAsia="SimSun" w:hAnsi="Times New Roman" w:cs="Times New Roman"/>
          <w:sz w:val="28"/>
          <w:szCs w:val="28"/>
          <w:lang w:eastAsia="vi-VN"/>
        </w:rPr>
        <w:t>kiến sẽ cắt giảm, đơn giản hóa như sau:</w:t>
      </w:r>
      <w:r w:rsidRPr="00D21069">
        <w:rPr>
          <w:rFonts w:ascii="Times New Roman" w:eastAsia="Calibri" w:hAnsi="Times New Roman" w:cs="Times New Roman"/>
          <w:sz w:val="28"/>
          <w:szCs w:val="28"/>
        </w:rPr>
        <w:t xml:space="preserve"> </w:t>
      </w:r>
    </w:p>
    <w:p w14:paraId="0AE4DFB6" w14:textId="77777777" w:rsidR="00D21069" w:rsidRPr="00D21069" w:rsidRDefault="00D21069" w:rsidP="00D21069">
      <w:pPr>
        <w:spacing w:before="120" w:after="120" w:line="360" w:lineRule="exact"/>
        <w:ind w:firstLine="720"/>
        <w:jc w:val="both"/>
        <w:rPr>
          <w:rFonts w:ascii="Times New Roman" w:eastAsia="Calibri" w:hAnsi="Times New Roman" w:cs="Times New Roman"/>
          <w:spacing w:val="-4"/>
          <w:sz w:val="28"/>
          <w:szCs w:val="28"/>
        </w:rPr>
      </w:pPr>
      <w:r w:rsidRPr="00D21069">
        <w:rPr>
          <w:rFonts w:ascii="Times New Roman" w:eastAsia="Calibri" w:hAnsi="Times New Roman" w:cs="Times New Roman"/>
          <w:spacing w:val="-4"/>
          <w:sz w:val="28"/>
          <w:szCs w:val="28"/>
        </w:rPr>
        <w:t xml:space="preserve">- Tổng % cắt giảm, đơn giản hoá các quy định liên quan đến HĐKD của Bộ Nông nghiệp và PTNT năm 2021 là </w:t>
      </w:r>
      <w:r w:rsidRPr="00D21069">
        <w:rPr>
          <w:rFonts w:ascii="Times New Roman" w:eastAsia="Calibri" w:hAnsi="Times New Roman" w:cs="Times New Roman"/>
          <w:b/>
          <w:bCs/>
          <w:spacing w:val="-4"/>
          <w:sz w:val="28"/>
          <w:szCs w:val="28"/>
        </w:rPr>
        <w:t>291/2550, đạt 10,82%,</w:t>
      </w:r>
      <w:r w:rsidRPr="00D21069">
        <w:rPr>
          <w:rFonts w:ascii="Times New Roman" w:eastAsia="Calibri" w:hAnsi="Times New Roman" w:cs="Times New Roman"/>
          <w:spacing w:val="-4"/>
          <w:sz w:val="28"/>
          <w:szCs w:val="28"/>
        </w:rPr>
        <w:t xml:space="preserve"> cụ thể:</w:t>
      </w:r>
    </w:p>
    <w:p w14:paraId="0966FB53" w14:textId="77777777" w:rsidR="00D21069" w:rsidRPr="00D21069" w:rsidRDefault="00D21069" w:rsidP="00D21069">
      <w:pPr>
        <w:spacing w:before="120" w:after="120" w:line="360" w:lineRule="exact"/>
        <w:ind w:firstLine="709"/>
        <w:jc w:val="both"/>
        <w:rPr>
          <w:rFonts w:ascii="Times New Roman" w:eastAsia="SimSun" w:hAnsi="Times New Roman" w:cs="Times New Roman"/>
          <w:spacing w:val="-12"/>
          <w:sz w:val="28"/>
          <w:szCs w:val="28"/>
        </w:rPr>
      </w:pPr>
      <w:r w:rsidRPr="00D21069">
        <w:rPr>
          <w:rFonts w:ascii="Times New Roman" w:eastAsia="SimSun" w:hAnsi="Times New Roman" w:cs="Times New Roman"/>
          <w:spacing w:val="-12"/>
          <w:sz w:val="28"/>
          <w:szCs w:val="28"/>
        </w:rPr>
        <w:t>+ Số quy định TTHC : 35/118 quy định, chiếm tỉ lệ 29,66 % trên tổng số quy định.</w:t>
      </w:r>
    </w:p>
    <w:p w14:paraId="4EC44717" w14:textId="77777777" w:rsidR="00D21069" w:rsidRPr="00D21069" w:rsidRDefault="00D21069" w:rsidP="00D21069">
      <w:pPr>
        <w:spacing w:before="120" w:after="120" w:line="360" w:lineRule="exact"/>
        <w:ind w:firstLine="709"/>
        <w:jc w:val="both"/>
        <w:rPr>
          <w:rFonts w:ascii="Times New Roman" w:eastAsia="SimSun" w:hAnsi="Times New Roman" w:cs="Times New Roman"/>
          <w:spacing w:val="-12"/>
          <w:sz w:val="28"/>
          <w:szCs w:val="28"/>
        </w:rPr>
      </w:pPr>
      <w:r w:rsidRPr="00D21069">
        <w:rPr>
          <w:rFonts w:ascii="Times New Roman" w:eastAsia="SimSun" w:hAnsi="Times New Roman" w:cs="Times New Roman"/>
          <w:spacing w:val="-12"/>
          <w:sz w:val="28"/>
          <w:szCs w:val="28"/>
        </w:rPr>
        <w:t>+ Số quy định YCĐK: 04/423 quy định, chiếm tỉ lệ 0,94 % trên tổng số quy định.</w:t>
      </w:r>
    </w:p>
    <w:p w14:paraId="5AE81013" w14:textId="77777777" w:rsidR="00D21069" w:rsidRPr="00D21069" w:rsidRDefault="00D21069" w:rsidP="00D21069">
      <w:pPr>
        <w:spacing w:before="120" w:after="120" w:line="360" w:lineRule="exact"/>
        <w:ind w:firstLine="709"/>
        <w:jc w:val="both"/>
        <w:rPr>
          <w:rFonts w:ascii="Times New Roman" w:eastAsia="SimSun" w:hAnsi="Times New Roman" w:cs="Times New Roman"/>
          <w:spacing w:val="-12"/>
          <w:sz w:val="28"/>
          <w:szCs w:val="28"/>
        </w:rPr>
      </w:pPr>
      <w:r w:rsidRPr="00D21069">
        <w:rPr>
          <w:rFonts w:ascii="Times New Roman" w:eastAsia="SimSun" w:hAnsi="Times New Roman" w:cs="Times New Roman"/>
          <w:spacing w:val="-12"/>
          <w:sz w:val="28"/>
          <w:szCs w:val="28"/>
        </w:rPr>
        <w:t>+ Số quy định CĐBC: 02/14 quy định, chiếm tỉ lệ 14,28 % trên tổng số quy định.</w:t>
      </w:r>
    </w:p>
    <w:p w14:paraId="13BD9720" w14:textId="77777777" w:rsidR="00D21069" w:rsidRPr="00D21069" w:rsidRDefault="00D21069" w:rsidP="00D21069">
      <w:pPr>
        <w:spacing w:before="120" w:after="120" w:line="360" w:lineRule="exact"/>
        <w:ind w:firstLine="709"/>
        <w:jc w:val="both"/>
        <w:rPr>
          <w:rFonts w:ascii="Times New Roman" w:hAnsi="Times New Roman" w:cs="Times New Roman"/>
          <w:spacing w:val="-14"/>
          <w:sz w:val="28"/>
          <w:szCs w:val="28"/>
        </w:rPr>
      </w:pPr>
      <w:r w:rsidRPr="00D21069">
        <w:rPr>
          <w:rFonts w:ascii="Times New Roman" w:hAnsi="Times New Roman" w:cs="Times New Roman"/>
          <w:spacing w:val="-14"/>
          <w:sz w:val="28"/>
          <w:szCs w:val="28"/>
        </w:rPr>
        <w:t>+ Số quy định TCQC:  143/227 quy định, chiếm tỉ lệ 62,99 % trên tổng số quy định.</w:t>
      </w:r>
    </w:p>
    <w:p w14:paraId="6B5B6184" w14:textId="77777777" w:rsidR="00D21069" w:rsidRPr="00D21069" w:rsidRDefault="00D21069" w:rsidP="00D21069">
      <w:pPr>
        <w:spacing w:before="120" w:after="120" w:line="360" w:lineRule="exact"/>
        <w:ind w:firstLine="709"/>
        <w:jc w:val="both"/>
        <w:rPr>
          <w:rFonts w:ascii="Times New Roman" w:hAnsi="Times New Roman" w:cs="Times New Roman"/>
          <w:spacing w:val="-12"/>
          <w:sz w:val="28"/>
          <w:szCs w:val="28"/>
        </w:rPr>
      </w:pPr>
      <w:r w:rsidRPr="00D21069">
        <w:rPr>
          <w:rFonts w:ascii="Times New Roman" w:hAnsi="Times New Roman" w:cs="Times New Roman"/>
          <w:spacing w:val="-12"/>
          <w:sz w:val="28"/>
          <w:szCs w:val="28"/>
        </w:rPr>
        <w:t>+ Số quy định KTCN: 92/1.768 quy định, chiếm tỉ lệ 5,20 % trên tổng số quy định.</w:t>
      </w:r>
    </w:p>
    <w:p w14:paraId="2BB8FC51" w14:textId="77777777" w:rsidR="00D21069" w:rsidRPr="00D21069" w:rsidRDefault="00D21069" w:rsidP="00D21069">
      <w:pPr>
        <w:spacing w:before="120" w:after="120" w:line="360" w:lineRule="exact"/>
        <w:ind w:firstLine="709"/>
        <w:jc w:val="both"/>
        <w:rPr>
          <w:rFonts w:ascii="Times New Roman" w:eastAsia="SimSun" w:hAnsi="Times New Roman" w:cs="Times New Roman"/>
          <w:sz w:val="28"/>
          <w:szCs w:val="28"/>
        </w:rPr>
      </w:pPr>
      <w:r w:rsidRPr="00D21069">
        <w:rPr>
          <w:rFonts w:ascii="Times New Roman" w:eastAsia="SimSun" w:hAnsi="Times New Roman" w:cs="Times New Roman"/>
          <w:sz w:val="28"/>
          <w:szCs w:val="28"/>
        </w:rPr>
        <w:t xml:space="preserve">- Tổng % cắt giảm CPTT liên quan đến HĐKD của Bộ Nông nghiệp và Phát triển nông thôn </w:t>
      </w:r>
      <w:r w:rsidRPr="00D21069">
        <w:rPr>
          <w:rFonts w:ascii="Times New Roman" w:eastAsia="SimSun" w:hAnsi="Times New Roman" w:cs="Times New Roman"/>
          <w:b/>
          <w:bCs/>
          <w:sz w:val="28"/>
          <w:szCs w:val="28"/>
        </w:rPr>
        <w:t>là ….%, tiết kiệm: 118.905.826.423 VNĐ/……..,</w:t>
      </w:r>
      <w:r w:rsidRPr="00D21069">
        <w:rPr>
          <w:rFonts w:ascii="Times New Roman" w:eastAsia="SimSun" w:hAnsi="Times New Roman" w:cs="Times New Roman"/>
          <w:sz w:val="28"/>
          <w:szCs w:val="28"/>
        </w:rPr>
        <w:t xml:space="preserve"> cụ thể:</w:t>
      </w:r>
    </w:p>
    <w:p w14:paraId="72B47089" w14:textId="77777777" w:rsidR="00D21069" w:rsidRPr="00D21069" w:rsidRDefault="00D21069" w:rsidP="00D21069">
      <w:pPr>
        <w:spacing w:before="120" w:after="120" w:line="360" w:lineRule="exact"/>
        <w:ind w:firstLine="709"/>
        <w:jc w:val="both"/>
        <w:rPr>
          <w:rFonts w:ascii="Times New Roman" w:eastAsia="SimSun" w:hAnsi="Times New Roman" w:cs="Times New Roman"/>
          <w:sz w:val="28"/>
          <w:szCs w:val="28"/>
        </w:rPr>
      </w:pPr>
      <w:r w:rsidRPr="00D21069">
        <w:rPr>
          <w:rFonts w:ascii="Times New Roman" w:eastAsia="SimSun" w:hAnsi="Times New Roman" w:cs="Times New Roman"/>
          <w:sz w:val="28"/>
          <w:szCs w:val="28"/>
        </w:rPr>
        <w:t>+ CPTT quy định TTHC tiết kiệm: 29.316.292.767 VNĐ, chiếm tỉ lệ 20,87% trên tổng CPTT.</w:t>
      </w:r>
    </w:p>
    <w:p w14:paraId="0F4E320E" w14:textId="77777777" w:rsidR="00D21069" w:rsidRPr="00D21069" w:rsidRDefault="00D21069" w:rsidP="00D21069">
      <w:pPr>
        <w:spacing w:before="120" w:after="120" w:line="360" w:lineRule="exact"/>
        <w:ind w:firstLine="709"/>
        <w:jc w:val="both"/>
        <w:rPr>
          <w:rFonts w:ascii="Times New Roman" w:eastAsia="SimSun" w:hAnsi="Times New Roman" w:cs="Times New Roman"/>
          <w:sz w:val="28"/>
          <w:szCs w:val="28"/>
        </w:rPr>
      </w:pPr>
      <w:r w:rsidRPr="00D21069">
        <w:rPr>
          <w:rFonts w:ascii="Times New Roman" w:eastAsia="SimSun" w:hAnsi="Times New Roman" w:cs="Times New Roman"/>
          <w:sz w:val="28"/>
          <w:szCs w:val="28"/>
        </w:rPr>
        <w:t>+ CPTT quy định YCĐK tiết kiệm: 952.280 VNĐ, chiếm tỉ lệ 1,50% trên tổng CPTT</w:t>
      </w:r>
    </w:p>
    <w:p w14:paraId="45E30758" w14:textId="77777777" w:rsidR="00D21069" w:rsidRPr="00D21069" w:rsidRDefault="00D21069" w:rsidP="00D21069">
      <w:pPr>
        <w:spacing w:before="120" w:after="120" w:line="360" w:lineRule="exact"/>
        <w:ind w:firstLine="709"/>
        <w:jc w:val="both"/>
        <w:rPr>
          <w:rFonts w:ascii="Times New Roman" w:eastAsia="SimSun" w:hAnsi="Times New Roman" w:cs="Times New Roman"/>
          <w:sz w:val="28"/>
          <w:szCs w:val="28"/>
        </w:rPr>
      </w:pPr>
      <w:r w:rsidRPr="00D21069">
        <w:rPr>
          <w:rFonts w:ascii="Times New Roman" w:eastAsia="SimSun" w:hAnsi="Times New Roman" w:cs="Times New Roman"/>
          <w:sz w:val="28"/>
          <w:szCs w:val="28"/>
        </w:rPr>
        <w:t xml:space="preserve">+ CPTT quy định Chế độ BC tiết kiệm: </w:t>
      </w:r>
      <w:r w:rsidRPr="00D21069">
        <w:rPr>
          <w:rFonts w:ascii="Times New Roman" w:eastAsia="Tahoma" w:hAnsi="Times New Roman" w:cs="Times New Roman"/>
          <w:color w:val="000000"/>
          <w:sz w:val="28"/>
          <w:szCs w:val="28"/>
          <w:lang w:eastAsia="vi-VN"/>
        </w:rPr>
        <w:t xml:space="preserve">7.229.836 </w:t>
      </w:r>
      <w:r w:rsidRPr="00D21069">
        <w:rPr>
          <w:rFonts w:ascii="Times New Roman" w:eastAsia="SimSun" w:hAnsi="Times New Roman" w:cs="Times New Roman"/>
          <w:sz w:val="28"/>
          <w:szCs w:val="28"/>
        </w:rPr>
        <w:t>VNĐ, chiếm tỉ lệ 16,93% trên tổng CPTT.</w:t>
      </w:r>
    </w:p>
    <w:p w14:paraId="319DA704" w14:textId="77777777" w:rsidR="00D21069" w:rsidRPr="00D21069" w:rsidRDefault="00D21069" w:rsidP="00D21069">
      <w:pPr>
        <w:spacing w:before="120" w:after="120" w:line="360" w:lineRule="exact"/>
        <w:ind w:firstLine="709"/>
        <w:jc w:val="both"/>
        <w:rPr>
          <w:rFonts w:ascii="Times New Roman" w:hAnsi="Times New Roman" w:cs="Times New Roman"/>
          <w:sz w:val="28"/>
          <w:szCs w:val="28"/>
        </w:rPr>
      </w:pPr>
      <w:r w:rsidRPr="00D21069">
        <w:rPr>
          <w:rFonts w:ascii="Times New Roman" w:hAnsi="Times New Roman" w:cs="Times New Roman"/>
          <w:sz w:val="28"/>
          <w:szCs w:val="28"/>
        </w:rPr>
        <w:t>+ CPTT quy định TCQC tiết kiệm: 110.212.359.841 VNĐ, chiếm tỉ lệ ….. % trên tổng CPTT.</w:t>
      </w:r>
    </w:p>
    <w:p w14:paraId="081D1B73" w14:textId="77777777" w:rsidR="00D21069" w:rsidRPr="00D21069" w:rsidRDefault="00D21069" w:rsidP="00D21069">
      <w:pPr>
        <w:spacing w:before="120" w:after="120" w:line="360" w:lineRule="exact"/>
        <w:ind w:firstLine="709"/>
        <w:jc w:val="both"/>
        <w:rPr>
          <w:rFonts w:ascii="Times New Roman" w:hAnsi="Times New Roman" w:cs="Times New Roman"/>
          <w:sz w:val="28"/>
          <w:szCs w:val="28"/>
        </w:rPr>
      </w:pPr>
      <w:r w:rsidRPr="00D21069">
        <w:rPr>
          <w:rFonts w:ascii="Times New Roman" w:hAnsi="Times New Roman" w:cs="Times New Roman"/>
          <w:sz w:val="28"/>
          <w:szCs w:val="28"/>
        </w:rPr>
        <w:lastRenderedPageBreak/>
        <w:t xml:space="preserve">+ CPTT quy định KTCN tiết kiệm: </w:t>
      </w:r>
      <w:r w:rsidRPr="00D21069">
        <w:rPr>
          <w:rFonts w:ascii="Times New Roman" w:eastAsia="Tahoma" w:hAnsi="Times New Roman" w:cs="Times New Roman"/>
          <w:color w:val="000000"/>
          <w:sz w:val="28"/>
          <w:szCs w:val="28"/>
          <w:lang w:eastAsia="vi-VN"/>
        </w:rPr>
        <w:t xml:space="preserve">3.612.125.556 </w:t>
      </w:r>
      <w:r w:rsidRPr="00D21069">
        <w:rPr>
          <w:rFonts w:ascii="Times New Roman" w:hAnsi="Times New Roman" w:cs="Times New Roman"/>
          <w:sz w:val="28"/>
          <w:szCs w:val="28"/>
        </w:rPr>
        <w:t xml:space="preserve"> VNĐ, chiếm tỉ lệ …..% trên tổng CPTT.</w:t>
      </w:r>
    </w:p>
    <w:p w14:paraId="5FB2B9D5" w14:textId="77777777" w:rsidR="00D21069" w:rsidRPr="00D21069" w:rsidRDefault="00D21069" w:rsidP="00D21069">
      <w:pPr>
        <w:spacing w:before="120" w:after="120" w:line="360" w:lineRule="exact"/>
        <w:ind w:firstLine="720"/>
        <w:jc w:val="both"/>
        <w:rPr>
          <w:rFonts w:ascii="Times New Roman" w:eastAsia="SimSun" w:hAnsi="Times New Roman" w:cs="Times New Roman"/>
          <w:b/>
          <w:bCs/>
          <w:color w:val="000000"/>
          <w:sz w:val="28"/>
          <w:szCs w:val="28"/>
        </w:rPr>
      </w:pPr>
      <w:r w:rsidRPr="00D21069">
        <w:rPr>
          <w:rFonts w:ascii="Times New Roman" w:eastAsia="SimSun" w:hAnsi="Times New Roman" w:cs="Times New Roman"/>
          <w:color w:val="000000"/>
          <w:sz w:val="28"/>
          <w:szCs w:val="28"/>
        </w:rPr>
        <w:t xml:space="preserve">- Tổng số văn bản có quy định liên quan đến HĐKD được kiến nghị sửa đổi, bổ sung, bãi bỏ gồm: </w:t>
      </w:r>
      <w:r w:rsidRPr="00D21069">
        <w:rPr>
          <w:rFonts w:ascii="Times New Roman" w:eastAsia="SimSun" w:hAnsi="Times New Roman" w:cs="Times New Roman"/>
          <w:b/>
          <w:bCs/>
          <w:color w:val="000000"/>
          <w:sz w:val="28"/>
          <w:szCs w:val="28"/>
        </w:rPr>
        <w:t>41</w:t>
      </w:r>
      <w:r w:rsidRPr="00D21069">
        <w:rPr>
          <w:rFonts w:ascii="Times New Roman" w:eastAsia="SimSun" w:hAnsi="Times New Roman" w:cs="Times New Roman"/>
          <w:color w:val="000000"/>
          <w:sz w:val="28"/>
          <w:szCs w:val="28"/>
        </w:rPr>
        <w:t xml:space="preserve"> văn bản văn bản quy phạm pháp luật, cụ thể: Luật: </w:t>
      </w:r>
      <w:r w:rsidRPr="00D21069">
        <w:rPr>
          <w:rFonts w:ascii="Times New Roman" w:eastAsia="SimSun" w:hAnsi="Times New Roman" w:cs="Times New Roman"/>
          <w:b/>
          <w:bCs/>
          <w:color w:val="000000"/>
          <w:sz w:val="28"/>
          <w:szCs w:val="28"/>
        </w:rPr>
        <w:t>02</w:t>
      </w:r>
      <w:r w:rsidRPr="00D21069">
        <w:rPr>
          <w:rFonts w:ascii="Times New Roman" w:eastAsia="SimSun" w:hAnsi="Times New Roman" w:cs="Times New Roman"/>
          <w:color w:val="000000"/>
          <w:sz w:val="28"/>
          <w:szCs w:val="28"/>
        </w:rPr>
        <w:t xml:space="preserve">; Nghị định: </w:t>
      </w:r>
      <w:r w:rsidRPr="00D21069">
        <w:rPr>
          <w:rFonts w:ascii="Times New Roman" w:eastAsia="SimSun" w:hAnsi="Times New Roman" w:cs="Times New Roman"/>
          <w:b/>
          <w:bCs/>
          <w:color w:val="000000"/>
          <w:sz w:val="28"/>
          <w:szCs w:val="28"/>
        </w:rPr>
        <w:t>06</w:t>
      </w:r>
      <w:r w:rsidRPr="00D21069">
        <w:rPr>
          <w:rFonts w:ascii="Times New Roman" w:eastAsia="SimSun" w:hAnsi="Times New Roman" w:cs="Times New Roman"/>
          <w:color w:val="000000"/>
          <w:sz w:val="28"/>
          <w:szCs w:val="28"/>
        </w:rPr>
        <w:t xml:space="preserve"> và Thông tư: </w:t>
      </w:r>
      <w:r w:rsidRPr="00D21069">
        <w:rPr>
          <w:rFonts w:ascii="Times New Roman" w:eastAsia="SimSun" w:hAnsi="Times New Roman" w:cs="Times New Roman"/>
          <w:b/>
          <w:bCs/>
          <w:color w:val="000000"/>
          <w:sz w:val="28"/>
          <w:szCs w:val="28"/>
        </w:rPr>
        <w:t>33.</w:t>
      </w:r>
    </w:p>
    <w:p w14:paraId="668FFCEA" w14:textId="77777777" w:rsidR="00D21069" w:rsidRPr="00D21069" w:rsidRDefault="00D21069" w:rsidP="00D21069">
      <w:pPr>
        <w:spacing w:before="120" w:after="120" w:line="360" w:lineRule="exact"/>
        <w:ind w:firstLine="720"/>
        <w:jc w:val="both"/>
        <w:rPr>
          <w:rFonts w:ascii="Times New Roman" w:hAnsi="Times New Roman" w:cs="Times New Roman"/>
          <w:sz w:val="28"/>
          <w:szCs w:val="28"/>
        </w:rPr>
      </w:pPr>
      <w:r w:rsidRPr="00D21069">
        <w:rPr>
          <w:rFonts w:ascii="Times New Roman" w:hAnsi="Times New Roman" w:cs="Times New Roman"/>
          <w:sz w:val="28"/>
          <w:szCs w:val="28"/>
        </w:rPr>
        <w:t>Bộ Nông nghiệp và PTNT kính trình Thủ tướng Chính phủ hồ sơ gồm:</w:t>
      </w:r>
    </w:p>
    <w:p w14:paraId="3CE6835C" w14:textId="77777777" w:rsidR="00D21069" w:rsidRPr="00D21069" w:rsidRDefault="00D21069" w:rsidP="00D21069">
      <w:pPr>
        <w:spacing w:before="120" w:after="120" w:line="360" w:lineRule="exact"/>
        <w:ind w:firstLine="709"/>
        <w:jc w:val="both"/>
        <w:rPr>
          <w:rFonts w:ascii="Times New Roman" w:hAnsi="Times New Roman" w:cs="Times New Roman"/>
          <w:i/>
          <w:iCs/>
          <w:sz w:val="28"/>
          <w:szCs w:val="28"/>
          <w:lang w:val="nl-NL"/>
        </w:rPr>
      </w:pPr>
      <w:r w:rsidRPr="00D21069">
        <w:rPr>
          <w:rFonts w:ascii="Times New Roman" w:hAnsi="Times New Roman" w:cs="Times New Roman"/>
          <w:i/>
          <w:iCs/>
          <w:sz w:val="28"/>
          <w:szCs w:val="28"/>
          <w:lang w:val="nl-NL"/>
        </w:rPr>
        <w:t>(1) Tờ trình của Bộ Nông nghiệp và Phát triển nông thôn;</w:t>
      </w:r>
    </w:p>
    <w:p w14:paraId="724A3EE7" w14:textId="77777777" w:rsidR="00D21069" w:rsidRPr="00D21069" w:rsidRDefault="00D21069" w:rsidP="00D21069">
      <w:pPr>
        <w:autoSpaceDE w:val="0"/>
        <w:autoSpaceDN w:val="0"/>
        <w:adjustRightInd w:val="0"/>
        <w:spacing w:before="120" w:after="120" w:line="360" w:lineRule="exact"/>
        <w:ind w:firstLine="720"/>
        <w:jc w:val="both"/>
        <w:rPr>
          <w:rFonts w:ascii="Times New Roman" w:hAnsi="Times New Roman" w:cs="Times New Roman"/>
          <w:i/>
          <w:iCs/>
          <w:sz w:val="28"/>
          <w:szCs w:val="28"/>
          <w:lang w:val="nl-NL"/>
        </w:rPr>
      </w:pPr>
      <w:r w:rsidRPr="00D21069">
        <w:rPr>
          <w:rFonts w:ascii="Times New Roman" w:hAnsi="Times New Roman" w:cs="Times New Roman"/>
          <w:i/>
          <w:iCs/>
          <w:sz w:val="28"/>
          <w:szCs w:val="28"/>
          <w:lang w:val="nl-NL"/>
        </w:rPr>
        <w:t xml:space="preserve">(2) Dự thảo Báo cáo phương án cắt giảm, đơn giản hóa quy định liên quan đến HĐKD kèm theo dự thảo Quyết định của TTCP thông qua phương án, cắt giảm đơn giản hóa các quy định liên quan đến HĐKD thuộc phạm vi chức năng quản lý của Bộ Nông nghiệp và Phát triển nông thôn năm 2021; </w:t>
      </w:r>
    </w:p>
    <w:p w14:paraId="255C25FF" w14:textId="77777777" w:rsidR="00D21069" w:rsidRPr="00D21069" w:rsidRDefault="00D21069" w:rsidP="00D21069">
      <w:pPr>
        <w:autoSpaceDE w:val="0"/>
        <w:autoSpaceDN w:val="0"/>
        <w:adjustRightInd w:val="0"/>
        <w:spacing w:before="120" w:after="120" w:line="360" w:lineRule="exact"/>
        <w:ind w:firstLine="720"/>
        <w:jc w:val="both"/>
        <w:rPr>
          <w:rFonts w:ascii="Times New Roman" w:hAnsi="Times New Roman" w:cs="Times New Roman"/>
          <w:i/>
          <w:iCs/>
          <w:sz w:val="28"/>
          <w:szCs w:val="28"/>
          <w:lang w:val="nl-NL"/>
        </w:rPr>
      </w:pPr>
      <w:r w:rsidRPr="00D21069">
        <w:rPr>
          <w:rFonts w:ascii="Times New Roman" w:hAnsi="Times New Roman" w:cs="Times New Roman"/>
          <w:i/>
          <w:iCs/>
          <w:sz w:val="28"/>
          <w:szCs w:val="28"/>
          <w:lang w:val="nl-NL"/>
        </w:rPr>
        <w:t>(3) Các Biểu mẫu rà soát, đánh giá; Biểu mẫu tính CPTT (đã cập nhật đầy đủ dữ liệu trên phần mềm, gửi VPCP).</w:t>
      </w:r>
    </w:p>
    <w:p w14:paraId="5B2A67B3" w14:textId="77777777" w:rsidR="00D21069" w:rsidRPr="00D21069" w:rsidRDefault="00D21069" w:rsidP="00D21069">
      <w:pPr>
        <w:spacing w:before="120" w:after="120" w:line="360" w:lineRule="exact"/>
        <w:ind w:firstLine="720"/>
        <w:jc w:val="both"/>
        <w:rPr>
          <w:rFonts w:ascii="Times New Roman" w:hAnsi="Times New Roman" w:cs="Times New Roman"/>
          <w:spacing w:val="-10"/>
          <w:sz w:val="28"/>
          <w:szCs w:val="28"/>
        </w:rPr>
      </w:pPr>
      <w:r w:rsidRPr="00D21069">
        <w:rPr>
          <w:rFonts w:ascii="Times New Roman" w:hAnsi="Times New Roman" w:cs="Times New Roman"/>
          <w:spacing w:val="-10"/>
          <w:sz w:val="28"/>
          <w:szCs w:val="28"/>
        </w:rPr>
        <w:t>Bộ Nông nghiệp và PTNT kính trình Thủ tướng Chính phủ xem xét, ký ban hành./.</w:t>
      </w:r>
    </w:p>
    <w:p w14:paraId="04D9237C" w14:textId="77777777" w:rsidR="00D21069" w:rsidRPr="00D21069" w:rsidRDefault="00D21069" w:rsidP="00D21069">
      <w:pPr>
        <w:spacing w:before="120" w:after="120" w:line="340" w:lineRule="exact"/>
        <w:ind w:firstLine="720"/>
        <w:jc w:val="both"/>
        <w:rPr>
          <w:rFonts w:ascii="Times New Roman" w:hAnsi="Times New Roman" w:cs="Times New Roman"/>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D21069" w:rsidRPr="00D21069" w14:paraId="5F769F40" w14:textId="77777777" w:rsidTr="00102B46">
        <w:tc>
          <w:tcPr>
            <w:tcW w:w="3936" w:type="dxa"/>
          </w:tcPr>
          <w:p w14:paraId="1932FD47" w14:textId="77777777" w:rsidR="00D21069" w:rsidRPr="00D21069" w:rsidRDefault="00D21069" w:rsidP="00D21069">
            <w:pPr>
              <w:spacing w:after="0" w:line="240" w:lineRule="auto"/>
              <w:ind w:left="720"/>
              <w:contextualSpacing/>
              <w:jc w:val="both"/>
              <w:rPr>
                <w:b/>
                <w:i/>
                <w:sz w:val="24"/>
                <w:szCs w:val="24"/>
              </w:rPr>
            </w:pPr>
            <w:r w:rsidRPr="00D21069">
              <w:rPr>
                <w:b/>
                <w:i/>
                <w:sz w:val="24"/>
                <w:szCs w:val="24"/>
              </w:rPr>
              <w:t>Nơi nhận:</w:t>
            </w:r>
          </w:p>
          <w:p w14:paraId="542B4D3B"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Như trên;</w:t>
            </w:r>
          </w:p>
          <w:p w14:paraId="1C3EB25E"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Bộ trưởng (để b/c);</w:t>
            </w:r>
          </w:p>
          <w:p w14:paraId="2C4D8323"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Cục KSTTHC - VPCP;</w:t>
            </w:r>
          </w:p>
          <w:p w14:paraId="34AC9807"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Vụ KHCN;</w:t>
            </w:r>
          </w:p>
          <w:p w14:paraId="5C5114DD"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Vụ Pháp chế;</w:t>
            </w:r>
          </w:p>
          <w:p w14:paraId="2D9A57B3"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Các Tổng cục, Cục;</w:t>
            </w:r>
          </w:p>
          <w:p w14:paraId="152339B5" w14:textId="77777777" w:rsidR="00D21069" w:rsidRPr="00D21069" w:rsidRDefault="00D21069" w:rsidP="00D21069">
            <w:pPr>
              <w:numPr>
                <w:ilvl w:val="0"/>
                <w:numId w:val="2"/>
              </w:numPr>
              <w:tabs>
                <w:tab w:val="left" w:pos="142"/>
              </w:tabs>
              <w:spacing w:after="0" w:line="240" w:lineRule="auto"/>
              <w:ind w:firstLine="0"/>
              <w:contextualSpacing/>
              <w:jc w:val="both"/>
            </w:pPr>
            <w:r w:rsidRPr="00D21069">
              <w:t>Lưu: VT, PC.</w:t>
            </w:r>
          </w:p>
          <w:p w14:paraId="036999C4" w14:textId="77777777" w:rsidR="00D21069" w:rsidRPr="00D21069" w:rsidRDefault="00D21069" w:rsidP="00D21069">
            <w:pPr>
              <w:spacing w:after="200" w:line="276" w:lineRule="auto"/>
              <w:ind w:left="927"/>
              <w:contextualSpacing/>
              <w:jc w:val="both"/>
              <w:rPr>
                <w:sz w:val="28"/>
              </w:rPr>
            </w:pPr>
          </w:p>
        </w:tc>
        <w:tc>
          <w:tcPr>
            <w:tcW w:w="5670" w:type="dxa"/>
          </w:tcPr>
          <w:p w14:paraId="053CB2D9" w14:textId="77777777" w:rsidR="00D21069" w:rsidRPr="00D21069" w:rsidRDefault="00D21069" w:rsidP="00D21069">
            <w:pPr>
              <w:spacing w:after="0" w:line="240" w:lineRule="auto"/>
              <w:ind w:left="720"/>
              <w:contextualSpacing/>
              <w:jc w:val="center"/>
              <w:rPr>
                <w:b/>
                <w:sz w:val="26"/>
                <w:szCs w:val="20"/>
              </w:rPr>
            </w:pPr>
            <w:r w:rsidRPr="00D21069">
              <w:rPr>
                <w:b/>
                <w:sz w:val="26"/>
                <w:szCs w:val="20"/>
              </w:rPr>
              <w:t>KT. BỘ TRƯỞNG</w:t>
            </w:r>
          </w:p>
          <w:p w14:paraId="04A5DC9E" w14:textId="77777777" w:rsidR="00D21069" w:rsidRPr="00D21069" w:rsidRDefault="00D21069" w:rsidP="00D21069">
            <w:pPr>
              <w:spacing w:after="0" w:line="240" w:lineRule="auto"/>
              <w:ind w:left="720"/>
              <w:contextualSpacing/>
              <w:jc w:val="center"/>
              <w:rPr>
                <w:b/>
                <w:sz w:val="26"/>
                <w:szCs w:val="20"/>
              </w:rPr>
            </w:pPr>
            <w:r w:rsidRPr="00D21069">
              <w:rPr>
                <w:b/>
                <w:sz w:val="26"/>
                <w:szCs w:val="20"/>
              </w:rPr>
              <w:t>THỨ TRƯỞNG</w:t>
            </w:r>
          </w:p>
          <w:p w14:paraId="6A0D4C33" w14:textId="77777777" w:rsidR="00D21069" w:rsidRPr="00D21069" w:rsidRDefault="00D21069" w:rsidP="00D21069">
            <w:pPr>
              <w:spacing w:after="200" w:line="276" w:lineRule="auto"/>
              <w:ind w:left="720"/>
              <w:contextualSpacing/>
              <w:jc w:val="center"/>
              <w:rPr>
                <w:b/>
                <w:sz w:val="28"/>
              </w:rPr>
            </w:pPr>
          </w:p>
          <w:p w14:paraId="1B312037" w14:textId="35C0C0B6" w:rsidR="00D21069" w:rsidRDefault="00D21069" w:rsidP="00D21069">
            <w:pPr>
              <w:spacing w:after="200" w:line="276" w:lineRule="auto"/>
              <w:ind w:left="720"/>
              <w:contextualSpacing/>
              <w:jc w:val="center"/>
              <w:rPr>
                <w:b/>
                <w:sz w:val="28"/>
              </w:rPr>
            </w:pPr>
          </w:p>
          <w:p w14:paraId="3EADDDC9" w14:textId="77777777" w:rsidR="00D41094" w:rsidRPr="00D21069" w:rsidRDefault="00D41094" w:rsidP="00D21069">
            <w:pPr>
              <w:spacing w:after="200" w:line="276" w:lineRule="auto"/>
              <w:ind w:left="720"/>
              <w:contextualSpacing/>
              <w:jc w:val="center"/>
              <w:rPr>
                <w:b/>
                <w:sz w:val="28"/>
              </w:rPr>
            </w:pPr>
          </w:p>
          <w:p w14:paraId="46AD8FBC" w14:textId="77777777" w:rsidR="00D21069" w:rsidRPr="00D21069" w:rsidRDefault="00D21069" w:rsidP="00D21069">
            <w:pPr>
              <w:spacing w:after="200" w:line="276" w:lineRule="auto"/>
              <w:ind w:left="720"/>
              <w:contextualSpacing/>
              <w:jc w:val="center"/>
              <w:rPr>
                <w:b/>
                <w:sz w:val="28"/>
              </w:rPr>
            </w:pPr>
          </w:p>
          <w:p w14:paraId="0B6FEA27" w14:textId="77777777" w:rsidR="00D21069" w:rsidRPr="00D21069" w:rsidRDefault="00D21069" w:rsidP="00D21069">
            <w:pPr>
              <w:spacing w:after="200" w:line="276" w:lineRule="auto"/>
              <w:ind w:left="720"/>
              <w:contextualSpacing/>
              <w:jc w:val="center"/>
              <w:rPr>
                <w:b/>
                <w:bCs/>
                <w:sz w:val="28"/>
              </w:rPr>
            </w:pPr>
            <w:r w:rsidRPr="00D21069">
              <w:rPr>
                <w:b/>
                <w:bCs/>
                <w:sz w:val="28"/>
              </w:rPr>
              <w:t>Phùng Đức Tiến</w:t>
            </w:r>
          </w:p>
        </w:tc>
      </w:tr>
      <w:bookmarkEnd w:id="0"/>
    </w:tbl>
    <w:p w14:paraId="64C84638" w14:textId="77777777" w:rsidR="00D21069" w:rsidRPr="00D21069" w:rsidRDefault="00D21069" w:rsidP="00D21069">
      <w:pPr>
        <w:spacing w:after="200" w:line="276" w:lineRule="auto"/>
        <w:rPr>
          <w:rFonts w:ascii="Times New Roman" w:hAnsi="Times New Roman"/>
          <w:sz w:val="28"/>
        </w:rPr>
      </w:pPr>
    </w:p>
    <w:p w14:paraId="723AC8BA" w14:textId="77777777" w:rsidR="00D21069" w:rsidRDefault="00D21069">
      <w:pPr>
        <w:spacing w:after="0" w:line="240" w:lineRule="auto"/>
        <w:jc w:val="center"/>
        <w:rPr>
          <w:rFonts w:ascii="Times New Roman" w:eastAsia="Calibri" w:hAnsi="Times New Roman" w:cs="Times New Roman"/>
          <w:b/>
          <w:sz w:val="26"/>
          <w:szCs w:val="26"/>
        </w:rPr>
      </w:pPr>
    </w:p>
    <w:p w14:paraId="54338779" w14:textId="77777777" w:rsidR="00D21069" w:rsidRDefault="00D21069">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14:paraId="57E10931" w14:textId="77777777" w:rsidR="00D21069" w:rsidRDefault="00D21069">
      <w:pPr>
        <w:spacing w:after="0" w:line="240" w:lineRule="auto"/>
        <w:jc w:val="center"/>
        <w:rPr>
          <w:rFonts w:ascii="Times New Roman" w:eastAsia="Calibri" w:hAnsi="Times New Roman" w:cs="Times New Roman"/>
          <w:b/>
          <w:sz w:val="26"/>
          <w:szCs w:val="26"/>
        </w:rPr>
      </w:pPr>
    </w:p>
    <w:p w14:paraId="6F2A8DA4" w14:textId="77777777" w:rsidR="00D21069" w:rsidRDefault="00D21069">
      <w:pPr>
        <w:spacing w:after="0" w:line="240" w:lineRule="auto"/>
        <w:jc w:val="center"/>
        <w:rPr>
          <w:rFonts w:ascii="Times New Roman" w:eastAsia="Calibri" w:hAnsi="Times New Roman" w:cs="Times New Roman"/>
          <w:b/>
          <w:sz w:val="26"/>
          <w:szCs w:val="26"/>
        </w:rPr>
      </w:pPr>
    </w:p>
    <w:p w14:paraId="4E88BB8C" w14:textId="77777777" w:rsidR="0086520D" w:rsidRDefault="0086520D">
      <w:pPr>
        <w:spacing w:after="120" w:line="240" w:lineRule="auto"/>
        <w:ind w:right="57" w:firstLine="720"/>
        <w:jc w:val="both"/>
        <w:rPr>
          <w:rFonts w:ascii="Times New Roman" w:eastAsia="SimSun" w:hAnsi="Times New Roman" w:cs="Times New Roman"/>
          <w:bCs/>
          <w:sz w:val="28"/>
          <w:szCs w:val="28"/>
        </w:rPr>
      </w:pPr>
      <w:bookmarkStart w:id="3" w:name="_Hlk79145262"/>
    </w:p>
    <w:p w14:paraId="6E8FC425" w14:textId="77777777" w:rsidR="0086520D" w:rsidRDefault="0086520D">
      <w:pPr>
        <w:spacing w:after="120" w:line="240" w:lineRule="auto"/>
        <w:ind w:right="57" w:firstLine="720"/>
        <w:jc w:val="both"/>
        <w:rPr>
          <w:rFonts w:ascii="Times New Roman" w:eastAsia="SimSun" w:hAnsi="Times New Roman" w:cs="Times New Roman"/>
          <w:bCs/>
          <w:sz w:val="28"/>
          <w:szCs w:val="28"/>
        </w:rPr>
      </w:pPr>
    </w:p>
    <w:p w14:paraId="1C64BAED" w14:textId="77777777" w:rsidR="0086520D" w:rsidRDefault="0086520D">
      <w:pPr>
        <w:spacing w:after="120" w:line="240" w:lineRule="auto"/>
        <w:ind w:right="57" w:firstLine="720"/>
        <w:jc w:val="both"/>
        <w:rPr>
          <w:rFonts w:ascii="Times New Roman" w:hAnsi="Times New Roman" w:cs="Times New Roman"/>
          <w:sz w:val="28"/>
          <w:szCs w:val="28"/>
        </w:rPr>
      </w:pPr>
    </w:p>
    <w:bookmarkEnd w:id="3"/>
    <w:p w14:paraId="5F63D6C2" w14:textId="77777777" w:rsidR="0086520D" w:rsidRDefault="0086520D">
      <w:pPr>
        <w:ind w:firstLine="720"/>
        <w:rPr>
          <w:rFonts w:ascii="Times New Roman" w:hAnsi="Times New Roman"/>
          <w:sz w:val="28"/>
        </w:rPr>
      </w:pPr>
    </w:p>
    <w:p w14:paraId="1432C751" w14:textId="77777777" w:rsidR="0086520D" w:rsidRDefault="0086520D">
      <w:pPr>
        <w:ind w:firstLine="720"/>
      </w:pPr>
    </w:p>
    <w:p w14:paraId="7B15250C" w14:textId="77777777" w:rsidR="0086520D" w:rsidRDefault="0086520D">
      <w:pPr>
        <w:ind w:firstLine="720"/>
      </w:pPr>
    </w:p>
    <w:p w14:paraId="753B2728" w14:textId="77777777" w:rsidR="0086520D" w:rsidRDefault="0086520D">
      <w:pPr>
        <w:ind w:firstLine="720"/>
      </w:pPr>
    </w:p>
    <w:p w14:paraId="795A15A6" w14:textId="77777777" w:rsidR="0086520D" w:rsidRDefault="0086520D">
      <w:pPr>
        <w:ind w:firstLine="720"/>
      </w:pPr>
    </w:p>
    <w:p w14:paraId="0FFD85B5" w14:textId="77777777" w:rsidR="0086520D" w:rsidRDefault="0086520D">
      <w:pPr>
        <w:ind w:firstLine="720"/>
      </w:pPr>
    </w:p>
    <w:p w14:paraId="0BFF22BC" w14:textId="77777777" w:rsidR="0086520D" w:rsidRDefault="0086520D">
      <w:pPr>
        <w:ind w:firstLine="720"/>
      </w:pPr>
    </w:p>
    <w:p w14:paraId="55E43FB1" w14:textId="77777777" w:rsidR="0086520D" w:rsidRDefault="0086520D">
      <w:pPr>
        <w:ind w:firstLine="720"/>
      </w:pPr>
    </w:p>
    <w:p w14:paraId="306C4863" w14:textId="77777777" w:rsidR="0086520D" w:rsidRDefault="0086520D">
      <w:pPr>
        <w:ind w:firstLine="720"/>
      </w:pPr>
    </w:p>
    <w:sectPr w:rsidR="0086520D" w:rsidSect="00794197">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190D" w14:textId="77777777" w:rsidR="00B936D6" w:rsidRDefault="00B936D6">
      <w:pPr>
        <w:spacing w:line="240" w:lineRule="auto"/>
      </w:pPr>
      <w:r>
        <w:separator/>
      </w:r>
    </w:p>
  </w:endnote>
  <w:endnote w:type="continuationSeparator" w:id="0">
    <w:p w14:paraId="284085B5" w14:textId="77777777" w:rsidR="00B936D6" w:rsidRDefault="00B93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TimesNewRomanPS-Bold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DC9A" w14:textId="77777777" w:rsidR="00B936D6" w:rsidRDefault="00B936D6">
      <w:pPr>
        <w:spacing w:after="0" w:line="240" w:lineRule="auto"/>
      </w:pPr>
      <w:r>
        <w:separator/>
      </w:r>
    </w:p>
  </w:footnote>
  <w:footnote w:type="continuationSeparator" w:id="0">
    <w:p w14:paraId="794CED4E" w14:textId="77777777" w:rsidR="00B936D6" w:rsidRDefault="00B9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60453"/>
      <w:docPartObj>
        <w:docPartGallery w:val="AutoText"/>
      </w:docPartObj>
    </w:sdtPr>
    <w:sdtEndPr>
      <w:rPr>
        <w:sz w:val="24"/>
        <w:szCs w:val="24"/>
      </w:rPr>
    </w:sdtEndPr>
    <w:sdtContent>
      <w:p w14:paraId="481E8724" w14:textId="77777777" w:rsidR="0086520D" w:rsidRDefault="003C379C">
        <w:pPr>
          <w:pStyle w:val="Header"/>
          <w:spacing w:after="0" w:line="240" w:lineRule="auto"/>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21069">
          <w:rPr>
            <w:noProof/>
            <w:sz w:val="24"/>
            <w:szCs w:val="24"/>
          </w:rPr>
          <w:t>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301"/>
    <w:multiLevelType w:val="singleLevel"/>
    <w:tmpl w:val="21421301"/>
    <w:lvl w:ilvl="0">
      <w:start w:val="1"/>
      <w:numFmt w:val="lowerLetter"/>
      <w:suff w:val="space"/>
      <w:lvlText w:val="%1)"/>
      <w:lvlJc w:val="left"/>
    </w:lvl>
  </w:abstractNum>
  <w:abstractNum w:abstractNumId="1" w15:restartNumberingAfterBreak="0">
    <w:nsid w:val="2C8B1D65"/>
    <w:multiLevelType w:val="multilevel"/>
    <w:tmpl w:val="2C8B1D65"/>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D7"/>
    <w:rsid w:val="003750B7"/>
    <w:rsid w:val="003C379C"/>
    <w:rsid w:val="003D14E6"/>
    <w:rsid w:val="00464AEC"/>
    <w:rsid w:val="0059376B"/>
    <w:rsid w:val="005E2B88"/>
    <w:rsid w:val="00715B1B"/>
    <w:rsid w:val="00794197"/>
    <w:rsid w:val="00851AAC"/>
    <w:rsid w:val="00856FA7"/>
    <w:rsid w:val="0086520D"/>
    <w:rsid w:val="00931E63"/>
    <w:rsid w:val="00943D99"/>
    <w:rsid w:val="00A50A87"/>
    <w:rsid w:val="00B032D7"/>
    <w:rsid w:val="00B936D6"/>
    <w:rsid w:val="00BD132D"/>
    <w:rsid w:val="00C81B3F"/>
    <w:rsid w:val="00CF78FF"/>
    <w:rsid w:val="00D21069"/>
    <w:rsid w:val="00D41094"/>
    <w:rsid w:val="00D7514D"/>
    <w:rsid w:val="00E06B15"/>
    <w:rsid w:val="1E9432B3"/>
    <w:rsid w:val="73E57C43"/>
    <w:rsid w:val="7B09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44EA6D"/>
  <w15:docId w15:val="{A80CBB0A-EC09-4ED9-B292-DF027F9E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line="276" w:lineRule="auto"/>
      <w:outlineLvl w:val="0"/>
    </w:pPr>
    <w:rPr>
      <w:rFonts w:ascii="Cambria" w:eastAsia="Times New Roman" w:hAnsi="Cambria" w:cs="Times New Roman"/>
      <w:color w:val="365F91"/>
      <w:sz w:val="32"/>
      <w:szCs w:val="3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200" w:line="276" w:lineRule="auto"/>
    </w:pPr>
    <w:rPr>
      <w:rFonts w:ascii="Times New Roman" w:eastAsia="SimSun" w:hAnsi="Times New Roman" w:cs="Times New Roman"/>
      <w:lang w:val="zh-CN" w:eastAsia="zh-CN"/>
    </w:rPr>
  </w:style>
  <w:style w:type="paragraph" w:styleId="Header">
    <w:name w:val="header"/>
    <w:basedOn w:val="Normal"/>
    <w:link w:val="HeaderChar"/>
    <w:uiPriority w:val="99"/>
    <w:unhideWhenUsed/>
    <w:pPr>
      <w:tabs>
        <w:tab w:val="center" w:pos="4680"/>
        <w:tab w:val="right" w:pos="9360"/>
      </w:tabs>
      <w:spacing w:after="200" w:line="276" w:lineRule="auto"/>
    </w:pPr>
    <w:rPr>
      <w:rFonts w:ascii="Times New Roman" w:eastAsia="SimSun" w:hAnsi="Times New Roman" w:cs="Times New Roman"/>
      <w:lang w:val="zh-CN" w:eastAsia="zh-CN"/>
    </w:rPr>
  </w:style>
  <w:style w:type="character" w:styleId="Hyperlink">
    <w:name w:val="Hyperlink"/>
    <w:basedOn w:val="DefaultParagraphFont"/>
    <w:uiPriority w:val="99"/>
    <w:semiHidden/>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SimSun" w:hAnsi="Times New Roman" w:cs="Times New Roman"/>
      <w:szCs w:val="24"/>
      <w:lang w:val="vi-VN" w:eastAsia="vi-VN"/>
    </w:rPr>
  </w:style>
  <w:style w:type="character" w:styleId="Strong">
    <w:name w:val="Strong"/>
    <w:uiPriority w:val="22"/>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color w:val="365F91"/>
      <w:sz w:val="32"/>
      <w:szCs w:val="32"/>
      <w:lang w:val="zh-CN" w:eastAsia="zh-CN"/>
    </w:rPr>
  </w:style>
  <w:style w:type="character" w:customStyle="1" w:styleId="FooterChar">
    <w:name w:val="Footer Char"/>
    <w:basedOn w:val="DefaultParagraphFont"/>
    <w:link w:val="Footer"/>
    <w:uiPriority w:val="99"/>
    <w:rPr>
      <w:rFonts w:ascii="Times New Roman" w:eastAsia="SimSun" w:hAnsi="Times New Roman" w:cs="Times New Roman"/>
      <w:lang w:val="zh-CN" w:eastAsia="zh-CN"/>
    </w:rPr>
  </w:style>
  <w:style w:type="character" w:customStyle="1" w:styleId="HeaderChar">
    <w:name w:val="Header Char"/>
    <w:basedOn w:val="DefaultParagraphFont"/>
    <w:link w:val="Header"/>
    <w:uiPriority w:val="99"/>
    <w:qFormat/>
    <w:rPr>
      <w:rFonts w:ascii="Times New Roman" w:eastAsia="SimSun" w:hAnsi="Times New Roman" w:cs="Times New Roman"/>
      <w:lang w:val="zh-CN" w:eastAsia="zh-CN"/>
    </w:rPr>
  </w:style>
  <w:style w:type="paragraph" w:styleId="ListParagraph">
    <w:name w:val="List Paragraph"/>
    <w:basedOn w:val="Normal"/>
    <w:uiPriority w:val="34"/>
    <w:qFormat/>
    <w:pPr>
      <w:spacing w:after="200" w:line="276" w:lineRule="auto"/>
      <w:ind w:left="720"/>
      <w:contextualSpacing/>
    </w:pPr>
    <w:rPr>
      <w:rFonts w:ascii="Times New Roman" w:eastAsia="SimSun" w:hAnsi="Times New Roman" w:cs="Times New Roman"/>
    </w:rPr>
  </w:style>
  <w:style w:type="character" w:customStyle="1" w:styleId="fontstyle01">
    <w:name w:val="fontstyle01"/>
    <w:basedOn w:val="DefaultParagraphFont"/>
    <w:qFormat/>
    <w:rPr>
      <w:rFonts w:ascii="TimesNewRomanPSMT" w:hAnsi="TimesNewRomanPSMT" w:hint="default"/>
      <w:color w:val="000000"/>
      <w:sz w:val="28"/>
      <w:szCs w:val="28"/>
    </w:rPr>
  </w:style>
  <w:style w:type="character" w:customStyle="1" w:styleId="fontstyle21">
    <w:name w:val="fontstyle21"/>
    <w:basedOn w:val="DefaultParagraphFont"/>
    <w:qFormat/>
    <w:rPr>
      <w:rFonts w:ascii="TimesNewRomanPS-BoldMT" w:hAnsi="TimesNewRomanPS-BoldMT" w:hint="default"/>
      <w:b/>
      <w:bCs/>
      <w:color w:val="000000"/>
      <w:sz w:val="28"/>
      <w:szCs w:val="28"/>
    </w:rPr>
  </w:style>
  <w:style w:type="paragraph" w:styleId="BalloonText">
    <w:name w:val="Balloon Text"/>
    <w:basedOn w:val="Normal"/>
    <w:link w:val="BalloonTextChar"/>
    <w:uiPriority w:val="99"/>
    <w:semiHidden/>
    <w:unhideWhenUsed/>
    <w:rsid w:val="0079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97"/>
    <w:rPr>
      <w:rFonts w:ascii="Segoe UI" w:hAnsi="Segoe UI" w:cs="Segoe UI"/>
      <w:sz w:val="18"/>
      <w:szCs w:val="18"/>
    </w:rPr>
  </w:style>
  <w:style w:type="table" w:styleId="TableGrid">
    <w:name w:val="Table Grid"/>
    <w:basedOn w:val="TableNormal"/>
    <w:uiPriority w:val="59"/>
    <w:rsid w:val="00D21069"/>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q68.baocaochinhphu.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Hạnh Mina</dc:creator>
  <cp:lastModifiedBy>Hạnh Mina</cp:lastModifiedBy>
  <cp:revision>4</cp:revision>
  <cp:lastPrinted>2021-08-09T07:31:00Z</cp:lastPrinted>
  <dcterms:created xsi:type="dcterms:W3CDTF">2021-08-09T07:34:00Z</dcterms:created>
  <dcterms:modified xsi:type="dcterms:W3CDTF">2021-08-13T01:56:00Z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