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C8BCC" w14:textId="0FC4DF19" w:rsidR="0082628D" w:rsidRDefault="009C79AD" w:rsidP="00C254CE">
      <w:pPr>
        <w:spacing w:before="120" w:after="120" w:line="360" w:lineRule="auto"/>
        <w:jc w:val="center"/>
        <w:outlineLvl w:val="0"/>
        <w:rPr>
          <w:rFonts w:ascii="Arial" w:hAnsi="Arial" w:cs="Arial"/>
          <w:b/>
          <w:sz w:val="36"/>
          <w:szCs w:val="36"/>
        </w:rPr>
      </w:pPr>
      <w:r>
        <w:rPr>
          <w:rFonts w:ascii="Arial" w:hAnsi="Arial" w:cs="Arial"/>
          <w:b/>
          <w:sz w:val="36"/>
          <w:szCs w:val="36"/>
          <w:lang w:val="vi-VN"/>
        </w:rPr>
        <w:t>CÔNG TY CHỨNG KHOÁN TP.HCM (</w:t>
      </w:r>
      <w:r w:rsidR="0082628D">
        <w:rPr>
          <w:rFonts w:ascii="Arial" w:hAnsi="Arial" w:cs="Arial"/>
          <w:b/>
          <w:sz w:val="36"/>
          <w:szCs w:val="36"/>
        </w:rPr>
        <w:t>HSC</w:t>
      </w:r>
      <w:r>
        <w:rPr>
          <w:rFonts w:ascii="Arial" w:hAnsi="Arial" w:cs="Arial"/>
          <w:b/>
          <w:sz w:val="36"/>
          <w:szCs w:val="36"/>
          <w:lang w:val="vi-VN"/>
        </w:rPr>
        <w:t>)</w:t>
      </w:r>
      <w:r w:rsidR="0082628D">
        <w:rPr>
          <w:rFonts w:ascii="Arial" w:hAnsi="Arial" w:cs="Arial"/>
          <w:b/>
          <w:sz w:val="36"/>
          <w:szCs w:val="36"/>
        </w:rPr>
        <w:t xml:space="preserve"> </w:t>
      </w:r>
      <w:r w:rsidR="000454C3" w:rsidRPr="005958D3">
        <w:rPr>
          <w:rFonts w:ascii="Arial" w:hAnsi="Arial" w:cs="Arial"/>
          <w:b/>
          <w:sz w:val="36"/>
          <w:szCs w:val="36"/>
        </w:rPr>
        <w:t xml:space="preserve">GÓP Ý </w:t>
      </w:r>
    </w:p>
    <w:p w14:paraId="4DD07CA3" w14:textId="00383CAE" w:rsidR="000454C3" w:rsidRPr="0082628D" w:rsidRDefault="000454C3" w:rsidP="00C254CE">
      <w:pPr>
        <w:spacing w:before="120" w:after="120" w:line="360" w:lineRule="auto"/>
        <w:jc w:val="center"/>
        <w:outlineLvl w:val="0"/>
        <w:rPr>
          <w:rFonts w:ascii="Arial" w:hAnsi="Arial" w:cs="Arial"/>
          <w:b/>
          <w:sz w:val="32"/>
          <w:szCs w:val="32"/>
        </w:rPr>
      </w:pPr>
      <w:r w:rsidRPr="0082628D">
        <w:rPr>
          <w:rFonts w:ascii="Arial" w:hAnsi="Arial" w:cs="Arial"/>
          <w:b/>
          <w:sz w:val="32"/>
          <w:szCs w:val="32"/>
        </w:rPr>
        <w:t>DỰ THẢO NGHỊ ĐỊNH HƯỚNG DẪN LUẬT CHỨ</w:t>
      </w:r>
      <w:bookmarkStart w:id="0" w:name="_GoBack"/>
      <w:bookmarkEnd w:id="0"/>
      <w:r w:rsidRPr="0082628D">
        <w:rPr>
          <w:rFonts w:ascii="Arial" w:hAnsi="Arial" w:cs="Arial"/>
          <w:b/>
          <w:sz w:val="32"/>
          <w:szCs w:val="32"/>
        </w:rPr>
        <w:t>NG KHOÁN 2019</w:t>
      </w:r>
    </w:p>
    <w:p w14:paraId="0B6C0EB7" w14:textId="56F9E1DA" w:rsidR="000454C3" w:rsidRPr="00565A2A" w:rsidRDefault="000454C3" w:rsidP="00C254CE">
      <w:pPr>
        <w:spacing w:before="120" w:after="120" w:line="360" w:lineRule="auto"/>
        <w:jc w:val="center"/>
        <w:outlineLvl w:val="0"/>
        <w:rPr>
          <w:rFonts w:ascii="Arial" w:hAnsi="Arial" w:cs="Arial"/>
          <w:b/>
        </w:rPr>
      </w:pPr>
    </w:p>
    <w:p w14:paraId="4B5A51EB" w14:textId="739B4A99" w:rsidR="00B371D2" w:rsidRPr="00565A2A" w:rsidRDefault="00D86BC3" w:rsidP="00C254CE">
      <w:pPr>
        <w:spacing w:before="120" w:after="120" w:line="360" w:lineRule="auto"/>
        <w:jc w:val="right"/>
        <w:outlineLvl w:val="0"/>
        <w:rPr>
          <w:rFonts w:ascii="Arial" w:hAnsi="Arial" w:cs="Arial"/>
          <w:bCs/>
          <w:i/>
          <w:iCs/>
        </w:rPr>
      </w:pPr>
      <w:r w:rsidRPr="00565A2A">
        <w:rPr>
          <w:rFonts w:ascii="Arial" w:hAnsi="Arial" w:cs="Arial"/>
          <w:bCs/>
          <w:i/>
          <w:iCs/>
        </w:rPr>
        <w:t xml:space="preserve">Ngày </w:t>
      </w:r>
      <w:r w:rsidR="0082628D">
        <w:rPr>
          <w:rFonts w:ascii="Arial" w:hAnsi="Arial" w:cs="Arial"/>
          <w:bCs/>
          <w:i/>
          <w:iCs/>
        </w:rPr>
        <w:t>16</w:t>
      </w:r>
      <w:r w:rsidRPr="00565A2A">
        <w:rPr>
          <w:rFonts w:ascii="Arial" w:hAnsi="Arial" w:cs="Arial"/>
          <w:bCs/>
          <w:i/>
          <w:iCs/>
        </w:rPr>
        <w:t>/07/2020</w:t>
      </w:r>
    </w:p>
    <w:p w14:paraId="244921D3" w14:textId="77777777" w:rsidR="00B371D2" w:rsidRPr="00565A2A" w:rsidRDefault="00B371D2" w:rsidP="00C254CE">
      <w:pPr>
        <w:spacing w:before="120" w:after="120" w:line="360" w:lineRule="auto"/>
        <w:jc w:val="right"/>
        <w:outlineLvl w:val="0"/>
        <w:rPr>
          <w:rFonts w:ascii="Arial" w:hAnsi="Arial" w:cs="Arial"/>
          <w:bCs/>
          <w:i/>
          <w:iCs/>
        </w:rPr>
      </w:pPr>
    </w:p>
    <w:tbl>
      <w:tblPr>
        <w:tblpPr w:leftFromText="180" w:rightFromText="180" w:vertAnchor="text"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936"/>
        <w:gridCol w:w="5528"/>
        <w:gridCol w:w="5812"/>
      </w:tblGrid>
      <w:tr w:rsidR="006421DC" w:rsidRPr="00565A2A" w14:paraId="3958F8E2" w14:textId="77777777" w:rsidTr="006421DC">
        <w:tc>
          <w:tcPr>
            <w:tcW w:w="1036" w:type="dxa"/>
            <w:shd w:val="clear" w:color="auto" w:fill="0070C0"/>
          </w:tcPr>
          <w:p w14:paraId="12D53873" w14:textId="77777777" w:rsidR="000B6DC9" w:rsidRPr="00565A2A" w:rsidRDefault="000B6DC9" w:rsidP="00C254CE">
            <w:pPr>
              <w:spacing w:before="120" w:after="120" w:line="360" w:lineRule="auto"/>
              <w:jc w:val="center"/>
              <w:rPr>
                <w:rFonts w:ascii="Arial" w:hAnsi="Arial" w:cs="Arial"/>
                <w:color w:val="FFFFFF" w:themeColor="background1"/>
              </w:rPr>
            </w:pPr>
            <w:r w:rsidRPr="00565A2A">
              <w:rPr>
                <w:rFonts w:ascii="Arial" w:hAnsi="Arial" w:cs="Arial"/>
                <w:b/>
                <w:color w:val="FFFFFF" w:themeColor="background1"/>
              </w:rPr>
              <w:t>STT</w:t>
            </w:r>
          </w:p>
        </w:tc>
        <w:tc>
          <w:tcPr>
            <w:tcW w:w="1936" w:type="dxa"/>
            <w:shd w:val="clear" w:color="auto" w:fill="0070C0"/>
          </w:tcPr>
          <w:p w14:paraId="18E347A1" w14:textId="35FAF121" w:rsidR="000B6DC9" w:rsidRPr="00565A2A" w:rsidRDefault="00AA252F" w:rsidP="00C254CE">
            <w:pPr>
              <w:spacing w:before="120" w:after="120" w:line="360" w:lineRule="auto"/>
              <w:jc w:val="center"/>
              <w:rPr>
                <w:rFonts w:ascii="Arial" w:hAnsi="Arial" w:cs="Arial"/>
                <w:b/>
                <w:color w:val="FFFFFF" w:themeColor="background1"/>
                <w:spacing w:val="2"/>
              </w:rPr>
            </w:pPr>
            <w:r w:rsidRPr="00565A2A">
              <w:rPr>
                <w:rFonts w:ascii="Arial" w:hAnsi="Arial" w:cs="Arial"/>
                <w:b/>
                <w:color w:val="FFFFFF" w:themeColor="background1"/>
                <w:spacing w:val="2"/>
              </w:rPr>
              <w:t>Điều luật</w:t>
            </w:r>
          </w:p>
        </w:tc>
        <w:tc>
          <w:tcPr>
            <w:tcW w:w="5528" w:type="dxa"/>
            <w:shd w:val="clear" w:color="auto" w:fill="0070C0"/>
          </w:tcPr>
          <w:p w14:paraId="623FB9A3" w14:textId="77777777" w:rsidR="000B6DC9" w:rsidRPr="0068398B" w:rsidRDefault="000B6DC9" w:rsidP="00C254CE">
            <w:pPr>
              <w:spacing w:before="120" w:after="120" w:line="360" w:lineRule="auto"/>
              <w:jc w:val="center"/>
              <w:rPr>
                <w:rFonts w:ascii="Arial" w:hAnsi="Arial" w:cs="Arial"/>
                <w:color w:val="FFFFFF" w:themeColor="background1"/>
                <w:spacing w:val="2"/>
              </w:rPr>
            </w:pPr>
            <w:r w:rsidRPr="0068398B">
              <w:rPr>
                <w:rFonts w:ascii="Arial" w:hAnsi="Arial" w:cs="Arial"/>
                <w:b/>
                <w:color w:val="FFFFFF" w:themeColor="background1"/>
              </w:rPr>
              <w:t>Vấn đề</w:t>
            </w:r>
          </w:p>
        </w:tc>
        <w:tc>
          <w:tcPr>
            <w:tcW w:w="5812" w:type="dxa"/>
            <w:shd w:val="clear" w:color="auto" w:fill="0070C0"/>
          </w:tcPr>
          <w:p w14:paraId="41C18D5D" w14:textId="77777777" w:rsidR="000B6DC9" w:rsidRPr="00565A2A" w:rsidRDefault="000B6DC9" w:rsidP="00C254CE">
            <w:pPr>
              <w:spacing w:before="120" w:after="120" w:line="360" w:lineRule="auto"/>
              <w:jc w:val="center"/>
              <w:rPr>
                <w:rFonts w:ascii="Arial" w:hAnsi="Arial" w:cs="Arial"/>
                <w:color w:val="FFFFFF" w:themeColor="background1"/>
              </w:rPr>
            </w:pPr>
            <w:r w:rsidRPr="00565A2A">
              <w:rPr>
                <w:rFonts w:ascii="Arial" w:hAnsi="Arial" w:cs="Arial"/>
                <w:b/>
                <w:color w:val="FFFFFF" w:themeColor="background1"/>
              </w:rPr>
              <w:t>Kiến nghị sửa đổi</w:t>
            </w:r>
          </w:p>
        </w:tc>
      </w:tr>
      <w:tr w:rsidR="006421DC" w:rsidRPr="00565A2A" w14:paraId="6CDE2F08" w14:textId="77777777" w:rsidTr="006421DC">
        <w:tc>
          <w:tcPr>
            <w:tcW w:w="1036" w:type="dxa"/>
          </w:tcPr>
          <w:p w14:paraId="2550D69C" w14:textId="77777777" w:rsidR="00E754DB" w:rsidRPr="00565A2A" w:rsidRDefault="00E754DB" w:rsidP="00C254CE">
            <w:pPr>
              <w:pStyle w:val="ListParagraph"/>
              <w:numPr>
                <w:ilvl w:val="0"/>
                <w:numId w:val="1"/>
              </w:numPr>
              <w:spacing w:before="120" w:after="120" w:line="360" w:lineRule="auto"/>
              <w:rPr>
                <w:rFonts w:cs="Arial"/>
                <w:sz w:val="22"/>
                <w:szCs w:val="22"/>
              </w:rPr>
            </w:pPr>
          </w:p>
        </w:tc>
        <w:tc>
          <w:tcPr>
            <w:tcW w:w="1936" w:type="dxa"/>
          </w:tcPr>
          <w:p w14:paraId="34890898" w14:textId="77777777" w:rsidR="00E754DB" w:rsidRPr="00565A2A" w:rsidRDefault="00E754DB" w:rsidP="00C254CE">
            <w:pPr>
              <w:spacing w:before="120" w:after="120" w:line="360" w:lineRule="auto"/>
              <w:rPr>
                <w:rFonts w:ascii="Arial" w:hAnsi="Arial" w:cs="Arial"/>
                <w:b/>
                <w:iCs/>
                <w:spacing w:val="2"/>
              </w:rPr>
            </w:pPr>
            <w:r w:rsidRPr="00565A2A">
              <w:rPr>
                <w:rFonts w:ascii="Arial" w:hAnsi="Arial" w:cs="Arial"/>
                <w:b/>
                <w:iCs/>
                <w:spacing w:val="2"/>
              </w:rPr>
              <w:t>Điều 3. Giải thích từ ngữ</w:t>
            </w:r>
          </w:p>
          <w:p w14:paraId="7C168E5D" w14:textId="15F5D916" w:rsidR="00E754DB" w:rsidRPr="00565A2A" w:rsidRDefault="00E754DB" w:rsidP="00C254CE">
            <w:pPr>
              <w:spacing w:before="120" w:after="120" w:line="360" w:lineRule="auto"/>
              <w:rPr>
                <w:rFonts w:ascii="Arial" w:hAnsi="Arial" w:cs="Arial"/>
                <w:b/>
                <w:i/>
                <w:spacing w:val="2"/>
              </w:rPr>
            </w:pPr>
          </w:p>
        </w:tc>
        <w:tc>
          <w:tcPr>
            <w:tcW w:w="5528" w:type="dxa"/>
          </w:tcPr>
          <w:p w14:paraId="04D481AC" w14:textId="77777777" w:rsidR="00E754DB" w:rsidRPr="0068398B" w:rsidRDefault="00E754DB" w:rsidP="00C254CE">
            <w:pPr>
              <w:spacing w:before="120" w:after="120" w:line="360" w:lineRule="auto"/>
              <w:rPr>
                <w:rFonts w:ascii="Arial" w:hAnsi="Arial" w:cs="Arial"/>
              </w:rPr>
            </w:pPr>
            <w:r w:rsidRPr="0068398B">
              <w:rPr>
                <w:rFonts w:ascii="Arial" w:hAnsi="Arial" w:cs="Arial"/>
              </w:rPr>
              <w:t>Luật chứng khoán có quy định trường hợp bị người có liên quan như sau:</w:t>
            </w:r>
          </w:p>
          <w:p w14:paraId="677F5C0E" w14:textId="77777777" w:rsidR="00E754DB" w:rsidRPr="0068398B" w:rsidRDefault="00E754DB" w:rsidP="00C254CE">
            <w:pPr>
              <w:spacing w:before="120" w:after="120" w:line="360" w:lineRule="auto"/>
              <w:rPr>
                <w:rFonts w:ascii="Arial" w:hAnsi="Arial" w:cs="Arial"/>
                <w:i/>
              </w:rPr>
            </w:pPr>
            <w:r w:rsidRPr="0068398B">
              <w:rPr>
                <w:rFonts w:ascii="Arial" w:hAnsi="Arial" w:cs="Arial"/>
                <w:i/>
              </w:rPr>
              <w:t xml:space="preserve">“Người mà trong mối quan hệ với người khác trực tiếp, </w:t>
            </w:r>
            <w:r w:rsidRPr="0068398B">
              <w:rPr>
                <w:rFonts w:ascii="Arial" w:hAnsi="Arial" w:cs="Arial"/>
                <w:i/>
                <w:u w:val="single"/>
              </w:rPr>
              <w:t>gián tiếp</w:t>
            </w:r>
            <w:r w:rsidRPr="0068398B">
              <w:rPr>
                <w:rFonts w:ascii="Arial" w:hAnsi="Arial" w:cs="Arial"/>
                <w:i/>
              </w:rPr>
              <w:t xml:space="preserve"> kiểm soát hoặc bị kiểm soát bởi người đó hoặc cùng với người đó chịu chung một sự kiểm soát”.</w:t>
            </w:r>
          </w:p>
          <w:p w14:paraId="72A7DEDE" w14:textId="40BE7F3B" w:rsidR="00E754DB" w:rsidRPr="0068398B" w:rsidRDefault="00E754DB" w:rsidP="00C254CE">
            <w:pPr>
              <w:spacing w:before="120" w:after="120" w:line="360" w:lineRule="auto"/>
              <w:rPr>
                <w:rFonts w:ascii="Arial" w:hAnsi="Arial" w:cs="Arial"/>
                <w:iCs/>
              </w:rPr>
            </w:pPr>
            <w:r w:rsidRPr="0068398B">
              <w:rPr>
                <w:rFonts w:ascii="Arial" w:hAnsi="Arial" w:cs="Arial"/>
                <w:iCs/>
              </w:rPr>
              <w:t>Tuy nhiên, Luật chứng khoán chưa quy định rõ như thế nào là “kiểm soát”. Điều này sẽ dễ dẫn đến việc diễn giải, áp dụng không thống nhất khi thi hành luật.</w:t>
            </w:r>
          </w:p>
          <w:p w14:paraId="743F95A9" w14:textId="1F1CD93B" w:rsidR="00E71265" w:rsidRPr="0068398B" w:rsidRDefault="00E71265" w:rsidP="00EE3C59">
            <w:pPr>
              <w:spacing w:before="120" w:after="120" w:line="360" w:lineRule="auto"/>
              <w:rPr>
                <w:rFonts w:cs="Arial"/>
              </w:rPr>
            </w:pPr>
          </w:p>
        </w:tc>
        <w:tc>
          <w:tcPr>
            <w:tcW w:w="5812" w:type="dxa"/>
          </w:tcPr>
          <w:p w14:paraId="4BD513F8" w14:textId="6723DB2A" w:rsidR="00E754DB" w:rsidRPr="00EE3C59" w:rsidRDefault="00E754DB" w:rsidP="00C254CE">
            <w:pPr>
              <w:spacing w:before="120" w:after="120" w:line="360" w:lineRule="auto"/>
              <w:rPr>
                <w:rFonts w:ascii="Arial" w:hAnsi="Arial" w:cs="Arial"/>
                <w:bCs/>
                <w:lang w:val="vi-VN"/>
              </w:rPr>
            </w:pPr>
            <w:r w:rsidRPr="00565A2A">
              <w:rPr>
                <w:rFonts w:ascii="Arial" w:hAnsi="Arial" w:cs="Arial"/>
              </w:rPr>
              <w:t>Đề nghị</w:t>
            </w:r>
            <w:r w:rsidRPr="00565A2A">
              <w:rPr>
                <w:rFonts w:ascii="Arial" w:hAnsi="Arial" w:cs="Arial"/>
                <w:b/>
              </w:rPr>
              <w:t xml:space="preserve"> </w:t>
            </w:r>
            <w:r w:rsidR="003A14E3" w:rsidRPr="00565A2A">
              <w:rPr>
                <w:rFonts w:ascii="Arial" w:hAnsi="Arial" w:cs="Arial"/>
                <w:bCs/>
              </w:rPr>
              <w:t>bổ sung</w:t>
            </w:r>
            <w:r w:rsidRPr="00565A2A">
              <w:rPr>
                <w:rFonts w:ascii="Arial" w:hAnsi="Arial" w:cs="Arial"/>
                <w:bCs/>
              </w:rPr>
              <w:t xml:space="preserve"> </w:t>
            </w:r>
            <w:r w:rsidR="00EE3C59">
              <w:rPr>
                <w:rFonts w:ascii="Arial" w:hAnsi="Arial" w:cs="Arial"/>
                <w:bCs/>
                <w:lang w:val="vi-VN"/>
              </w:rPr>
              <w:t xml:space="preserve">tại </w:t>
            </w:r>
            <w:r w:rsidR="00D86BC3" w:rsidRPr="00565A2A">
              <w:rPr>
                <w:rFonts w:ascii="Arial" w:hAnsi="Arial" w:cs="Arial"/>
                <w:b/>
              </w:rPr>
              <w:t>Điều 3</w:t>
            </w:r>
            <w:r w:rsidR="002D2405" w:rsidRPr="00565A2A">
              <w:rPr>
                <w:rFonts w:ascii="Arial" w:hAnsi="Arial" w:cs="Arial"/>
                <w:b/>
              </w:rPr>
              <w:t xml:space="preserve"> Nghị định</w:t>
            </w:r>
            <w:r w:rsidR="003A14E3" w:rsidRPr="00565A2A">
              <w:rPr>
                <w:rFonts w:ascii="Arial" w:hAnsi="Arial" w:cs="Arial"/>
                <w:bCs/>
              </w:rPr>
              <w:t xml:space="preserve"> </w:t>
            </w:r>
            <w:r w:rsidR="00EE3C59">
              <w:rPr>
                <w:rFonts w:ascii="Arial" w:hAnsi="Arial" w:cs="Arial"/>
                <w:bCs/>
                <w:lang w:val="vi-VN"/>
              </w:rPr>
              <w:t xml:space="preserve">giải thích rõ, nêu rõ đối tượng gián tiếp </w:t>
            </w:r>
            <w:r w:rsidR="008D1B8E">
              <w:rPr>
                <w:rFonts w:ascii="Arial" w:hAnsi="Arial" w:cs="Arial"/>
                <w:bCs/>
                <w:lang w:val="vi-VN"/>
              </w:rPr>
              <w:t>cụ thể là cá nhân, pháp nhân nào.</w:t>
            </w:r>
          </w:p>
          <w:p w14:paraId="045285A8" w14:textId="11C7787A" w:rsidR="003A14E3" w:rsidRPr="00565A2A" w:rsidRDefault="003A14E3" w:rsidP="00C254CE">
            <w:pPr>
              <w:spacing w:before="120" w:after="120" w:line="360" w:lineRule="auto"/>
              <w:rPr>
                <w:rFonts w:ascii="Arial" w:hAnsi="Arial" w:cs="Arial"/>
              </w:rPr>
            </w:pPr>
          </w:p>
        </w:tc>
      </w:tr>
      <w:tr w:rsidR="006421DC" w:rsidRPr="00565A2A" w14:paraId="03EC9931" w14:textId="77777777" w:rsidTr="006421DC">
        <w:tc>
          <w:tcPr>
            <w:tcW w:w="1036" w:type="dxa"/>
          </w:tcPr>
          <w:p w14:paraId="437BEEA6" w14:textId="77777777" w:rsidR="00431BDD" w:rsidRPr="00565A2A" w:rsidRDefault="00431BDD" w:rsidP="00C254CE">
            <w:pPr>
              <w:pStyle w:val="ListParagraph"/>
              <w:numPr>
                <w:ilvl w:val="0"/>
                <w:numId w:val="1"/>
              </w:numPr>
              <w:spacing w:before="120" w:after="120" w:line="360" w:lineRule="auto"/>
              <w:rPr>
                <w:rFonts w:cs="Arial"/>
                <w:sz w:val="22"/>
                <w:szCs w:val="22"/>
              </w:rPr>
            </w:pPr>
          </w:p>
        </w:tc>
        <w:tc>
          <w:tcPr>
            <w:tcW w:w="1936" w:type="dxa"/>
          </w:tcPr>
          <w:p w14:paraId="6BBBCE7C" w14:textId="77777777" w:rsidR="00431BDD" w:rsidRPr="00565A2A" w:rsidRDefault="003A7A85" w:rsidP="00C254CE">
            <w:pPr>
              <w:spacing w:before="120" w:after="120" w:line="360" w:lineRule="auto"/>
              <w:rPr>
                <w:rFonts w:ascii="Arial" w:hAnsi="Arial" w:cs="Arial"/>
                <w:b/>
                <w:iCs/>
                <w:spacing w:val="2"/>
              </w:rPr>
            </w:pPr>
            <w:r w:rsidRPr="00565A2A">
              <w:rPr>
                <w:rFonts w:ascii="Arial" w:hAnsi="Arial" w:cs="Arial"/>
                <w:b/>
                <w:iCs/>
                <w:spacing w:val="2"/>
              </w:rPr>
              <w:t>Điều 21. Đại diện người sở hữu trái phiếu</w:t>
            </w:r>
          </w:p>
          <w:p w14:paraId="047F31F2" w14:textId="659BC734" w:rsidR="003A7A85" w:rsidRPr="00565A2A" w:rsidRDefault="003A7A85" w:rsidP="00C254CE">
            <w:pPr>
              <w:spacing w:before="120" w:after="120" w:line="360" w:lineRule="auto"/>
              <w:rPr>
                <w:rFonts w:ascii="Arial" w:hAnsi="Arial" w:cs="Arial"/>
                <w:b/>
                <w:i/>
                <w:spacing w:val="2"/>
              </w:rPr>
            </w:pPr>
          </w:p>
        </w:tc>
        <w:tc>
          <w:tcPr>
            <w:tcW w:w="5528" w:type="dxa"/>
          </w:tcPr>
          <w:p w14:paraId="57619264" w14:textId="2435F3C7" w:rsidR="0097523C" w:rsidRPr="0068398B" w:rsidRDefault="0097523C" w:rsidP="009326FE">
            <w:pPr>
              <w:spacing w:before="120" w:after="120" w:line="360" w:lineRule="auto"/>
              <w:jc w:val="both"/>
              <w:rPr>
                <w:rFonts w:ascii="Arial" w:hAnsi="Arial" w:cs="Arial"/>
              </w:rPr>
            </w:pPr>
            <w:r w:rsidRPr="0068398B">
              <w:rPr>
                <w:rFonts w:ascii="Arial" w:hAnsi="Arial" w:cs="Arial"/>
              </w:rPr>
              <w:t xml:space="preserve">Đại diện người sở hữu trái phiếu đóng vai trò rất quan trọng </w:t>
            </w:r>
            <w:r w:rsidR="00D7082B" w:rsidRPr="0068398B">
              <w:rPr>
                <w:rFonts w:ascii="Arial" w:hAnsi="Arial" w:cs="Arial"/>
              </w:rPr>
              <w:t>trong việc phát hành trái phiếu. Đại diện người sở hữu trái phiếu giúp cho những người sở hữu trái phiếu thực hiện quyền đối với trái phiếu (như giám sát tổ chức phát hành, quản lý và xử lý tài sản bảo đảm, ký kết các văn kiện trái phiếu, v.v.).</w:t>
            </w:r>
          </w:p>
          <w:p w14:paraId="1EABCA03" w14:textId="6729BB7C" w:rsidR="00E42FED" w:rsidRPr="0068398B" w:rsidRDefault="00E42FED" w:rsidP="009326FE">
            <w:pPr>
              <w:spacing w:before="120" w:after="120" w:line="360" w:lineRule="auto"/>
              <w:rPr>
                <w:rFonts w:cs="Arial"/>
              </w:rPr>
            </w:pPr>
          </w:p>
        </w:tc>
        <w:tc>
          <w:tcPr>
            <w:tcW w:w="5812" w:type="dxa"/>
          </w:tcPr>
          <w:p w14:paraId="3F71984D" w14:textId="446E7B81" w:rsidR="00431BDD" w:rsidRPr="009326FE" w:rsidRDefault="009326FE" w:rsidP="009326FE">
            <w:pPr>
              <w:spacing w:before="120" w:after="120" w:line="360" w:lineRule="auto"/>
              <w:jc w:val="both"/>
              <w:rPr>
                <w:rFonts w:ascii="Arial" w:hAnsi="Arial" w:cs="Arial"/>
                <w:u w:val="single"/>
                <w:lang w:val="vi-VN"/>
              </w:rPr>
            </w:pPr>
            <w:r>
              <w:rPr>
                <w:rFonts w:ascii="Arial" w:hAnsi="Arial" w:cs="Arial"/>
                <w:lang w:val="vi-VN"/>
              </w:rPr>
              <w:t>K</w:t>
            </w:r>
            <w:r w:rsidRPr="009326FE">
              <w:rPr>
                <w:rFonts w:ascii="Arial" w:hAnsi="Arial" w:cs="Arial"/>
              </w:rPr>
              <w:t xml:space="preserve">iến nghị </w:t>
            </w:r>
            <w:r w:rsidR="0056129C" w:rsidRPr="009326FE">
              <w:rPr>
                <w:rFonts w:ascii="Arial" w:hAnsi="Arial" w:cs="Arial"/>
                <w:bCs/>
              </w:rPr>
              <w:t xml:space="preserve">bổ sung </w:t>
            </w:r>
            <w:r w:rsidRPr="009326FE">
              <w:rPr>
                <w:rFonts w:ascii="Arial" w:hAnsi="Arial" w:cs="Arial"/>
                <w:bCs/>
                <w:lang w:val="vi-VN"/>
              </w:rPr>
              <w:t xml:space="preserve">tại </w:t>
            </w:r>
            <w:r w:rsidR="0056129C" w:rsidRPr="009326FE">
              <w:rPr>
                <w:rFonts w:ascii="Arial" w:hAnsi="Arial" w:cs="Arial"/>
                <w:b/>
              </w:rPr>
              <w:t xml:space="preserve"> Điều 21 Nghị định</w:t>
            </w:r>
            <w:r w:rsidR="0056129C" w:rsidRPr="009326FE">
              <w:rPr>
                <w:rFonts w:ascii="Arial" w:hAnsi="Arial" w:cs="Arial"/>
                <w:bCs/>
              </w:rPr>
              <w:t xml:space="preserve"> </w:t>
            </w:r>
            <w:r>
              <w:rPr>
                <w:rFonts w:ascii="Arial" w:hAnsi="Arial" w:cs="Arial"/>
                <w:bCs/>
                <w:lang w:val="vi-VN"/>
              </w:rPr>
              <w:t>q</w:t>
            </w:r>
            <w:r w:rsidRPr="009326FE">
              <w:rPr>
                <w:rFonts w:ascii="Arial" w:hAnsi="Arial" w:cs="Arial"/>
              </w:rPr>
              <w:t>uy định về đại diện người sở hữu trái phiếu phải được áp dụng cho tất cả các loại trái phiếu (trái phiếu thông thường, trái phiếu có bảo đảm, trái phiếu chuyển đổi, trái phiếu kèm chứng quyền,v.v.)</w:t>
            </w:r>
            <w:r>
              <w:rPr>
                <w:rFonts w:ascii="Arial" w:hAnsi="Arial" w:cs="Arial"/>
                <w:lang w:val="vi-VN"/>
              </w:rPr>
              <w:t>.</w:t>
            </w:r>
          </w:p>
        </w:tc>
      </w:tr>
      <w:tr w:rsidR="006421DC" w:rsidRPr="00565A2A" w14:paraId="55A5DD6A" w14:textId="77777777" w:rsidTr="006421DC">
        <w:tc>
          <w:tcPr>
            <w:tcW w:w="1036" w:type="dxa"/>
          </w:tcPr>
          <w:p w14:paraId="12F8B107" w14:textId="77777777" w:rsidR="00C303ED" w:rsidRPr="00565A2A" w:rsidRDefault="00C303ED" w:rsidP="00C254CE">
            <w:pPr>
              <w:pStyle w:val="ListParagraph"/>
              <w:numPr>
                <w:ilvl w:val="0"/>
                <w:numId w:val="1"/>
              </w:numPr>
              <w:spacing w:before="120" w:after="120" w:line="360" w:lineRule="auto"/>
              <w:rPr>
                <w:rFonts w:cs="Arial"/>
                <w:sz w:val="22"/>
                <w:szCs w:val="22"/>
              </w:rPr>
            </w:pPr>
          </w:p>
        </w:tc>
        <w:tc>
          <w:tcPr>
            <w:tcW w:w="1936" w:type="dxa"/>
          </w:tcPr>
          <w:p w14:paraId="51C69849" w14:textId="77777777" w:rsidR="00C303ED" w:rsidRPr="00565A2A" w:rsidRDefault="00A03F3F" w:rsidP="00C254CE">
            <w:pPr>
              <w:spacing w:before="120" w:after="120" w:line="360" w:lineRule="auto"/>
              <w:rPr>
                <w:rFonts w:ascii="Arial" w:eastAsia="Times New Roman" w:hAnsi="Arial" w:cs="Arial"/>
                <w:b/>
                <w:bCs/>
              </w:rPr>
            </w:pPr>
            <w:r w:rsidRPr="00565A2A">
              <w:rPr>
                <w:rFonts w:ascii="Arial" w:eastAsia="Times New Roman" w:hAnsi="Arial" w:cs="Arial"/>
                <w:b/>
                <w:bCs/>
              </w:rPr>
              <w:t>Điều 131. Tỷ lệ sở hữu nước ngoài trên thị trường chứng khoán Việt Nam</w:t>
            </w:r>
          </w:p>
          <w:p w14:paraId="69AC103D" w14:textId="13F0BEA5" w:rsidR="00DA3A14" w:rsidRPr="00565A2A" w:rsidRDefault="00DA3A14" w:rsidP="00C254CE">
            <w:pPr>
              <w:spacing w:before="120" w:after="120" w:line="360" w:lineRule="auto"/>
              <w:rPr>
                <w:rFonts w:ascii="Arial" w:hAnsi="Arial" w:cs="Arial"/>
                <w:b/>
                <w:bCs/>
                <w:i/>
                <w:iCs/>
              </w:rPr>
            </w:pPr>
            <w:r w:rsidRPr="00565A2A">
              <w:rPr>
                <w:rFonts w:ascii="Arial" w:hAnsi="Arial" w:cs="Arial"/>
                <w:b/>
                <w:bCs/>
                <w:i/>
                <w:iCs/>
              </w:rPr>
              <w:t>Điểm b Khoản 1</w:t>
            </w:r>
          </w:p>
        </w:tc>
        <w:tc>
          <w:tcPr>
            <w:tcW w:w="5528" w:type="dxa"/>
          </w:tcPr>
          <w:p w14:paraId="41DC65C6" w14:textId="77777777" w:rsidR="00C303ED" w:rsidRPr="0068398B" w:rsidRDefault="00170389" w:rsidP="00C254CE">
            <w:pPr>
              <w:spacing w:before="120" w:after="120" w:line="360" w:lineRule="auto"/>
              <w:rPr>
                <w:rFonts w:ascii="Arial" w:hAnsi="Arial" w:cs="Arial"/>
              </w:rPr>
            </w:pPr>
            <w:r w:rsidRPr="0068398B">
              <w:rPr>
                <w:rFonts w:ascii="Arial" w:hAnsi="Arial" w:cs="Arial"/>
              </w:rPr>
              <w:t>Đối với những ngành nghề đầu tư, kinh doanh mà Điều ước quốc tế và pháp luật trong nước chưa có quy định cụ thể về sở hữu nước ngoài, chúng tôi kiến nghị cho phép mức sở hữu nước ngoài tối đa là 100%.</w:t>
            </w:r>
          </w:p>
          <w:p w14:paraId="08F7E4EE" w14:textId="639E1018" w:rsidR="008F75A1" w:rsidRPr="0068398B" w:rsidRDefault="008F75A1" w:rsidP="00C254CE">
            <w:pPr>
              <w:spacing w:before="120" w:after="120" w:line="360" w:lineRule="auto"/>
              <w:rPr>
                <w:rFonts w:ascii="Arial" w:hAnsi="Arial" w:cs="Arial"/>
              </w:rPr>
            </w:pPr>
          </w:p>
        </w:tc>
        <w:tc>
          <w:tcPr>
            <w:tcW w:w="5812" w:type="dxa"/>
          </w:tcPr>
          <w:p w14:paraId="5DDAAF04" w14:textId="466FA2C5" w:rsidR="00C303ED" w:rsidRPr="00565A2A" w:rsidRDefault="00C303ED" w:rsidP="00C254CE">
            <w:pPr>
              <w:spacing w:before="120" w:after="120" w:line="360" w:lineRule="auto"/>
              <w:rPr>
                <w:rFonts w:ascii="Arial" w:hAnsi="Arial" w:cs="Arial"/>
                <w:bCs/>
              </w:rPr>
            </w:pPr>
            <w:r w:rsidRPr="00565A2A">
              <w:rPr>
                <w:rFonts w:ascii="Arial" w:hAnsi="Arial" w:cs="Arial"/>
              </w:rPr>
              <w:t>Đề nghị</w:t>
            </w:r>
            <w:r w:rsidRPr="00565A2A">
              <w:rPr>
                <w:rFonts w:ascii="Arial" w:hAnsi="Arial" w:cs="Arial"/>
                <w:b/>
              </w:rPr>
              <w:t xml:space="preserve"> </w:t>
            </w:r>
            <w:r w:rsidRPr="00565A2A">
              <w:rPr>
                <w:rFonts w:ascii="Arial" w:hAnsi="Arial" w:cs="Arial"/>
                <w:bCs/>
              </w:rPr>
              <w:t xml:space="preserve">sửa đổi </w:t>
            </w:r>
            <w:r w:rsidR="00272B10" w:rsidRPr="00272B10">
              <w:rPr>
                <w:rFonts w:ascii="Arial" w:hAnsi="Arial" w:cs="Arial"/>
                <w:b/>
              </w:rPr>
              <w:t xml:space="preserve">điểm </w:t>
            </w:r>
            <w:r w:rsidR="00BD2CA0">
              <w:rPr>
                <w:rFonts w:ascii="Arial" w:hAnsi="Arial" w:cs="Arial"/>
                <w:b/>
              </w:rPr>
              <w:t>b</w:t>
            </w:r>
            <w:r w:rsidR="00272B10" w:rsidRPr="00272B10">
              <w:rPr>
                <w:rFonts w:ascii="Arial" w:hAnsi="Arial" w:cs="Arial"/>
                <w:b/>
              </w:rPr>
              <w:t xml:space="preserve"> Khoản 1 Điều 131</w:t>
            </w:r>
            <w:r w:rsidRPr="00565A2A">
              <w:rPr>
                <w:rFonts w:ascii="Arial" w:hAnsi="Arial" w:cs="Arial"/>
                <w:bCs/>
              </w:rPr>
              <w:t xml:space="preserve"> Nghị định như sau:</w:t>
            </w:r>
          </w:p>
          <w:p w14:paraId="036C0F85" w14:textId="12F095FD" w:rsidR="00B21953" w:rsidRPr="00565A2A" w:rsidRDefault="00B21953" w:rsidP="00C254CE">
            <w:pPr>
              <w:tabs>
                <w:tab w:val="left" w:pos="1260"/>
              </w:tabs>
              <w:spacing w:after="0" w:line="360" w:lineRule="auto"/>
              <w:rPr>
                <w:rFonts w:ascii="Arial" w:eastAsia="Times New Roman" w:hAnsi="Arial" w:cs="Arial"/>
              </w:rPr>
            </w:pPr>
            <w:r w:rsidRPr="00565A2A">
              <w:rPr>
                <w:rFonts w:ascii="Arial" w:eastAsia="Times New Roman" w:hAnsi="Arial" w:cs="Arial"/>
              </w:rPr>
              <w:t>“1. Tỷ lệ sở hữu nước ngoài tại công ty đại chúng như sau:</w:t>
            </w:r>
          </w:p>
          <w:p w14:paraId="29731977" w14:textId="61B5F076" w:rsidR="00B21953" w:rsidRPr="00565A2A" w:rsidRDefault="00B21953" w:rsidP="00C254CE">
            <w:pPr>
              <w:tabs>
                <w:tab w:val="left" w:pos="1275"/>
              </w:tabs>
              <w:spacing w:after="0" w:line="360" w:lineRule="auto"/>
              <w:jc w:val="both"/>
              <w:rPr>
                <w:rFonts w:ascii="Arial" w:eastAsia="Times New Roman" w:hAnsi="Arial" w:cs="Arial"/>
              </w:rPr>
            </w:pPr>
            <w:r w:rsidRPr="00565A2A">
              <w:rPr>
                <w:rFonts w:ascii="Arial" w:eastAsia="Times New Roman" w:hAnsi="Arial" w:cs="Arial"/>
              </w:rPr>
              <w:t>…</w:t>
            </w:r>
          </w:p>
          <w:p w14:paraId="75466FD0" w14:textId="7095790D" w:rsidR="00B21953" w:rsidRPr="00565A2A" w:rsidRDefault="00B21953" w:rsidP="00C254CE">
            <w:pPr>
              <w:tabs>
                <w:tab w:val="left" w:pos="1275"/>
              </w:tabs>
              <w:spacing w:after="0" w:line="360" w:lineRule="auto"/>
              <w:jc w:val="both"/>
              <w:rPr>
                <w:rFonts w:ascii="Arial" w:eastAsia="Times New Roman" w:hAnsi="Arial" w:cs="Arial"/>
              </w:rPr>
            </w:pPr>
            <w:r w:rsidRPr="00565A2A">
              <w:rPr>
                <w:rFonts w:ascii="Arial" w:eastAsia="Times New Roman" w:hAnsi="Arial" w:cs="Arial"/>
              </w:rPr>
              <w:t>b) Trường hợp công ty đại chúng hoạt động trong ngành, nghề đầu tư kinh doanh mà pháp luật về đầu tư, pháp luật liên quan có quy định về sở hữu nước ngoài thì thực hiện theo quy định tại pháp luật đó.</w:t>
            </w:r>
          </w:p>
          <w:p w14:paraId="2916401A" w14:textId="7BA2D887" w:rsidR="00C303ED" w:rsidRPr="00565A2A" w:rsidRDefault="00B21953" w:rsidP="00C254CE">
            <w:pPr>
              <w:spacing w:before="120" w:after="120" w:line="360" w:lineRule="auto"/>
              <w:rPr>
                <w:rFonts w:ascii="Arial" w:hAnsi="Arial" w:cs="Arial"/>
              </w:rPr>
            </w:pPr>
            <w:r w:rsidRPr="00565A2A">
              <w:rPr>
                <w:rFonts w:ascii="Arial" w:eastAsia="Times New Roman" w:hAnsi="Arial" w:cs="Arial"/>
              </w:rPr>
              <w:t xml:space="preserve">Đối với công ty đại chúng hoạt động trong ngành, nghề đầu tư kinh doanh thuộc ngành nghề tiếp cận thị trường có điều kiện đối với nhà đầu tư nước ngoài hoặc ngành, nghề đầu tư kinh doanh có điều kiện áp dụng đối với nhà đầu tư nước ngoài hoặc ngành nghề đầu tư kinh doanh </w:t>
            </w:r>
            <w:r w:rsidRPr="00565A2A">
              <w:rPr>
                <w:rFonts w:ascii="Arial" w:eastAsia="Times New Roman" w:hAnsi="Arial" w:cs="Arial"/>
              </w:rPr>
              <w:lastRenderedPageBreak/>
              <w:t xml:space="preserve">có điều kiện mà chưa có quy định cụ thể về sở hữu nước ngoài, thì tỷ lệ sở hữu nước ngoài tối đa là </w:t>
            </w:r>
            <w:r w:rsidRPr="00565A2A">
              <w:rPr>
                <w:rFonts w:ascii="Arial" w:eastAsia="Times New Roman" w:hAnsi="Arial" w:cs="Arial"/>
                <w:u w:val="single"/>
              </w:rPr>
              <w:t>100%</w:t>
            </w:r>
            <w:r w:rsidRPr="00565A2A">
              <w:rPr>
                <w:rFonts w:ascii="Arial" w:eastAsia="Times New Roman" w:hAnsi="Arial" w:cs="Arial"/>
              </w:rPr>
              <w:t xml:space="preserve"> </w:t>
            </w:r>
            <w:r w:rsidRPr="00565A2A">
              <w:rPr>
                <w:rFonts w:ascii="Arial" w:eastAsia="Times New Roman" w:hAnsi="Arial" w:cs="Arial"/>
                <w:strike/>
              </w:rPr>
              <w:t>49%</w:t>
            </w:r>
            <w:r w:rsidRPr="00565A2A">
              <w:rPr>
                <w:rFonts w:ascii="Arial" w:eastAsia="Times New Roman" w:hAnsi="Arial" w:cs="Arial"/>
              </w:rPr>
              <w:t>;”</w:t>
            </w:r>
          </w:p>
        </w:tc>
      </w:tr>
      <w:tr w:rsidR="009C79AD" w:rsidRPr="00565A2A" w14:paraId="540C1314" w14:textId="77777777" w:rsidTr="006421DC">
        <w:tc>
          <w:tcPr>
            <w:tcW w:w="1036" w:type="dxa"/>
          </w:tcPr>
          <w:p w14:paraId="654AE9D1" w14:textId="77777777" w:rsidR="009C79AD" w:rsidRPr="00565A2A" w:rsidRDefault="009C79AD" w:rsidP="009C79AD">
            <w:pPr>
              <w:pStyle w:val="ListParagraph"/>
              <w:numPr>
                <w:ilvl w:val="0"/>
                <w:numId w:val="1"/>
              </w:numPr>
              <w:spacing w:before="120" w:after="120" w:line="360" w:lineRule="auto"/>
              <w:rPr>
                <w:rFonts w:cs="Arial"/>
                <w:sz w:val="22"/>
                <w:szCs w:val="22"/>
              </w:rPr>
            </w:pPr>
          </w:p>
        </w:tc>
        <w:tc>
          <w:tcPr>
            <w:tcW w:w="1936" w:type="dxa"/>
          </w:tcPr>
          <w:p w14:paraId="05F8D21E" w14:textId="2657980D" w:rsidR="009C79AD" w:rsidRPr="00565A2A" w:rsidRDefault="009C79AD" w:rsidP="009C79AD">
            <w:pPr>
              <w:spacing w:before="120" w:after="120" w:line="360" w:lineRule="auto"/>
              <w:ind w:right="20"/>
              <w:rPr>
                <w:rFonts w:ascii="Arial" w:eastAsia="Times New Roman" w:hAnsi="Arial" w:cs="Arial"/>
                <w:b/>
                <w:bCs/>
              </w:rPr>
            </w:pPr>
            <w:r w:rsidRPr="00F14416">
              <w:rPr>
                <w:rFonts w:ascii="Arial" w:hAnsi="Arial" w:cs="Arial"/>
                <w:b/>
                <w:lang w:val="it-IT"/>
              </w:rPr>
              <w:t>Chứng chỉ lưu ký không có quyền biểu quyết</w:t>
            </w:r>
          </w:p>
        </w:tc>
        <w:tc>
          <w:tcPr>
            <w:tcW w:w="5528" w:type="dxa"/>
          </w:tcPr>
          <w:p w14:paraId="097104F1" w14:textId="77777777" w:rsidR="009C79AD" w:rsidRPr="0068398B" w:rsidRDefault="009C79AD" w:rsidP="009C79AD">
            <w:pPr>
              <w:spacing w:before="120" w:after="120" w:line="360" w:lineRule="auto"/>
              <w:jc w:val="both"/>
              <w:rPr>
                <w:rStyle w:val="CommentReference"/>
                <w:rFonts w:ascii="Arial" w:hAnsi="Arial" w:cs="Arial"/>
                <w:sz w:val="22"/>
                <w:szCs w:val="22"/>
              </w:rPr>
            </w:pPr>
            <w:r w:rsidRPr="0068398B">
              <w:rPr>
                <w:rStyle w:val="CommentReference"/>
                <w:rFonts w:ascii="Arial" w:hAnsi="Arial" w:cs="Arial"/>
                <w:sz w:val="22"/>
                <w:szCs w:val="22"/>
              </w:rPr>
              <w:t>Dự thảo Nghị định chưa quy định về chứng chỉ lưu ký không có quyền biểu quyết (non-voting delivery receipt/ NVDR).</w:t>
            </w:r>
          </w:p>
          <w:p w14:paraId="4FD73956" w14:textId="77777777" w:rsidR="009C79AD" w:rsidRPr="0068398B" w:rsidRDefault="009C79AD" w:rsidP="009C79AD">
            <w:pPr>
              <w:spacing w:before="120" w:after="120" w:line="360" w:lineRule="auto"/>
              <w:jc w:val="both"/>
              <w:rPr>
                <w:rFonts w:ascii="Arial" w:hAnsi="Arial" w:cs="Arial"/>
              </w:rPr>
            </w:pPr>
            <w:r w:rsidRPr="0068398B">
              <w:rPr>
                <w:rFonts w:ascii="Arial" w:hAnsi="Arial" w:cs="Arial"/>
              </w:rPr>
              <w:t>NVDR là giải pháp tối ưu cho sở hữu nước ngoài tại công ty niêm yết tại Việt Nam, cụ thể:</w:t>
            </w:r>
          </w:p>
          <w:p w14:paraId="0EBF8365" w14:textId="77777777" w:rsidR="009C79AD" w:rsidRPr="0068398B" w:rsidRDefault="009C79AD" w:rsidP="009C79AD">
            <w:pPr>
              <w:pStyle w:val="ListParagraph"/>
              <w:numPr>
                <w:ilvl w:val="0"/>
                <w:numId w:val="7"/>
              </w:numPr>
              <w:spacing w:before="120" w:after="120" w:line="360" w:lineRule="auto"/>
              <w:jc w:val="both"/>
              <w:rPr>
                <w:rFonts w:cs="Arial"/>
                <w:sz w:val="22"/>
                <w:szCs w:val="22"/>
              </w:rPr>
            </w:pPr>
            <w:r w:rsidRPr="0068398B">
              <w:rPr>
                <w:rFonts w:cs="Arial"/>
                <w:sz w:val="22"/>
                <w:szCs w:val="22"/>
              </w:rPr>
              <w:t>Chính phủ Việt Nam (i) duy trì được tỷ lệ sở hữu nước ngoài hiện hành, và (ii) đồng thời kiểm soát được công ty thông qua cơ chế bỏ phiếu của Tổ chức phát hành NVDR; và</w:t>
            </w:r>
          </w:p>
          <w:p w14:paraId="6420636D" w14:textId="77777777" w:rsidR="009C79AD" w:rsidRPr="0068398B" w:rsidRDefault="009C79AD" w:rsidP="009C79AD">
            <w:pPr>
              <w:pStyle w:val="ListParagraph"/>
              <w:spacing w:before="120" w:after="120" w:line="360" w:lineRule="auto"/>
              <w:jc w:val="both"/>
              <w:rPr>
                <w:rFonts w:cs="Arial"/>
                <w:sz w:val="22"/>
                <w:szCs w:val="22"/>
              </w:rPr>
            </w:pPr>
          </w:p>
          <w:p w14:paraId="49932D1B" w14:textId="77777777" w:rsidR="009C79AD" w:rsidRPr="0068398B" w:rsidRDefault="009C79AD" w:rsidP="009C79AD">
            <w:pPr>
              <w:pStyle w:val="ListParagraph"/>
              <w:numPr>
                <w:ilvl w:val="0"/>
                <w:numId w:val="7"/>
              </w:numPr>
              <w:spacing w:before="120" w:after="120" w:line="360" w:lineRule="auto"/>
              <w:jc w:val="both"/>
              <w:rPr>
                <w:rFonts w:cs="Arial"/>
                <w:sz w:val="22"/>
                <w:szCs w:val="22"/>
              </w:rPr>
            </w:pPr>
            <w:r w:rsidRPr="0068398B">
              <w:rPr>
                <w:rFonts w:cs="Arial"/>
                <w:sz w:val="22"/>
                <w:szCs w:val="22"/>
              </w:rPr>
              <w:t>Nhà đầu tư nước ngoài được đầu tư vào các công ty niêm yết bị hạn chế sở hữu nước nước ngoài thông qua NVDR.</w:t>
            </w:r>
          </w:p>
          <w:p w14:paraId="35A17E8C" w14:textId="2E363CDA" w:rsidR="009C79AD" w:rsidRPr="0068398B" w:rsidRDefault="009C79AD" w:rsidP="009C79AD">
            <w:pPr>
              <w:spacing w:before="120" w:after="120" w:line="360" w:lineRule="auto"/>
              <w:jc w:val="both"/>
              <w:rPr>
                <w:rFonts w:ascii="Arial" w:hAnsi="Arial" w:cs="Arial"/>
              </w:rPr>
            </w:pPr>
            <w:r w:rsidRPr="0068398B">
              <w:rPr>
                <w:rStyle w:val="CommentReference"/>
                <w:rFonts w:ascii="Arial" w:hAnsi="Arial" w:cs="Arial"/>
                <w:sz w:val="22"/>
                <w:szCs w:val="22"/>
              </w:rPr>
              <w:t>Do đó, chúng tôi kiến nghị Bộ Tài chính và Ủy ban chứng khoán Nhà nước xem xét và ban hành quy định về NVDR.</w:t>
            </w:r>
          </w:p>
        </w:tc>
        <w:tc>
          <w:tcPr>
            <w:tcW w:w="5812" w:type="dxa"/>
          </w:tcPr>
          <w:p w14:paraId="0F809CCD" w14:textId="71C93B14" w:rsidR="009C79AD" w:rsidRPr="00565A2A" w:rsidRDefault="009C79AD" w:rsidP="009C79AD">
            <w:pPr>
              <w:spacing w:before="120" w:after="120" w:line="360" w:lineRule="auto"/>
              <w:rPr>
                <w:rFonts w:ascii="Arial" w:hAnsi="Arial" w:cs="Arial"/>
              </w:rPr>
            </w:pPr>
            <w:r w:rsidRPr="00F14416">
              <w:rPr>
                <w:rFonts w:ascii="Arial" w:hAnsi="Arial" w:cs="Arial"/>
                <w:lang w:val="en-US"/>
              </w:rPr>
              <w:t>Đề xuất quy định một chương riêng về NVDR trong Nghị định hướng dẫn Luật chứng khoán.</w:t>
            </w:r>
          </w:p>
        </w:tc>
      </w:tr>
      <w:tr w:rsidR="009C79AD" w:rsidRPr="00565A2A" w14:paraId="6356B8E2" w14:textId="77777777" w:rsidTr="006421DC">
        <w:tc>
          <w:tcPr>
            <w:tcW w:w="1036" w:type="dxa"/>
          </w:tcPr>
          <w:p w14:paraId="3F104378" w14:textId="77777777" w:rsidR="009C79AD" w:rsidRPr="00565A2A" w:rsidRDefault="009C79AD" w:rsidP="009C79AD">
            <w:pPr>
              <w:pStyle w:val="ListParagraph"/>
              <w:numPr>
                <w:ilvl w:val="0"/>
                <w:numId w:val="1"/>
              </w:numPr>
              <w:spacing w:before="120" w:after="120" w:line="360" w:lineRule="auto"/>
              <w:rPr>
                <w:rFonts w:cs="Arial"/>
                <w:sz w:val="22"/>
                <w:szCs w:val="22"/>
              </w:rPr>
            </w:pPr>
          </w:p>
        </w:tc>
        <w:tc>
          <w:tcPr>
            <w:tcW w:w="1936" w:type="dxa"/>
          </w:tcPr>
          <w:p w14:paraId="1B1AD48D" w14:textId="77777777" w:rsidR="009C79AD" w:rsidRPr="00565A2A" w:rsidRDefault="009C79AD" w:rsidP="009C79AD">
            <w:pPr>
              <w:spacing w:before="120" w:after="120" w:line="360" w:lineRule="auto"/>
              <w:ind w:right="20"/>
              <w:rPr>
                <w:rFonts w:ascii="Arial" w:eastAsia="Times New Roman" w:hAnsi="Arial" w:cs="Arial"/>
                <w:b/>
                <w:bCs/>
              </w:rPr>
            </w:pPr>
            <w:r w:rsidRPr="00565A2A">
              <w:rPr>
                <w:rFonts w:ascii="Arial" w:eastAsia="Times New Roman" w:hAnsi="Arial" w:cs="Arial"/>
                <w:b/>
                <w:bCs/>
              </w:rPr>
              <w:t xml:space="preserve">Điều 134. Nghĩa vụ của tổ chức </w:t>
            </w:r>
            <w:r w:rsidRPr="00565A2A">
              <w:rPr>
                <w:rFonts w:ascii="Arial" w:eastAsia="Times New Roman" w:hAnsi="Arial" w:cs="Arial"/>
                <w:b/>
                <w:bCs/>
              </w:rPr>
              <w:lastRenderedPageBreak/>
              <w:t>kinh tế có vốn đầu tư nước ngoài khi đầu tư, giao dịch trên thị trường chứng khoán</w:t>
            </w:r>
          </w:p>
          <w:p w14:paraId="6DF91D5F" w14:textId="3E5D2493" w:rsidR="009C79AD" w:rsidRPr="00565A2A" w:rsidRDefault="009C79AD" w:rsidP="009C79AD">
            <w:pPr>
              <w:spacing w:before="120" w:after="120" w:line="360" w:lineRule="auto"/>
              <w:ind w:right="20"/>
              <w:rPr>
                <w:rFonts w:ascii="Arial" w:hAnsi="Arial" w:cs="Arial"/>
                <w:b/>
                <w:bCs/>
                <w:i/>
                <w:iCs/>
              </w:rPr>
            </w:pPr>
            <w:r w:rsidRPr="00565A2A">
              <w:rPr>
                <w:rFonts w:ascii="Arial" w:hAnsi="Arial" w:cs="Arial"/>
                <w:b/>
                <w:bCs/>
                <w:i/>
                <w:iCs/>
              </w:rPr>
              <w:t>Điểm a Khoản 1</w:t>
            </w:r>
          </w:p>
        </w:tc>
        <w:tc>
          <w:tcPr>
            <w:tcW w:w="5528" w:type="dxa"/>
          </w:tcPr>
          <w:p w14:paraId="436FC88D" w14:textId="35CF6B6B" w:rsidR="009C79AD" w:rsidRPr="0068398B" w:rsidRDefault="009C79AD" w:rsidP="009C79AD">
            <w:pPr>
              <w:spacing w:before="120" w:after="120" w:line="360" w:lineRule="auto"/>
              <w:jc w:val="both"/>
              <w:rPr>
                <w:rFonts w:ascii="Arial" w:hAnsi="Arial" w:cs="Arial"/>
              </w:rPr>
            </w:pPr>
            <w:r w:rsidRPr="0068398B">
              <w:rPr>
                <w:rFonts w:ascii="Arial" w:hAnsi="Arial" w:cs="Arial"/>
              </w:rPr>
              <w:lastRenderedPageBreak/>
              <w:t xml:space="preserve">Chúng tôi kiến nghị bổ sung 01 điều kiện để xem xét địa vị pháp lý của công ty đại chúng, tổ chức kinh doanh </w:t>
            </w:r>
            <w:r w:rsidRPr="0068398B">
              <w:rPr>
                <w:rFonts w:ascii="Arial" w:hAnsi="Arial" w:cs="Arial"/>
              </w:rPr>
              <w:lastRenderedPageBreak/>
              <w:t xml:space="preserve">chứng khoán và quỹ đầu tư chứng khoán, đó là việc có một nhà đầu tư nước ngoài và/hoặc người có liên quan của nhà đầu tư nước ngoài này nắm giữ từ 35% vốn điều lệ trở lên. </w:t>
            </w:r>
          </w:p>
          <w:p w14:paraId="60FD0E26" w14:textId="7F21E2C2" w:rsidR="009C79AD" w:rsidRPr="0068398B" w:rsidRDefault="009C79AD" w:rsidP="009C79AD">
            <w:pPr>
              <w:spacing w:before="120" w:after="120" w:line="360" w:lineRule="auto"/>
              <w:jc w:val="both"/>
              <w:rPr>
                <w:rFonts w:ascii="Arial" w:hAnsi="Arial" w:cs="Arial"/>
              </w:rPr>
            </w:pPr>
            <w:r w:rsidRPr="0068398B">
              <w:rPr>
                <w:rFonts w:ascii="Arial" w:hAnsi="Arial" w:cs="Arial"/>
              </w:rPr>
              <w:t xml:space="preserve">Nếu chỉ dựa trên tổng tỷ lệ sở hữu nước ngoài (&gt;51%) để quyết định địa vị pháp lý của một tổ chức kinh tế, sẽ có thể dẫn đến nhiều trường hợp các doanh nghiệp đại chúng/niêm yết, mặc dù không có sự chi phối, kiểm soát của bất kỳ nhà đầu tư nước ngoài nào trong công ty, vẫn phải tuân thủ quy định đầu tư, kinh doanh chặt chẽ hơn áp dụng đối với nhà đầu tư nước ngoài,. </w:t>
            </w:r>
          </w:p>
          <w:p w14:paraId="56AA32D2" w14:textId="5535DD52" w:rsidR="009C79AD" w:rsidRPr="0068398B" w:rsidRDefault="009C79AD" w:rsidP="009C79AD">
            <w:pPr>
              <w:spacing w:before="120" w:after="120" w:line="360" w:lineRule="auto"/>
              <w:jc w:val="both"/>
              <w:rPr>
                <w:rFonts w:ascii="Arial" w:hAnsi="Arial" w:cs="Arial"/>
              </w:rPr>
            </w:pPr>
            <w:r w:rsidRPr="0068398B">
              <w:rPr>
                <w:rFonts w:ascii="Arial" w:hAnsi="Arial" w:cs="Arial"/>
              </w:rPr>
              <w:t>Ngoài ra, quy định về sở hữu nước ngoài cần có những ngoại trừ hợp lý cho sự phát triển của thị trường, cụ thể bao gồm:</w:t>
            </w:r>
          </w:p>
          <w:p w14:paraId="0F1A2551" w14:textId="122AB2F0" w:rsidR="009C79AD" w:rsidRPr="0068398B" w:rsidRDefault="009C79AD" w:rsidP="009C79AD">
            <w:pPr>
              <w:pStyle w:val="ListParagraph"/>
              <w:numPr>
                <w:ilvl w:val="0"/>
                <w:numId w:val="46"/>
              </w:numPr>
              <w:spacing w:before="120" w:after="120" w:line="360" w:lineRule="auto"/>
              <w:rPr>
                <w:rFonts w:cs="Arial"/>
                <w:sz w:val="22"/>
                <w:szCs w:val="22"/>
              </w:rPr>
            </w:pPr>
            <w:r w:rsidRPr="0068398B">
              <w:rPr>
                <w:rFonts w:cs="Arial"/>
                <w:sz w:val="22"/>
                <w:szCs w:val="22"/>
              </w:rPr>
              <w:t>Quỹ mở;</w:t>
            </w:r>
          </w:p>
          <w:p w14:paraId="0B1F538B" w14:textId="5D0A9CCB" w:rsidR="009C79AD" w:rsidRPr="0068398B" w:rsidRDefault="009C79AD" w:rsidP="009C79AD">
            <w:pPr>
              <w:pStyle w:val="ListParagraph"/>
              <w:numPr>
                <w:ilvl w:val="0"/>
                <w:numId w:val="46"/>
              </w:numPr>
              <w:spacing w:before="120" w:after="120" w:line="360" w:lineRule="auto"/>
              <w:rPr>
                <w:rFonts w:cs="Arial"/>
                <w:sz w:val="22"/>
                <w:szCs w:val="22"/>
              </w:rPr>
            </w:pPr>
            <w:r w:rsidRPr="0068398B">
              <w:rPr>
                <w:rFonts w:cs="Arial"/>
                <w:sz w:val="22"/>
                <w:szCs w:val="22"/>
              </w:rPr>
              <w:t>Hoạt động quản lý danh mục đầu tư của công ty quản lý quỹ;</w:t>
            </w:r>
          </w:p>
          <w:p w14:paraId="08E8A9FF" w14:textId="540904F9" w:rsidR="009C79AD" w:rsidRPr="0068398B" w:rsidRDefault="009C79AD" w:rsidP="009C79AD">
            <w:pPr>
              <w:pStyle w:val="ListParagraph"/>
              <w:numPr>
                <w:ilvl w:val="0"/>
                <w:numId w:val="46"/>
              </w:numPr>
              <w:spacing w:before="120" w:after="120" w:line="360" w:lineRule="auto"/>
              <w:rPr>
                <w:rFonts w:cs="Arial"/>
                <w:sz w:val="22"/>
                <w:szCs w:val="22"/>
              </w:rPr>
            </w:pPr>
            <w:r w:rsidRPr="0068398B">
              <w:rPr>
                <w:rFonts w:cs="Arial"/>
                <w:sz w:val="22"/>
                <w:szCs w:val="22"/>
              </w:rPr>
              <w:t>Công ty chứng khoán là công ty niêm yết có một nhà đầu tư nước ngoài và/hoặc người có liên quan của nhà đầu tư nước ngoài này nắm giữ dưới 35% vốn điều lệ.</w:t>
            </w:r>
          </w:p>
        </w:tc>
        <w:tc>
          <w:tcPr>
            <w:tcW w:w="5812" w:type="dxa"/>
          </w:tcPr>
          <w:p w14:paraId="6BC839EE" w14:textId="77777777" w:rsidR="009C79AD" w:rsidRPr="00565A2A" w:rsidRDefault="009C79AD" w:rsidP="009C79AD">
            <w:pPr>
              <w:spacing w:before="120" w:after="120" w:line="360" w:lineRule="auto"/>
              <w:rPr>
                <w:rFonts w:ascii="Arial" w:hAnsi="Arial" w:cs="Arial"/>
                <w:bCs/>
              </w:rPr>
            </w:pPr>
            <w:r w:rsidRPr="00565A2A">
              <w:rPr>
                <w:rFonts w:ascii="Arial" w:hAnsi="Arial" w:cs="Arial"/>
              </w:rPr>
              <w:lastRenderedPageBreak/>
              <w:t>Đề nghị</w:t>
            </w:r>
            <w:r w:rsidRPr="00565A2A">
              <w:rPr>
                <w:rFonts w:ascii="Arial" w:hAnsi="Arial" w:cs="Arial"/>
                <w:b/>
              </w:rPr>
              <w:t xml:space="preserve"> </w:t>
            </w:r>
            <w:r w:rsidRPr="00565A2A">
              <w:rPr>
                <w:rFonts w:ascii="Arial" w:hAnsi="Arial" w:cs="Arial"/>
                <w:bCs/>
              </w:rPr>
              <w:t xml:space="preserve">sửa đổi </w:t>
            </w:r>
            <w:r w:rsidRPr="00565A2A">
              <w:rPr>
                <w:rFonts w:ascii="Arial" w:hAnsi="Arial" w:cs="Arial"/>
                <w:b/>
              </w:rPr>
              <w:t>điểm a Khoản 1 Điều 134 Nghị định</w:t>
            </w:r>
            <w:r w:rsidRPr="00565A2A">
              <w:rPr>
                <w:rFonts w:ascii="Arial" w:hAnsi="Arial" w:cs="Arial"/>
                <w:bCs/>
              </w:rPr>
              <w:t xml:space="preserve"> như sau:</w:t>
            </w:r>
          </w:p>
          <w:p w14:paraId="277BC15D" w14:textId="77BB4E3F" w:rsidR="009C79AD" w:rsidRPr="00565A2A" w:rsidRDefault="009C79AD" w:rsidP="009C79AD">
            <w:pPr>
              <w:spacing w:before="120" w:after="120" w:line="360" w:lineRule="auto"/>
              <w:rPr>
                <w:rFonts w:ascii="Arial" w:hAnsi="Arial" w:cs="Arial"/>
                <w:bCs/>
              </w:rPr>
            </w:pPr>
            <w:r w:rsidRPr="00565A2A">
              <w:rPr>
                <w:rFonts w:ascii="Arial" w:eastAsia="Times New Roman" w:hAnsi="Arial" w:cs="Arial"/>
              </w:rPr>
              <w:lastRenderedPageBreak/>
              <w:t>“1. Nghĩa vụ của công ty đại chúng, tổ chức kinh doanh chứng khoán, quỹ đầu tư chứng khoán khi đầu tư, giao dịch trên thị trường chứng khoán:</w:t>
            </w:r>
          </w:p>
          <w:p w14:paraId="0CFE5732" w14:textId="579B1709" w:rsidR="009C79AD" w:rsidRPr="00565A2A" w:rsidRDefault="009C79AD" w:rsidP="009C79AD">
            <w:pPr>
              <w:spacing w:before="120" w:after="120" w:line="360" w:lineRule="auto"/>
              <w:rPr>
                <w:rFonts w:ascii="Arial" w:eastAsia="Times New Roman" w:hAnsi="Arial" w:cs="Arial"/>
              </w:rPr>
            </w:pPr>
            <w:r w:rsidRPr="00565A2A">
              <w:rPr>
                <w:rFonts w:ascii="Arial" w:eastAsia="Times New Roman" w:hAnsi="Arial" w:cs="Arial"/>
              </w:rPr>
              <w:t xml:space="preserve">a) </w:t>
            </w:r>
            <w:r w:rsidRPr="00565A2A">
              <w:rPr>
                <w:rFonts w:ascii="Arial" w:eastAsia="Times New Roman" w:hAnsi="Arial" w:cs="Arial"/>
                <w:strike/>
              </w:rPr>
              <w:t>Ngoại trừ quỹ mở,</w:t>
            </w:r>
            <w:r w:rsidRPr="00565A2A">
              <w:rPr>
                <w:rFonts w:ascii="Arial" w:eastAsia="Times New Roman" w:hAnsi="Arial" w:cs="Arial"/>
              </w:rPr>
              <w:t xml:space="preserve"> Công ty đại chúng, tổ chức kinh doanh chứng khoán, quỹ đầu tư chứng khoán áp dụng điều kiện về tỷ lệ sở hữu nước ngoài, trình tự, thủ tục đầu tư trên thị trường chứng khoán như nhà đầu tư nước ngoài khi có </w:t>
            </w:r>
            <w:r w:rsidRPr="00565A2A">
              <w:rPr>
                <w:rFonts w:ascii="Arial" w:eastAsia="Times New Roman" w:hAnsi="Arial" w:cs="Arial"/>
                <w:strike/>
              </w:rPr>
              <w:t>nhà đầu tư nước ngoài</w:t>
            </w:r>
            <w:r w:rsidRPr="00565A2A">
              <w:rPr>
                <w:rFonts w:ascii="Arial" w:eastAsia="Times New Roman" w:hAnsi="Arial" w:cs="Arial"/>
              </w:rPr>
              <w:t xml:space="preserve"> tổng tỷ lệ sở hữu nước ngoài từ 51% vốn điều lệ trở lên trong ít nhất 180 ngày trong 01 năm dương lịch </w:t>
            </w:r>
            <w:r w:rsidRPr="00565A2A">
              <w:rPr>
                <w:rFonts w:ascii="Arial" w:eastAsia="Times New Roman" w:hAnsi="Arial" w:cs="Arial"/>
                <w:u w:val="single"/>
              </w:rPr>
              <w:t xml:space="preserve">và có </w:t>
            </w:r>
            <w:r w:rsidRPr="00565A2A">
              <w:rPr>
                <w:rFonts w:ascii="Arial" w:hAnsi="Arial" w:cs="Arial"/>
                <w:u w:val="single"/>
              </w:rPr>
              <w:t>một nhà đầu tư nước ngoài và/hoặc người có liên quan của nhà đầu tư nước ngoài này nắm giữ từ 35% vốn điều lệ trở lên</w:t>
            </w:r>
            <w:r w:rsidRPr="00565A2A">
              <w:rPr>
                <w:rFonts w:ascii="Arial" w:eastAsia="Times New Roman" w:hAnsi="Arial" w:cs="Arial"/>
              </w:rPr>
              <w:t>.</w:t>
            </w:r>
          </w:p>
          <w:p w14:paraId="60CE3F13" w14:textId="1780BBCC" w:rsidR="009C79AD" w:rsidRPr="00565A2A" w:rsidRDefault="009C79AD" w:rsidP="009C79AD">
            <w:pPr>
              <w:spacing w:before="120" w:after="120" w:line="360" w:lineRule="auto"/>
              <w:rPr>
                <w:rFonts w:ascii="Arial" w:hAnsi="Arial" w:cs="Arial"/>
              </w:rPr>
            </w:pPr>
            <w:r w:rsidRPr="00565A2A">
              <w:rPr>
                <w:rFonts w:ascii="Arial" w:hAnsi="Arial" w:cs="Arial"/>
                <w:u w:val="single"/>
              </w:rPr>
              <w:t>Quy định tại điểm a khoản này không áp dụng đối với quỹ mở, hoạt động quản lý danh mục đầu tư của công ty quản lý quỹ, công ty chứng khoán là công ty niêm yết có một nhà đầu tư nước ngoài và/hoặc người có liên quan của nhà đầu tư nước ngoài này nắm giữ dưới 35% vốn điều lệ.</w:t>
            </w:r>
            <w:r w:rsidRPr="00565A2A">
              <w:rPr>
                <w:rFonts w:ascii="Arial" w:hAnsi="Arial" w:cs="Arial"/>
              </w:rPr>
              <w:t>”</w:t>
            </w:r>
          </w:p>
        </w:tc>
      </w:tr>
      <w:tr w:rsidR="009C79AD" w:rsidRPr="00565A2A" w14:paraId="0E2793E5" w14:textId="77777777" w:rsidTr="006421DC">
        <w:tc>
          <w:tcPr>
            <w:tcW w:w="1036" w:type="dxa"/>
          </w:tcPr>
          <w:p w14:paraId="389DF0D9" w14:textId="77777777" w:rsidR="009C79AD" w:rsidRPr="00565A2A" w:rsidRDefault="009C79AD" w:rsidP="009C79AD">
            <w:pPr>
              <w:pStyle w:val="ListParagraph"/>
              <w:numPr>
                <w:ilvl w:val="0"/>
                <w:numId w:val="1"/>
              </w:numPr>
              <w:spacing w:before="120" w:after="120" w:line="360" w:lineRule="auto"/>
              <w:rPr>
                <w:rFonts w:cs="Arial"/>
                <w:sz w:val="22"/>
                <w:szCs w:val="22"/>
              </w:rPr>
            </w:pPr>
          </w:p>
        </w:tc>
        <w:tc>
          <w:tcPr>
            <w:tcW w:w="1936" w:type="dxa"/>
          </w:tcPr>
          <w:p w14:paraId="1E2D7C8A" w14:textId="5116B3BE" w:rsidR="009C79AD" w:rsidRPr="00565A2A" w:rsidRDefault="009C79AD" w:rsidP="009C79AD">
            <w:pPr>
              <w:spacing w:before="120" w:after="120" w:line="360" w:lineRule="auto"/>
              <w:rPr>
                <w:rFonts w:ascii="Arial" w:hAnsi="Arial" w:cs="Arial"/>
              </w:rPr>
            </w:pPr>
            <w:r w:rsidRPr="00AF253C">
              <w:rPr>
                <w:rFonts w:ascii="Arial" w:hAnsi="Arial" w:cs="Arial"/>
                <w:b/>
                <w:bCs/>
              </w:rPr>
              <w:t>Điều 137 + Điều 144</w:t>
            </w:r>
          </w:p>
        </w:tc>
        <w:tc>
          <w:tcPr>
            <w:tcW w:w="5528" w:type="dxa"/>
          </w:tcPr>
          <w:p w14:paraId="3892E791" w14:textId="77777777" w:rsidR="009C79AD" w:rsidRPr="0068398B" w:rsidRDefault="009C79AD" w:rsidP="009C79AD">
            <w:pPr>
              <w:spacing w:before="120" w:after="120" w:line="360" w:lineRule="auto"/>
              <w:rPr>
                <w:rFonts w:ascii="Arial" w:hAnsi="Arial" w:cs="Arial"/>
                <w:lang w:val="vi-VN"/>
              </w:rPr>
            </w:pPr>
            <w:r w:rsidRPr="0068398B">
              <w:rPr>
                <w:rFonts w:ascii="Arial" w:hAnsi="Arial" w:cs="Arial"/>
              </w:rPr>
              <w:t>Đăng ký chứng khoán, bù trừ và thanh toán giao dịch chứng khoán</w:t>
            </w:r>
            <w:r w:rsidRPr="0068398B">
              <w:rPr>
                <w:rFonts w:ascii="Arial" w:hAnsi="Arial" w:cs="Arial"/>
                <w:lang w:val="vi-VN"/>
              </w:rPr>
              <w:t xml:space="preserve"> (CCP)</w:t>
            </w:r>
          </w:p>
          <w:p w14:paraId="520F8D74" w14:textId="02EF7CC9" w:rsidR="009C79AD" w:rsidRPr="0068398B" w:rsidRDefault="009C79AD" w:rsidP="009C79AD">
            <w:pPr>
              <w:spacing w:before="120" w:after="120" w:line="360" w:lineRule="auto"/>
              <w:rPr>
                <w:rFonts w:ascii="Arial" w:hAnsi="Arial" w:cs="Arial"/>
                <w:lang w:val="vi-VN"/>
              </w:rPr>
            </w:pPr>
          </w:p>
        </w:tc>
        <w:tc>
          <w:tcPr>
            <w:tcW w:w="5812" w:type="dxa"/>
          </w:tcPr>
          <w:p w14:paraId="33461CDA" w14:textId="5833B9B0" w:rsidR="009C79AD" w:rsidRDefault="009C79AD" w:rsidP="009C79AD">
            <w:pPr>
              <w:spacing w:before="240" w:after="240" w:line="240" w:lineRule="auto"/>
              <w:ind w:right="-57"/>
              <w:jc w:val="both"/>
              <w:rPr>
                <w:rFonts w:ascii="Arial" w:hAnsi="Arial" w:cs="Arial"/>
              </w:rPr>
            </w:pPr>
            <w:r>
              <w:rPr>
                <w:rFonts w:ascii="Arial" w:hAnsi="Arial" w:cs="Arial"/>
                <w:lang w:val="vi-VN"/>
              </w:rPr>
              <w:t>Để thu hút nhà đầu tư nước ngoài, c</w:t>
            </w:r>
            <w:r>
              <w:rPr>
                <w:rFonts w:ascii="Arial" w:hAnsi="Arial" w:cs="Arial"/>
              </w:rPr>
              <w:t>húng tôi đề xuất có giải pháp và lộ trình cho việc xóa bỏ yêu cầu nhà đầu tư phải đảm bảo có đủ tiền và chứng khoán trước khi đặt lệnh giao dịch, đồng thời vẫn duy trì an toàn giao dịch cho thị trường.</w:t>
            </w:r>
          </w:p>
          <w:p w14:paraId="41ACFE7E" w14:textId="42F77EFA" w:rsidR="009C79AD" w:rsidRPr="00AF253C" w:rsidRDefault="009C79AD" w:rsidP="009C79AD">
            <w:pPr>
              <w:spacing w:before="120" w:after="120" w:line="360" w:lineRule="auto"/>
              <w:rPr>
                <w:rFonts w:ascii="Arial" w:hAnsi="Arial" w:cs="Arial"/>
                <w:lang w:val="vi-VN"/>
              </w:rPr>
            </w:pPr>
            <w:r>
              <w:rPr>
                <w:rFonts w:ascii="Arial" w:hAnsi="Arial" w:cs="Arial"/>
              </w:rPr>
              <w:t xml:space="preserve">Đề nghị ghi nhận bảo lãnh thanh toán của Công ty chứng khoán/Ngân hàng lưu ký, </w:t>
            </w:r>
            <w:r>
              <w:rPr>
                <w:rFonts w:ascii="Arial" w:hAnsi="Arial" w:cs="Arial"/>
                <w:lang w:val="vi-VN"/>
              </w:rPr>
              <w:t>đây không được xem thanh toán đầu tư dài hạn mà biện pháp hỗ trợ thanh toán tạm thời trong giao dịch chứng khoán.</w:t>
            </w:r>
          </w:p>
          <w:p w14:paraId="39B27462" w14:textId="5E12DD1D" w:rsidR="009C79AD" w:rsidRPr="00565A2A" w:rsidRDefault="009C79AD" w:rsidP="009C79AD">
            <w:pPr>
              <w:spacing w:before="120" w:after="120" w:line="360" w:lineRule="auto"/>
              <w:rPr>
                <w:rFonts w:ascii="Arial" w:hAnsi="Arial" w:cs="Arial"/>
              </w:rPr>
            </w:pPr>
            <w:r>
              <w:rPr>
                <w:rFonts w:ascii="Arial" w:hAnsi="Arial" w:cs="Arial"/>
                <w:lang w:val="vi-VN"/>
              </w:rPr>
              <w:t>T</w:t>
            </w:r>
            <w:r>
              <w:rPr>
                <w:rFonts w:ascii="Arial" w:hAnsi="Arial" w:cs="Arial"/>
              </w:rPr>
              <w:t xml:space="preserve">rường hợp nhà đầu tư không </w:t>
            </w:r>
            <w:r>
              <w:rPr>
                <w:rFonts w:ascii="Arial" w:hAnsi="Arial" w:cs="Arial"/>
                <w:lang w:val="vi-VN"/>
              </w:rPr>
              <w:t xml:space="preserve">thực hiện </w:t>
            </w:r>
            <w:r>
              <w:rPr>
                <w:rFonts w:ascii="Arial" w:hAnsi="Arial" w:cs="Arial"/>
              </w:rPr>
              <w:t>thanh toán thì Thành viên bù trừ sẽ cho vay bắt buộc để thanh toán đủ tiền cho giao dịch chứng khoán.</w:t>
            </w:r>
          </w:p>
        </w:tc>
      </w:tr>
      <w:tr w:rsidR="009C79AD" w:rsidRPr="00565A2A" w14:paraId="0948F97E" w14:textId="77777777" w:rsidTr="006421DC">
        <w:tc>
          <w:tcPr>
            <w:tcW w:w="1036" w:type="dxa"/>
          </w:tcPr>
          <w:p w14:paraId="1FE5A103" w14:textId="77777777" w:rsidR="009C79AD" w:rsidRPr="00565A2A" w:rsidRDefault="009C79AD" w:rsidP="009C79AD">
            <w:pPr>
              <w:pStyle w:val="ListParagraph"/>
              <w:numPr>
                <w:ilvl w:val="0"/>
                <w:numId w:val="1"/>
              </w:numPr>
              <w:spacing w:before="120" w:after="120" w:line="360" w:lineRule="auto"/>
              <w:rPr>
                <w:rFonts w:cs="Arial"/>
                <w:sz w:val="22"/>
                <w:szCs w:val="22"/>
              </w:rPr>
            </w:pPr>
          </w:p>
        </w:tc>
        <w:tc>
          <w:tcPr>
            <w:tcW w:w="1936" w:type="dxa"/>
          </w:tcPr>
          <w:p w14:paraId="068FA478" w14:textId="4FA5562D" w:rsidR="009C79AD" w:rsidRPr="00565A2A" w:rsidRDefault="009C79AD" w:rsidP="009C79AD">
            <w:pPr>
              <w:spacing w:before="120" w:after="120" w:line="360" w:lineRule="auto"/>
              <w:rPr>
                <w:rFonts w:ascii="Arial" w:hAnsi="Arial" w:cs="Arial"/>
              </w:rPr>
            </w:pPr>
            <w:r w:rsidRPr="00565A2A">
              <w:rPr>
                <w:rFonts w:ascii="Arial" w:eastAsia="Times New Roman" w:hAnsi="Arial" w:cs="Arial"/>
                <w:b/>
                <w:bCs/>
              </w:rPr>
              <w:t>Điều 138. Điều kiện cung cấp dịch vụ bù trừ, thanh toán giao dịch chứng khoán</w:t>
            </w:r>
          </w:p>
          <w:p w14:paraId="475EA510" w14:textId="239ACC72" w:rsidR="009C79AD" w:rsidRPr="00565A2A" w:rsidRDefault="009C79AD" w:rsidP="009C79AD">
            <w:pPr>
              <w:spacing w:before="120" w:after="120" w:line="360" w:lineRule="auto"/>
              <w:rPr>
                <w:rFonts w:ascii="Arial" w:hAnsi="Arial" w:cs="Arial"/>
                <w:b/>
                <w:bCs/>
                <w:i/>
                <w:iCs/>
              </w:rPr>
            </w:pPr>
            <w:r w:rsidRPr="00565A2A">
              <w:rPr>
                <w:rFonts w:ascii="Arial" w:hAnsi="Arial" w:cs="Arial"/>
                <w:b/>
                <w:bCs/>
                <w:i/>
                <w:iCs/>
              </w:rPr>
              <w:t>Điểm a Khoản 3</w:t>
            </w:r>
          </w:p>
        </w:tc>
        <w:tc>
          <w:tcPr>
            <w:tcW w:w="5528" w:type="dxa"/>
          </w:tcPr>
          <w:p w14:paraId="14EF40C4" w14:textId="09A139BA" w:rsidR="009C79AD" w:rsidRPr="0068398B" w:rsidRDefault="009C79AD" w:rsidP="009C79AD">
            <w:pPr>
              <w:spacing w:before="120" w:after="120" w:line="360" w:lineRule="auto"/>
              <w:rPr>
                <w:rFonts w:ascii="Arial" w:hAnsi="Arial" w:cs="Arial"/>
              </w:rPr>
            </w:pPr>
            <w:r w:rsidRPr="0068398B">
              <w:rPr>
                <w:rFonts w:ascii="Arial" w:hAnsi="Arial" w:cs="Arial"/>
              </w:rPr>
              <w:t>Đối với dịch vụ bù trừ, thanh toán giao dịch chứng khoán, chúng tôi kiến nghị hệ số nợ trên vốn chủ sở hữu trên báo cáo tài chính là 03 (ba) lần. Điều này phù hợp với thực tiễn hoạt động của các công ty chứng khoán và Điều 189 Dự thảo Nghị định (liên quan đến dịch vụ cho khách hàng vay tiền mua chứng khoán, ứng trước tiền bán chứng khoán).</w:t>
            </w:r>
          </w:p>
        </w:tc>
        <w:tc>
          <w:tcPr>
            <w:tcW w:w="5812" w:type="dxa"/>
          </w:tcPr>
          <w:p w14:paraId="14188EBE" w14:textId="6F83F1AD" w:rsidR="009C79AD" w:rsidRPr="00565A2A" w:rsidRDefault="009C79AD" w:rsidP="009C79AD">
            <w:pPr>
              <w:spacing w:before="120" w:after="120" w:line="360" w:lineRule="auto"/>
              <w:rPr>
                <w:rFonts w:ascii="Arial" w:hAnsi="Arial" w:cs="Arial"/>
                <w:bCs/>
              </w:rPr>
            </w:pPr>
            <w:r w:rsidRPr="00565A2A">
              <w:rPr>
                <w:rFonts w:ascii="Arial" w:hAnsi="Arial" w:cs="Arial"/>
              </w:rPr>
              <w:t>Đề nghị</w:t>
            </w:r>
            <w:r w:rsidRPr="00565A2A">
              <w:rPr>
                <w:rFonts w:ascii="Arial" w:hAnsi="Arial" w:cs="Arial"/>
                <w:b/>
              </w:rPr>
              <w:t xml:space="preserve"> </w:t>
            </w:r>
            <w:r w:rsidRPr="00565A2A">
              <w:rPr>
                <w:rFonts w:ascii="Arial" w:hAnsi="Arial" w:cs="Arial"/>
                <w:bCs/>
              </w:rPr>
              <w:t xml:space="preserve">sửa đổi </w:t>
            </w:r>
            <w:r w:rsidRPr="00565A2A">
              <w:rPr>
                <w:rFonts w:ascii="Arial" w:hAnsi="Arial" w:cs="Arial"/>
                <w:b/>
              </w:rPr>
              <w:t>điểm a Khoản 3 Điều 138 Nghị định</w:t>
            </w:r>
            <w:r w:rsidRPr="00565A2A">
              <w:rPr>
                <w:rFonts w:ascii="Arial" w:hAnsi="Arial" w:cs="Arial"/>
                <w:bCs/>
              </w:rPr>
              <w:t xml:space="preserve"> như sau:</w:t>
            </w:r>
          </w:p>
          <w:p w14:paraId="5B35D59E" w14:textId="76D97DAD" w:rsidR="009C79AD" w:rsidRPr="00565A2A" w:rsidRDefault="009C79AD" w:rsidP="009C79AD">
            <w:pPr>
              <w:spacing w:line="360" w:lineRule="auto"/>
              <w:rPr>
                <w:rFonts w:ascii="Arial" w:hAnsi="Arial" w:cs="Arial"/>
              </w:rPr>
            </w:pPr>
            <w:r w:rsidRPr="00565A2A">
              <w:rPr>
                <w:rFonts w:ascii="Arial" w:hAnsi="Arial" w:cs="Arial"/>
              </w:rPr>
              <w:t xml:space="preserve">“3. </w:t>
            </w:r>
            <w:r w:rsidRPr="00565A2A">
              <w:rPr>
                <w:rFonts w:ascii="Arial" w:eastAsia="Times New Roman" w:hAnsi="Arial" w:cs="Arial"/>
              </w:rPr>
              <w:t>Đáp ứng tỷ lệ an toàn tài chính như sau:</w:t>
            </w:r>
          </w:p>
          <w:p w14:paraId="39944C89" w14:textId="1EAF2E2B" w:rsidR="009C79AD" w:rsidRPr="00565A2A" w:rsidRDefault="009C79AD" w:rsidP="009C79AD">
            <w:pPr>
              <w:tabs>
                <w:tab w:val="left" w:pos="1258"/>
              </w:tabs>
              <w:spacing w:after="0" w:line="360" w:lineRule="auto"/>
              <w:ind w:right="20"/>
              <w:jc w:val="both"/>
              <w:rPr>
                <w:rFonts w:ascii="Arial" w:eastAsia="Times New Roman" w:hAnsi="Arial" w:cs="Arial"/>
              </w:rPr>
            </w:pPr>
            <w:r w:rsidRPr="00565A2A">
              <w:rPr>
                <w:rFonts w:ascii="Arial" w:eastAsia="Times New Roman" w:hAnsi="Arial" w:cs="Arial"/>
              </w:rPr>
              <w:t xml:space="preserve">a) Đối với công ty chứng khoán: trích lập đầy đủ các khoản dự phòng theo quy định, hệ số nợ trên vốn chủ sở hữu trên báo cáo tài chính năm gần nhất không quá </w:t>
            </w:r>
            <w:r w:rsidRPr="00565A2A">
              <w:rPr>
                <w:rFonts w:ascii="Arial" w:eastAsia="Times New Roman" w:hAnsi="Arial" w:cs="Arial"/>
                <w:strike/>
              </w:rPr>
              <w:t>5</w:t>
            </w:r>
            <w:r w:rsidRPr="00565A2A">
              <w:rPr>
                <w:rFonts w:ascii="Arial" w:eastAsia="Times New Roman" w:hAnsi="Arial" w:cs="Arial"/>
              </w:rPr>
              <w:t xml:space="preserve"> </w:t>
            </w:r>
            <w:r w:rsidRPr="00565A2A">
              <w:rPr>
                <w:rFonts w:ascii="Arial" w:eastAsia="Times New Roman" w:hAnsi="Arial" w:cs="Arial"/>
                <w:u w:val="single"/>
              </w:rPr>
              <w:t xml:space="preserve">03 (ba) </w:t>
            </w:r>
            <w:r w:rsidRPr="00565A2A">
              <w:rPr>
                <w:rFonts w:ascii="Arial" w:eastAsia="Times New Roman" w:hAnsi="Arial" w:cs="Arial"/>
              </w:rPr>
              <w:t>lần và tỷ lệ vốn khả dụng đạt tối thiểu 260% liên tục trong 12 tháng gần nhất trước tháng nộp hồ sơ đề nghị cấp Giấy chứng nhận đủ điều kiện cung cấp dịch vụ bù trừ, thanh toán giao dịch chứng khoán;”</w:t>
            </w:r>
          </w:p>
        </w:tc>
      </w:tr>
      <w:tr w:rsidR="009C79AD" w:rsidRPr="00565A2A" w14:paraId="3460B9AB" w14:textId="77777777" w:rsidTr="006421DC">
        <w:tc>
          <w:tcPr>
            <w:tcW w:w="1036" w:type="dxa"/>
          </w:tcPr>
          <w:p w14:paraId="2E3A4466" w14:textId="77777777" w:rsidR="009C79AD" w:rsidRPr="00565A2A" w:rsidRDefault="009C79AD" w:rsidP="009C79AD">
            <w:pPr>
              <w:pStyle w:val="ListParagraph"/>
              <w:numPr>
                <w:ilvl w:val="0"/>
                <w:numId w:val="1"/>
              </w:numPr>
              <w:spacing w:before="120" w:after="120" w:line="360" w:lineRule="auto"/>
              <w:rPr>
                <w:rFonts w:cs="Arial"/>
                <w:sz w:val="22"/>
                <w:szCs w:val="22"/>
              </w:rPr>
            </w:pPr>
          </w:p>
        </w:tc>
        <w:tc>
          <w:tcPr>
            <w:tcW w:w="1936" w:type="dxa"/>
          </w:tcPr>
          <w:p w14:paraId="7CF1BFF6" w14:textId="77777777" w:rsidR="009C79AD" w:rsidRPr="00565A2A" w:rsidRDefault="009C79AD" w:rsidP="009C79AD">
            <w:pPr>
              <w:spacing w:before="120" w:after="120" w:line="360" w:lineRule="auto"/>
              <w:rPr>
                <w:rFonts w:ascii="Arial" w:eastAsia="Times New Roman" w:hAnsi="Arial" w:cs="Arial"/>
                <w:b/>
                <w:bCs/>
              </w:rPr>
            </w:pPr>
            <w:r w:rsidRPr="00565A2A">
              <w:rPr>
                <w:rFonts w:ascii="Arial" w:eastAsia="Times New Roman" w:hAnsi="Arial" w:cs="Arial"/>
                <w:b/>
                <w:bCs/>
              </w:rPr>
              <w:t>Điều 159. Đối tượng, phạm vi và nguyên tắc thực hiện</w:t>
            </w:r>
          </w:p>
          <w:p w14:paraId="0C5EC67D" w14:textId="163949ED" w:rsidR="009C79AD" w:rsidRPr="00565A2A" w:rsidRDefault="009C79AD" w:rsidP="009C79AD">
            <w:pPr>
              <w:spacing w:before="120" w:after="120" w:line="360" w:lineRule="auto"/>
              <w:rPr>
                <w:rFonts w:ascii="Arial" w:hAnsi="Arial" w:cs="Arial"/>
                <w:b/>
                <w:bCs/>
                <w:i/>
                <w:iCs/>
              </w:rPr>
            </w:pPr>
            <w:r w:rsidRPr="00565A2A">
              <w:rPr>
                <w:rFonts w:ascii="Arial" w:hAnsi="Arial" w:cs="Arial"/>
                <w:b/>
                <w:bCs/>
                <w:i/>
                <w:iCs/>
              </w:rPr>
              <w:t>Điểm d Khoản 2 Điều 159</w:t>
            </w:r>
          </w:p>
        </w:tc>
        <w:tc>
          <w:tcPr>
            <w:tcW w:w="5528" w:type="dxa"/>
          </w:tcPr>
          <w:p w14:paraId="2AF15D30" w14:textId="3548F9A4" w:rsidR="009C79AD" w:rsidRPr="0068398B" w:rsidRDefault="009C79AD" w:rsidP="009C79AD">
            <w:pPr>
              <w:spacing w:before="120" w:after="120" w:line="360" w:lineRule="auto"/>
              <w:rPr>
                <w:rFonts w:ascii="Arial" w:hAnsi="Arial" w:cs="Arial"/>
              </w:rPr>
            </w:pPr>
            <w:r w:rsidRPr="0068398B">
              <w:rPr>
                <w:rFonts w:ascii="Arial" w:hAnsi="Arial" w:cs="Arial"/>
              </w:rPr>
              <w:t>Cần quy định rõ thời điểm xóa đăng ký biện pháp bảo đảm tại Tổng công ty lưu ký và bù trừ chứng khoán Việt Nam. Điều này giúp xác định rõ thời điểm chấm dứt biện pháp bảo đảm, tạo điều kiện cho bên bảo đảm xác lập và thực hiện quyền sở hữu đối với tài sản bảo đảm.</w:t>
            </w:r>
          </w:p>
        </w:tc>
        <w:tc>
          <w:tcPr>
            <w:tcW w:w="5812" w:type="dxa"/>
          </w:tcPr>
          <w:p w14:paraId="4029422D" w14:textId="1C6BB574" w:rsidR="009C79AD" w:rsidRPr="00565A2A" w:rsidRDefault="009C79AD" w:rsidP="009C79AD">
            <w:pPr>
              <w:spacing w:before="120" w:after="120" w:line="360" w:lineRule="auto"/>
              <w:rPr>
                <w:rFonts w:ascii="Arial" w:hAnsi="Arial" w:cs="Arial"/>
                <w:bCs/>
              </w:rPr>
            </w:pPr>
            <w:r w:rsidRPr="00565A2A">
              <w:rPr>
                <w:rFonts w:ascii="Arial" w:hAnsi="Arial" w:cs="Arial"/>
              </w:rPr>
              <w:t>Đề nghị</w:t>
            </w:r>
            <w:r w:rsidRPr="00565A2A">
              <w:rPr>
                <w:rFonts w:ascii="Arial" w:hAnsi="Arial" w:cs="Arial"/>
                <w:b/>
              </w:rPr>
              <w:t xml:space="preserve"> </w:t>
            </w:r>
            <w:r w:rsidRPr="00565A2A">
              <w:rPr>
                <w:rFonts w:ascii="Arial" w:hAnsi="Arial" w:cs="Arial"/>
                <w:bCs/>
              </w:rPr>
              <w:t xml:space="preserve">sửa đổi </w:t>
            </w:r>
            <w:r w:rsidRPr="00565A2A">
              <w:rPr>
                <w:rFonts w:ascii="Arial" w:hAnsi="Arial" w:cs="Arial"/>
                <w:b/>
              </w:rPr>
              <w:t>điểm d Khoản 2 Điều 159 Nghị định</w:t>
            </w:r>
            <w:r w:rsidRPr="00565A2A">
              <w:rPr>
                <w:rFonts w:ascii="Arial" w:hAnsi="Arial" w:cs="Arial"/>
                <w:bCs/>
              </w:rPr>
              <w:t xml:space="preserve"> như sau:</w:t>
            </w:r>
          </w:p>
          <w:p w14:paraId="0890C1A0" w14:textId="46A7B5BA" w:rsidR="009C79AD" w:rsidRPr="00565A2A" w:rsidRDefault="009C79AD" w:rsidP="009C79AD">
            <w:pPr>
              <w:spacing w:before="120" w:after="120" w:line="360" w:lineRule="auto"/>
              <w:rPr>
                <w:rFonts w:ascii="Arial" w:hAnsi="Arial" w:cs="Arial"/>
              </w:rPr>
            </w:pPr>
            <w:r w:rsidRPr="00565A2A">
              <w:rPr>
                <w:rFonts w:ascii="Arial" w:hAnsi="Arial" w:cs="Arial"/>
                <w:bCs/>
              </w:rPr>
              <w:t xml:space="preserve">“d) </w:t>
            </w:r>
            <w:r w:rsidRPr="00565A2A">
              <w:rPr>
                <w:rFonts w:ascii="Arial" w:eastAsia="Times New Roman" w:hAnsi="Arial" w:cs="Arial"/>
              </w:rPr>
              <w:t xml:space="preserve">Khi thực hiện xóa đăng ký biện pháp bảo đảm, Tổng công ty lưu ký và bù trừ chứng khoán Việt Nam thực hiện giải tỏa các chứng khoán đã đăng ký biện pháp bảo đảm. </w:t>
            </w:r>
            <w:r w:rsidRPr="00565A2A">
              <w:rPr>
                <w:rFonts w:ascii="Arial" w:hAnsi="Arial" w:cs="Arial"/>
                <w:u w:val="single"/>
              </w:rPr>
              <w:t xml:space="preserve">Thời điểm biện pháp bảo đảm hết hiệu lực là thời điểm </w:t>
            </w:r>
            <w:r w:rsidRPr="00565A2A">
              <w:rPr>
                <w:rFonts w:ascii="Arial" w:eastAsia="Times New Roman" w:hAnsi="Arial" w:cs="Arial"/>
                <w:u w:val="single"/>
              </w:rPr>
              <w:t>Tổng công ty lưu ký và bù trừ chứng khoán Việt Nam</w:t>
            </w:r>
            <w:r w:rsidRPr="00565A2A">
              <w:rPr>
                <w:rFonts w:ascii="Arial" w:hAnsi="Arial" w:cs="Arial"/>
                <w:u w:val="single"/>
              </w:rPr>
              <w:t xml:space="preserve"> ghi nhận việc xóa biện pháp bảo đảm khỏi sổ đăng ký.”</w:t>
            </w:r>
          </w:p>
        </w:tc>
      </w:tr>
      <w:tr w:rsidR="009C79AD" w:rsidRPr="00565A2A" w14:paraId="0BAE85B5" w14:textId="77777777" w:rsidTr="006421DC">
        <w:tc>
          <w:tcPr>
            <w:tcW w:w="1036" w:type="dxa"/>
          </w:tcPr>
          <w:p w14:paraId="3E3080C9" w14:textId="77777777" w:rsidR="009C79AD" w:rsidRPr="00565A2A" w:rsidRDefault="009C79AD" w:rsidP="009C79AD">
            <w:pPr>
              <w:pStyle w:val="ListParagraph"/>
              <w:numPr>
                <w:ilvl w:val="0"/>
                <w:numId w:val="1"/>
              </w:numPr>
              <w:spacing w:before="120" w:after="120" w:line="360" w:lineRule="auto"/>
              <w:rPr>
                <w:rFonts w:cs="Arial"/>
                <w:sz w:val="22"/>
                <w:szCs w:val="22"/>
              </w:rPr>
            </w:pPr>
          </w:p>
        </w:tc>
        <w:tc>
          <w:tcPr>
            <w:tcW w:w="1936" w:type="dxa"/>
          </w:tcPr>
          <w:p w14:paraId="22561E8B" w14:textId="77777777" w:rsidR="009C79AD" w:rsidRPr="00565A2A" w:rsidRDefault="009C79AD" w:rsidP="009C79AD">
            <w:pPr>
              <w:spacing w:before="120" w:after="120" w:line="360" w:lineRule="auto"/>
              <w:rPr>
                <w:rFonts w:ascii="Arial" w:hAnsi="Arial" w:cs="Arial"/>
              </w:rPr>
            </w:pPr>
            <w:r w:rsidRPr="00565A2A">
              <w:rPr>
                <w:rFonts w:ascii="Arial" w:eastAsia="Times New Roman" w:hAnsi="Arial" w:cs="Arial"/>
                <w:b/>
                <w:bCs/>
              </w:rPr>
              <w:t>Điều 160. Hồ sơ, thủ tục thực hiện đăng ký biện pháp bảo đảm</w:t>
            </w:r>
            <w:r w:rsidRPr="00565A2A">
              <w:rPr>
                <w:rFonts w:ascii="Arial" w:hAnsi="Arial" w:cs="Arial"/>
              </w:rPr>
              <w:t xml:space="preserve"> </w:t>
            </w:r>
          </w:p>
          <w:p w14:paraId="65C983DF" w14:textId="051439D5" w:rsidR="009C79AD" w:rsidRPr="00565A2A" w:rsidRDefault="009C79AD" w:rsidP="009C79AD">
            <w:pPr>
              <w:spacing w:before="120" w:after="120" w:line="360" w:lineRule="auto"/>
              <w:rPr>
                <w:rFonts w:ascii="Arial" w:hAnsi="Arial" w:cs="Arial"/>
                <w:b/>
                <w:bCs/>
                <w:i/>
                <w:iCs/>
              </w:rPr>
            </w:pPr>
            <w:r w:rsidRPr="00565A2A">
              <w:rPr>
                <w:rFonts w:ascii="Arial" w:hAnsi="Arial" w:cs="Arial"/>
                <w:b/>
                <w:bCs/>
                <w:i/>
                <w:iCs/>
              </w:rPr>
              <w:t>Khoản 5</w:t>
            </w:r>
          </w:p>
        </w:tc>
        <w:tc>
          <w:tcPr>
            <w:tcW w:w="5528" w:type="dxa"/>
          </w:tcPr>
          <w:p w14:paraId="0F5968B9" w14:textId="77777777" w:rsidR="009C79AD" w:rsidRPr="0068398B" w:rsidRDefault="009C79AD" w:rsidP="009C79AD">
            <w:pPr>
              <w:spacing w:before="120" w:after="120" w:line="360" w:lineRule="auto"/>
              <w:rPr>
                <w:rFonts w:ascii="Arial" w:hAnsi="Arial" w:cs="Arial"/>
              </w:rPr>
            </w:pPr>
            <w:r w:rsidRPr="0068398B">
              <w:rPr>
                <w:rFonts w:ascii="Arial" w:hAnsi="Arial" w:cs="Arial"/>
              </w:rPr>
              <w:t>Dự thảo Nghị định chưa quy định rõ về “hợp đồng cung cấp dịch vụ quản lý và xử lý tài sản bảo đảm với Tổng công ty lưu ký và bù trừ chứng khoán Việt Nam”. Đề nghị quy định rõ về loại hợp đồng này.</w:t>
            </w:r>
          </w:p>
          <w:p w14:paraId="7ED4EE94" w14:textId="74BD30E5" w:rsidR="009C79AD" w:rsidRPr="0068398B" w:rsidRDefault="009C79AD" w:rsidP="009C79AD">
            <w:pPr>
              <w:spacing w:before="120" w:after="120" w:line="360" w:lineRule="auto"/>
              <w:rPr>
                <w:rFonts w:ascii="Arial" w:hAnsi="Arial" w:cs="Arial"/>
              </w:rPr>
            </w:pPr>
            <w:r w:rsidRPr="0068398B">
              <w:rPr>
                <w:rFonts w:ascii="Arial" w:hAnsi="Arial" w:cs="Arial"/>
              </w:rPr>
              <w:t>Theo chúng tôi, để xóa bảo đảm theo yêu cầu của bên nhận bảo đảm thì các tài liệu quy định tại điểm a và b Khoản 5 Điều 160 Dự thảo Nghị định (phiếu yêu cầu xóa đăng ký và bảng kê chứng khoán đề nghị xóa đăng ký) là đủ và phù hợp.</w:t>
            </w:r>
          </w:p>
        </w:tc>
        <w:tc>
          <w:tcPr>
            <w:tcW w:w="5812" w:type="dxa"/>
          </w:tcPr>
          <w:p w14:paraId="7D74597F" w14:textId="740671C0" w:rsidR="009C79AD" w:rsidRPr="00565A2A" w:rsidRDefault="009C79AD" w:rsidP="009C79AD">
            <w:pPr>
              <w:spacing w:before="120" w:after="120" w:line="360" w:lineRule="auto"/>
              <w:rPr>
                <w:rFonts w:ascii="Arial" w:hAnsi="Arial" w:cs="Arial"/>
                <w:bCs/>
              </w:rPr>
            </w:pPr>
            <w:r w:rsidRPr="00565A2A">
              <w:rPr>
                <w:rFonts w:ascii="Arial" w:hAnsi="Arial" w:cs="Arial"/>
              </w:rPr>
              <w:t>Đề nghị</w:t>
            </w:r>
            <w:r w:rsidRPr="00565A2A">
              <w:rPr>
                <w:rFonts w:ascii="Arial" w:hAnsi="Arial" w:cs="Arial"/>
                <w:b/>
              </w:rPr>
              <w:t xml:space="preserve"> </w:t>
            </w:r>
            <w:r w:rsidRPr="00565A2A">
              <w:rPr>
                <w:rFonts w:ascii="Arial" w:hAnsi="Arial" w:cs="Arial"/>
                <w:bCs/>
              </w:rPr>
              <w:t xml:space="preserve">sửa đổi </w:t>
            </w:r>
            <w:r w:rsidRPr="00565A2A">
              <w:rPr>
                <w:rFonts w:ascii="Arial" w:hAnsi="Arial" w:cs="Arial"/>
                <w:b/>
              </w:rPr>
              <w:t>Khoản 5 Điều 160 Nghị định</w:t>
            </w:r>
            <w:r w:rsidRPr="00565A2A">
              <w:rPr>
                <w:rFonts w:ascii="Arial" w:hAnsi="Arial" w:cs="Arial"/>
                <w:bCs/>
              </w:rPr>
              <w:t xml:space="preserve"> như sau:</w:t>
            </w:r>
          </w:p>
          <w:p w14:paraId="5ED0C263" w14:textId="30FE0941" w:rsidR="009C79AD" w:rsidRPr="00565A2A" w:rsidRDefault="009C79AD" w:rsidP="009C79AD">
            <w:pPr>
              <w:tabs>
                <w:tab w:val="left" w:pos="1282"/>
              </w:tabs>
              <w:spacing w:after="0" w:line="360" w:lineRule="auto"/>
              <w:ind w:right="20"/>
              <w:jc w:val="both"/>
              <w:rPr>
                <w:rFonts w:ascii="Arial" w:eastAsia="Times New Roman" w:hAnsi="Arial" w:cs="Arial"/>
              </w:rPr>
            </w:pPr>
            <w:r w:rsidRPr="00565A2A">
              <w:rPr>
                <w:rFonts w:ascii="Arial" w:hAnsi="Arial" w:cs="Arial"/>
              </w:rPr>
              <w:t xml:space="preserve">“5. </w:t>
            </w:r>
            <w:r w:rsidRPr="00565A2A">
              <w:rPr>
                <w:rFonts w:ascii="Arial" w:eastAsia="Times New Roman" w:hAnsi="Arial" w:cs="Arial"/>
              </w:rPr>
              <w:t xml:space="preserve">Hồ sơ xóa đăng ký biện pháp bảo đảm trong trường hợp theo yêu cầu của bên nhận đảm bảo: </w:t>
            </w:r>
            <w:r w:rsidRPr="00565A2A">
              <w:rPr>
                <w:rFonts w:ascii="Arial" w:eastAsia="Times New Roman" w:hAnsi="Arial" w:cs="Arial"/>
                <w:strike/>
              </w:rPr>
              <w:t>và hai bên có ký hợp đồng cung cấp dịch vụ quản lý và xử lý tài sản đảm bảo với Tổng công ty lưu ký và bù trừ chứng khoán Việt Nam.</w:t>
            </w:r>
          </w:p>
          <w:p w14:paraId="630E0AB3" w14:textId="5B5547FD" w:rsidR="009C79AD" w:rsidRPr="00565A2A" w:rsidRDefault="009C79AD" w:rsidP="009C79AD">
            <w:pPr>
              <w:tabs>
                <w:tab w:val="left" w:pos="1299"/>
              </w:tabs>
              <w:spacing w:after="0" w:line="360" w:lineRule="auto"/>
              <w:jc w:val="both"/>
              <w:rPr>
                <w:rFonts w:ascii="Arial" w:eastAsia="Times New Roman" w:hAnsi="Arial" w:cs="Arial"/>
              </w:rPr>
            </w:pPr>
            <w:r w:rsidRPr="00565A2A">
              <w:rPr>
                <w:rFonts w:ascii="Arial" w:eastAsia="Times New Roman" w:hAnsi="Arial" w:cs="Arial"/>
              </w:rPr>
              <w:t xml:space="preserve">a) Phiếu yêu cầu xóa đăng ký biện pháp bảo đảm theo yêu cầu của bên nhận bảo đảm </w:t>
            </w:r>
            <w:r w:rsidRPr="00565A2A">
              <w:rPr>
                <w:rFonts w:ascii="Arial" w:eastAsia="Times New Roman" w:hAnsi="Arial" w:cs="Arial"/>
                <w:strike/>
              </w:rPr>
              <w:t>và hai bên có ký hợp đồng cung cấp dịch vụ quản lý và xử lý tài sản đảm bảo với Tổng công ty lưu ký và bù trừ chứng khoán Việt Nam</w:t>
            </w:r>
            <w:r w:rsidRPr="00565A2A">
              <w:rPr>
                <w:rFonts w:ascii="Arial" w:eastAsia="Times New Roman" w:hAnsi="Arial" w:cs="Arial"/>
              </w:rPr>
              <w:t xml:space="preserve"> theo Mẫu số 53 Phụ lục ban hành kèm theo Nghị định này;</w:t>
            </w:r>
          </w:p>
          <w:p w14:paraId="49D1AB89" w14:textId="7D082BC5" w:rsidR="009C79AD" w:rsidRPr="00565A2A" w:rsidRDefault="009C79AD" w:rsidP="009C79AD">
            <w:pPr>
              <w:tabs>
                <w:tab w:val="left" w:pos="1289"/>
              </w:tabs>
              <w:spacing w:after="0" w:line="360" w:lineRule="auto"/>
              <w:jc w:val="both"/>
              <w:rPr>
                <w:rFonts w:ascii="Arial" w:eastAsia="Times New Roman" w:hAnsi="Arial" w:cs="Arial"/>
              </w:rPr>
            </w:pPr>
            <w:r w:rsidRPr="00565A2A">
              <w:rPr>
                <w:rFonts w:ascii="Arial" w:eastAsia="Times New Roman" w:hAnsi="Arial" w:cs="Arial"/>
              </w:rPr>
              <w:t xml:space="preserve">b) Bảng kê các chứng khoán đề nghị xóa đăng ký biện pháp bảo đảm theo yêu cầu của bên nhận bảo đảm </w:t>
            </w:r>
            <w:r w:rsidRPr="00565A2A">
              <w:rPr>
                <w:rFonts w:ascii="Arial" w:eastAsia="Times New Roman" w:hAnsi="Arial" w:cs="Arial"/>
                <w:strike/>
              </w:rPr>
              <w:t xml:space="preserve">và hai </w:t>
            </w:r>
            <w:r w:rsidRPr="00565A2A">
              <w:rPr>
                <w:rFonts w:ascii="Arial" w:eastAsia="Times New Roman" w:hAnsi="Arial" w:cs="Arial"/>
                <w:strike/>
              </w:rPr>
              <w:lastRenderedPageBreak/>
              <w:t>bên có ký hợp đồng cung cấp dịch vụ quản lý và xử lý tài sản đảm bảo với Tổng công ty lưu ký và bù trừ chứng khoán Việt Nam</w:t>
            </w:r>
            <w:r w:rsidRPr="00565A2A">
              <w:rPr>
                <w:rFonts w:ascii="Arial" w:eastAsia="Times New Roman" w:hAnsi="Arial" w:cs="Arial"/>
              </w:rPr>
              <w:t xml:space="preserve"> theo Mẫu số 54 Phụ lục ban hành kèm theo Nghị định này.”</w:t>
            </w:r>
          </w:p>
        </w:tc>
      </w:tr>
      <w:tr w:rsidR="009C79AD" w:rsidRPr="00565A2A" w14:paraId="19267E25" w14:textId="77777777" w:rsidTr="006421DC">
        <w:tc>
          <w:tcPr>
            <w:tcW w:w="1036" w:type="dxa"/>
          </w:tcPr>
          <w:p w14:paraId="4DD3D42E" w14:textId="77777777" w:rsidR="009C79AD" w:rsidRPr="00565A2A" w:rsidRDefault="009C79AD" w:rsidP="009C79AD">
            <w:pPr>
              <w:pStyle w:val="ListParagraph"/>
              <w:numPr>
                <w:ilvl w:val="0"/>
                <w:numId w:val="1"/>
              </w:numPr>
              <w:spacing w:before="120" w:after="120" w:line="360" w:lineRule="auto"/>
              <w:rPr>
                <w:rFonts w:cs="Arial"/>
                <w:sz w:val="22"/>
                <w:szCs w:val="22"/>
              </w:rPr>
            </w:pPr>
          </w:p>
        </w:tc>
        <w:tc>
          <w:tcPr>
            <w:tcW w:w="1936" w:type="dxa"/>
          </w:tcPr>
          <w:p w14:paraId="527FC7A5" w14:textId="421FEB61" w:rsidR="009C79AD" w:rsidRPr="00565A2A" w:rsidRDefault="009C79AD" w:rsidP="009C79AD">
            <w:pPr>
              <w:spacing w:before="120" w:after="120" w:line="360" w:lineRule="auto"/>
              <w:rPr>
                <w:rFonts w:ascii="Arial" w:hAnsi="Arial" w:cs="Arial"/>
              </w:rPr>
            </w:pPr>
            <w:r w:rsidRPr="00565A2A">
              <w:rPr>
                <w:rFonts w:ascii="Arial" w:eastAsia="Times New Roman" w:hAnsi="Arial" w:cs="Arial"/>
                <w:b/>
                <w:bCs/>
              </w:rPr>
              <w:t>Điều 162. Xử lý tài sản đảm bảo là chứng khoán đã đăng ký biện pháp bảo đảm</w:t>
            </w:r>
          </w:p>
        </w:tc>
        <w:tc>
          <w:tcPr>
            <w:tcW w:w="5528" w:type="dxa"/>
          </w:tcPr>
          <w:p w14:paraId="0B1AE41B" w14:textId="7D497D33" w:rsidR="009C79AD" w:rsidRPr="0068398B" w:rsidRDefault="009C79AD" w:rsidP="009C79AD">
            <w:pPr>
              <w:spacing w:before="120" w:after="120" w:line="360" w:lineRule="auto"/>
              <w:rPr>
                <w:rFonts w:ascii="Arial" w:hAnsi="Arial" w:cs="Arial"/>
              </w:rPr>
            </w:pPr>
            <w:r w:rsidRPr="0068398B">
              <w:rPr>
                <w:rFonts w:ascii="Arial" w:hAnsi="Arial" w:cs="Arial"/>
              </w:rPr>
              <w:t>Việc xử lý tài sản bảo đảm là chứng khoán cần có sự phối hợp giữa Bộ Tài chính, Ủy ban Chứng khoán Nhà nước, Sở giao dịch chứng khoán, Tổng công ty lưu ký và bù trừ chứng khoán, Ngân hàng Nhà nước và Bộ Tư pháp.</w:t>
            </w:r>
          </w:p>
        </w:tc>
        <w:tc>
          <w:tcPr>
            <w:tcW w:w="5812" w:type="dxa"/>
          </w:tcPr>
          <w:p w14:paraId="05B883A9" w14:textId="77777777" w:rsidR="009C79AD" w:rsidRPr="00565A2A" w:rsidRDefault="009C79AD" w:rsidP="009C79AD">
            <w:pPr>
              <w:spacing w:before="120" w:after="120" w:line="360" w:lineRule="auto"/>
              <w:rPr>
                <w:rFonts w:ascii="Arial" w:hAnsi="Arial" w:cs="Arial"/>
              </w:rPr>
            </w:pPr>
            <w:r w:rsidRPr="00565A2A">
              <w:rPr>
                <w:rFonts w:ascii="Arial" w:hAnsi="Arial" w:cs="Arial"/>
              </w:rPr>
              <w:t>Đề nghị ban hành Thông tư liên tịch của Bộ tài chính, Bộ Tư pháp và Ngân hàng Nhà nước về  xử lý tài sản bảo đảm là chứng khoán.</w:t>
            </w:r>
          </w:p>
          <w:p w14:paraId="21AD8726" w14:textId="2F485A2F" w:rsidR="009C79AD" w:rsidRPr="00565A2A" w:rsidRDefault="009C79AD" w:rsidP="009C79AD">
            <w:pPr>
              <w:spacing w:before="120" w:after="120" w:line="360" w:lineRule="auto"/>
              <w:rPr>
                <w:rFonts w:ascii="Arial" w:hAnsi="Arial" w:cs="Arial"/>
              </w:rPr>
            </w:pPr>
          </w:p>
        </w:tc>
      </w:tr>
      <w:tr w:rsidR="009C79AD" w:rsidRPr="00565A2A" w14:paraId="07CB6AB9" w14:textId="77777777" w:rsidTr="006421DC">
        <w:tc>
          <w:tcPr>
            <w:tcW w:w="1036" w:type="dxa"/>
          </w:tcPr>
          <w:p w14:paraId="1AEAB81F" w14:textId="77777777" w:rsidR="009C79AD" w:rsidRPr="00565A2A" w:rsidRDefault="009C79AD" w:rsidP="009C79AD">
            <w:pPr>
              <w:pStyle w:val="ListParagraph"/>
              <w:numPr>
                <w:ilvl w:val="0"/>
                <w:numId w:val="1"/>
              </w:numPr>
              <w:spacing w:before="120" w:after="120" w:line="360" w:lineRule="auto"/>
              <w:rPr>
                <w:rFonts w:cs="Arial"/>
                <w:sz w:val="22"/>
                <w:szCs w:val="22"/>
              </w:rPr>
            </w:pPr>
          </w:p>
        </w:tc>
        <w:tc>
          <w:tcPr>
            <w:tcW w:w="1936" w:type="dxa"/>
          </w:tcPr>
          <w:p w14:paraId="0F206ED7" w14:textId="7B7B122F" w:rsidR="009C79AD" w:rsidRPr="00565A2A" w:rsidRDefault="009C79AD" w:rsidP="009C79AD">
            <w:pPr>
              <w:spacing w:before="120" w:after="120" w:line="360" w:lineRule="auto"/>
              <w:rPr>
                <w:rFonts w:ascii="Arial" w:hAnsi="Arial" w:cs="Arial"/>
              </w:rPr>
            </w:pPr>
            <w:r w:rsidRPr="00565A2A">
              <w:rPr>
                <w:rFonts w:ascii="Arial" w:eastAsia="Times New Roman" w:hAnsi="Arial" w:cs="Arial"/>
                <w:b/>
                <w:bCs/>
              </w:rPr>
              <w:t>Điều 165. Vốn điều lệ tối thiểu của công ty chứng khoán, công ty quản lý quỹ</w:t>
            </w:r>
          </w:p>
          <w:p w14:paraId="39A62C18" w14:textId="1B22964E" w:rsidR="009C79AD" w:rsidRPr="00565A2A" w:rsidRDefault="009C79AD" w:rsidP="009C79AD">
            <w:pPr>
              <w:spacing w:before="120" w:after="120" w:line="360" w:lineRule="auto"/>
              <w:rPr>
                <w:rFonts w:ascii="Arial" w:hAnsi="Arial" w:cs="Arial"/>
                <w:b/>
                <w:bCs/>
                <w:i/>
                <w:iCs/>
              </w:rPr>
            </w:pPr>
            <w:r w:rsidRPr="00565A2A">
              <w:rPr>
                <w:rFonts w:ascii="Arial" w:hAnsi="Arial" w:cs="Arial"/>
                <w:b/>
                <w:bCs/>
                <w:i/>
                <w:iCs/>
              </w:rPr>
              <w:t>Khoản 1 và Khoản 3</w:t>
            </w:r>
          </w:p>
        </w:tc>
        <w:tc>
          <w:tcPr>
            <w:tcW w:w="5528" w:type="dxa"/>
          </w:tcPr>
          <w:p w14:paraId="3D9D11B7" w14:textId="77777777" w:rsidR="009C79AD" w:rsidRPr="0068398B" w:rsidRDefault="009C79AD" w:rsidP="009C79AD">
            <w:pPr>
              <w:spacing w:before="120" w:after="120" w:line="360" w:lineRule="auto"/>
              <w:rPr>
                <w:rFonts w:ascii="Arial" w:hAnsi="Arial" w:cs="Arial"/>
              </w:rPr>
            </w:pPr>
            <w:r w:rsidRPr="0068398B">
              <w:rPr>
                <w:rFonts w:ascii="Arial" w:hAnsi="Arial" w:cs="Arial"/>
              </w:rPr>
              <w:t xml:space="preserve">Chúng tôi kiến nghị nâng mức vốn điều lệ tối thiểu của các công ty chứng khoán và công ty quản lý quỹ. </w:t>
            </w:r>
          </w:p>
          <w:p w14:paraId="36F65C5A" w14:textId="0E1F8D3F" w:rsidR="009C79AD" w:rsidRPr="0068398B" w:rsidRDefault="009C79AD" w:rsidP="009C79AD">
            <w:pPr>
              <w:spacing w:before="120" w:after="120" w:line="360" w:lineRule="auto"/>
              <w:rPr>
                <w:rFonts w:ascii="Arial" w:hAnsi="Arial" w:cs="Arial"/>
              </w:rPr>
            </w:pPr>
            <w:r w:rsidRPr="0068398B">
              <w:rPr>
                <w:rFonts w:ascii="Arial" w:hAnsi="Arial" w:cs="Arial"/>
              </w:rPr>
              <w:t>Nếu có những công ty chứng khoán và công ty quản lý quỹ có năng lực tài chính tốt và chuyên môn nghiệp vụ cao, thị trường sẽ phát triển và lợi ích của nhà đầu tư sẽ được bảo vệ một cách tốt nhất.</w:t>
            </w:r>
          </w:p>
        </w:tc>
        <w:tc>
          <w:tcPr>
            <w:tcW w:w="5812" w:type="dxa"/>
          </w:tcPr>
          <w:p w14:paraId="517C0C40" w14:textId="2AB16B15" w:rsidR="009C79AD" w:rsidRPr="00565A2A" w:rsidRDefault="009C79AD" w:rsidP="009C79AD">
            <w:pPr>
              <w:spacing w:before="120" w:after="120" w:line="360" w:lineRule="auto"/>
              <w:rPr>
                <w:rFonts w:ascii="Arial" w:hAnsi="Arial" w:cs="Arial"/>
                <w:bCs/>
              </w:rPr>
            </w:pPr>
            <w:r w:rsidRPr="00565A2A">
              <w:rPr>
                <w:rFonts w:ascii="Arial" w:hAnsi="Arial" w:cs="Arial"/>
              </w:rPr>
              <w:t>Đề nghị</w:t>
            </w:r>
            <w:r w:rsidRPr="00565A2A">
              <w:rPr>
                <w:rFonts w:ascii="Arial" w:hAnsi="Arial" w:cs="Arial"/>
                <w:b/>
              </w:rPr>
              <w:t xml:space="preserve"> </w:t>
            </w:r>
            <w:r w:rsidRPr="00565A2A">
              <w:rPr>
                <w:rFonts w:ascii="Arial" w:hAnsi="Arial" w:cs="Arial"/>
                <w:bCs/>
              </w:rPr>
              <w:t xml:space="preserve">sửa đổi </w:t>
            </w:r>
            <w:r w:rsidRPr="00565A2A">
              <w:rPr>
                <w:rFonts w:ascii="Arial" w:hAnsi="Arial" w:cs="Arial"/>
                <w:b/>
              </w:rPr>
              <w:t>Khoản 1 và Khoản 3 Điều 165 Nghị định</w:t>
            </w:r>
            <w:r w:rsidRPr="00565A2A">
              <w:rPr>
                <w:rFonts w:ascii="Arial" w:hAnsi="Arial" w:cs="Arial"/>
                <w:bCs/>
              </w:rPr>
              <w:t xml:space="preserve"> như sau:</w:t>
            </w:r>
          </w:p>
          <w:p w14:paraId="11F62954" w14:textId="35FF7DB6" w:rsidR="009C79AD" w:rsidRPr="00565A2A" w:rsidRDefault="009C79AD" w:rsidP="009C79AD">
            <w:pPr>
              <w:tabs>
                <w:tab w:val="left" w:pos="1239"/>
              </w:tabs>
              <w:spacing w:after="0" w:line="360" w:lineRule="auto"/>
              <w:ind w:right="20"/>
              <w:rPr>
                <w:rFonts w:ascii="Arial" w:eastAsia="Times New Roman" w:hAnsi="Arial" w:cs="Arial"/>
              </w:rPr>
            </w:pPr>
            <w:r w:rsidRPr="00565A2A">
              <w:rPr>
                <w:rFonts w:ascii="Arial" w:eastAsia="Times New Roman" w:hAnsi="Arial" w:cs="Arial"/>
              </w:rPr>
              <w:t>“1. Vốn điều lệ tối thiểu cho các nghiệp vụ kinh doanh của công ty chứng khoán tại Việt Nam như sau:</w:t>
            </w:r>
          </w:p>
          <w:p w14:paraId="2161DC58" w14:textId="74C0423E" w:rsidR="009C79AD" w:rsidRPr="00565A2A" w:rsidRDefault="009C79AD" w:rsidP="009C79AD">
            <w:pPr>
              <w:spacing w:line="360" w:lineRule="auto"/>
              <w:rPr>
                <w:rFonts w:ascii="Arial" w:eastAsia="Times New Roman" w:hAnsi="Arial" w:cs="Arial"/>
              </w:rPr>
            </w:pPr>
            <w:r w:rsidRPr="00565A2A">
              <w:rPr>
                <w:rFonts w:ascii="Arial" w:eastAsia="Times New Roman" w:hAnsi="Arial" w:cs="Arial"/>
              </w:rPr>
              <w:t xml:space="preserve">a) Môi giới chứng khoán: </w:t>
            </w:r>
            <w:r w:rsidRPr="00565A2A">
              <w:rPr>
                <w:rFonts w:ascii="Arial" w:eastAsia="Times New Roman" w:hAnsi="Arial" w:cs="Arial"/>
                <w:strike/>
              </w:rPr>
              <w:t xml:space="preserve">25 </w:t>
            </w:r>
            <w:r w:rsidRPr="00565A2A">
              <w:rPr>
                <w:rFonts w:ascii="Arial" w:eastAsia="Times New Roman" w:hAnsi="Arial" w:cs="Arial"/>
                <w:u w:val="single"/>
              </w:rPr>
              <w:t xml:space="preserve">100 </w:t>
            </w:r>
            <w:r w:rsidRPr="00565A2A">
              <w:rPr>
                <w:rFonts w:ascii="Arial" w:eastAsia="Times New Roman" w:hAnsi="Arial" w:cs="Arial"/>
              </w:rPr>
              <w:t>tỷ đồng Việt Nam;</w:t>
            </w:r>
          </w:p>
          <w:p w14:paraId="6827EFAA" w14:textId="3F289AD7" w:rsidR="009C79AD" w:rsidRPr="00565A2A" w:rsidRDefault="009C79AD" w:rsidP="009C79AD">
            <w:pPr>
              <w:spacing w:line="360" w:lineRule="auto"/>
              <w:rPr>
                <w:rFonts w:ascii="Arial" w:eastAsia="Times New Roman" w:hAnsi="Arial" w:cs="Arial"/>
              </w:rPr>
            </w:pPr>
            <w:r w:rsidRPr="00565A2A">
              <w:rPr>
                <w:rFonts w:ascii="Arial" w:eastAsia="Times New Roman" w:hAnsi="Arial" w:cs="Arial"/>
              </w:rPr>
              <w:t xml:space="preserve">b) Tự doanh chứng khoán: </w:t>
            </w:r>
            <w:r w:rsidRPr="00565A2A">
              <w:rPr>
                <w:rFonts w:ascii="Arial" w:eastAsia="Times New Roman" w:hAnsi="Arial" w:cs="Arial"/>
                <w:strike/>
              </w:rPr>
              <w:t>50</w:t>
            </w:r>
            <w:r w:rsidRPr="00565A2A">
              <w:rPr>
                <w:rFonts w:ascii="Arial" w:eastAsia="Times New Roman" w:hAnsi="Arial" w:cs="Arial"/>
              </w:rPr>
              <w:t xml:space="preserve"> </w:t>
            </w:r>
            <w:r w:rsidRPr="00565A2A">
              <w:rPr>
                <w:rFonts w:ascii="Arial" w:eastAsia="Times New Roman" w:hAnsi="Arial" w:cs="Arial"/>
                <w:u w:val="single"/>
              </w:rPr>
              <w:t xml:space="preserve">100 </w:t>
            </w:r>
            <w:r w:rsidRPr="00565A2A">
              <w:rPr>
                <w:rFonts w:ascii="Arial" w:eastAsia="Times New Roman" w:hAnsi="Arial" w:cs="Arial"/>
              </w:rPr>
              <w:t>tỷ đồng Việt Nam;</w:t>
            </w:r>
          </w:p>
          <w:p w14:paraId="40851B56" w14:textId="789EC217" w:rsidR="009C79AD" w:rsidRPr="00565A2A" w:rsidRDefault="009C79AD" w:rsidP="009C79AD">
            <w:pPr>
              <w:spacing w:line="360" w:lineRule="auto"/>
              <w:rPr>
                <w:rFonts w:ascii="Arial" w:eastAsia="Times New Roman" w:hAnsi="Arial" w:cs="Arial"/>
              </w:rPr>
            </w:pPr>
            <w:r w:rsidRPr="00565A2A">
              <w:rPr>
                <w:rFonts w:ascii="Arial" w:eastAsia="Times New Roman" w:hAnsi="Arial" w:cs="Arial"/>
              </w:rPr>
              <w:t xml:space="preserve">c) Bảo lãnh phát hành chứng khoán: </w:t>
            </w:r>
            <w:r w:rsidRPr="00565A2A">
              <w:rPr>
                <w:rFonts w:ascii="Arial" w:eastAsia="Times New Roman" w:hAnsi="Arial" w:cs="Arial"/>
                <w:strike/>
              </w:rPr>
              <w:t>165</w:t>
            </w:r>
            <w:r w:rsidRPr="00565A2A">
              <w:rPr>
                <w:rFonts w:ascii="Arial" w:eastAsia="Times New Roman" w:hAnsi="Arial" w:cs="Arial"/>
              </w:rPr>
              <w:t xml:space="preserve"> </w:t>
            </w:r>
            <w:r w:rsidRPr="00565A2A">
              <w:rPr>
                <w:rFonts w:ascii="Arial" w:eastAsia="Times New Roman" w:hAnsi="Arial" w:cs="Arial"/>
                <w:u w:val="single"/>
              </w:rPr>
              <w:t xml:space="preserve">500 </w:t>
            </w:r>
            <w:r w:rsidRPr="00565A2A">
              <w:rPr>
                <w:rFonts w:ascii="Arial" w:eastAsia="Times New Roman" w:hAnsi="Arial" w:cs="Arial"/>
              </w:rPr>
              <w:t>tỷ đồng Việt Nam;</w:t>
            </w:r>
          </w:p>
          <w:p w14:paraId="444BD8CF" w14:textId="1FEB3C2E" w:rsidR="009C79AD" w:rsidRPr="00565A2A" w:rsidRDefault="009C79AD" w:rsidP="009C79AD">
            <w:pPr>
              <w:spacing w:line="360" w:lineRule="auto"/>
              <w:rPr>
                <w:rFonts w:ascii="Arial" w:eastAsia="Times New Roman" w:hAnsi="Arial" w:cs="Arial"/>
              </w:rPr>
            </w:pPr>
            <w:r w:rsidRPr="00565A2A">
              <w:rPr>
                <w:rFonts w:ascii="Arial" w:eastAsia="Times New Roman" w:hAnsi="Arial" w:cs="Arial"/>
              </w:rPr>
              <w:t xml:space="preserve">d) Tư vấn đầu tư chứng khoán: </w:t>
            </w:r>
            <w:r w:rsidRPr="00565A2A">
              <w:rPr>
                <w:rFonts w:ascii="Arial" w:eastAsia="Times New Roman" w:hAnsi="Arial" w:cs="Arial"/>
                <w:strike/>
              </w:rPr>
              <w:t>10</w:t>
            </w:r>
            <w:r w:rsidRPr="00565A2A">
              <w:rPr>
                <w:rFonts w:ascii="Arial" w:eastAsia="Times New Roman" w:hAnsi="Arial" w:cs="Arial"/>
              </w:rPr>
              <w:t xml:space="preserve"> </w:t>
            </w:r>
            <w:r w:rsidRPr="00565A2A">
              <w:rPr>
                <w:rFonts w:ascii="Arial" w:eastAsia="Times New Roman" w:hAnsi="Arial" w:cs="Arial"/>
                <w:u w:val="single"/>
              </w:rPr>
              <w:t xml:space="preserve">50 </w:t>
            </w:r>
            <w:r w:rsidRPr="00565A2A">
              <w:rPr>
                <w:rFonts w:ascii="Arial" w:eastAsia="Times New Roman" w:hAnsi="Arial" w:cs="Arial"/>
              </w:rPr>
              <w:t>tỷ đồng Việt Nam.</w:t>
            </w:r>
          </w:p>
          <w:p w14:paraId="03F6941A" w14:textId="7520706A" w:rsidR="009C79AD" w:rsidRPr="00565A2A" w:rsidRDefault="009C79AD" w:rsidP="009C79AD">
            <w:pPr>
              <w:spacing w:line="360" w:lineRule="auto"/>
              <w:rPr>
                <w:rFonts w:ascii="Arial" w:eastAsia="Times New Roman" w:hAnsi="Arial" w:cs="Arial"/>
              </w:rPr>
            </w:pPr>
            <w:r w:rsidRPr="00565A2A">
              <w:rPr>
                <w:rFonts w:ascii="Arial" w:eastAsia="Times New Roman" w:hAnsi="Arial" w:cs="Arial"/>
              </w:rPr>
              <w:t>…</w:t>
            </w:r>
          </w:p>
          <w:p w14:paraId="2441B50D" w14:textId="6303FCCA" w:rsidR="009C79AD" w:rsidRPr="00565A2A" w:rsidRDefault="009C79AD" w:rsidP="009C79AD">
            <w:pPr>
              <w:spacing w:before="120" w:after="120" w:line="360" w:lineRule="auto"/>
              <w:rPr>
                <w:rFonts w:ascii="Arial" w:hAnsi="Arial" w:cs="Arial"/>
                <w:bCs/>
              </w:rPr>
            </w:pPr>
            <w:r w:rsidRPr="00565A2A">
              <w:rPr>
                <w:rFonts w:ascii="Arial" w:eastAsia="Times New Roman" w:hAnsi="Arial" w:cs="Arial"/>
              </w:rPr>
              <w:lastRenderedPageBreak/>
              <w:t xml:space="preserve">3. Vốn điều lệ tối thiểu của công ty quản lý quỹ, vốn tối thiểu cấp cho chi nhánh công ty quản lý quỹ nước ngoài tại Việt Nam là </w:t>
            </w:r>
            <w:r w:rsidRPr="00565A2A">
              <w:rPr>
                <w:rFonts w:ascii="Arial" w:eastAsia="Times New Roman" w:hAnsi="Arial" w:cs="Arial"/>
                <w:strike/>
              </w:rPr>
              <w:t>25</w:t>
            </w:r>
            <w:r w:rsidRPr="00565A2A">
              <w:rPr>
                <w:rFonts w:ascii="Arial" w:eastAsia="Times New Roman" w:hAnsi="Arial" w:cs="Arial"/>
              </w:rPr>
              <w:t xml:space="preserve"> </w:t>
            </w:r>
            <w:r w:rsidRPr="00565A2A">
              <w:rPr>
                <w:rFonts w:ascii="Arial" w:eastAsia="Times New Roman" w:hAnsi="Arial" w:cs="Arial"/>
                <w:u w:val="single"/>
              </w:rPr>
              <w:t xml:space="preserve">100 </w:t>
            </w:r>
            <w:r w:rsidRPr="00565A2A">
              <w:rPr>
                <w:rFonts w:ascii="Arial" w:eastAsia="Times New Roman" w:hAnsi="Arial" w:cs="Arial"/>
              </w:rPr>
              <w:t>tỷ đồng Việt Nam.”</w:t>
            </w:r>
          </w:p>
        </w:tc>
      </w:tr>
      <w:tr w:rsidR="009C79AD" w:rsidRPr="00565A2A" w14:paraId="017A104F" w14:textId="77777777" w:rsidTr="006421DC">
        <w:tc>
          <w:tcPr>
            <w:tcW w:w="1036" w:type="dxa"/>
          </w:tcPr>
          <w:p w14:paraId="3E8F14E7" w14:textId="77777777" w:rsidR="009C79AD" w:rsidRPr="00C23563" w:rsidRDefault="009C79AD" w:rsidP="009C79AD">
            <w:pPr>
              <w:pStyle w:val="ListParagraph"/>
              <w:numPr>
                <w:ilvl w:val="0"/>
                <w:numId w:val="1"/>
              </w:numPr>
              <w:spacing w:before="120" w:after="120" w:line="360" w:lineRule="auto"/>
              <w:rPr>
                <w:rFonts w:cs="Arial"/>
                <w:sz w:val="22"/>
                <w:szCs w:val="22"/>
              </w:rPr>
            </w:pPr>
          </w:p>
        </w:tc>
        <w:tc>
          <w:tcPr>
            <w:tcW w:w="1936" w:type="dxa"/>
          </w:tcPr>
          <w:p w14:paraId="1221B983" w14:textId="63C92DCD" w:rsidR="009C79AD" w:rsidRPr="00C23563" w:rsidRDefault="009C79AD" w:rsidP="009C79AD">
            <w:pPr>
              <w:spacing w:before="120" w:after="120" w:line="360" w:lineRule="auto"/>
              <w:rPr>
                <w:rFonts w:ascii="Arial" w:eastAsia="Times New Roman" w:hAnsi="Arial" w:cs="Arial"/>
                <w:b/>
                <w:bCs/>
                <w:i/>
                <w:iCs/>
              </w:rPr>
            </w:pPr>
            <w:r w:rsidRPr="00C23563">
              <w:rPr>
                <w:rFonts w:ascii="Arial" w:eastAsia="Times New Roman" w:hAnsi="Arial" w:cs="Arial"/>
                <w:b/>
                <w:bCs/>
              </w:rPr>
              <w:t>Điều 191. Điều kiện đăng ký dịch vụ phối hợp với các tổ chức tín dụng cho khách hàng vay tiền mua chứng khoán, ứng trước tiền bán chứng khoán</w:t>
            </w:r>
          </w:p>
        </w:tc>
        <w:tc>
          <w:tcPr>
            <w:tcW w:w="5528" w:type="dxa"/>
          </w:tcPr>
          <w:p w14:paraId="0255DFCB" w14:textId="799772E7" w:rsidR="009C79AD" w:rsidRPr="0068398B" w:rsidRDefault="009C79AD" w:rsidP="009C79AD">
            <w:pPr>
              <w:spacing w:before="120" w:after="120" w:line="360" w:lineRule="auto"/>
              <w:jc w:val="both"/>
              <w:rPr>
                <w:rFonts w:ascii="Arial" w:hAnsi="Arial" w:cs="Arial"/>
              </w:rPr>
            </w:pPr>
            <w:r w:rsidRPr="0068398B">
              <w:rPr>
                <w:rFonts w:ascii="Arial" w:hAnsi="Arial" w:cs="Arial"/>
              </w:rPr>
              <w:t>Tại Điều 191 chưa quy định rõ dịch vụ cho khách hàng vay mua chứng khoán, ứng trước tiền bán chứng khoán phối hợp với các tổ chức tín dụng theo hình thức hợp vốn hay cho vay riêng lẻ. Ngoài ra, cần bổ sung điều kiện cung cấp dịch vụ này nếu công ty chứng khoán có hợp vốn cho vay, để đảm bảo công ty chứng khoán có năng lực tài chính đủ đảm bảo an toàn trong giao dịch cấp tín dụng.</w:t>
            </w:r>
          </w:p>
          <w:p w14:paraId="32D69708" w14:textId="77777777" w:rsidR="009C79AD" w:rsidRPr="0068398B" w:rsidRDefault="009C79AD" w:rsidP="009C79AD">
            <w:pPr>
              <w:spacing w:before="120" w:after="120" w:line="360" w:lineRule="auto"/>
              <w:rPr>
                <w:rFonts w:ascii="Arial" w:hAnsi="Arial" w:cs="Arial"/>
                <w:highlight w:val="yellow"/>
              </w:rPr>
            </w:pPr>
          </w:p>
        </w:tc>
        <w:tc>
          <w:tcPr>
            <w:tcW w:w="5812" w:type="dxa"/>
          </w:tcPr>
          <w:p w14:paraId="337714AA" w14:textId="0BB94273" w:rsidR="009C79AD" w:rsidRPr="00C23563" w:rsidRDefault="009C79AD" w:rsidP="009C79AD">
            <w:pPr>
              <w:spacing w:before="120" w:after="120" w:line="360" w:lineRule="auto"/>
              <w:jc w:val="both"/>
              <w:rPr>
                <w:rFonts w:ascii="Arial" w:hAnsi="Arial" w:cs="Arial"/>
                <w:bCs/>
              </w:rPr>
            </w:pPr>
            <w:r w:rsidRPr="00C23563">
              <w:rPr>
                <w:rFonts w:ascii="Arial" w:hAnsi="Arial" w:cs="Arial"/>
              </w:rPr>
              <w:t>Đề nghị</w:t>
            </w:r>
            <w:r w:rsidRPr="00C23563">
              <w:rPr>
                <w:rFonts w:ascii="Arial" w:hAnsi="Arial" w:cs="Arial"/>
                <w:b/>
              </w:rPr>
              <w:t xml:space="preserve"> </w:t>
            </w:r>
            <w:r w:rsidRPr="00C23563">
              <w:rPr>
                <w:rFonts w:ascii="Arial" w:hAnsi="Arial" w:cs="Arial"/>
                <w:bCs/>
              </w:rPr>
              <w:t>bổ sung</w:t>
            </w:r>
            <w:r w:rsidRPr="00C23563">
              <w:rPr>
                <w:rFonts w:ascii="Arial" w:hAnsi="Arial" w:cs="Arial"/>
                <w:b/>
              </w:rPr>
              <w:t xml:space="preserve"> Khoản 3a Điều 191 Nghị định</w:t>
            </w:r>
            <w:r w:rsidRPr="00C23563">
              <w:rPr>
                <w:rFonts w:ascii="Arial" w:hAnsi="Arial" w:cs="Arial"/>
                <w:bCs/>
              </w:rPr>
              <w:t xml:space="preserve"> như sau:</w:t>
            </w:r>
          </w:p>
          <w:p w14:paraId="6D6CC979" w14:textId="5D36F4F1" w:rsidR="009C79AD" w:rsidRPr="00C23563" w:rsidRDefault="009C79AD" w:rsidP="009C79AD">
            <w:pPr>
              <w:keepNext/>
              <w:widowControl w:val="0"/>
              <w:tabs>
                <w:tab w:val="left" w:pos="142"/>
                <w:tab w:val="left" w:pos="980"/>
              </w:tabs>
              <w:autoSpaceDE w:val="0"/>
              <w:autoSpaceDN w:val="0"/>
              <w:spacing w:before="120" w:after="120" w:line="360" w:lineRule="auto"/>
              <w:jc w:val="both"/>
              <w:rPr>
                <w:rFonts w:ascii="Arial" w:eastAsia="Calibri" w:hAnsi="Arial" w:cs="Arial"/>
                <w:u w:val="single"/>
              </w:rPr>
            </w:pPr>
            <w:r w:rsidRPr="00C23563">
              <w:rPr>
                <w:rFonts w:ascii="Arial" w:eastAsia="Calibri" w:hAnsi="Arial" w:cs="Arial"/>
              </w:rPr>
              <w:t>“</w:t>
            </w:r>
            <w:r w:rsidRPr="00C23563">
              <w:rPr>
                <w:rFonts w:ascii="Arial" w:eastAsia="Calibri" w:hAnsi="Arial" w:cs="Arial"/>
                <w:u w:val="single"/>
              </w:rPr>
              <w:t xml:space="preserve">3a. Đáp ứng các điều kiện tại điểm b, c, d, đ Khoản 1 Điều 189 Nghị định này nếu Công ty chứng khoán hợp vốn </w:t>
            </w:r>
            <w:r w:rsidRPr="00C23563">
              <w:rPr>
                <w:rFonts w:ascii="Arial" w:eastAsia="Calibri" w:hAnsi="Arial" w:cs="Arial"/>
                <w:bCs/>
                <w:u w:val="single"/>
              </w:rPr>
              <w:t>cho khách hàng vay tiền mua chứng khoán, ứng trước tiền bán chứng khoán</w:t>
            </w:r>
            <w:r w:rsidRPr="00C23563">
              <w:rPr>
                <w:rFonts w:ascii="Arial" w:eastAsia="Calibri" w:hAnsi="Arial" w:cs="Arial"/>
                <w:u w:val="single"/>
              </w:rPr>
              <w:t xml:space="preserve"> với các tổ chức tín dụng.”</w:t>
            </w:r>
          </w:p>
        </w:tc>
      </w:tr>
    </w:tbl>
    <w:p w14:paraId="2C56A3C3" w14:textId="77777777" w:rsidR="000B6DC9" w:rsidRPr="00565A2A" w:rsidRDefault="000B6DC9" w:rsidP="00C254CE">
      <w:pPr>
        <w:spacing w:before="120" w:after="120" w:line="360" w:lineRule="auto"/>
        <w:rPr>
          <w:rFonts w:ascii="Arial" w:hAnsi="Arial" w:cs="Arial"/>
        </w:rPr>
      </w:pPr>
    </w:p>
    <w:sectPr w:rsidR="000B6DC9" w:rsidRPr="00565A2A" w:rsidSect="0073127F">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B0534" w14:textId="77777777" w:rsidR="00471CFA" w:rsidRDefault="00471CFA" w:rsidP="008F748F">
      <w:pPr>
        <w:spacing w:after="0" w:line="240" w:lineRule="auto"/>
      </w:pPr>
      <w:r>
        <w:separator/>
      </w:r>
    </w:p>
  </w:endnote>
  <w:endnote w:type="continuationSeparator" w:id="0">
    <w:p w14:paraId="0C2CAF84" w14:textId="77777777" w:rsidR="00471CFA" w:rsidRDefault="00471CFA" w:rsidP="008F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1BA2D" w14:textId="64DDA6A4" w:rsidR="00AF30D0" w:rsidRDefault="00AF30D0">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68398B">
      <w:rPr>
        <w:caps/>
        <w:noProof/>
        <w:color w:val="4472C4" w:themeColor="accent1"/>
      </w:rPr>
      <w:t>5</w:t>
    </w:r>
    <w:r>
      <w:rPr>
        <w:caps/>
        <w:noProof/>
        <w:color w:val="4472C4" w:themeColor="accent1"/>
      </w:rPr>
      <w:fldChar w:fldCharType="end"/>
    </w:r>
  </w:p>
  <w:p w14:paraId="31020365" w14:textId="77777777" w:rsidR="00AF30D0" w:rsidRDefault="00AF3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F872F" w14:textId="77777777" w:rsidR="00471CFA" w:rsidRDefault="00471CFA" w:rsidP="008F748F">
      <w:pPr>
        <w:spacing w:after="0" w:line="240" w:lineRule="auto"/>
      </w:pPr>
      <w:r>
        <w:separator/>
      </w:r>
    </w:p>
  </w:footnote>
  <w:footnote w:type="continuationSeparator" w:id="0">
    <w:p w14:paraId="6AC084FF" w14:textId="77777777" w:rsidR="00471CFA" w:rsidRDefault="00471CFA" w:rsidP="008F7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BE"/>
    <w:multiLevelType w:val="hybridMultilevel"/>
    <w:tmpl w:val="51BE79A4"/>
    <w:lvl w:ilvl="0" w:tplc="07164C02">
      <w:start w:val="5"/>
      <w:numFmt w:val="decimal"/>
      <w:lvlText w:val="%1."/>
      <w:lvlJc w:val="left"/>
    </w:lvl>
    <w:lvl w:ilvl="1" w:tplc="35B0F65C">
      <w:numFmt w:val="decimal"/>
      <w:lvlText w:val=""/>
      <w:lvlJc w:val="left"/>
    </w:lvl>
    <w:lvl w:ilvl="2" w:tplc="ABD8F3AE">
      <w:numFmt w:val="decimal"/>
      <w:lvlText w:val=""/>
      <w:lvlJc w:val="left"/>
    </w:lvl>
    <w:lvl w:ilvl="3" w:tplc="EBD84310">
      <w:numFmt w:val="decimal"/>
      <w:lvlText w:val=""/>
      <w:lvlJc w:val="left"/>
    </w:lvl>
    <w:lvl w:ilvl="4" w:tplc="27C653BC">
      <w:numFmt w:val="decimal"/>
      <w:lvlText w:val=""/>
      <w:lvlJc w:val="left"/>
    </w:lvl>
    <w:lvl w:ilvl="5" w:tplc="D15A0840">
      <w:numFmt w:val="decimal"/>
      <w:lvlText w:val=""/>
      <w:lvlJc w:val="left"/>
    </w:lvl>
    <w:lvl w:ilvl="6" w:tplc="E316649E">
      <w:numFmt w:val="decimal"/>
      <w:lvlText w:val=""/>
      <w:lvlJc w:val="left"/>
    </w:lvl>
    <w:lvl w:ilvl="7" w:tplc="6E8A0A50">
      <w:numFmt w:val="decimal"/>
      <w:lvlText w:val=""/>
      <w:lvlJc w:val="left"/>
    </w:lvl>
    <w:lvl w:ilvl="8" w:tplc="19C4F0D4">
      <w:numFmt w:val="decimal"/>
      <w:lvlText w:val=""/>
      <w:lvlJc w:val="left"/>
    </w:lvl>
  </w:abstractNum>
  <w:abstractNum w:abstractNumId="1" w15:restartNumberingAfterBreak="0">
    <w:nsid w:val="00000D0C"/>
    <w:multiLevelType w:val="hybridMultilevel"/>
    <w:tmpl w:val="1C80A39A"/>
    <w:lvl w:ilvl="0" w:tplc="CE02D652">
      <w:start w:val="1"/>
      <w:numFmt w:val="decimal"/>
      <w:lvlText w:val="%1."/>
      <w:lvlJc w:val="left"/>
    </w:lvl>
    <w:lvl w:ilvl="1" w:tplc="B1B886AC">
      <w:numFmt w:val="decimal"/>
      <w:lvlText w:val=""/>
      <w:lvlJc w:val="left"/>
    </w:lvl>
    <w:lvl w:ilvl="2" w:tplc="E1DEBCAE">
      <w:numFmt w:val="decimal"/>
      <w:lvlText w:val=""/>
      <w:lvlJc w:val="left"/>
    </w:lvl>
    <w:lvl w:ilvl="3" w:tplc="D6DEC4FC">
      <w:numFmt w:val="decimal"/>
      <w:lvlText w:val=""/>
      <w:lvlJc w:val="left"/>
    </w:lvl>
    <w:lvl w:ilvl="4" w:tplc="AACE14DA">
      <w:numFmt w:val="decimal"/>
      <w:lvlText w:val=""/>
      <w:lvlJc w:val="left"/>
    </w:lvl>
    <w:lvl w:ilvl="5" w:tplc="3A66CAB4">
      <w:numFmt w:val="decimal"/>
      <w:lvlText w:val=""/>
      <w:lvlJc w:val="left"/>
    </w:lvl>
    <w:lvl w:ilvl="6" w:tplc="1072646E">
      <w:numFmt w:val="decimal"/>
      <w:lvlText w:val=""/>
      <w:lvlJc w:val="left"/>
    </w:lvl>
    <w:lvl w:ilvl="7" w:tplc="3028D0DC">
      <w:numFmt w:val="decimal"/>
      <w:lvlText w:val=""/>
      <w:lvlJc w:val="left"/>
    </w:lvl>
    <w:lvl w:ilvl="8" w:tplc="40D49616">
      <w:numFmt w:val="decimal"/>
      <w:lvlText w:val=""/>
      <w:lvlJc w:val="left"/>
    </w:lvl>
  </w:abstractNum>
  <w:abstractNum w:abstractNumId="2" w15:restartNumberingAfterBreak="0">
    <w:nsid w:val="00001739"/>
    <w:multiLevelType w:val="hybridMultilevel"/>
    <w:tmpl w:val="B614B740"/>
    <w:lvl w:ilvl="0" w:tplc="C22216F2">
      <w:start w:val="1"/>
      <w:numFmt w:val="lowerLetter"/>
      <w:lvlText w:val="%1)"/>
      <w:lvlJc w:val="left"/>
    </w:lvl>
    <w:lvl w:ilvl="1" w:tplc="AA6C7FDC">
      <w:numFmt w:val="decimal"/>
      <w:lvlText w:val=""/>
      <w:lvlJc w:val="left"/>
    </w:lvl>
    <w:lvl w:ilvl="2" w:tplc="941EE09A">
      <w:numFmt w:val="decimal"/>
      <w:lvlText w:val=""/>
      <w:lvlJc w:val="left"/>
    </w:lvl>
    <w:lvl w:ilvl="3" w:tplc="21AE7FAC">
      <w:numFmt w:val="decimal"/>
      <w:lvlText w:val=""/>
      <w:lvlJc w:val="left"/>
    </w:lvl>
    <w:lvl w:ilvl="4" w:tplc="6EB204EC">
      <w:numFmt w:val="decimal"/>
      <w:lvlText w:val=""/>
      <w:lvlJc w:val="left"/>
    </w:lvl>
    <w:lvl w:ilvl="5" w:tplc="466E5054">
      <w:numFmt w:val="decimal"/>
      <w:lvlText w:val=""/>
      <w:lvlJc w:val="left"/>
    </w:lvl>
    <w:lvl w:ilvl="6" w:tplc="3ACAD162">
      <w:numFmt w:val="decimal"/>
      <w:lvlText w:val=""/>
      <w:lvlJc w:val="left"/>
    </w:lvl>
    <w:lvl w:ilvl="7" w:tplc="54300E0A">
      <w:numFmt w:val="decimal"/>
      <w:lvlText w:val=""/>
      <w:lvlJc w:val="left"/>
    </w:lvl>
    <w:lvl w:ilvl="8" w:tplc="00B20D0C">
      <w:numFmt w:val="decimal"/>
      <w:lvlText w:val=""/>
      <w:lvlJc w:val="left"/>
    </w:lvl>
  </w:abstractNum>
  <w:abstractNum w:abstractNumId="3" w15:restartNumberingAfterBreak="0">
    <w:nsid w:val="00002370"/>
    <w:multiLevelType w:val="hybridMultilevel"/>
    <w:tmpl w:val="6C86E312"/>
    <w:lvl w:ilvl="0" w:tplc="D9A89CA6">
      <w:start w:val="1"/>
      <w:numFmt w:val="decimal"/>
      <w:lvlText w:val="%1."/>
      <w:lvlJc w:val="left"/>
    </w:lvl>
    <w:lvl w:ilvl="1" w:tplc="3606E8CE">
      <w:numFmt w:val="decimal"/>
      <w:lvlText w:val=""/>
      <w:lvlJc w:val="left"/>
    </w:lvl>
    <w:lvl w:ilvl="2" w:tplc="C18CBB14">
      <w:numFmt w:val="decimal"/>
      <w:lvlText w:val=""/>
      <w:lvlJc w:val="left"/>
    </w:lvl>
    <w:lvl w:ilvl="3" w:tplc="87625CC8">
      <w:numFmt w:val="decimal"/>
      <w:lvlText w:val=""/>
      <w:lvlJc w:val="left"/>
    </w:lvl>
    <w:lvl w:ilvl="4" w:tplc="C4544DFA">
      <w:numFmt w:val="decimal"/>
      <w:lvlText w:val=""/>
      <w:lvlJc w:val="left"/>
    </w:lvl>
    <w:lvl w:ilvl="5" w:tplc="0404522C">
      <w:numFmt w:val="decimal"/>
      <w:lvlText w:val=""/>
      <w:lvlJc w:val="left"/>
    </w:lvl>
    <w:lvl w:ilvl="6" w:tplc="C0147218">
      <w:numFmt w:val="decimal"/>
      <w:lvlText w:val=""/>
      <w:lvlJc w:val="left"/>
    </w:lvl>
    <w:lvl w:ilvl="7" w:tplc="A45CF782">
      <w:numFmt w:val="decimal"/>
      <w:lvlText w:val=""/>
      <w:lvlJc w:val="left"/>
    </w:lvl>
    <w:lvl w:ilvl="8" w:tplc="F57E94B4">
      <w:numFmt w:val="decimal"/>
      <w:lvlText w:val=""/>
      <w:lvlJc w:val="left"/>
    </w:lvl>
  </w:abstractNum>
  <w:abstractNum w:abstractNumId="4" w15:restartNumberingAfterBreak="0">
    <w:nsid w:val="0000288C"/>
    <w:multiLevelType w:val="hybridMultilevel"/>
    <w:tmpl w:val="259AD7F6"/>
    <w:lvl w:ilvl="0" w:tplc="B40CE8D0">
      <w:start w:val="3"/>
      <w:numFmt w:val="lowerLetter"/>
      <w:lvlText w:val="%1)"/>
      <w:lvlJc w:val="left"/>
    </w:lvl>
    <w:lvl w:ilvl="1" w:tplc="08A63780">
      <w:numFmt w:val="decimal"/>
      <w:lvlText w:val=""/>
      <w:lvlJc w:val="left"/>
    </w:lvl>
    <w:lvl w:ilvl="2" w:tplc="9D343C1C">
      <w:numFmt w:val="decimal"/>
      <w:lvlText w:val=""/>
      <w:lvlJc w:val="left"/>
    </w:lvl>
    <w:lvl w:ilvl="3" w:tplc="652A7F4E">
      <w:numFmt w:val="decimal"/>
      <w:lvlText w:val=""/>
      <w:lvlJc w:val="left"/>
    </w:lvl>
    <w:lvl w:ilvl="4" w:tplc="547A5692">
      <w:numFmt w:val="decimal"/>
      <w:lvlText w:val=""/>
      <w:lvlJc w:val="left"/>
    </w:lvl>
    <w:lvl w:ilvl="5" w:tplc="87C2A27C">
      <w:numFmt w:val="decimal"/>
      <w:lvlText w:val=""/>
      <w:lvlJc w:val="left"/>
    </w:lvl>
    <w:lvl w:ilvl="6" w:tplc="F1061118">
      <w:numFmt w:val="decimal"/>
      <w:lvlText w:val=""/>
      <w:lvlJc w:val="left"/>
    </w:lvl>
    <w:lvl w:ilvl="7" w:tplc="4B4C02DE">
      <w:numFmt w:val="decimal"/>
      <w:lvlText w:val=""/>
      <w:lvlJc w:val="left"/>
    </w:lvl>
    <w:lvl w:ilvl="8" w:tplc="50B0C3DA">
      <w:numFmt w:val="decimal"/>
      <w:lvlText w:val=""/>
      <w:lvlJc w:val="left"/>
    </w:lvl>
  </w:abstractNum>
  <w:abstractNum w:abstractNumId="5" w15:restartNumberingAfterBreak="0">
    <w:nsid w:val="00002A9E"/>
    <w:multiLevelType w:val="hybridMultilevel"/>
    <w:tmpl w:val="8B8E5BA2"/>
    <w:lvl w:ilvl="0" w:tplc="EAA20248">
      <w:start w:val="1"/>
      <w:numFmt w:val="lowerLetter"/>
      <w:lvlText w:val="%1)"/>
      <w:lvlJc w:val="left"/>
    </w:lvl>
    <w:lvl w:ilvl="1" w:tplc="C9509B5E">
      <w:numFmt w:val="decimal"/>
      <w:lvlText w:val=""/>
      <w:lvlJc w:val="left"/>
    </w:lvl>
    <w:lvl w:ilvl="2" w:tplc="DF62607C">
      <w:numFmt w:val="decimal"/>
      <w:lvlText w:val=""/>
      <w:lvlJc w:val="left"/>
    </w:lvl>
    <w:lvl w:ilvl="3" w:tplc="DC18450C">
      <w:numFmt w:val="decimal"/>
      <w:lvlText w:val=""/>
      <w:lvlJc w:val="left"/>
    </w:lvl>
    <w:lvl w:ilvl="4" w:tplc="57F234A2">
      <w:numFmt w:val="decimal"/>
      <w:lvlText w:val=""/>
      <w:lvlJc w:val="left"/>
    </w:lvl>
    <w:lvl w:ilvl="5" w:tplc="7A022700">
      <w:numFmt w:val="decimal"/>
      <w:lvlText w:val=""/>
      <w:lvlJc w:val="left"/>
    </w:lvl>
    <w:lvl w:ilvl="6" w:tplc="9A6EFE8A">
      <w:numFmt w:val="decimal"/>
      <w:lvlText w:val=""/>
      <w:lvlJc w:val="left"/>
    </w:lvl>
    <w:lvl w:ilvl="7" w:tplc="881E866A">
      <w:numFmt w:val="decimal"/>
      <w:lvlText w:val=""/>
      <w:lvlJc w:val="left"/>
    </w:lvl>
    <w:lvl w:ilvl="8" w:tplc="FCC4AA9A">
      <w:numFmt w:val="decimal"/>
      <w:lvlText w:val=""/>
      <w:lvlJc w:val="left"/>
    </w:lvl>
  </w:abstractNum>
  <w:abstractNum w:abstractNumId="6" w15:restartNumberingAfterBreak="0">
    <w:nsid w:val="00002BD8"/>
    <w:multiLevelType w:val="hybridMultilevel"/>
    <w:tmpl w:val="B62C4EC4"/>
    <w:lvl w:ilvl="0" w:tplc="35EAD5CA">
      <w:start w:val="2"/>
      <w:numFmt w:val="decimal"/>
      <w:lvlText w:val="%1."/>
      <w:lvlJc w:val="left"/>
    </w:lvl>
    <w:lvl w:ilvl="1" w:tplc="1E7838D6">
      <w:numFmt w:val="decimal"/>
      <w:lvlText w:val=""/>
      <w:lvlJc w:val="left"/>
    </w:lvl>
    <w:lvl w:ilvl="2" w:tplc="F514AB38">
      <w:numFmt w:val="decimal"/>
      <w:lvlText w:val=""/>
      <w:lvlJc w:val="left"/>
    </w:lvl>
    <w:lvl w:ilvl="3" w:tplc="2C8A0B5A">
      <w:numFmt w:val="decimal"/>
      <w:lvlText w:val=""/>
      <w:lvlJc w:val="left"/>
    </w:lvl>
    <w:lvl w:ilvl="4" w:tplc="00CE36E0">
      <w:numFmt w:val="decimal"/>
      <w:lvlText w:val=""/>
      <w:lvlJc w:val="left"/>
    </w:lvl>
    <w:lvl w:ilvl="5" w:tplc="80FE3168">
      <w:numFmt w:val="decimal"/>
      <w:lvlText w:val=""/>
      <w:lvlJc w:val="left"/>
    </w:lvl>
    <w:lvl w:ilvl="6" w:tplc="C3843FEA">
      <w:numFmt w:val="decimal"/>
      <w:lvlText w:val=""/>
      <w:lvlJc w:val="left"/>
    </w:lvl>
    <w:lvl w:ilvl="7" w:tplc="4CD2AD94">
      <w:numFmt w:val="decimal"/>
      <w:lvlText w:val=""/>
      <w:lvlJc w:val="left"/>
    </w:lvl>
    <w:lvl w:ilvl="8" w:tplc="B29215CC">
      <w:numFmt w:val="decimal"/>
      <w:lvlText w:val=""/>
      <w:lvlJc w:val="left"/>
    </w:lvl>
  </w:abstractNum>
  <w:abstractNum w:abstractNumId="7" w15:restartNumberingAfterBreak="0">
    <w:nsid w:val="00002D4F"/>
    <w:multiLevelType w:val="hybridMultilevel"/>
    <w:tmpl w:val="7E9ED070"/>
    <w:lvl w:ilvl="0" w:tplc="0068F7B4">
      <w:start w:val="1"/>
      <w:numFmt w:val="decimal"/>
      <w:lvlText w:val="%1."/>
      <w:lvlJc w:val="left"/>
    </w:lvl>
    <w:lvl w:ilvl="1" w:tplc="5BD09D3A">
      <w:numFmt w:val="decimal"/>
      <w:lvlText w:val=""/>
      <w:lvlJc w:val="left"/>
    </w:lvl>
    <w:lvl w:ilvl="2" w:tplc="31C0E0A8">
      <w:numFmt w:val="decimal"/>
      <w:lvlText w:val=""/>
      <w:lvlJc w:val="left"/>
    </w:lvl>
    <w:lvl w:ilvl="3" w:tplc="0BD43CD8">
      <w:numFmt w:val="decimal"/>
      <w:lvlText w:val=""/>
      <w:lvlJc w:val="left"/>
    </w:lvl>
    <w:lvl w:ilvl="4" w:tplc="7B7E02CE">
      <w:numFmt w:val="decimal"/>
      <w:lvlText w:val=""/>
      <w:lvlJc w:val="left"/>
    </w:lvl>
    <w:lvl w:ilvl="5" w:tplc="FDB6E7AC">
      <w:numFmt w:val="decimal"/>
      <w:lvlText w:val=""/>
      <w:lvlJc w:val="left"/>
    </w:lvl>
    <w:lvl w:ilvl="6" w:tplc="35C8815A">
      <w:numFmt w:val="decimal"/>
      <w:lvlText w:val=""/>
      <w:lvlJc w:val="left"/>
    </w:lvl>
    <w:lvl w:ilvl="7" w:tplc="DAFCB05C">
      <w:numFmt w:val="decimal"/>
      <w:lvlText w:val=""/>
      <w:lvlJc w:val="left"/>
    </w:lvl>
    <w:lvl w:ilvl="8" w:tplc="3E0A7E0C">
      <w:numFmt w:val="decimal"/>
      <w:lvlText w:val=""/>
      <w:lvlJc w:val="left"/>
    </w:lvl>
  </w:abstractNum>
  <w:abstractNum w:abstractNumId="8" w15:restartNumberingAfterBreak="0">
    <w:nsid w:val="00002E3D"/>
    <w:multiLevelType w:val="hybridMultilevel"/>
    <w:tmpl w:val="0B10C09A"/>
    <w:lvl w:ilvl="0" w:tplc="75D297E0">
      <w:start w:val="1"/>
      <w:numFmt w:val="lowerLetter"/>
      <w:lvlText w:val="%1)"/>
      <w:lvlJc w:val="left"/>
    </w:lvl>
    <w:lvl w:ilvl="1" w:tplc="D4E02324">
      <w:numFmt w:val="decimal"/>
      <w:lvlText w:val=""/>
      <w:lvlJc w:val="left"/>
    </w:lvl>
    <w:lvl w:ilvl="2" w:tplc="7826DF0C">
      <w:numFmt w:val="decimal"/>
      <w:lvlText w:val=""/>
      <w:lvlJc w:val="left"/>
    </w:lvl>
    <w:lvl w:ilvl="3" w:tplc="5C8E3EA8">
      <w:numFmt w:val="decimal"/>
      <w:lvlText w:val=""/>
      <w:lvlJc w:val="left"/>
    </w:lvl>
    <w:lvl w:ilvl="4" w:tplc="3A22B608">
      <w:numFmt w:val="decimal"/>
      <w:lvlText w:val=""/>
      <w:lvlJc w:val="left"/>
    </w:lvl>
    <w:lvl w:ilvl="5" w:tplc="F5B8425C">
      <w:numFmt w:val="decimal"/>
      <w:lvlText w:val=""/>
      <w:lvlJc w:val="left"/>
    </w:lvl>
    <w:lvl w:ilvl="6" w:tplc="1C00A122">
      <w:numFmt w:val="decimal"/>
      <w:lvlText w:val=""/>
      <w:lvlJc w:val="left"/>
    </w:lvl>
    <w:lvl w:ilvl="7" w:tplc="485075EC">
      <w:numFmt w:val="decimal"/>
      <w:lvlText w:val=""/>
      <w:lvlJc w:val="left"/>
    </w:lvl>
    <w:lvl w:ilvl="8" w:tplc="6D5835C2">
      <w:numFmt w:val="decimal"/>
      <w:lvlText w:val=""/>
      <w:lvlJc w:val="left"/>
    </w:lvl>
  </w:abstractNum>
  <w:abstractNum w:abstractNumId="9" w15:restartNumberingAfterBreak="0">
    <w:nsid w:val="000034AF"/>
    <w:multiLevelType w:val="hybridMultilevel"/>
    <w:tmpl w:val="37DA288E"/>
    <w:lvl w:ilvl="0" w:tplc="3CD4050A">
      <w:start w:val="1"/>
      <w:numFmt w:val="lowerLetter"/>
      <w:lvlText w:val="%1)"/>
      <w:lvlJc w:val="left"/>
    </w:lvl>
    <w:lvl w:ilvl="1" w:tplc="91DAC7BE">
      <w:numFmt w:val="decimal"/>
      <w:lvlText w:val=""/>
      <w:lvlJc w:val="left"/>
    </w:lvl>
    <w:lvl w:ilvl="2" w:tplc="453EE968">
      <w:numFmt w:val="decimal"/>
      <w:lvlText w:val=""/>
      <w:lvlJc w:val="left"/>
    </w:lvl>
    <w:lvl w:ilvl="3" w:tplc="D6005832">
      <w:numFmt w:val="decimal"/>
      <w:lvlText w:val=""/>
      <w:lvlJc w:val="left"/>
    </w:lvl>
    <w:lvl w:ilvl="4" w:tplc="E056C544">
      <w:numFmt w:val="decimal"/>
      <w:lvlText w:val=""/>
      <w:lvlJc w:val="left"/>
    </w:lvl>
    <w:lvl w:ilvl="5" w:tplc="761693E2">
      <w:numFmt w:val="decimal"/>
      <w:lvlText w:val=""/>
      <w:lvlJc w:val="left"/>
    </w:lvl>
    <w:lvl w:ilvl="6" w:tplc="EB2A3476">
      <w:numFmt w:val="decimal"/>
      <w:lvlText w:val=""/>
      <w:lvlJc w:val="left"/>
    </w:lvl>
    <w:lvl w:ilvl="7" w:tplc="DAC42708">
      <w:numFmt w:val="decimal"/>
      <w:lvlText w:val=""/>
      <w:lvlJc w:val="left"/>
    </w:lvl>
    <w:lvl w:ilvl="8" w:tplc="EB9E9A7C">
      <w:numFmt w:val="decimal"/>
      <w:lvlText w:val=""/>
      <w:lvlJc w:val="left"/>
    </w:lvl>
  </w:abstractNum>
  <w:abstractNum w:abstractNumId="10" w15:restartNumberingAfterBreak="0">
    <w:nsid w:val="00003D84"/>
    <w:multiLevelType w:val="hybridMultilevel"/>
    <w:tmpl w:val="850EFE40"/>
    <w:lvl w:ilvl="0" w:tplc="770A5186">
      <w:start w:val="1"/>
      <w:numFmt w:val="lowerLetter"/>
      <w:lvlText w:val="%1)"/>
      <w:lvlJc w:val="left"/>
    </w:lvl>
    <w:lvl w:ilvl="1" w:tplc="F034A31C">
      <w:numFmt w:val="decimal"/>
      <w:lvlText w:val=""/>
      <w:lvlJc w:val="left"/>
    </w:lvl>
    <w:lvl w:ilvl="2" w:tplc="EE7A6506">
      <w:numFmt w:val="decimal"/>
      <w:lvlText w:val=""/>
      <w:lvlJc w:val="left"/>
    </w:lvl>
    <w:lvl w:ilvl="3" w:tplc="022A3D7C">
      <w:numFmt w:val="decimal"/>
      <w:lvlText w:val=""/>
      <w:lvlJc w:val="left"/>
    </w:lvl>
    <w:lvl w:ilvl="4" w:tplc="31BA2652">
      <w:numFmt w:val="decimal"/>
      <w:lvlText w:val=""/>
      <w:lvlJc w:val="left"/>
    </w:lvl>
    <w:lvl w:ilvl="5" w:tplc="A1920916">
      <w:numFmt w:val="decimal"/>
      <w:lvlText w:val=""/>
      <w:lvlJc w:val="left"/>
    </w:lvl>
    <w:lvl w:ilvl="6" w:tplc="0CD0C21A">
      <w:numFmt w:val="decimal"/>
      <w:lvlText w:val=""/>
      <w:lvlJc w:val="left"/>
    </w:lvl>
    <w:lvl w:ilvl="7" w:tplc="10BC56F0">
      <w:numFmt w:val="decimal"/>
      <w:lvlText w:val=""/>
      <w:lvlJc w:val="left"/>
    </w:lvl>
    <w:lvl w:ilvl="8" w:tplc="B1FEF680">
      <w:numFmt w:val="decimal"/>
      <w:lvlText w:val=""/>
      <w:lvlJc w:val="left"/>
    </w:lvl>
  </w:abstractNum>
  <w:abstractNum w:abstractNumId="11" w15:restartNumberingAfterBreak="0">
    <w:nsid w:val="00003EA4"/>
    <w:multiLevelType w:val="hybridMultilevel"/>
    <w:tmpl w:val="FD9CE238"/>
    <w:lvl w:ilvl="0" w:tplc="2AA09D5C">
      <w:start w:val="1"/>
      <w:numFmt w:val="lowerLetter"/>
      <w:lvlText w:val="%1)"/>
      <w:lvlJc w:val="left"/>
    </w:lvl>
    <w:lvl w:ilvl="1" w:tplc="7C7C39A8">
      <w:numFmt w:val="decimal"/>
      <w:lvlText w:val=""/>
      <w:lvlJc w:val="left"/>
    </w:lvl>
    <w:lvl w:ilvl="2" w:tplc="441EA640">
      <w:numFmt w:val="decimal"/>
      <w:lvlText w:val=""/>
      <w:lvlJc w:val="left"/>
    </w:lvl>
    <w:lvl w:ilvl="3" w:tplc="5560A0A8">
      <w:numFmt w:val="decimal"/>
      <w:lvlText w:val=""/>
      <w:lvlJc w:val="left"/>
    </w:lvl>
    <w:lvl w:ilvl="4" w:tplc="EE90B6CE">
      <w:numFmt w:val="decimal"/>
      <w:lvlText w:val=""/>
      <w:lvlJc w:val="left"/>
    </w:lvl>
    <w:lvl w:ilvl="5" w:tplc="8C262D40">
      <w:numFmt w:val="decimal"/>
      <w:lvlText w:val=""/>
      <w:lvlJc w:val="left"/>
    </w:lvl>
    <w:lvl w:ilvl="6" w:tplc="7AEE8060">
      <w:numFmt w:val="decimal"/>
      <w:lvlText w:val=""/>
      <w:lvlJc w:val="left"/>
    </w:lvl>
    <w:lvl w:ilvl="7" w:tplc="64B29FF2">
      <w:numFmt w:val="decimal"/>
      <w:lvlText w:val=""/>
      <w:lvlJc w:val="left"/>
    </w:lvl>
    <w:lvl w:ilvl="8" w:tplc="A86CCCF8">
      <w:numFmt w:val="decimal"/>
      <w:lvlText w:val=""/>
      <w:lvlJc w:val="left"/>
    </w:lvl>
  </w:abstractNum>
  <w:abstractNum w:abstractNumId="12" w15:restartNumberingAfterBreak="0">
    <w:nsid w:val="000040B5"/>
    <w:multiLevelType w:val="hybridMultilevel"/>
    <w:tmpl w:val="FE523CE0"/>
    <w:lvl w:ilvl="0" w:tplc="C960E076">
      <w:start w:val="2"/>
      <w:numFmt w:val="decimal"/>
      <w:lvlText w:val="%1."/>
      <w:lvlJc w:val="left"/>
    </w:lvl>
    <w:lvl w:ilvl="1" w:tplc="8FCE47EE">
      <w:numFmt w:val="decimal"/>
      <w:lvlText w:val=""/>
      <w:lvlJc w:val="left"/>
    </w:lvl>
    <w:lvl w:ilvl="2" w:tplc="010EEA7A">
      <w:numFmt w:val="decimal"/>
      <w:lvlText w:val=""/>
      <w:lvlJc w:val="left"/>
    </w:lvl>
    <w:lvl w:ilvl="3" w:tplc="CEA88540">
      <w:numFmt w:val="decimal"/>
      <w:lvlText w:val=""/>
      <w:lvlJc w:val="left"/>
    </w:lvl>
    <w:lvl w:ilvl="4" w:tplc="6780FD3C">
      <w:numFmt w:val="decimal"/>
      <w:lvlText w:val=""/>
      <w:lvlJc w:val="left"/>
    </w:lvl>
    <w:lvl w:ilvl="5" w:tplc="A0A09244">
      <w:numFmt w:val="decimal"/>
      <w:lvlText w:val=""/>
      <w:lvlJc w:val="left"/>
    </w:lvl>
    <w:lvl w:ilvl="6" w:tplc="E3805D94">
      <w:numFmt w:val="decimal"/>
      <w:lvlText w:val=""/>
      <w:lvlJc w:val="left"/>
    </w:lvl>
    <w:lvl w:ilvl="7" w:tplc="51709E24">
      <w:numFmt w:val="decimal"/>
      <w:lvlText w:val=""/>
      <w:lvlJc w:val="left"/>
    </w:lvl>
    <w:lvl w:ilvl="8" w:tplc="4216A186">
      <w:numFmt w:val="decimal"/>
      <w:lvlText w:val=""/>
      <w:lvlJc w:val="left"/>
    </w:lvl>
  </w:abstractNum>
  <w:abstractNum w:abstractNumId="13" w15:restartNumberingAfterBreak="0">
    <w:nsid w:val="00004ABF"/>
    <w:multiLevelType w:val="hybridMultilevel"/>
    <w:tmpl w:val="B63CB04C"/>
    <w:lvl w:ilvl="0" w:tplc="D44CF2C0">
      <w:start w:val="1"/>
      <w:numFmt w:val="decimal"/>
      <w:lvlText w:val="%1."/>
      <w:lvlJc w:val="left"/>
    </w:lvl>
    <w:lvl w:ilvl="1" w:tplc="3BF8E964">
      <w:numFmt w:val="decimal"/>
      <w:lvlText w:val=""/>
      <w:lvlJc w:val="left"/>
    </w:lvl>
    <w:lvl w:ilvl="2" w:tplc="54469AA6">
      <w:numFmt w:val="decimal"/>
      <w:lvlText w:val=""/>
      <w:lvlJc w:val="left"/>
    </w:lvl>
    <w:lvl w:ilvl="3" w:tplc="7032B6C4">
      <w:numFmt w:val="decimal"/>
      <w:lvlText w:val=""/>
      <w:lvlJc w:val="left"/>
    </w:lvl>
    <w:lvl w:ilvl="4" w:tplc="02A4AF38">
      <w:numFmt w:val="decimal"/>
      <w:lvlText w:val=""/>
      <w:lvlJc w:val="left"/>
    </w:lvl>
    <w:lvl w:ilvl="5" w:tplc="7C2636AE">
      <w:numFmt w:val="decimal"/>
      <w:lvlText w:val=""/>
      <w:lvlJc w:val="left"/>
    </w:lvl>
    <w:lvl w:ilvl="6" w:tplc="3BFC7BEA">
      <w:numFmt w:val="decimal"/>
      <w:lvlText w:val=""/>
      <w:lvlJc w:val="left"/>
    </w:lvl>
    <w:lvl w:ilvl="7" w:tplc="238ACDF8">
      <w:numFmt w:val="decimal"/>
      <w:lvlText w:val=""/>
      <w:lvlJc w:val="left"/>
    </w:lvl>
    <w:lvl w:ilvl="8" w:tplc="3D9868BC">
      <w:numFmt w:val="decimal"/>
      <w:lvlText w:val=""/>
      <w:lvlJc w:val="left"/>
    </w:lvl>
  </w:abstractNum>
  <w:abstractNum w:abstractNumId="14" w15:restartNumberingAfterBreak="0">
    <w:nsid w:val="00004FCA"/>
    <w:multiLevelType w:val="hybridMultilevel"/>
    <w:tmpl w:val="C7465DE8"/>
    <w:lvl w:ilvl="0" w:tplc="040C998C">
      <w:start w:val="1"/>
      <w:numFmt w:val="lowerLetter"/>
      <w:lvlText w:val="%1)"/>
      <w:lvlJc w:val="left"/>
    </w:lvl>
    <w:lvl w:ilvl="1" w:tplc="F6B292F8">
      <w:numFmt w:val="decimal"/>
      <w:lvlText w:val=""/>
      <w:lvlJc w:val="left"/>
    </w:lvl>
    <w:lvl w:ilvl="2" w:tplc="A1688806">
      <w:numFmt w:val="decimal"/>
      <w:lvlText w:val=""/>
      <w:lvlJc w:val="left"/>
    </w:lvl>
    <w:lvl w:ilvl="3" w:tplc="D766038E">
      <w:numFmt w:val="decimal"/>
      <w:lvlText w:val=""/>
      <w:lvlJc w:val="left"/>
    </w:lvl>
    <w:lvl w:ilvl="4" w:tplc="C4D6C8B2">
      <w:numFmt w:val="decimal"/>
      <w:lvlText w:val=""/>
      <w:lvlJc w:val="left"/>
    </w:lvl>
    <w:lvl w:ilvl="5" w:tplc="0394C71E">
      <w:numFmt w:val="decimal"/>
      <w:lvlText w:val=""/>
      <w:lvlJc w:val="left"/>
    </w:lvl>
    <w:lvl w:ilvl="6" w:tplc="719CE46E">
      <w:numFmt w:val="decimal"/>
      <w:lvlText w:val=""/>
      <w:lvlJc w:val="left"/>
    </w:lvl>
    <w:lvl w:ilvl="7" w:tplc="CEE25E3A">
      <w:numFmt w:val="decimal"/>
      <w:lvlText w:val=""/>
      <w:lvlJc w:val="left"/>
    </w:lvl>
    <w:lvl w:ilvl="8" w:tplc="59F2FF4A">
      <w:numFmt w:val="decimal"/>
      <w:lvlText w:val=""/>
      <w:lvlJc w:val="left"/>
    </w:lvl>
  </w:abstractNum>
  <w:abstractNum w:abstractNumId="15" w15:restartNumberingAfterBreak="0">
    <w:nsid w:val="00005584"/>
    <w:multiLevelType w:val="hybridMultilevel"/>
    <w:tmpl w:val="A30475AA"/>
    <w:lvl w:ilvl="0" w:tplc="6C20A164">
      <w:start w:val="2"/>
      <w:numFmt w:val="decimal"/>
      <w:lvlText w:val="%1."/>
      <w:lvlJc w:val="left"/>
    </w:lvl>
    <w:lvl w:ilvl="1" w:tplc="0D0CFD66">
      <w:numFmt w:val="decimal"/>
      <w:lvlText w:val=""/>
      <w:lvlJc w:val="left"/>
    </w:lvl>
    <w:lvl w:ilvl="2" w:tplc="DD580B38">
      <w:numFmt w:val="decimal"/>
      <w:lvlText w:val=""/>
      <w:lvlJc w:val="left"/>
    </w:lvl>
    <w:lvl w:ilvl="3" w:tplc="B518E63A">
      <w:numFmt w:val="decimal"/>
      <w:lvlText w:val=""/>
      <w:lvlJc w:val="left"/>
    </w:lvl>
    <w:lvl w:ilvl="4" w:tplc="CB36832C">
      <w:numFmt w:val="decimal"/>
      <w:lvlText w:val=""/>
      <w:lvlJc w:val="left"/>
    </w:lvl>
    <w:lvl w:ilvl="5" w:tplc="B68EFABE">
      <w:numFmt w:val="decimal"/>
      <w:lvlText w:val=""/>
      <w:lvlJc w:val="left"/>
    </w:lvl>
    <w:lvl w:ilvl="6" w:tplc="EE142FD8">
      <w:numFmt w:val="decimal"/>
      <w:lvlText w:val=""/>
      <w:lvlJc w:val="left"/>
    </w:lvl>
    <w:lvl w:ilvl="7" w:tplc="BCD241EE">
      <w:numFmt w:val="decimal"/>
      <w:lvlText w:val=""/>
      <w:lvlJc w:val="left"/>
    </w:lvl>
    <w:lvl w:ilvl="8" w:tplc="944A4D64">
      <w:numFmt w:val="decimal"/>
      <w:lvlText w:val=""/>
      <w:lvlJc w:val="left"/>
    </w:lvl>
  </w:abstractNum>
  <w:abstractNum w:abstractNumId="16" w15:restartNumberingAfterBreak="0">
    <w:nsid w:val="0000598D"/>
    <w:multiLevelType w:val="hybridMultilevel"/>
    <w:tmpl w:val="95B25794"/>
    <w:lvl w:ilvl="0" w:tplc="2E061184">
      <w:start w:val="1"/>
      <w:numFmt w:val="decimal"/>
      <w:lvlText w:val="%1."/>
      <w:lvlJc w:val="left"/>
    </w:lvl>
    <w:lvl w:ilvl="1" w:tplc="4E28E054">
      <w:numFmt w:val="decimal"/>
      <w:lvlText w:val=""/>
      <w:lvlJc w:val="left"/>
    </w:lvl>
    <w:lvl w:ilvl="2" w:tplc="72AA5AA4">
      <w:numFmt w:val="decimal"/>
      <w:lvlText w:val=""/>
      <w:lvlJc w:val="left"/>
    </w:lvl>
    <w:lvl w:ilvl="3" w:tplc="B5B6A51A">
      <w:numFmt w:val="decimal"/>
      <w:lvlText w:val=""/>
      <w:lvlJc w:val="left"/>
    </w:lvl>
    <w:lvl w:ilvl="4" w:tplc="6932106C">
      <w:numFmt w:val="decimal"/>
      <w:lvlText w:val=""/>
      <w:lvlJc w:val="left"/>
    </w:lvl>
    <w:lvl w:ilvl="5" w:tplc="4246C426">
      <w:numFmt w:val="decimal"/>
      <w:lvlText w:val=""/>
      <w:lvlJc w:val="left"/>
    </w:lvl>
    <w:lvl w:ilvl="6" w:tplc="672672A6">
      <w:numFmt w:val="decimal"/>
      <w:lvlText w:val=""/>
      <w:lvlJc w:val="left"/>
    </w:lvl>
    <w:lvl w:ilvl="7" w:tplc="B7167CBA">
      <w:numFmt w:val="decimal"/>
      <w:lvlText w:val=""/>
      <w:lvlJc w:val="left"/>
    </w:lvl>
    <w:lvl w:ilvl="8" w:tplc="78025AE6">
      <w:numFmt w:val="decimal"/>
      <w:lvlText w:val=""/>
      <w:lvlJc w:val="left"/>
    </w:lvl>
  </w:abstractNum>
  <w:abstractNum w:abstractNumId="17" w15:restartNumberingAfterBreak="0">
    <w:nsid w:val="000061F0"/>
    <w:multiLevelType w:val="hybridMultilevel"/>
    <w:tmpl w:val="74C28FBA"/>
    <w:lvl w:ilvl="0" w:tplc="7160E972">
      <w:start w:val="1"/>
      <w:numFmt w:val="decimal"/>
      <w:lvlText w:val="%1."/>
      <w:lvlJc w:val="left"/>
    </w:lvl>
    <w:lvl w:ilvl="1" w:tplc="54B07CE8">
      <w:numFmt w:val="decimal"/>
      <w:lvlText w:val=""/>
      <w:lvlJc w:val="left"/>
    </w:lvl>
    <w:lvl w:ilvl="2" w:tplc="73DC3C52">
      <w:numFmt w:val="decimal"/>
      <w:lvlText w:val=""/>
      <w:lvlJc w:val="left"/>
    </w:lvl>
    <w:lvl w:ilvl="3" w:tplc="732278EE">
      <w:numFmt w:val="decimal"/>
      <w:lvlText w:val=""/>
      <w:lvlJc w:val="left"/>
    </w:lvl>
    <w:lvl w:ilvl="4" w:tplc="DE40BE4C">
      <w:numFmt w:val="decimal"/>
      <w:lvlText w:val=""/>
      <w:lvlJc w:val="left"/>
    </w:lvl>
    <w:lvl w:ilvl="5" w:tplc="D90072C4">
      <w:numFmt w:val="decimal"/>
      <w:lvlText w:val=""/>
      <w:lvlJc w:val="left"/>
    </w:lvl>
    <w:lvl w:ilvl="6" w:tplc="2A0C94A0">
      <w:numFmt w:val="decimal"/>
      <w:lvlText w:val=""/>
      <w:lvlJc w:val="left"/>
    </w:lvl>
    <w:lvl w:ilvl="7" w:tplc="5ECAE6BA">
      <w:numFmt w:val="decimal"/>
      <w:lvlText w:val=""/>
      <w:lvlJc w:val="left"/>
    </w:lvl>
    <w:lvl w:ilvl="8" w:tplc="28500874">
      <w:numFmt w:val="decimal"/>
      <w:lvlText w:val=""/>
      <w:lvlJc w:val="left"/>
    </w:lvl>
  </w:abstractNum>
  <w:abstractNum w:abstractNumId="18" w15:restartNumberingAfterBreak="0">
    <w:nsid w:val="000071F6"/>
    <w:multiLevelType w:val="hybridMultilevel"/>
    <w:tmpl w:val="026A122C"/>
    <w:lvl w:ilvl="0" w:tplc="9878AA42">
      <w:start w:val="1"/>
      <w:numFmt w:val="lowerLetter"/>
      <w:lvlText w:val="%1)"/>
      <w:lvlJc w:val="left"/>
    </w:lvl>
    <w:lvl w:ilvl="1" w:tplc="17C2F69A">
      <w:numFmt w:val="decimal"/>
      <w:lvlText w:val=""/>
      <w:lvlJc w:val="left"/>
    </w:lvl>
    <w:lvl w:ilvl="2" w:tplc="2DAEC52C">
      <w:numFmt w:val="decimal"/>
      <w:lvlText w:val=""/>
      <w:lvlJc w:val="left"/>
    </w:lvl>
    <w:lvl w:ilvl="3" w:tplc="C324E304">
      <w:numFmt w:val="decimal"/>
      <w:lvlText w:val=""/>
      <w:lvlJc w:val="left"/>
    </w:lvl>
    <w:lvl w:ilvl="4" w:tplc="B03A1EEC">
      <w:numFmt w:val="decimal"/>
      <w:lvlText w:val=""/>
      <w:lvlJc w:val="left"/>
    </w:lvl>
    <w:lvl w:ilvl="5" w:tplc="CB3C5214">
      <w:numFmt w:val="decimal"/>
      <w:lvlText w:val=""/>
      <w:lvlJc w:val="left"/>
    </w:lvl>
    <w:lvl w:ilvl="6" w:tplc="485C6E16">
      <w:numFmt w:val="decimal"/>
      <w:lvlText w:val=""/>
      <w:lvlJc w:val="left"/>
    </w:lvl>
    <w:lvl w:ilvl="7" w:tplc="E58005C2">
      <w:numFmt w:val="decimal"/>
      <w:lvlText w:val=""/>
      <w:lvlJc w:val="left"/>
    </w:lvl>
    <w:lvl w:ilvl="8" w:tplc="36747584">
      <w:numFmt w:val="decimal"/>
      <w:lvlText w:val=""/>
      <w:lvlJc w:val="left"/>
    </w:lvl>
  </w:abstractNum>
  <w:abstractNum w:abstractNumId="19" w15:restartNumberingAfterBreak="0">
    <w:nsid w:val="000072A8"/>
    <w:multiLevelType w:val="hybridMultilevel"/>
    <w:tmpl w:val="4C443D04"/>
    <w:lvl w:ilvl="0" w:tplc="30987D84">
      <w:start w:val="1"/>
      <w:numFmt w:val="decimal"/>
      <w:lvlText w:val="%1."/>
      <w:lvlJc w:val="left"/>
    </w:lvl>
    <w:lvl w:ilvl="1" w:tplc="91F259A0">
      <w:start w:val="3"/>
      <w:numFmt w:val="decimal"/>
      <w:lvlText w:val="%2."/>
      <w:lvlJc w:val="left"/>
    </w:lvl>
    <w:lvl w:ilvl="2" w:tplc="A2C4A50E">
      <w:numFmt w:val="decimal"/>
      <w:lvlText w:val=""/>
      <w:lvlJc w:val="left"/>
    </w:lvl>
    <w:lvl w:ilvl="3" w:tplc="7CD2FF82">
      <w:numFmt w:val="decimal"/>
      <w:lvlText w:val=""/>
      <w:lvlJc w:val="left"/>
    </w:lvl>
    <w:lvl w:ilvl="4" w:tplc="D94CBABC">
      <w:numFmt w:val="decimal"/>
      <w:lvlText w:val=""/>
      <w:lvlJc w:val="left"/>
    </w:lvl>
    <w:lvl w:ilvl="5" w:tplc="5AFE29D8">
      <w:numFmt w:val="decimal"/>
      <w:lvlText w:val=""/>
      <w:lvlJc w:val="left"/>
    </w:lvl>
    <w:lvl w:ilvl="6" w:tplc="8B2CB3D8">
      <w:numFmt w:val="decimal"/>
      <w:lvlText w:val=""/>
      <w:lvlJc w:val="left"/>
    </w:lvl>
    <w:lvl w:ilvl="7" w:tplc="DF5E97D8">
      <w:numFmt w:val="decimal"/>
      <w:lvlText w:val=""/>
      <w:lvlJc w:val="left"/>
    </w:lvl>
    <w:lvl w:ilvl="8" w:tplc="AC5CC248">
      <w:numFmt w:val="decimal"/>
      <w:lvlText w:val=""/>
      <w:lvlJc w:val="left"/>
    </w:lvl>
  </w:abstractNum>
  <w:abstractNum w:abstractNumId="20" w15:restartNumberingAfterBreak="0">
    <w:nsid w:val="000078FE"/>
    <w:multiLevelType w:val="hybridMultilevel"/>
    <w:tmpl w:val="BCD26326"/>
    <w:lvl w:ilvl="0" w:tplc="3DE28CB2">
      <w:start w:val="1"/>
      <w:numFmt w:val="decimal"/>
      <w:lvlText w:val="%1."/>
      <w:lvlJc w:val="left"/>
    </w:lvl>
    <w:lvl w:ilvl="1" w:tplc="2A22A904">
      <w:numFmt w:val="decimal"/>
      <w:lvlText w:val=""/>
      <w:lvlJc w:val="left"/>
    </w:lvl>
    <w:lvl w:ilvl="2" w:tplc="7DF0FA9C">
      <w:numFmt w:val="decimal"/>
      <w:lvlText w:val=""/>
      <w:lvlJc w:val="left"/>
    </w:lvl>
    <w:lvl w:ilvl="3" w:tplc="BBC86016">
      <w:numFmt w:val="decimal"/>
      <w:lvlText w:val=""/>
      <w:lvlJc w:val="left"/>
    </w:lvl>
    <w:lvl w:ilvl="4" w:tplc="BBE84102">
      <w:numFmt w:val="decimal"/>
      <w:lvlText w:val=""/>
      <w:lvlJc w:val="left"/>
    </w:lvl>
    <w:lvl w:ilvl="5" w:tplc="443AEA3A">
      <w:numFmt w:val="decimal"/>
      <w:lvlText w:val=""/>
      <w:lvlJc w:val="left"/>
    </w:lvl>
    <w:lvl w:ilvl="6" w:tplc="3982C312">
      <w:numFmt w:val="decimal"/>
      <w:lvlText w:val=""/>
      <w:lvlJc w:val="left"/>
    </w:lvl>
    <w:lvl w:ilvl="7" w:tplc="32147266">
      <w:numFmt w:val="decimal"/>
      <w:lvlText w:val=""/>
      <w:lvlJc w:val="left"/>
    </w:lvl>
    <w:lvl w:ilvl="8" w:tplc="3086F2FE">
      <w:numFmt w:val="decimal"/>
      <w:lvlText w:val=""/>
      <w:lvlJc w:val="left"/>
    </w:lvl>
  </w:abstractNum>
  <w:abstractNum w:abstractNumId="21" w15:restartNumberingAfterBreak="0">
    <w:nsid w:val="00007CEE"/>
    <w:multiLevelType w:val="hybridMultilevel"/>
    <w:tmpl w:val="7E8E7B14"/>
    <w:lvl w:ilvl="0" w:tplc="464C65EA">
      <w:start w:val="1"/>
      <w:numFmt w:val="lowerLetter"/>
      <w:lvlText w:val="%1)"/>
      <w:lvlJc w:val="left"/>
    </w:lvl>
    <w:lvl w:ilvl="1" w:tplc="62EC7D1E">
      <w:numFmt w:val="decimal"/>
      <w:lvlText w:val=""/>
      <w:lvlJc w:val="left"/>
    </w:lvl>
    <w:lvl w:ilvl="2" w:tplc="6C5A4140">
      <w:numFmt w:val="decimal"/>
      <w:lvlText w:val=""/>
      <w:lvlJc w:val="left"/>
    </w:lvl>
    <w:lvl w:ilvl="3" w:tplc="90C8C912">
      <w:numFmt w:val="decimal"/>
      <w:lvlText w:val=""/>
      <w:lvlJc w:val="left"/>
    </w:lvl>
    <w:lvl w:ilvl="4" w:tplc="4F142BC2">
      <w:numFmt w:val="decimal"/>
      <w:lvlText w:val=""/>
      <w:lvlJc w:val="left"/>
    </w:lvl>
    <w:lvl w:ilvl="5" w:tplc="1FD47A7A">
      <w:numFmt w:val="decimal"/>
      <w:lvlText w:val=""/>
      <w:lvlJc w:val="left"/>
    </w:lvl>
    <w:lvl w:ilvl="6" w:tplc="23F2497E">
      <w:numFmt w:val="decimal"/>
      <w:lvlText w:val=""/>
      <w:lvlJc w:val="left"/>
    </w:lvl>
    <w:lvl w:ilvl="7" w:tplc="F8A44B8E">
      <w:numFmt w:val="decimal"/>
      <w:lvlText w:val=""/>
      <w:lvlJc w:val="left"/>
    </w:lvl>
    <w:lvl w:ilvl="8" w:tplc="17FCA110">
      <w:numFmt w:val="decimal"/>
      <w:lvlText w:val=""/>
      <w:lvlJc w:val="left"/>
    </w:lvl>
  </w:abstractNum>
  <w:abstractNum w:abstractNumId="22" w15:restartNumberingAfterBreak="0">
    <w:nsid w:val="0A812EC0"/>
    <w:multiLevelType w:val="hybridMultilevel"/>
    <w:tmpl w:val="AD181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0E24F02"/>
    <w:multiLevelType w:val="hybridMultilevel"/>
    <w:tmpl w:val="FF8C6B40"/>
    <w:lvl w:ilvl="0" w:tplc="D272DC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51757B6"/>
    <w:multiLevelType w:val="hybridMultilevel"/>
    <w:tmpl w:val="1EA29B2A"/>
    <w:lvl w:ilvl="0" w:tplc="30CA1452">
      <w:start w:val="1"/>
      <w:numFmt w:val="lowerRoman"/>
      <w:lvlText w:val="%1."/>
      <w:lvlJc w:val="righ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918707A"/>
    <w:multiLevelType w:val="hybridMultilevel"/>
    <w:tmpl w:val="723C0B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C714BAA"/>
    <w:multiLevelType w:val="hybridMultilevel"/>
    <w:tmpl w:val="1B7009FA"/>
    <w:lvl w:ilvl="0" w:tplc="DFCAF8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E1C5F27"/>
    <w:multiLevelType w:val="hybridMultilevel"/>
    <w:tmpl w:val="E128542C"/>
    <w:lvl w:ilvl="0" w:tplc="AD1A68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E7816ED"/>
    <w:multiLevelType w:val="hybridMultilevel"/>
    <w:tmpl w:val="9766B696"/>
    <w:lvl w:ilvl="0" w:tplc="0388B0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0E65713"/>
    <w:multiLevelType w:val="hybridMultilevel"/>
    <w:tmpl w:val="583089EA"/>
    <w:lvl w:ilvl="0" w:tplc="FE06E18C">
      <w:start w:val="1"/>
      <w:numFmt w:val="lowerLetter"/>
      <w:lvlText w:val="(%1)"/>
      <w:lvlJc w:val="left"/>
      <w:pPr>
        <w:ind w:left="720" w:hanging="360"/>
      </w:pPr>
      <w:rPr>
        <w:rFonts w:hint="default"/>
      </w:rPr>
    </w:lvl>
    <w:lvl w:ilvl="1" w:tplc="63AC2AC8">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E802C5B"/>
    <w:multiLevelType w:val="hybridMultilevel"/>
    <w:tmpl w:val="67628156"/>
    <w:lvl w:ilvl="0" w:tplc="1EE48E98">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2EB233A"/>
    <w:multiLevelType w:val="hybridMultilevel"/>
    <w:tmpl w:val="BF04B202"/>
    <w:lvl w:ilvl="0" w:tplc="CCEE79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4740CC0"/>
    <w:multiLevelType w:val="hybridMultilevel"/>
    <w:tmpl w:val="5B88C922"/>
    <w:lvl w:ilvl="0" w:tplc="A330FD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355B15A7"/>
    <w:multiLevelType w:val="hybridMultilevel"/>
    <w:tmpl w:val="BB30D7C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327781E"/>
    <w:multiLevelType w:val="hybridMultilevel"/>
    <w:tmpl w:val="99B06A5E"/>
    <w:lvl w:ilvl="0" w:tplc="813425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B7F1A11"/>
    <w:multiLevelType w:val="multilevel"/>
    <w:tmpl w:val="5DB212FC"/>
    <w:lvl w:ilvl="0">
      <w:start w:val="1"/>
      <w:numFmt w:val="decimal"/>
      <w:lvlText w:val="%1."/>
      <w:lvlJc w:val="left"/>
      <w:pPr>
        <w:ind w:left="832" w:hanging="678"/>
      </w:pPr>
      <w:rPr>
        <w:rFonts w:ascii="Times New Roman" w:eastAsia="Times New Roman" w:hAnsi="Times New Roman" w:cs="Times New Roman" w:hint="default"/>
        <w:b/>
        <w:bCs/>
        <w:spacing w:val="-4"/>
        <w:w w:val="103"/>
        <w:sz w:val="22"/>
        <w:szCs w:val="22"/>
      </w:rPr>
    </w:lvl>
    <w:lvl w:ilvl="1">
      <w:start w:val="1"/>
      <w:numFmt w:val="decimal"/>
      <w:lvlText w:val="%1.%2"/>
      <w:lvlJc w:val="left"/>
      <w:pPr>
        <w:ind w:left="832" w:hanging="678"/>
      </w:pPr>
      <w:rPr>
        <w:rFonts w:hint="default"/>
        <w:b/>
        <w:bCs/>
        <w:spacing w:val="-1"/>
        <w:w w:val="103"/>
      </w:rPr>
    </w:lvl>
    <w:lvl w:ilvl="2">
      <w:start w:val="1"/>
      <w:numFmt w:val="lowerLetter"/>
      <w:lvlText w:val="(%3)"/>
      <w:lvlJc w:val="left"/>
      <w:pPr>
        <w:ind w:left="1509" w:hanging="678"/>
      </w:pPr>
      <w:rPr>
        <w:rFonts w:ascii="Times New Roman" w:eastAsia="Times New Roman" w:hAnsi="Times New Roman" w:cs="Times New Roman" w:hint="default"/>
        <w:spacing w:val="-1"/>
        <w:w w:val="103"/>
        <w:sz w:val="20"/>
        <w:szCs w:val="20"/>
      </w:rPr>
    </w:lvl>
    <w:lvl w:ilvl="3">
      <w:start w:val="1"/>
      <w:numFmt w:val="lowerRoman"/>
      <w:lvlText w:val="(%4)"/>
      <w:lvlJc w:val="left"/>
      <w:pPr>
        <w:ind w:left="1678" w:hanging="678"/>
      </w:pPr>
      <w:rPr>
        <w:rFonts w:ascii="Times New Roman" w:eastAsia="Times New Roman" w:hAnsi="Times New Roman" w:cs="Times New Roman" w:hint="default"/>
        <w:spacing w:val="-1"/>
        <w:w w:val="103"/>
        <w:sz w:val="20"/>
        <w:szCs w:val="20"/>
      </w:rPr>
    </w:lvl>
    <w:lvl w:ilvl="4">
      <w:numFmt w:val="bullet"/>
      <w:lvlText w:val="•"/>
      <w:lvlJc w:val="left"/>
      <w:pPr>
        <w:ind w:left="1500" w:hanging="678"/>
      </w:pPr>
      <w:rPr>
        <w:rFonts w:hint="default"/>
      </w:rPr>
    </w:lvl>
    <w:lvl w:ilvl="5">
      <w:numFmt w:val="bullet"/>
      <w:lvlText w:val="•"/>
      <w:lvlJc w:val="left"/>
      <w:pPr>
        <w:ind w:left="1680" w:hanging="678"/>
      </w:pPr>
      <w:rPr>
        <w:rFonts w:hint="default"/>
      </w:rPr>
    </w:lvl>
    <w:lvl w:ilvl="6">
      <w:numFmt w:val="bullet"/>
      <w:lvlText w:val="•"/>
      <w:lvlJc w:val="left"/>
      <w:pPr>
        <w:ind w:left="3156" w:hanging="678"/>
      </w:pPr>
      <w:rPr>
        <w:rFonts w:hint="default"/>
      </w:rPr>
    </w:lvl>
    <w:lvl w:ilvl="7">
      <w:numFmt w:val="bullet"/>
      <w:lvlText w:val="•"/>
      <w:lvlJc w:val="left"/>
      <w:pPr>
        <w:ind w:left="4632" w:hanging="678"/>
      </w:pPr>
      <w:rPr>
        <w:rFonts w:hint="default"/>
      </w:rPr>
    </w:lvl>
    <w:lvl w:ilvl="8">
      <w:numFmt w:val="bullet"/>
      <w:lvlText w:val="•"/>
      <w:lvlJc w:val="left"/>
      <w:pPr>
        <w:ind w:left="6108" w:hanging="678"/>
      </w:pPr>
      <w:rPr>
        <w:rFonts w:hint="default"/>
      </w:rPr>
    </w:lvl>
  </w:abstractNum>
  <w:abstractNum w:abstractNumId="36" w15:restartNumberingAfterBreak="0">
    <w:nsid w:val="4E4D3856"/>
    <w:multiLevelType w:val="hybridMultilevel"/>
    <w:tmpl w:val="151C1D8C"/>
    <w:lvl w:ilvl="0" w:tplc="D3AE72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2097908"/>
    <w:multiLevelType w:val="hybridMultilevel"/>
    <w:tmpl w:val="ACFCF57C"/>
    <w:lvl w:ilvl="0" w:tplc="58A6578A">
      <w:numFmt w:val="bullet"/>
      <w:lvlText w:val="-"/>
      <w:lvlJc w:val="left"/>
      <w:pPr>
        <w:ind w:left="680" w:hanging="360"/>
      </w:pPr>
      <w:rPr>
        <w:rFonts w:ascii="Calibri" w:eastAsiaTheme="minorHAnsi" w:hAnsi="Calibri" w:cs="Arial" w:hint="default"/>
      </w:rPr>
    </w:lvl>
    <w:lvl w:ilvl="1" w:tplc="08090003" w:tentative="1">
      <w:start w:val="1"/>
      <w:numFmt w:val="bullet"/>
      <w:lvlText w:val="o"/>
      <w:lvlJc w:val="left"/>
      <w:pPr>
        <w:ind w:left="1400" w:hanging="360"/>
      </w:pPr>
      <w:rPr>
        <w:rFonts w:ascii="Courier New" w:hAnsi="Courier New" w:cs="Courier New" w:hint="default"/>
      </w:rPr>
    </w:lvl>
    <w:lvl w:ilvl="2" w:tplc="08090005">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38" w15:restartNumberingAfterBreak="0">
    <w:nsid w:val="529602BE"/>
    <w:multiLevelType w:val="hybridMultilevel"/>
    <w:tmpl w:val="D5EA2C8C"/>
    <w:lvl w:ilvl="0" w:tplc="A94AFD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703DD4"/>
    <w:multiLevelType w:val="hybridMultilevel"/>
    <w:tmpl w:val="E63AC42C"/>
    <w:lvl w:ilvl="0" w:tplc="784ED1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58FBD6AC"/>
    <w:multiLevelType w:val="hybridMultilevel"/>
    <w:tmpl w:val="833ABC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C991ED8"/>
    <w:multiLevelType w:val="hybridMultilevel"/>
    <w:tmpl w:val="623CFF20"/>
    <w:lvl w:ilvl="0" w:tplc="EDDCA730">
      <w:start w:val="1"/>
      <w:numFmt w:val="decimal"/>
      <w:lvlText w:val="%1."/>
      <w:lvlJc w:val="left"/>
      <w:pPr>
        <w:ind w:left="492" w:hanging="339"/>
      </w:pPr>
      <w:rPr>
        <w:rFonts w:ascii="Times New Roman" w:eastAsia="Times New Roman" w:hAnsi="Times New Roman" w:cs="Times New Roman" w:hint="default"/>
        <w:b/>
        <w:bCs/>
        <w:spacing w:val="-1"/>
        <w:w w:val="103"/>
        <w:sz w:val="20"/>
        <w:szCs w:val="20"/>
      </w:rPr>
    </w:lvl>
    <w:lvl w:ilvl="1" w:tplc="A6EAF2EA">
      <w:start w:val="1"/>
      <w:numFmt w:val="lowerLetter"/>
      <w:lvlText w:val="%2."/>
      <w:lvlJc w:val="left"/>
      <w:pPr>
        <w:ind w:left="832" w:hanging="340"/>
      </w:pPr>
      <w:rPr>
        <w:rFonts w:hint="default"/>
        <w:b w:val="0"/>
        <w:bCs w:val="0"/>
        <w:spacing w:val="-1"/>
        <w:w w:val="103"/>
      </w:rPr>
    </w:lvl>
    <w:lvl w:ilvl="2" w:tplc="02AE29E2">
      <w:start w:val="1"/>
      <w:numFmt w:val="lowerRoman"/>
      <w:lvlText w:val="%3."/>
      <w:lvlJc w:val="left"/>
      <w:pPr>
        <w:ind w:left="1509" w:hanging="340"/>
      </w:pPr>
      <w:rPr>
        <w:rFonts w:ascii="Times New Roman" w:eastAsia="Times New Roman" w:hAnsi="Times New Roman" w:cs="Times New Roman" w:hint="default"/>
        <w:b w:val="0"/>
        <w:bCs w:val="0"/>
        <w:w w:val="103"/>
        <w:sz w:val="20"/>
        <w:szCs w:val="20"/>
      </w:rPr>
    </w:lvl>
    <w:lvl w:ilvl="3" w:tplc="7CF0884A">
      <w:start w:val="1"/>
      <w:numFmt w:val="decimal"/>
      <w:lvlText w:val="%4."/>
      <w:lvlJc w:val="left"/>
      <w:pPr>
        <w:ind w:left="1509" w:hanging="339"/>
      </w:pPr>
      <w:rPr>
        <w:rFonts w:ascii="Times New Roman" w:eastAsia="Times New Roman" w:hAnsi="Times New Roman" w:cs="Times New Roman" w:hint="default"/>
        <w:spacing w:val="-2"/>
        <w:w w:val="103"/>
        <w:sz w:val="20"/>
        <w:szCs w:val="20"/>
      </w:rPr>
    </w:lvl>
    <w:lvl w:ilvl="4" w:tplc="F6360C10">
      <w:numFmt w:val="bullet"/>
      <w:lvlText w:val="•"/>
      <w:lvlJc w:val="left"/>
      <w:pPr>
        <w:ind w:left="2180" w:hanging="339"/>
      </w:pPr>
      <w:rPr>
        <w:rFonts w:hint="default"/>
      </w:rPr>
    </w:lvl>
    <w:lvl w:ilvl="5" w:tplc="26C24D14">
      <w:numFmt w:val="bullet"/>
      <w:lvlText w:val="•"/>
      <w:lvlJc w:val="left"/>
      <w:pPr>
        <w:ind w:left="3326" w:hanging="339"/>
      </w:pPr>
      <w:rPr>
        <w:rFonts w:hint="default"/>
      </w:rPr>
    </w:lvl>
    <w:lvl w:ilvl="6" w:tplc="46D4C0E4">
      <w:numFmt w:val="bullet"/>
      <w:lvlText w:val="•"/>
      <w:lvlJc w:val="left"/>
      <w:pPr>
        <w:ind w:left="4473" w:hanging="339"/>
      </w:pPr>
      <w:rPr>
        <w:rFonts w:hint="default"/>
      </w:rPr>
    </w:lvl>
    <w:lvl w:ilvl="7" w:tplc="846CB4CC">
      <w:numFmt w:val="bullet"/>
      <w:lvlText w:val="•"/>
      <w:lvlJc w:val="left"/>
      <w:pPr>
        <w:ind w:left="5620" w:hanging="339"/>
      </w:pPr>
      <w:rPr>
        <w:rFonts w:hint="default"/>
      </w:rPr>
    </w:lvl>
    <w:lvl w:ilvl="8" w:tplc="9FAAB8EE">
      <w:numFmt w:val="bullet"/>
      <w:lvlText w:val="•"/>
      <w:lvlJc w:val="left"/>
      <w:pPr>
        <w:ind w:left="6766" w:hanging="339"/>
      </w:pPr>
      <w:rPr>
        <w:rFonts w:hint="default"/>
      </w:rPr>
    </w:lvl>
  </w:abstractNum>
  <w:abstractNum w:abstractNumId="42" w15:restartNumberingAfterBreak="0">
    <w:nsid w:val="656C22D6"/>
    <w:multiLevelType w:val="hybridMultilevel"/>
    <w:tmpl w:val="151C1D8C"/>
    <w:lvl w:ilvl="0" w:tplc="D3AE72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1521C38"/>
    <w:multiLevelType w:val="hybridMultilevel"/>
    <w:tmpl w:val="A57AED9E"/>
    <w:lvl w:ilvl="0" w:tplc="1D0003C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593183"/>
    <w:multiLevelType w:val="hybridMultilevel"/>
    <w:tmpl w:val="73D059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A9553D"/>
    <w:multiLevelType w:val="hybridMultilevel"/>
    <w:tmpl w:val="E14CA272"/>
    <w:lvl w:ilvl="0" w:tplc="277ADC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4A5764"/>
    <w:multiLevelType w:val="hybridMultilevel"/>
    <w:tmpl w:val="023C09CE"/>
    <w:lvl w:ilvl="0" w:tplc="E0F6DF0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36"/>
  </w:num>
  <w:num w:numId="4">
    <w:abstractNumId w:val="28"/>
  </w:num>
  <w:num w:numId="5">
    <w:abstractNumId w:val="25"/>
  </w:num>
  <w:num w:numId="6">
    <w:abstractNumId w:val="24"/>
  </w:num>
  <w:num w:numId="7">
    <w:abstractNumId w:val="29"/>
  </w:num>
  <w:num w:numId="8">
    <w:abstractNumId w:val="45"/>
  </w:num>
  <w:num w:numId="9">
    <w:abstractNumId w:val="37"/>
  </w:num>
  <w:num w:numId="10">
    <w:abstractNumId w:val="41"/>
  </w:num>
  <w:num w:numId="11">
    <w:abstractNumId w:val="35"/>
  </w:num>
  <w:num w:numId="12">
    <w:abstractNumId w:val="42"/>
  </w:num>
  <w:num w:numId="13">
    <w:abstractNumId w:val="46"/>
  </w:num>
  <w:num w:numId="14">
    <w:abstractNumId w:val="38"/>
  </w:num>
  <w:num w:numId="15">
    <w:abstractNumId w:val="43"/>
  </w:num>
  <w:num w:numId="16">
    <w:abstractNumId w:val="23"/>
  </w:num>
  <w:num w:numId="17">
    <w:abstractNumId w:val="39"/>
  </w:num>
  <w:num w:numId="18">
    <w:abstractNumId w:val="32"/>
  </w:num>
  <w:num w:numId="19">
    <w:abstractNumId w:val="27"/>
  </w:num>
  <w:num w:numId="20">
    <w:abstractNumId w:val="6"/>
  </w:num>
  <w:num w:numId="21">
    <w:abstractNumId w:val="10"/>
  </w:num>
  <w:num w:numId="22">
    <w:abstractNumId w:val="34"/>
  </w:num>
  <w:num w:numId="23">
    <w:abstractNumId w:val="12"/>
  </w:num>
  <w:num w:numId="24">
    <w:abstractNumId w:val="11"/>
  </w:num>
  <w:num w:numId="25">
    <w:abstractNumId w:val="26"/>
  </w:num>
  <w:num w:numId="26">
    <w:abstractNumId w:val="17"/>
  </w:num>
  <w:num w:numId="27">
    <w:abstractNumId w:val="14"/>
  </w:num>
  <w:num w:numId="28">
    <w:abstractNumId w:val="44"/>
  </w:num>
  <w:num w:numId="29">
    <w:abstractNumId w:val="16"/>
  </w:num>
  <w:num w:numId="30">
    <w:abstractNumId w:val="5"/>
  </w:num>
  <w:num w:numId="31">
    <w:abstractNumId w:val="18"/>
  </w:num>
  <w:num w:numId="32">
    <w:abstractNumId w:val="0"/>
  </w:num>
  <w:num w:numId="33">
    <w:abstractNumId w:val="2"/>
  </w:num>
  <w:num w:numId="34">
    <w:abstractNumId w:val="40"/>
  </w:num>
  <w:num w:numId="35">
    <w:abstractNumId w:val="20"/>
  </w:num>
  <w:num w:numId="36">
    <w:abstractNumId w:val="7"/>
  </w:num>
  <w:num w:numId="37">
    <w:abstractNumId w:val="31"/>
  </w:num>
  <w:num w:numId="38">
    <w:abstractNumId w:val="8"/>
  </w:num>
  <w:num w:numId="39">
    <w:abstractNumId w:val="15"/>
  </w:num>
  <w:num w:numId="40">
    <w:abstractNumId w:val="21"/>
  </w:num>
  <w:num w:numId="41">
    <w:abstractNumId w:val="19"/>
  </w:num>
  <w:num w:numId="42">
    <w:abstractNumId w:val="1"/>
  </w:num>
  <w:num w:numId="43">
    <w:abstractNumId w:val="9"/>
  </w:num>
  <w:num w:numId="44">
    <w:abstractNumId w:val="3"/>
  </w:num>
  <w:num w:numId="45">
    <w:abstractNumId w:val="13"/>
  </w:num>
  <w:num w:numId="46">
    <w:abstractNumId w:val="33"/>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27F"/>
    <w:rsid w:val="00006FC1"/>
    <w:rsid w:val="000159DB"/>
    <w:rsid w:val="00023E21"/>
    <w:rsid w:val="00027E88"/>
    <w:rsid w:val="0004368B"/>
    <w:rsid w:val="00044380"/>
    <w:rsid w:val="00044E60"/>
    <w:rsid w:val="000454C3"/>
    <w:rsid w:val="000608AB"/>
    <w:rsid w:val="00070E61"/>
    <w:rsid w:val="000A35DB"/>
    <w:rsid w:val="000A7616"/>
    <w:rsid w:val="000B0996"/>
    <w:rsid w:val="000B6604"/>
    <w:rsid w:val="000B6DC9"/>
    <w:rsid w:val="000C5396"/>
    <w:rsid w:val="000C55F9"/>
    <w:rsid w:val="000E2EDF"/>
    <w:rsid w:val="000E4536"/>
    <w:rsid w:val="000F793C"/>
    <w:rsid w:val="00116A70"/>
    <w:rsid w:val="001172DA"/>
    <w:rsid w:val="00123DD7"/>
    <w:rsid w:val="00132EA1"/>
    <w:rsid w:val="001357AF"/>
    <w:rsid w:val="00170389"/>
    <w:rsid w:val="001709B4"/>
    <w:rsid w:val="00174FA3"/>
    <w:rsid w:val="00175BDA"/>
    <w:rsid w:val="00195018"/>
    <w:rsid w:val="001B21DD"/>
    <w:rsid w:val="001C1392"/>
    <w:rsid w:val="001D3210"/>
    <w:rsid w:val="001D5990"/>
    <w:rsid w:val="001E1C54"/>
    <w:rsid w:val="001E61BD"/>
    <w:rsid w:val="001E713B"/>
    <w:rsid w:val="001F357D"/>
    <w:rsid w:val="001F57E0"/>
    <w:rsid w:val="002136B2"/>
    <w:rsid w:val="00227308"/>
    <w:rsid w:val="00227D5B"/>
    <w:rsid w:val="00232017"/>
    <w:rsid w:val="00244F93"/>
    <w:rsid w:val="00245885"/>
    <w:rsid w:val="002533C7"/>
    <w:rsid w:val="00260191"/>
    <w:rsid w:val="00260FE8"/>
    <w:rsid w:val="0026162C"/>
    <w:rsid w:val="00265F59"/>
    <w:rsid w:val="00272B10"/>
    <w:rsid w:val="002A07DC"/>
    <w:rsid w:val="002A7D3B"/>
    <w:rsid w:val="002A7DAA"/>
    <w:rsid w:val="002A7E2E"/>
    <w:rsid w:val="002D2405"/>
    <w:rsid w:val="002D512D"/>
    <w:rsid w:val="002D6980"/>
    <w:rsid w:val="003039E3"/>
    <w:rsid w:val="00303CE1"/>
    <w:rsid w:val="00310233"/>
    <w:rsid w:val="00315497"/>
    <w:rsid w:val="00316B7A"/>
    <w:rsid w:val="00321F15"/>
    <w:rsid w:val="00322256"/>
    <w:rsid w:val="003379FF"/>
    <w:rsid w:val="003525CA"/>
    <w:rsid w:val="00353C60"/>
    <w:rsid w:val="00363C00"/>
    <w:rsid w:val="00364360"/>
    <w:rsid w:val="0036615C"/>
    <w:rsid w:val="003674F0"/>
    <w:rsid w:val="00377542"/>
    <w:rsid w:val="00381F30"/>
    <w:rsid w:val="00382C93"/>
    <w:rsid w:val="00384458"/>
    <w:rsid w:val="003A14E3"/>
    <w:rsid w:val="003A7A85"/>
    <w:rsid w:val="003B41E0"/>
    <w:rsid w:val="003B5EDC"/>
    <w:rsid w:val="003B61C3"/>
    <w:rsid w:val="003C6C9A"/>
    <w:rsid w:val="003D7BC8"/>
    <w:rsid w:val="003E1802"/>
    <w:rsid w:val="003F6570"/>
    <w:rsid w:val="00414A15"/>
    <w:rsid w:val="00431BDD"/>
    <w:rsid w:val="00432B8D"/>
    <w:rsid w:val="00440A7B"/>
    <w:rsid w:val="004639F0"/>
    <w:rsid w:val="00465608"/>
    <w:rsid w:val="00471CFA"/>
    <w:rsid w:val="0047254F"/>
    <w:rsid w:val="00475FF7"/>
    <w:rsid w:val="00485099"/>
    <w:rsid w:val="004A539C"/>
    <w:rsid w:val="004B1DF3"/>
    <w:rsid w:val="004B6831"/>
    <w:rsid w:val="004C5BB2"/>
    <w:rsid w:val="004C5F07"/>
    <w:rsid w:val="004F486B"/>
    <w:rsid w:val="00516869"/>
    <w:rsid w:val="00524EAB"/>
    <w:rsid w:val="00541FD8"/>
    <w:rsid w:val="00543B03"/>
    <w:rsid w:val="005538C6"/>
    <w:rsid w:val="0055765A"/>
    <w:rsid w:val="00560A15"/>
    <w:rsid w:val="0056129C"/>
    <w:rsid w:val="00565A2A"/>
    <w:rsid w:val="005674CE"/>
    <w:rsid w:val="00567581"/>
    <w:rsid w:val="00593FE1"/>
    <w:rsid w:val="00594C73"/>
    <w:rsid w:val="005958D3"/>
    <w:rsid w:val="00595C7A"/>
    <w:rsid w:val="005963A2"/>
    <w:rsid w:val="005A5E15"/>
    <w:rsid w:val="005C0A79"/>
    <w:rsid w:val="005C107F"/>
    <w:rsid w:val="005C6297"/>
    <w:rsid w:val="00602083"/>
    <w:rsid w:val="00610606"/>
    <w:rsid w:val="00612429"/>
    <w:rsid w:val="00626B4B"/>
    <w:rsid w:val="006302A6"/>
    <w:rsid w:val="00633C4E"/>
    <w:rsid w:val="006361A5"/>
    <w:rsid w:val="006421DC"/>
    <w:rsid w:val="0065101E"/>
    <w:rsid w:val="006552D3"/>
    <w:rsid w:val="00664046"/>
    <w:rsid w:val="0067142B"/>
    <w:rsid w:val="00672452"/>
    <w:rsid w:val="00676858"/>
    <w:rsid w:val="00677573"/>
    <w:rsid w:val="0068398B"/>
    <w:rsid w:val="00685B48"/>
    <w:rsid w:val="00687473"/>
    <w:rsid w:val="00687ABE"/>
    <w:rsid w:val="006A019B"/>
    <w:rsid w:val="006A76B8"/>
    <w:rsid w:val="00701920"/>
    <w:rsid w:val="007057DB"/>
    <w:rsid w:val="007153D9"/>
    <w:rsid w:val="00724726"/>
    <w:rsid w:val="0073127F"/>
    <w:rsid w:val="00732308"/>
    <w:rsid w:val="00740179"/>
    <w:rsid w:val="00741D59"/>
    <w:rsid w:val="00745B91"/>
    <w:rsid w:val="00745C57"/>
    <w:rsid w:val="00746A3D"/>
    <w:rsid w:val="00752E30"/>
    <w:rsid w:val="007653CC"/>
    <w:rsid w:val="00770D64"/>
    <w:rsid w:val="0077114A"/>
    <w:rsid w:val="00782AE2"/>
    <w:rsid w:val="0078552B"/>
    <w:rsid w:val="007877DF"/>
    <w:rsid w:val="00787E1E"/>
    <w:rsid w:val="007949CB"/>
    <w:rsid w:val="007958DF"/>
    <w:rsid w:val="00797966"/>
    <w:rsid w:val="007B18D6"/>
    <w:rsid w:val="007B59A4"/>
    <w:rsid w:val="007C63B7"/>
    <w:rsid w:val="007D430E"/>
    <w:rsid w:val="007E7770"/>
    <w:rsid w:val="00801B78"/>
    <w:rsid w:val="0082628D"/>
    <w:rsid w:val="00832708"/>
    <w:rsid w:val="00834E1C"/>
    <w:rsid w:val="008379E6"/>
    <w:rsid w:val="0084336A"/>
    <w:rsid w:val="00845BE1"/>
    <w:rsid w:val="00864134"/>
    <w:rsid w:val="00871862"/>
    <w:rsid w:val="00871953"/>
    <w:rsid w:val="008861CA"/>
    <w:rsid w:val="008944C4"/>
    <w:rsid w:val="008A0329"/>
    <w:rsid w:val="008A5C56"/>
    <w:rsid w:val="008B0E06"/>
    <w:rsid w:val="008B3FB8"/>
    <w:rsid w:val="008D1B8E"/>
    <w:rsid w:val="008D74D1"/>
    <w:rsid w:val="008F107E"/>
    <w:rsid w:val="008F1223"/>
    <w:rsid w:val="008F63CA"/>
    <w:rsid w:val="008F6683"/>
    <w:rsid w:val="008F748F"/>
    <w:rsid w:val="008F75A1"/>
    <w:rsid w:val="008F790D"/>
    <w:rsid w:val="00914C6B"/>
    <w:rsid w:val="0092433C"/>
    <w:rsid w:val="00927513"/>
    <w:rsid w:val="009300C5"/>
    <w:rsid w:val="009326FE"/>
    <w:rsid w:val="0093508A"/>
    <w:rsid w:val="0093747F"/>
    <w:rsid w:val="00947E1B"/>
    <w:rsid w:val="00970221"/>
    <w:rsid w:val="0097523C"/>
    <w:rsid w:val="009857A7"/>
    <w:rsid w:val="0098594E"/>
    <w:rsid w:val="00985A52"/>
    <w:rsid w:val="00993016"/>
    <w:rsid w:val="009C2B10"/>
    <w:rsid w:val="009C79AD"/>
    <w:rsid w:val="009D6735"/>
    <w:rsid w:val="009E3502"/>
    <w:rsid w:val="009E4E34"/>
    <w:rsid w:val="00A01F42"/>
    <w:rsid w:val="00A03F3F"/>
    <w:rsid w:val="00A11813"/>
    <w:rsid w:val="00A15A76"/>
    <w:rsid w:val="00A2123E"/>
    <w:rsid w:val="00A255C0"/>
    <w:rsid w:val="00A35944"/>
    <w:rsid w:val="00A40CC4"/>
    <w:rsid w:val="00A42644"/>
    <w:rsid w:val="00A52A0D"/>
    <w:rsid w:val="00A604AB"/>
    <w:rsid w:val="00A6067A"/>
    <w:rsid w:val="00A90E46"/>
    <w:rsid w:val="00A941AB"/>
    <w:rsid w:val="00A966D4"/>
    <w:rsid w:val="00AA1A51"/>
    <w:rsid w:val="00AA252F"/>
    <w:rsid w:val="00AB4903"/>
    <w:rsid w:val="00AB79E8"/>
    <w:rsid w:val="00AC0143"/>
    <w:rsid w:val="00AF253C"/>
    <w:rsid w:val="00AF30D0"/>
    <w:rsid w:val="00AF57F2"/>
    <w:rsid w:val="00B07393"/>
    <w:rsid w:val="00B07CD8"/>
    <w:rsid w:val="00B20080"/>
    <w:rsid w:val="00B21953"/>
    <w:rsid w:val="00B371D2"/>
    <w:rsid w:val="00B37FDF"/>
    <w:rsid w:val="00B52A81"/>
    <w:rsid w:val="00B76CA2"/>
    <w:rsid w:val="00B82CE7"/>
    <w:rsid w:val="00B94067"/>
    <w:rsid w:val="00BA0857"/>
    <w:rsid w:val="00BA1680"/>
    <w:rsid w:val="00BA450B"/>
    <w:rsid w:val="00BA5671"/>
    <w:rsid w:val="00BC4BB6"/>
    <w:rsid w:val="00BD23B1"/>
    <w:rsid w:val="00BD2CA0"/>
    <w:rsid w:val="00BE13C2"/>
    <w:rsid w:val="00BF22CD"/>
    <w:rsid w:val="00BF326B"/>
    <w:rsid w:val="00C039BC"/>
    <w:rsid w:val="00C12D8E"/>
    <w:rsid w:val="00C23563"/>
    <w:rsid w:val="00C254CE"/>
    <w:rsid w:val="00C303ED"/>
    <w:rsid w:val="00C36464"/>
    <w:rsid w:val="00C37949"/>
    <w:rsid w:val="00C426A4"/>
    <w:rsid w:val="00C45F2A"/>
    <w:rsid w:val="00C50CC3"/>
    <w:rsid w:val="00C67D2A"/>
    <w:rsid w:val="00C81E56"/>
    <w:rsid w:val="00C85169"/>
    <w:rsid w:val="00C851E3"/>
    <w:rsid w:val="00CA08BD"/>
    <w:rsid w:val="00CA18A7"/>
    <w:rsid w:val="00CA228B"/>
    <w:rsid w:val="00CB151B"/>
    <w:rsid w:val="00CB4988"/>
    <w:rsid w:val="00CB4A95"/>
    <w:rsid w:val="00CB7D34"/>
    <w:rsid w:val="00CC4B36"/>
    <w:rsid w:val="00CF09A6"/>
    <w:rsid w:val="00D02BA5"/>
    <w:rsid w:val="00D214DC"/>
    <w:rsid w:val="00D30ED9"/>
    <w:rsid w:val="00D40F9F"/>
    <w:rsid w:val="00D4361C"/>
    <w:rsid w:val="00D7082B"/>
    <w:rsid w:val="00D7429E"/>
    <w:rsid w:val="00D85887"/>
    <w:rsid w:val="00D86BC3"/>
    <w:rsid w:val="00D9594F"/>
    <w:rsid w:val="00DA28C8"/>
    <w:rsid w:val="00DA3551"/>
    <w:rsid w:val="00DA3A14"/>
    <w:rsid w:val="00DA7751"/>
    <w:rsid w:val="00DC041A"/>
    <w:rsid w:val="00DC37C5"/>
    <w:rsid w:val="00DC49C5"/>
    <w:rsid w:val="00DD4D27"/>
    <w:rsid w:val="00DE17C5"/>
    <w:rsid w:val="00DE4425"/>
    <w:rsid w:val="00DE59D0"/>
    <w:rsid w:val="00E070D6"/>
    <w:rsid w:val="00E137BC"/>
    <w:rsid w:val="00E2389A"/>
    <w:rsid w:val="00E321EA"/>
    <w:rsid w:val="00E36700"/>
    <w:rsid w:val="00E36C42"/>
    <w:rsid w:val="00E40A97"/>
    <w:rsid w:val="00E42FED"/>
    <w:rsid w:val="00E45295"/>
    <w:rsid w:val="00E71265"/>
    <w:rsid w:val="00E7466C"/>
    <w:rsid w:val="00E754DB"/>
    <w:rsid w:val="00E804A1"/>
    <w:rsid w:val="00E85634"/>
    <w:rsid w:val="00E931DE"/>
    <w:rsid w:val="00E9407A"/>
    <w:rsid w:val="00E96E60"/>
    <w:rsid w:val="00ED7172"/>
    <w:rsid w:val="00EE3C59"/>
    <w:rsid w:val="00F00BB8"/>
    <w:rsid w:val="00F04F75"/>
    <w:rsid w:val="00F14D54"/>
    <w:rsid w:val="00F319C5"/>
    <w:rsid w:val="00F3399F"/>
    <w:rsid w:val="00F34E08"/>
    <w:rsid w:val="00F51AB8"/>
    <w:rsid w:val="00F53A25"/>
    <w:rsid w:val="00F549D4"/>
    <w:rsid w:val="00F73B8F"/>
    <w:rsid w:val="00F74485"/>
    <w:rsid w:val="00F85C4F"/>
    <w:rsid w:val="00FA2FDC"/>
    <w:rsid w:val="00FB686A"/>
    <w:rsid w:val="00FC65C5"/>
    <w:rsid w:val="00FD07D1"/>
    <w:rsid w:val="00FD4D1E"/>
    <w:rsid w:val="00FD7878"/>
    <w:rsid w:val="00FE2C19"/>
    <w:rsid w:val="00FE3FEA"/>
    <w:rsid w:val="00FE5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EC3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73127F"/>
    <w:pPr>
      <w:spacing w:before="100" w:after="0" w:line="288" w:lineRule="auto"/>
      <w:ind w:left="720"/>
      <w:contextualSpacing/>
    </w:pPr>
    <w:rPr>
      <w:rFonts w:ascii="Arial" w:eastAsia="Times New Roman" w:hAnsi="Arial" w:cs="Times New Roman"/>
      <w:sz w:val="20"/>
      <w:szCs w:val="20"/>
      <w:lang w:val="en-AU" w:eastAsia="en-AU"/>
    </w:rPr>
  </w:style>
  <w:style w:type="paragraph" w:customStyle="1" w:styleId="Default">
    <w:name w:val="Default"/>
    <w:rsid w:val="007312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B1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DF3"/>
    <w:rPr>
      <w:rFonts w:ascii="Segoe UI" w:hAnsi="Segoe UI" w:cs="Segoe UI"/>
      <w:sz w:val="18"/>
      <w:szCs w:val="18"/>
    </w:rPr>
  </w:style>
  <w:style w:type="character" w:customStyle="1" w:styleId="ListParagraphChar">
    <w:name w:val="List Paragraph Char"/>
    <w:link w:val="ListParagraph"/>
    <w:uiPriority w:val="1"/>
    <w:locked/>
    <w:rsid w:val="00947E1B"/>
    <w:rPr>
      <w:rFonts w:ascii="Arial" w:eastAsia="Times New Roman" w:hAnsi="Arial" w:cs="Times New Roman"/>
      <w:sz w:val="20"/>
      <w:szCs w:val="20"/>
      <w:lang w:val="en-AU" w:eastAsia="en-AU"/>
    </w:rPr>
  </w:style>
  <w:style w:type="paragraph" w:styleId="TOC1">
    <w:name w:val="toc 1"/>
    <w:basedOn w:val="Normal"/>
    <w:uiPriority w:val="39"/>
    <w:qFormat/>
    <w:rsid w:val="00845BE1"/>
    <w:pPr>
      <w:widowControl w:val="0"/>
      <w:autoSpaceDE w:val="0"/>
      <w:autoSpaceDN w:val="0"/>
      <w:spacing w:before="111" w:after="0" w:line="240" w:lineRule="auto"/>
      <w:ind w:left="492" w:hanging="338"/>
    </w:pPr>
    <w:rPr>
      <w:rFonts w:ascii="Times New Roman" w:eastAsia="Times New Roman" w:hAnsi="Times New Roman" w:cs="Times New Roman"/>
      <w:sz w:val="19"/>
      <w:szCs w:val="19"/>
      <w:lang w:val="en-US"/>
    </w:rPr>
  </w:style>
  <w:style w:type="paragraph" w:styleId="BodyText">
    <w:name w:val="Body Text"/>
    <w:basedOn w:val="Normal"/>
    <w:link w:val="BodyTextChar"/>
    <w:uiPriority w:val="1"/>
    <w:qFormat/>
    <w:rsid w:val="00845BE1"/>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845BE1"/>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8F7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48F"/>
  </w:style>
  <w:style w:type="paragraph" w:styleId="Footer">
    <w:name w:val="footer"/>
    <w:basedOn w:val="Normal"/>
    <w:link w:val="FooterChar"/>
    <w:uiPriority w:val="99"/>
    <w:unhideWhenUsed/>
    <w:rsid w:val="008F7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48F"/>
  </w:style>
  <w:style w:type="paragraph" w:styleId="NormalWeb">
    <w:name w:val="Normal (Web)"/>
    <w:basedOn w:val="Normal"/>
    <w:uiPriority w:val="99"/>
    <w:semiHidden/>
    <w:unhideWhenUsed/>
    <w:rsid w:val="00B20080"/>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unhideWhenUsed/>
    <w:rsid w:val="009C79A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776706">
      <w:bodyDiv w:val="1"/>
      <w:marLeft w:val="0"/>
      <w:marRight w:val="0"/>
      <w:marTop w:val="0"/>
      <w:marBottom w:val="0"/>
      <w:divBdr>
        <w:top w:val="none" w:sz="0" w:space="0" w:color="auto"/>
        <w:left w:val="none" w:sz="0" w:space="0" w:color="auto"/>
        <w:bottom w:val="none" w:sz="0" w:space="0" w:color="auto"/>
        <w:right w:val="none" w:sz="0" w:space="0" w:color="auto"/>
      </w:divBdr>
    </w:div>
    <w:div w:id="362558890">
      <w:bodyDiv w:val="1"/>
      <w:marLeft w:val="0"/>
      <w:marRight w:val="0"/>
      <w:marTop w:val="0"/>
      <w:marBottom w:val="0"/>
      <w:divBdr>
        <w:top w:val="none" w:sz="0" w:space="0" w:color="auto"/>
        <w:left w:val="none" w:sz="0" w:space="0" w:color="auto"/>
        <w:bottom w:val="none" w:sz="0" w:space="0" w:color="auto"/>
        <w:right w:val="none" w:sz="0" w:space="0" w:color="auto"/>
      </w:divBdr>
    </w:div>
    <w:div w:id="368266061">
      <w:bodyDiv w:val="1"/>
      <w:marLeft w:val="0"/>
      <w:marRight w:val="0"/>
      <w:marTop w:val="0"/>
      <w:marBottom w:val="0"/>
      <w:divBdr>
        <w:top w:val="none" w:sz="0" w:space="0" w:color="auto"/>
        <w:left w:val="none" w:sz="0" w:space="0" w:color="auto"/>
        <w:bottom w:val="none" w:sz="0" w:space="0" w:color="auto"/>
        <w:right w:val="none" w:sz="0" w:space="0" w:color="auto"/>
      </w:divBdr>
    </w:div>
    <w:div w:id="774060415">
      <w:bodyDiv w:val="1"/>
      <w:marLeft w:val="0"/>
      <w:marRight w:val="0"/>
      <w:marTop w:val="0"/>
      <w:marBottom w:val="0"/>
      <w:divBdr>
        <w:top w:val="none" w:sz="0" w:space="0" w:color="auto"/>
        <w:left w:val="none" w:sz="0" w:space="0" w:color="auto"/>
        <w:bottom w:val="none" w:sz="0" w:space="0" w:color="auto"/>
        <w:right w:val="none" w:sz="0" w:space="0" w:color="auto"/>
      </w:divBdr>
    </w:div>
    <w:div w:id="139731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 A c t i v e ! 3 5 3 1 2 . 1 < / d o c u m e n t i d >  
     < s e n d e r i d > K H A N H N G U Y E N < / s e n d e r i d >  
     < s e n d e r e m a i l > K H A N H N G U Y E N @ D R A G O N C A P I T A L . C O M < / s e n d e r e m a i l >  
     < l a s t m o d i f i e d > 2 0 2 0 - 0 7 - 0 6 T 1 2 : 1 9 : 0 0 . 0 0 0 0 0 0 0 + 0 7 : 0 0 < / l a s t m o d i f i e d >  
     < d a t a b a s e > A c t i v e < / d a t a b a s e >  
 < / p r o p e r t i e s > 
</file>

<file path=customXml/itemProps1.xml><?xml version="1.0" encoding="utf-8"?>
<ds:datastoreItem xmlns:ds="http://schemas.openxmlformats.org/officeDocument/2006/customXml" ds:itemID="{C45B54F3-077B-4C54-AC59-2DB3CBBB21D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1618</Words>
  <Characters>9227</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Ý KIẾN GÓP Ý DỰ THẢO NGHỊ ĐỊNH HƯỚNG DẪN LUẬT CHỨNG KHOÁN 2019</vt:lpstr>
      <vt:lpstr/>
      <vt:lpstr>Ngày 03/07/2020</vt:lpstr>
      <vt:lpstr/>
    </vt:vector>
  </TitlesOfParts>
  <Company/>
  <LinksUpToDate>false</LinksUpToDate>
  <CharactersWithSpaces>10824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2020-07-06T06:08:00Z</dcterms:created>
  <dcterms:modified xsi:type="dcterms:W3CDTF">2020-07-27T08:21:00Z</dcterms:modified>
</cp:coreProperties>
</file>