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4A" w:rsidRPr="003B2D8D" w:rsidRDefault="003B2D8D" w:rsidP="003B2D8D">
      <w:pPr>
        <w:jc w:val="center"/>
        <w:rPr>
          <w:b/>
          <w:bCs/>
        </w:rPr>
      </w:pPr>
      <w:r w:rsidRPr="003B2D8D">
        <w:rPr>
          <w:b/>
          <w:bCs/>
        </w:rPr>
        <w:t xml:space="preserve">BẢNG SO SÁNH </w:t>
      </w:r>
      <w:r w:rsidRPr="003B2D8D">
        <w:rPr>
          <w:b/>
          <w:bCs/>
        </w:rPr>
        <w:t xml:space="preserve">DỰ THẢO SỬA ĐỔI </w:t>
      </w:r>
      <w:r w:rsidRPr="003B2D8D">
        <w:rPr>
          <w:b/>
          <w:bCs/>
        </w:rPr>
        <w:t>VÀ THÔNG TƯ 302/2016 VỀ LỆ PHÍ MÔN BÀI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406"/>
        <w:gridCol w:w="4406"/>
        <w:gridCol w:w="5920"/>
        <w:gridCol w:w="1496"/>
        <w:gridCol w:w="3074"/>
      </w:tblGrid>
      <w:tr w:rsidR="003B2D8D" w:rsidRPr="003B2D8D" w:rsidTr="00813AAD">
        <w:trPr>
          <w:trHeight w:val="315"/>
        </w:trPr>
        <w:tc>
          <w:tcPr>
            <w:tcW w:w="1406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3B2D8D">
              <w:rPr>
                <w:b/>
                <w:bCs/>
                <w:sz w:val="23"/>
                <w:szCs w:val="23"/>
              </w:rPr>
              <w:t>Tiêu chí</w:t>
            </w:r>
          </w:p>
        </w:tc>
        <w:tc>
          <w:tcPr>
            <w:tcW w:w="4406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3B2D8D">
              <w:rPr>
                <w:b/>
                <w:bCs/>
                <w:sz w:val="23"/>
                <w:szCs w:val="23"/>
              </w:rPr>
              <w:t>Quy định hiện hành</w:t>
            </w:r>
          </w:p>
        </w:tc>
        <w:tc>
          <w:tcPr>
            <w:tcW w:w="5920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3B2D8D">
              <w:rPr>
                <w:b/>
                <w:bCs/>
                <w:sz w:val="23"/>
                <w:szCs w:val="23"/>
              </w:rPr>
              <w:t>Dự thảo</w:t>
            </w:r>
          </w:p>
        </w:tc>
        <w:tc>
          <w:tcPr>
            <w:tcW w:w="1496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3B2D8D">
              <w:rPr>
                <w:b/>
                <w:bCs/>
                <w:sz w:val="23"/>
                <w:szCs w:val="23"/>
              </w:rPr>
              <w:t>Căn cứ</w:t>
            </w:r>
          </w:p>
        </w:tc>
        <w:tc>
          <w:tcPr>
            <w:tcW w:w="3074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3B2D8D">
              <w:rPr>
                <w:b/>
                <w:bCs/>
                <w:sz w:val="23"/>
                <w:szCs w:val="23"/>
              </w:rPr>
              <w:t>Đóng góp/ Đề xuất</w:t>
            </w:r>
          </w:p>
        </w:tc>
      </w:tr>
      <w:tr w:rsidR="003B2D8D" w:rsidRPr="003B2D8D" w:rsidTr="00813AAD">
        <w:trPr>
          <w:trHeight w:val="3742"/>
        </w:trPr>
        <w:tc>
          <w:tcPr>
            <w:tcW w:w="1406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Đối tượng miễn lệ phí môn bài</w:t>
            </w:r>
          </w:p>
        </w:tc>
        <w:tc>
          <w:tcPr>
            <w:tcW w:w="4406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left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Đối tượng được miễn nộp lệ phí như sau:</w:t>
            </w:r>
            <w:r w:rsidRPr="003B2D8D">
              <w:rPr>
                <w:sz w:val="23"/>
                <w:szCs w:val="23"/>
              </w:rPr>
              <w:br/>
              <w:t>- Cá nhân, nhóm cá nhân, hộ gia đình hoặc (i) doanh thu dưới 100 triệu; hoặc (ii) hoạt động không thường xuyên, không có địa điểm cố định; hoặc (iii) sản xuất muối.</w:t>
            </w:r>
            <w:r w:rsidRPr="003B2D8D">
              <w:rPr>
                <w:sz w:val="23"/>
                <w:szCs w:val="23"/>
              </w:rPr>
              <w:br/>
              <w:t>- Tổ chức, cá nhân, nhóm cá nhân, hộ gia đình làm nghề cá;</w:t>
            </w:r>
            <w:r w:rsidRPr="003B2D8D">
              <w:rPr>
                <w:sz w:val="23"/>
                <w:szCs w:val="23"/>
              </w:rPr>
              <w:br/>
              <w:t>- Điểm bưu điện văn hóa xã, cơ quan báo chí</w:t>
            </w:r>
            <w:r w:rsidRPr="003B2D8D">
              <w:rPr>
                <w:sz w:val="23"/>
                <w:szCs w:val="23"/>
              </w:rPr>
              <w:br/>
            </w:r>
            <w:r w:rsidRPr="003B2D8D">
              <w:rPr>
                <w:i/>
                <w:iCs/>
                <w:sz w:val="23"/>
                <w:szCs w:val="23"/>
              </w:rPr>
              <w:t>- Chi nhánh, văn phòng đại diện, địa điểm kinh doanh của hợp tác xã hoạt động kỹ thuật nông nghiệp;</w:t>
            </w:r>
            <w:r w:rsidRPr="003B2D8D">
              <w:rPr>
                <w:i/>
                <w:iCs/>
                <w:sz w:val="23"/>
                <w:szCs w:val="23"/>
              </w:rPr>
              <w:br/>
              <w:t>- Quỹ tín dụng nhân dân xã; hợp tác xã dịch vụ nông nghiệp; chi nhánh, văn phòng đại diện, địa điểm kinh doanh của hợp tác xã và doanh nghiệp tư nhân tại miền núi</w:t>
            </w:r>
          </w:p>
        </w:tc>
        <w:tc>
          <w:tcPr>
            <w:tcW w:w="5920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left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Đối tượng được miễn nộp lệ phí như sau:</w:t>
            </w:r>
            <w:r w:rsidRPr="003B2D8D">
              <w:rPr>
                <w:sz w:val="23"/>
                <w:szCs w:val="23"/>
              </w:rPr>
              <w:br/>
              <w:t>- Cá nhân, nhóm cá nhân, hộ gia đình hoặc (i) doanh thu dưới 100 triệu; hoặc (ii) hoạt động không thường xuyên, không có địa điểm cố định; hoặc (iii) sản xuất muối.</w:t>
            </w:r>
            <w:r w:rsidRPr="003B2D8D">
              <w:rPr>
                <w:sz w:val="23"/>
                <w:szCs w:val="23"/>
              </w:rPr>
              <w:br/>
              <w:t>- Tổ chức, cá nhân,</w:t>
            </w:r>
            <w:bookmarkStart w:id="0" w:name="_GoBack"/>
            <w:bookmarkEnd w:id="0"/>
            <w:r w:rsidRPr="003B2D8D">
              <w:rPr>
                <w:sz w:val="23"/>
                <w:szCs w:val="23"/>
              </w:rPr>
              <w:t xml:space="preserve"> nhóm cá nhân, hộ gia đình làm nghề cá;</w:t>
            </w:r>
            <w:r w:rsidRPr="003B2D8D">
              <w:rPr>
                <w:sz w:val="23"/>
                <w:szCs w:val="23"/>
              </w:rPr>
              <w:br/>
              <w:t>- Điểm bưu điện văn hóa xã, cơ quan báo chí;</w:t>
            </w:r>
            <w:r w:rsidRPr="003B2D8D">
              <w:rPr>
                <w:sz w:val="23"/>
                <w:szCs w:val="23"/>
              </w:rPr>
              <w:br/>
            </w:r>
            <w:r w:rsidRPr="003B2D8D">
              <w:rPr>
                <w:i/>
                <w:iCs/>
                <w:sz w:val="23"/>
                <w:szCs w:val="23"/>
              </w:rPr>
              <w:t>- Hợp tác xã, liên hợp tác xã nông nghiệp (gồm cả chi nhánh, văn phòng đại diện, địa điểm kinh doanh);</w:t>
            </w:r>
            <w:r w:rsidRPr="003B2D8D">
              <w:rPr>
                <w:i/>
                <w:iCs/>
                <w:sz w:val="23"/>
                <w:szCs w:val="23"/>
              </w:rPr>
              <w:br/>
              <w:t>- Quỹ tín dụng nhân dân; chi nhánh, văn phòng đại diện, địa điểm kinh doanh của hợp tác xã, liên hợp tác xã, doanh nghiệp tư nhân tại miền núi</w:t>
            </w:r>
          </w:p>
        </w:tc>
        <w:tc>
          <w:tcPr>
            <w:tcW w:w="1496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Điểm a, b khoản 1 Điều 1 Nghị định 22/2020/NĐ-CP</w:t>
            </w:r>
          </w:p>
        </w:tc>
        <w:tc>
          <w:tcPr>
            <w:tcW w:w="3074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 </w:t>
            </w:r>
          </w:p>
        </w:tc>
      </w:tr>
      <w:tr w:rsidR="003B2D8D" w:rsidRPr="003B2D8D" w:rsidTr="00813AAD">
        <w:trPr>
          <w:trHeight w:val="4095"/>
        </w:trPr>
        <w:tc>
          <w:tcPr>
            <w:tcW w:w="1406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Thời gian miễn lệ phí môn bài</w:t>
            </w:r>
            <w:r w:rsidRPr="003B2D8D">
              <w:rPr>
                <w:sz w:val="23"/>
                <w:szCs w:val="23"/>
              </w:rPr>
              <w:t xml:space="preserve"> </w:t>
            </w:r>
          </w:p>
        </w:tc>
        <w:tc>
          <w:tcPr>
            <w:tcW w:w="4406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 </w:t>
            </w:r>
          </w:p>
        </w:tc>
        <w:tc>
          <w:tcPr>
            <w:tcW w:w="5920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left"/>
              <w:rPr>
                <w:sz w:val="23"/>
                <w:szCs w:val="23"/>
              </w:rPr>
            </w:pPr>
            <w:r w:rsidRPr="003B2D8D">
              <w:rPr>
                <w:i/>
                <w:iCs/>
                <w:sz w:val="23"/>
                <w:szCs w:val="23"/>
              </w:rPr>
              <w:t>1. Đối tượng miễn toàn bộ</w:t>
            </w:r>
            <w:r w:rsidRPr="003B2D8D">
              <w:rPr>
                <w:sz w:val="23"/>
                <w:szCs w:val="23"/>
              </w:rPr>
              <w:br/>
              <w:t>- Hợp tác xã, liên hợp tác xã nông nghiệp (gồm cả chi nhánh, văn phòng đại diện, địa điểm kinh doanh);</w:t>
            </w:r>
            <w:r w:rsidRPr="003B2D8D">
              <w:rPr>
                <w:sz w:val="23"/>
                <w:szCs w:val="23"/>
              </w:rPr>
              <w:br/>
              <w:t>- Quỹ tín dụng nhân dân; chi nhánh, văn phòng đại diện, địa điểm kinh doanh của hợp tác xã, liên hợp tác xã, doanh nghiệp tư nhân tại miền núi;</w:t>
            </w:r>
            <w:r w:rsidRPr="003B2D8D">
              <w:rPr>
                <w:sz w:val="23"/>
                <w:szCs w:val="23"/>
              </w:rPr>
              <w:br/>
              <w:t>- Cơ sở giáo dục phổ thông và mầm non công lập;</w:t>
            </w:r>
            <w:r w:rsidRPr="003B2D8D">
              <w:rPr>
                <w:sz w:val="23"/>
                <w:szCs w:val="23"/>
              </w:rPr>
              <w:br/>
            </w:r>
            <w:r w:rsidRPr="003B2D8D">
              <w:rPr>
                <w:i/>
                <w:iCs/>
                <w:sz w:val="23"/>
                <w:szCs w:val="23"/>
              </w:rPr>
              <w:t>2. Đối tượng miễn năm đầu</w:t>
            </w:r>
            <w:r w:rsidRPr="003B2D8D">
              <w:rPr>
                <w:sz w:val="23"/>
                <w:szCs w:val="23"/>
              </w:rPr>
              <w:br/>
              <w:t>- Tổ chức được thành lập mới;</w:t>
            </w:r>
            <w:r w:rsidRPr="003B2D8D">
              <w:rPr>
                <w:sz w:val="23"/>
                <w:szCs w:val="23"/>
              </w:rPr>
              <w:br/>
              <w:t>- Cá nhân, nhóm cá nhân, hộ gia đình lần đầu ra kinh doanh;</w:t>
            </w:r>
            <w:r w:rsidRPr="003B2D8D">
              <w:rPr>
                <w:sz w:val="23"/>
                <w:szCs w:val="23"/>
              </w:rPr>
              <w:br/>
            </w:r>
            <w:r w:rsidRPr="003B2D8D">
              <w:rPr>
                <w:i/>
                <w:iCs/>
                <w:sz w:val="23"/>
                <w:szCs w:val="23"/>
              </w:rPr>
              <w:t>3. Đối tượng miễn 3 năm đầu</w:t>
            </w:r>
            <w:r w:rsidRPr="003B2D8D">
              <w:rPr>
                <w:sz w:val="23"/>
                <w:szCs w:val="23"/>
              </w:rPr>
              <w:br/>
              <w:t>Doanh nghiệp vừa và nhỏ chuyển từ hộ kinh doanh</w:t>
            </w:r>
          </w:p>
        </w:tc>
        <w:tc>
          <w:tcPr>
            <w:tcW w:w="1496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 xml:space="preserve">Khoản 1 Điều 1 Nghị định số 22/2020/NĐ-CP </w:t>
            </w:r>
          </w:p>
        </w:tc>
        <w:tc>
          <w:tcPr>
            <w:tcW w:w="3074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 </w:t>
            </w:r>
          </w:p>
        </w:tc>
      </w:tr>
      <w:tr w:rsidR="003B2D8D" w:rsidRPr="003B2D8D" w:rsidTr="00813AAD">
        <w:trPr>
          <w:trHeight w:val="1890"/>
        </w:trPr>
        <w:tc>
          <w:tcPr>
            <w:tcW w:w="1406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lastRenderedPageBreak/>
              <w:t>Thủ tục, thời gian nộp lệ phí môn bài</w:t>
            </w:r>
          </w:p>
        </w:tc>
        <w:tc>
          <w:tcPr>
            <w:tcW w:w="4406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Người nộp lệ phí nếu tạm ngừng kinh doanh cả năm dương lịch thì không phải nộp lệ phí; nếu không trọn năm dương lịch thì phải nộp lệ phí cả năm.</w:t>
            </w:r>
          </w:p>
        </w:tc>
        <w:tc>
          <w:tcPr>
            <w:tcW w:w="5920" w:type="dxa"/>
            <w:vAlign w:val="center"/>
            <w:hideMark/>
          </w:tcPr>
          <w:p w:rsidR="003B2D8D" w:rsidRPr="003B2D8D" w:rsidRDefault="003B2D8D" w:rsidP="00813AAD">
            <w:pPr>
              <w:ind w:firstLine="0"/>
              <w:jc w:val="left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- Doanh nghiệp vừa và nhỏ chuyển đổi từ hộ kinh doanh sau khi kết thúc thời gian miễn: nếu kết thúc trong 6 tháng đầu năm: nộp lệ phí cả năm; nếu kết thúc trong 6 tháng cuối năm: nộp 50% lệ phí cả năm.</w:t>
            </w:r>
            <w:r w:rsidRPr="003B2D8D">
              <w:rPr>
                <w:sz w:val="23"/>
                <w:szCs w:val="23"/>
              </w:rPr>
              <w:br/>
            </w:r>
            <w:r w:rsidRPr="003B2D8D">
              <w:rPr>
                <w:i/>
                <w:iCs/>
                <w:sz w:val="23"/>
                <w:szCs w:val="23"/>
              </w:rPr>
              <w:t>- Tạm ngừng hoạt động trong năm dương lịch không phải nộp lệ phí khi: (i) có văn bản xin tạm ngừng trước thời hạn 30/1 hàng năm; (ii) chưa nộp lệ phí môn bài. Nếu không thì vẫn phải nộp lệ phí cả năm.</w:t>
            </w:r>
          </w:p>
        </w:tc>
        <w:tc>
          <w:tcPr>
            <w:tcW w:w="1496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 </w:t>
            </w:r>
          </w:p>
        </w:tc>
        <w:tc>
          <w:tcPr>
            <w:tcW w:w="3074" w:type="dxa"/>
            <w:hideMark/>
          </w:tcPr>
          <w:p w:rsidR="003B2D8D" w:rsidRPr="003B2D8D" w:rsidRDefault="003B2D8D" w:rsidP="00813AAD">
            <w:pPr>
              <w:ind w:firstLine="0"/>
              <w:rPr>
                <w:sz w:val="23"/>
                <w:szCs w:val="23"/>
              </w:rPr>
            </w:pPr>
            <w:r w:rsidRPr="003B2D8D">
              <w:rPr>
                <w:sz w:val="23"/>
                <w:szCs w:val="23"/>
              </w:rPr>
              <w:t> </w:t>
            </w:r>
          </w:p>
        </w:tc>
      </w:tr>
    </w:tbl>
    <w:p w:rsidR="003B2D8D" w:rsidRDefault="003B2D8D" w:rsidP="003B2D8D">
      <w:pPr>
        <w:ind w:firstLine="0"/>
      </w:pPr>
    </w:p>
    <w:sectPr w:rsidR="003B2D8D" w:rsidSect="003B2D8D">
      <w:type w:val="continuous"/>
      <w:pgSz w:w="16838" w:h="11906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361E"/>
    <w:multiLevelType w:val="hybridMultilevel"/>
    <w:tmpl w:val="B1524330"/>
    <w:lvl w:ilvl="0" w:tplc="EA2E9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ACE"/>
    <w:multiLevelType w:val="hybridMultilevel"/>
    <w:tmpl w:val="08D42C80"/>
    <w:lvl w:ilvl="0" w:tplc="E09EA12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B1E7B"/>
    <w:multiLevelType w:val="hybridMultilevel"/>
    <w:tmpl w:val="2F041BFE"/>
    <w:lvl w:ilvl="0" w:tplc="6018D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C08"/>
    <w:multiLevelType w:val="hybridMultilevel"/>
    <w:tmpl w:val="F0EE6D70"/>
    <w:lvl w:ilvl="0" w:tplc="40FA4C1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E1553B"/>
    <w:multiLevelType w:val="hybridMultilevel"/>
    <w:tmpl w:val="0A9EC1DC"/>
    <w:lvl w:ilvl="0" w:tplc="38A8F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03CD"/>
    <w:multiLevelType w:val="hybridMultilevel"/>
    <w:tmpl w:val="86CE1330"/>
    <w:lvl w:ilvl="0" w:tplc="37029AD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A630CD"/>
    <w:multiLevelType w:val="hybridMultilevel"/>
    <w:tmpl w:val="DC08D38C"/>
    <w:lvl w:ilvl="0" w:tplc="106C774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81994"/>
    <w:multiLevelType w:val="multilevel"/>
    <w:tmpl w:val="FCCA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A33DBB"/>
    <w:multiLevelType w:val="hybridMultilevel"/>
    <w:tmpl w:val="E2242F04"/>
    <w:lvl w:ilvl="0" w:tplc="A99A1430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E5015"/>
    <w:multiLevelType w:val="multilevel"/>
    <w:tmpl w:val="0DD87272"/>
    <w:lvl w:ilvl="0">
      <w:start w:val="1"/>
      <w:numFmt w:val="decimal"/>
      <w:pStyle w:val="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913DBD"/>
    <w:multiLevelType w:val="hybridMultilevel"/>
    <w:tmpl w:val="179AC916"/>
    <w:lvl w:ilvl="0" w:tplc="F58EF7E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41576E"/>
    <w:multiLevelType w:val="hybridMultilevel"/>
    <w:tmpl w:val="20106D5C"/>
    <w:lvl w:ilvl="0" w:tplc="EF94B014">
      <w:numFmt w:val="bullet"/>
      <w:lvlText w:val="­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0E0EF3"/>
    <w:multiLevelType w:val="hybridMultilevel"/>
    <w:tmpl w:val="4A58A31E"/>
    <w:lvl w:ilvl="0" w:tplc="9DC290EC">
      <w:numFmt w:val="bullet"/>
      <w:lvlText w:val="­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4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10"/>
  </w:num>
  <w:num w:numId="14">
    <w:abstractNumId w:val="9"/>
  </w:num>
  <w:num w:numId="15">
    <w:abstractNumId w:val="6"/>
  </w:num>
  <w:num w:numId="16">
    <w:abstractNumId w:val="8"/>
  </w:num>
  <w:num w:numId="17">
    <w:abstractNumId w:val="5"/>
  </w:num>
  <w:num w:numId="18">
    <w:abstractNumId w:val="5"/>
  </w:num>
  <w:num w:numId="19">
    <w:abstractNumId w:val="11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8D"/>
    <w:rsid w:val="00075BC2"/>
    <w:rsid w:val="000D1BF7"/>
    <w:rsid w:val="00115AD3"/>
    <w:rsid w:val="003B2D8D"/>
    <w:rsid w:val="003C5D19"/>
    <w:rsid w:val="003E1E98"/>
    <w:rsid w:val="00621E13"/>
    <w:rsid w:val="007E4D23"/>
    <w:rsid w:val="007E690E"/>
    <w:rsid w:val="00881E49"/>
    <w:rsid w:val="00A67486"/>
    <w:rsid w:val="00B11B58"/>
    <w:rsid w:val="00C443A0"/>
    <w:rsid w:val="00C775D6"/>
    <w:rsid w:val="00CE4426"/>
    <w:rsid w:val="00E0784A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B3255"/>
  <w15:chartTrackingRefBased/>
  <w15:docId w15:val="{ECB9FE28-1A90-4057-B802-00972792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6"/>
        <w:szCs w:val="24"/>
        <w:lang w:val="en-US" w:eastAsia="zh-CN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486"/>
  </w:style>
  <w:style w:type="paragraph" w:styleId="Heading1">
    <w:name w:val="heading 1"/>
    <w:basedOn w:val="Normal"/>
    <w:next w:val="Normal"/>
    <w:link w:val="Heading1Char"/>
    <w:qFormat/>
    <w:rsid w:val="00A67486"/>
    <w:pPr>
      <w:keepNext/>
      <w:spacing w:before="240" w:after="60" w:line="240" w:lineRule="auto"/>
      <w:jc w:val="left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0">
    <w:name w:val="heading 3"/>
    <w:basedOn w:val="Normal"/>
    <w:next w:val="Normal"/>
    <w:link w:val="Heading3Char"/>
    <w:qFormat/>
    <w:rsid w:val="00A67486"/>
    <w:pPr>
      <w:keepNext/>
      <w:spacing w:line="240" w:lineRule="auto"/>
      <w:jc w:val="center"/>
      <w:outlineLvl w:val="2"/>
    </w:pPr>
    <w:rPr>
      <w:rFonts w:ascii=".VnTimeH" w:eastAsiaTheme="majorEastAsia" w:hAnsi=".VnTimeH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486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674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6748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67486"/>
    <w:rPr>
      <w:rFonts w:ascii="Times New Roman" w:eastAsia="Calibri" w:hAnsi="Times New Roman"/>
      <w:color w:val="000000"/>
      <w:sz w:val="28"/>
      <w:szCs w:val="24"/>
      <w:lang w:eastAsia="en-US"/>
    </w:rPr>
  </w:style>
  <w:style w:type="paragraph" w:customStyle="1" w:styleId="para">
    <w:name w:val="para"/>
    <w:basedOn w:val="ListParagraph"/>
    <w:link w:val="paraChar"/>
    <w:autoRedefine/>
    <w:qFormat/>
    <w:rsid w:val="00075BC2"/>
    <w:pPr>
      <w:numPr>
        <w:numId w:val="14"/>
      </w:numPr>
      <w:ind w:left="1080"/>
    </w:pPr>
    <w:rPr>
      <w:b/>
      <w:sz w:val="36"/>
    </w:rPr>
  </w:style>
  <w:style w:type="character" w:customStyle="1" w:styleId="paraChar">
    <w:name w:val="para Char"/>
    <w:basedOn w:val="Heading1Char"/>
    <w:link w:val="para"/>
    <w:rsid w:val="00075BC2"/>
    <w:rPr>
      <w:rFonts w:ascii="Cambria" w:eastAsiaTheme="majorEastAsia" w:hAnsi="Cambria" w:cstheme="majorBidi"/>
      <w:b w:val="0"/>
      <w:bCs/>
      <w:caps w:val="0"/>
      <w:kern w:val="32"/>
      <w:sz w:val="36"/>
      <w:szCs w:val="32"/>
      <w:lang w:eastAsia="en-US"/>
    </w:rPr>
  </w:style>
  <w:style w:type="paragraph" w:styleId="NoSpacing">
    <w:name w:val="No Spacing"/>
    <w:uiPriority w:val="1"/>
    <w:qFormat/>
    <w:rsid w:val="00A67486"/>
    <w:pPr>
      <w:spacing w:line="240" w:lineRule="auto"/>
    </w:pPr>
    <w:rPr>
      <w:rFonts w:eastAsia="Calibri"/>
      <w:sz w:val="28"/>
      <w:lang w:eastAsia="en-US"/>
    </w:rPr>
  </w:style>
  <w:style w:type="paragraph" w:customStyle="1" w:styleId="Heading3">
    <w:name w:val="Heading3"/>
    <w:basedOn w:val="Heading2"/>
    <w:link w:val="Heading3Char0"/>
    <w:autoRedefine/>
    <w:qFormat/>
    <w:rsid w:val="003C5D19"/>
    <w:pPr>
      <w:numPr>
        <w:numId w:val="16"/>
      </w:numPr>
    </w:pPr>
    <w:rPr>
      <w:i/>
    </w:rPr>
  </w:style>
  <w:style w:type="character" w:customStyle="1" w:styleId="Heading3Char0">
    <w:name w:val="Heading3 Char"/>
    <w:basedOn w:val="DefaultParagraphFont"/>
    <w:link w:val="Heading3"/>
    <w:rsid w:val="003C5D19"/>
    <w:rPr>
      <w:rFonts w:eastAsiaTheme="majorEastAsia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0"/>
    <w:rsid w:val="00A67486"/>
    <w:rPr>
      <w:rFonts w:ascii=".VnTimeH" w:eastAsiaTheme="majorEastAsia" w:hAnsi=".VnTimeH" w:cstheme="majorBidi"/>
      <w:b/>
      <w:bCs/>
      <w:sz w:val="28"/>
      <w:szCs w:val="24"/>
      <w:lang w:eastAsia="en-US"/>
    </w:rPr>
  </w:style>
  <w:style w:type="character" w:customStyle="1" w:styleId="hps">
    <w:name w:val="hps"/>
    <w:basedOn w:val="DefaultParagraphFont"/>
    <w:rsid w:val="00A67486"/>
  </w:style>
  <w:style w:type="paragraph" w:customStyle="1" w:styleId="Mainbodytext">
    <w:name w:val="Main body text"/>
    <w:basedOn w:val="Normal"/>
    <w:rsid w:val="00A67486"/>
    <w:pPr>
      <w:tabs>
        <w:tab w:val="left" w:pos="720"/>
      </w:tabs>
    </w:pPr>
    <w:rPr>
      <w:rFonts w:ascii="Arial" w:eastAsia="Times New Roman" w:hAnsi="Arial" w:cs="Angsana New"/>
      <w:sz w:val="24"/>
      <w:lang w:val="en-GB"/>
    </w:rPr>
  </w:style>
  <w:style w:type="paragraph" w:customStyle="1" w:styleId="abc">
    <w:name w:val="abc"/>
    <w:basedOn w:val="Normal"/>
    <w:rsid w:val="00A67486"/>
    <w:pPr>
      <w:autoSpaceDE w:val="0"/>
      <w:autoSpaceDN w:val="0"/>
      <w:spacing w:line="240" w:lineRule="auto"/>
      <w:jc w:val="left"/>
    </w:pPr>
    <w:rPr>
      <w:rFonts w:eastAsia="Times New Roman"/>
      <w:kern w:val="28"/>
      <w:szCs w:val="20"/>
    </w:rPr>
  </w:style>
  <w:style w:type="paragraph" w:customStyle="1" w:styleId="Body">
    <w:name w:val="Body"/>
    <w:rsid w:val="00A6748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Arial Unicode MS" w:hAnsi="Arial Unicode MS" w:cs="Arial Unicode MS"/>
      <w:sz w:val="28"/>
      <w:szCs w:val="28"/>
      <w:u w:color="000000"/>
      <w:bdr w:val="nil"/>
      <w:lang w:eastAsia="en-US"/>
    </w:rPr>
  </w:style>
  <w:style w:type="character" w:customStyle="1" w:styleId="apple-converted-space">
    <w:name w:val="apple-converted-space"/>
    <w:basedOn w:val="DefaultParagraphFont"/>
    <w:rsid w:val="00A67486"/>
  </w:style>
  <w:style w:type="character" w:customStyle="1" w:styleId="m-7208330155622005274gmailmsg">
    <w:name w:val="m_-7208330155622005274gmail_msg"/>
    <w:basedOn w:val="DefaultParagraphFont"/>
    <w:rsid w:val="00A67486"/>
  </w:style>
  <w:style w:type="paragraph" w:customStyle="1" w:styleId="vn6">
    <w:name w:val="vn_6"/>
    <w:basedOn w:val="Normal"/>
    <w:rsid w:val="00A67486"/>
    <w:pPr>
      <w:spacing w:before="100" w:beforeAutospacing="1" w:after="100" w:afterAutospacing="1" w:line="240" w:lineRule="auto"/>
      <w:jc w:val="left"/>
    </w:pPr>
    <w:rPr>
      <w:rFonts w:eastAsia="Times New Roman"/>
      <w:sz w:val="24"/>
    </w:rPr>
  </w:style>
  <w:style w:type="character" w:customStyle="1" w:styleId="Bodytext7">
    <w:name w:val="Body text (7)"/>
    <w:basedOn w:val="DefaultParagraphFont"/>
    <w:rsid w:val="00A674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31">
    <w:name w:val="Heading #3"/>
    <w:basedOn w:val="DefaultParagraphFont"/>
    <w:rsid w:val="00A67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">
    <w:name w:val="Body text (2)"/>
    <w:basedOn w:val="DefaultParagraphFont"/>
    <w:rsid w:val="00A67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">
    <w:name w:val="Body text (6)"/>
    <w:basedOn w:val="DefaultParagraphFont"/>
    <w:rsid w:val="00A67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Italic">
    <w:name w:val="Body text (2) + Italic"/>
    <w:basedOn w:val="DefaultParagraphFont"/>
    <w:rsid w:val="00A67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NotBold">
    <w:name w:val="Body text (6) + Not Bold"/>
    <w:basedOn w:val="DefaultParagraphFont"/>
    <w:rsid w:val="00A67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demuc4">
    <w:name w:val="demuc4"/>
    <w:basedOn w:val="DefaultParagraphFont"/>
    <w:rsid w:val="00A67486"/>
  </w:style>
  <w:style w:type="paragraph" w:customStyle="1" w:styleId="Style1">
    <w:name w:val="Style1"/>
    <w:basedOn w:val="CommentText"/>
    <w:link w:val="Style1Char"/>
    <w:qFormat/>
    <w:rsid w:val="00A67486"/>
    <w:rPr>
      <w:sz w:val="24"/>
    </w:rPr>
  </w:style>
  <w:style w:type="character" w:customStyle="1" w:styleId="Style1Char">
    <w:name w:val="Style1 Char"/>
    <w:basedOn w:val="CommentTextChar"/>
    <w:link w:val="Style1"/>
    <w:rsid w:val="00A67486"/>
    <w:rPr>
      <w:rFonts w:ascii="Times New Roman" w:eastAsia="Calibri" w:hAnsi="Times New Roman" w:cs="Times New Roman"/>
      <w:color w:val="000000"/>
      <w:sz w:val="24"/>
      <w:szCs w:val="20"/>
      <w:lang w:eastAsia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A6748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486"/>
    <w:rPr>
      <w:rFonts w:ascii="Times New Roman" w:eastAsia="Calibri" w:hAnsi="Times New Roman" w:cs="Times New Roman"/>
      <w:color w:val="000000"/>
      <w:sz w:val="26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7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486"/>
    <w:rPr>
      <w:rFonts w:ascii="Times New Roman" w:eastAsia="Calibri" w:hAnsi="Times New Roman"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7486"/>
    <w:rPr>
      <w:sz w:val="16"/>
      <w:szCs w:val="16"/>
    </w:rPr>
  </w:style>
  <w:style w:type="paragraph" w:styleId="BodyText20">
    <w:name w:val="Body Text 2"/>
    <w:basedOn w:val="Normal"/>
    <w:link w:val="BodyText2Char"/>
    <w:rsid w:val="00A67486"/>
    <w:pPr>
      <w:tabs>
        <w:tab w:val="num" w:pos="700"/>
      </w:tabs>
      <w:spacing w:before="120" w:after="120" w:line="240" w:lineRule="auto"/>
    </w:pPr>
    <w:rPr>
      <w:rFonts w:eastAsia="Times New Roman"/>
      <w:szCs w:val="28"/>
      <w:lang w:val="de-DE"/>
    </w:rPr>
  </w:style>
  <w:style w:type="character" w:customStyle="1" w:styleId="BodyText2Char">
    <w:name w:val="Body Text 2 Char"/>
    <w:basedOn w:val="DefaultParagraphFont"/>
    <w:link w:val="BodyText20"/>
    <w:rsid w:val="00A67486"/>
    <w:rPr>
      <w:rFonts w:ascii="Times New Roman" w:eastAsia="Times New Roman" w:hAnsi="Times New Roman"/>
      <w:sz w:val="28"/>
      <w:szCs w:val="28"/>
      <w:lang w:val="de-DE" w:eastAsia="en-US"/>
    </w:rPr>
  </w:style>
  <w:style w:type="paragraph" w:styleId="NormalWeb">
    <w:name w:val="Normal (Web)"/>
    <w:basedOn w:val="Normal"/>
    <w:uiPriority w:val="99"/>
    <w:unhideWhenUsed/>
    <w:rsid w:val="00A67486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486"/>
    <w:rPr>
      <w:rFonts w:ascii="Times New Roman" w:eastAsia="Calibri" w:hAnsi="Times New Roman" w:cs="Times New Roman"/>
      <w:b/>
      <w:bCs/>
      <w:color w:val="000000"/>
      <w:sz w:val="26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86"/>
    <w:rPr>
      <w:rFonts w:ascii="Tahoma" w:eastAsia="Calibri" w:hAnsi="Tahoma" w:cs="Tahoma"/>
      <w:color w:val="000000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67486"/>
    <w:pPr>
      <w:spacing w:line="240" w:lineRule="auto"/>
    </w:pPr>
    <w:rPr>
      <w:rFonts w:eastAsiaTheme="minorHAnsi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CommentText"/>
    <w:link w:val="Style2Char"/>
    <w:autoRedefine/>
    <w:qFormat/>
    <w:rsid w:val="00A67486"/>
    <w:rPr>
      <w:sz w:val="24"/>
    </w:rPr>
  </w:style>
  <w:style w:type="character" w:customStyle="1" w:styleId="Style2Char">
    <w:name w:val="Style2 Char"/>
    <w:basedOn w:val="CommentTextChar"/>
    <w:link w:val="Style2"/>
    <w:rsid w:val="00A67486"/>
    <w:rPr>
      <w:rFonts w:ascii="Times New Roman" w:eastAsia="Calibri" w:hAnsi="Times New Roman" w:cs="Times New Roman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Phạm</dc:creator>
  <cp:keywords/>
  <dc:description/>
  <cp:lastModifiedBy>Hùng Phạm</cp:lastModifiedBy>
  <cp:revision>1</cp:revision>
  <dcterms:created xsi:type="dcterms:W3CDTF">2020-04-06T10:45:00Z</dcterms:created>
  <dcterms:modified xsi:type="dcterms:W3CDTF">2020-04-06T10:47:00Z</dcterms:modified>
</cp:coreProperties>
</file>