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6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376"/>
      </w:tblGrid>
      <w:tr w:rsidR="00E05AC4" w:rsidRPr="00A645B4" w14:paraId="13F32F30" w14:textId="77777777" w:rsidTr="00E74AA9">
        <w:trPr>
          <w:trHeight w:val="1701"/>
        </w:trPr>
        <w:tc>
          <w:tcPr>
            <w:tcW w:w="4590" w:type="dxa"/>
          </w:tcPr>
          <w:p w14:paraId="57953379" w14:textId="77777777" w:rsidR="00E05AC4" w:rsidRPr="00A645B4" w:rsidRDefault="00E05AC4" w:rsidP="00C15FAB">
            <w:pPr>
              <w:jc w:val="center"/>
              <w:rPr>
                <w:b/>
                <w:sz w:val="26"/>
                <w:szCs w:val="26"/>
              </w:rPr>
            </w:pPr>
            <w:r w:rsidRPr="00A645B4">
              <w:rPr>
                <w:b/>
                <w:sz w:val="26"/>
                <w:szCs w:val="26"/>
              </w:rPr>
              <w:t>PHÒNG THƯƠNG MẠI</w:t>
            </w:r>
          </w:p>
          <w:p w14:paraId="11E496CE" w14:textId="77777777" w:rsidR="00E05AC4" w:rsidRPr="00A645B4" w:rsidRDefault="00E05AC4" w:rsidP="00C15FAB">
            <w:pPr>
              <w:jc w:val="center"/>
              <w:rPr>
                <w:b/>
                <w:sz w:val="26"/>
                <w:szCs w:val="26"/>
              </w:rPr>
            </w:pPr>
            <w:r w:rsidRPr="00A645B4">
              <w:rPr>
                <w:b/>
                <w:sz w:val="26"/>
                <w:szCs w:val="26"/>
              </w:rPr>
              <w:t>VÀ CÔNG NGHIỆP VIỆT NAM</w:t>
            </w:r>
          </w:p>
          <w:p w14:paraId="097A1B41" w14:textId="77777777" w:rsidR="00E05AC4" w:rsidRPr="00A645B4" w:rsidRDefault="00E05AC4" w:rsidP="00C15FAB">
            <w:pPr>
              <w:jc w:val="center"/>
              <w:rPr>
                <w:b/>
                <w:sz w:val="26"/>
                <w:szCs w:val="26"/>
              </w:rPr>
            </w:pPr>
            <w:r w:rsidRPr="00A645B4">
              <w:rPr>
                <w:b/>
                <w:noProof/>
                <w:szCs w:val="26"/>
              </w:rPr>
              <mc:AlternateContent>
                <mc:Choice Requires="wps">
                  <w:drawing>
                    <wp:anchor distT="0" distB="0" distL="114300" distR="114300" simplePos="0" relativeHeight="251659264" behindDoc="0" locked="0" layoutInCell="1" allowOverlap="1" wp14:anchorId="7365FA9C" wp14:editId="2A4C2487">
                      <wp:simplePos x="0" y="0"/>
                      <wp:positionH relativeFrom="column">
                        <wp:posOffset>547370</wp:posOffset>
                      </wp:positionH>
                      <wp:positionV relativeFrom="paragraph">
                        <wp:posOffset>71120</wp:posOffset>
                      </wp:positionV>
                      <wp:extent cx="1428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6A28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1pt,5.6pt" to="155.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" strokecolor="#4472c4 [3204]" strokeweight=".5pt">
                      <v:stroke joinstyle="miter"/>
                    </v:line>
                  </w:pict>
                </mc:Fallback>
              </mc:AlternateContent>
            </w:r>
          </w:p>
          <w:p w14:paraId="2C744BDB" w14:textId="014D97B6" w:rsidR="00E05AC4" w:rsidRPr="00A645B4" w:rsidRDefault="00E05AC4" w:rsidP="00C15FAB">
            <w:pPr>
              <w:jc w:val="center"/>
              <w:rPr>
                <w:b/>
                <w:sz w:val="26"/>
                <w:szCs w:val="26"/>
              </w:rPr>
            </w:pPr>
            <w:r w:rsidRPr="00A645B4">
              <w:rPr>
                <w:b/>
                <w:sz w:val="26"/>
                <w:szCs w:val="26"/>
              </w:rPr>
              <w:t xml:space="preserve">Số:    </w:t>
            </w:r>
            <w:r w:rsidRPr="00A645B4">
              <w:rPr>
                <w:b/>
                <w:sz w:val="26"/>
                <w:szCs w:val="26"/>
                <w:lang w:val="vi-VN"/>
              </w:rPr>
              <w:t xml:space="preserve"> </w:t>
            </w:r>
            <w:r w:rsidR="009A7E7A">
              <w:rPr>
                <w:b/>
                <w:sz w:val="26"/>
                <w:szCs w:val="26"/>
              </w:rPr>
              <w:t>0554</w:t>
            </w:r>
            <w:r w:rsidRPr="00A645B4">
              <w:rPr>
                <w:b/>
                <w:sz w:val="26"/>
                <w:szCs w:val="26"/>
                <w:lang w:val="vi-VN"/>
              </w:rPr>
              <w:t xml:space="preserve">    </w:t>
            </w:r>
            <w:r w:rsidRPr="00A645B4">
              <w:rPr>
                <w:b/>
                <w:sz w:val="26"/>
                <w:szCs w:val="26"/>
              </w:rPr>
              <w:t xml:space="preserve">  /PTM-PC</w:t>
            </w:r>
          </w:p>
          <w:p w14:paraId="048ECFBA" w14:textId="6F5564F9" w:rsidR="00E05AC4" w:rsidRPr="00E05AC4" w:rsidRDefault="00E05AC4" w:rsidP="00AF093B">
            <w:pPr>
              <w:ind w:left="255" w:right="297"/>
              <w:jc w:val="center"/>
              <w:rPr>
                <w:sz w:val="22"/>
                <w:szCs w:val="22"/>
              </w:rPr>
            </w:pPr>
            <w:r w:rsidRPr="00A645B4">
              <w:rPr>
                <w:sz w:val="22"/>
                <w:szCs w:val="22"/>
              </w:rPr>
              <w:t>V</w:t>
            </w:r>
            <w:r w:rsidRPr="00A645B4">
              <w:rPr>
                <w:sz w:val="22"/>
                <w:szCs w:val="22"/>
                <w:lang w:val="vi-VN"/>
              </w:rPr>
              <w:t>/</w:t>
            </w:r>
            <w:r w:rsidRPr="00A645B4">
              <w:rPr>
                <w:sz w:val="22"/>
                <w:szCs w:val="22"/>
              </w:rPr>
              <w:t xml:space="preserve">v góp ý </w:t>
            </w:r>
            <w:r w:rsidRPr="00A645B4">
              <w:rPr>
                <w:sz w:val="22"/>
                <w:szCs w:val="22"/>
                <w:lang w:val="vi-VN"/>
              </w:rPr>
              <w:t xml:space="preserve">Dự thảo </w:t>
            </w:r>
            <w:r w:rsidR="001C7F00">
              <w:rPr>
                <w:sz w:val="22"/>
                <w:szCs w:val="22"/>
              </w:rPr>
              <w:t xml:space="preserve">Thông tư về quy hoạch băng tần cho hệ thống di động IMT </w:t>
            </w:r>
          </w:p>
        </w:tc>
        <w:tc>
          <w:tcPr>
            <w:tcW w:w="5376" w:type="dxa"/>
          </w:tcPr>
          <w:p w14:paraId="75C3CAC3" w14:textId="77777777" w:rsidR="00E05AC4" w:rsidRPr="00E05AC4" w:rsidRDefault="00E05AC4" w:rsidP="00C15FAB">
            <w:pPr>
              <w:jc w:val="center"/>
              <w:rPr>
                <w:b/>
                <w:spacing w:val="-10"/>
                <w:sz w:val="26"/>
                <w:szCs w:val="26"/>
                <w:lang w:val="vi-VN"/>
              </w:rPr>
            </w:pPr>
            <w:r w:rsidRPr="00E05AC4">
              <w:rPr>
                <w:b/>
                <w:spacing w:val="-10"/>
                <w:sz w:val="26"/>
                <w:szCs w:val="26"/>
                <w:lang w:val="vi-VN"/>
              </w:rPr>
              <w:t>CỘNG HÒA XÃ HỘI CHỦ NGHĨA VIỆT NAM</w:t>
            </w:r>
          </w:p>
          <w:p w14:paraId="7346A3E2" w14:textId="77777777" w:rsidR="00E05AC4" w:rsidRPr="00E85E8C" w:rsidRDefault="00E05AC4" w:rsidP="00C15FAB">
            <w:pPr>
              <w:jc w:val="center"/>
              <w:rPr>
                <w:b/>
                <w:sz w:val="28"/>
                <w:szCs w:val="28"/>
              </w:rPr>
            </w:pPr>
            <w:r w:rsidRPr="00E85E8C">
              <w:rPr>
                <w:b/>
                <w:sz w:val="28"/>
                <w:szCs w:val="28"/>
              </w:rPr>
              <w:t>Độc lập – Tự do – Hạnh phúc</w:t>
            </w:r>
          </w:p>
          <w:p w14:paraId="3168168E" w14:textId="4CA86DDD" w:rsidR="00E05AC4" w:rsidRPr="00E85E8C" w:rsidRDefault="00E05AC4" w:rsidP="00E85E8C">
            <w:pPr>
              <w:jc w:val="center"/>
              <w:rPr>
                <w:b/>
                <w:sz w:val="26"/>
                <w:szCs w:val="26"/>
              </w:rPr>
            </w:pPr>
            <w:r w:rsidRPr="00A645B4">
              <w:rPr>
                <w:b/>
                <w:noProof/>
                <w:szCs w:val="26"/>
              </w:rPr>
              <mc:AlternateContent>
                <mc:Choice Requires="wps">
                  <w:drawing>
                    <wp:anchor distT="0" distB="0" distL="114300" distR="114300" simplePos="0" relativeHeight="251660288" behindDoc="0" locked="0" layoutInCell="1" allowOverlap="1" wp14:anchorId="462215DA" wp14:editId="24AD18A0">
                      <wp:simplePos x="0" y="0"/>
                      <wp:positionH relativeFrom="column">
                        <wp:posOffset>744854</wp:posOffset>
                      </wp:positionH>
                      <wp:positionV relativeFrom="paragraph">
                        <wp:posOffset>71120</wp:posOffset>
                      </wp:positionV>
                      <wp:extent cx="18002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3F8FE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65pt,5.6pt" to="200.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" strokecolor="#4472c4 [3204]" strokeweight=".5pt">
                      <v:stroke joinstyle="miter"/>
                    </v:line>
                  </w:pict>
                </mc:Fallback>
              </mc:AlternateContent>
            </w:r>
          </w:p>
          <w:p w14:paraId="01361C95" w14:textId="49EE92C7" w:rsidR="00E05AC4" w:rsidRPr="00A645B4" w:rsidRDefault="00E05AC4" w:rsidP="00802D35">
            <w:pPr>
              <w:jc w:val="right"/>
              <w:rPr>
                <w:i/>
                <w:sz w:val="26"/>
                <w:szCs w:val="26"/>
              </w:rPr>
            </w:pPr>
            <w:r w:rsidRPr="00A645B4">
              <w:rPr>
                <w:i/>
                <w:szCs w:val="26"/>
              </w:rPr>
              <w:t xml:space="preserve">Hà Nội, ngày </w:t>
            </w:r>
            <w:r w:rsidR="00802D35">
              <w:rPr>
                <w:i/>
                <w:szCs w:val="26"/>
              </w:rPr>
              <w:t>27</w:t>
            </w:r>
            <w:r w:rsidRPr="00A645B4">
              <w:rPr>
                <w:i/>
                <w:szCs w:val="26"/>
              </w:rPr>
              <w:t xml:space="preserve"> tháng  </w:t>
            </w:r>
            <w:r w:rsidR="00E74AA9">
              <w:rPr>
                <w:i/>
                <w:szCs w:val="26"/>
              </w:rPr>
              <w:t xml:space="preserve">4 </w:t>
            </w:r>
            <w:r w:rsidRPr="00A645B4">
              <w:rPr>
                <w:i/>
                <w:szCs w:val="26"/>
              </w:rPr>
              <w:t xml:space="preserve"> năm 20</w:t>
            </w:r>
            <w:r w:rsidR="00E74AA9">
              <w:rPr>
                <w:i/>
                <w:szCs w:val="26"/>
              </w:rPr>
              <w:t>20</w:t>
            </w:r>
          </w:p>
        </w:tc>
      </w:tr>
    </w:tbl>
    <w:p w14:paraId="3820AF12" w14:textId="3011889B" w:rsidR="00E05AC4" w:rsidRPr="0064716C" w:rsidRDefault="00E05AC4" w:rsidP="0064716C">
      <w:pPr>
        <w:snapToGrid w:val="0"/>
        <w:spacing w:before="360" w:after="120" w:line="312" w:lineRule="auto"/>
        <w:jc w:val="center"/>
        <w:rPr>
          <w:b/>
        </w:rPr>
      </w:pPr>
      <w:r w:rsidRPr="0064716C">
        <w:rPr>
          <w:b/>
        </w:rPr>
        <w:t>Kính gửi:</w:t>
      </w:r>
      <w:r w:rsidRPr="0064716C">
        <w:rPr>
          <w:b/>
          <w:lang w:val="vi-VN"/>
        </w:rPr>
        <w:t xml:space="preserve">  </w:t>
      </w:r>
      <w:r w:rsidR="00E74AA9">
        <w:rPr>
          <w:b/>
        </w:rPr>
        <w:t>Cục Tần số vô tuyến điện</w:t>
      </w:r>
      <w:r w:rsidR="002E655F" w:rsidRPr="0064716C">
        <w:rPr>
          <w:b/>
        </w:rPr>
        <w:t xml:space="preserve"> </w:t>
      </w:r>
      <w:r w:rsidR="00E74AA9">
        <w:rPr>
          <w:b/>
        </w:rPr>
        <w:t>–</w:t>
      </w:r>
      <w:r w:rsidR="0064716C">
        <w:rPr>
          <w:b/>
        </w:rPr>
        <w:t xml:space="preserve"> </w:t>
      </w:r>
      <w:r w:rsidR="00E74AA9">
        <w:rPr>
          <w:b/>
        </w:rPr>
        <w:t>Bộ Thông tin và Truyền thông</w:t>
      </w:r>
    </w:p>
    <w:p w14:paraId="1E122787" w14:textId="065976E3" w:rsidR="00CC48AC" w:rsidRDefault="00E05AC4" w:rsidP="00CC48AC">
      <w:pPr>
        <w:snapToGrid w:val="0"/>
        <w:spacing w:before="120" w:after="120" w:line="312" w:lineRule="auto"/>
        <w:jc w:val="both"/>
        <w:rPr>
          <w:lang w:val="vi-VN"/>
        </w:rPr>
      </w:pPr>
      <w:r w:rsidRPr="0064716C">
        <w:rPr>
          <w:lang w:val="vi-VN"/>
        </w:rPr>
        <w:t xml:space="preserve">Trả lời Công văn số </w:t>
      </w:r>
      <w:r w:rsidR="00E74AA9">
        <w:t>1029/BTTTT-CTS</w:t>
      </w:r>
      <w:r w:rsidRPr="0064716C">
        <w:rPr>
          <w:lang w:val="vi-VN"/>
        </w:rPr>
        <w:t xml:space="preserve"> ngày </w:t>
      </w:r>
      <w:r w:rsidR="00E74AA9">
        <w:t>26</w:t>
      </w:r>
      <w:r w:rsidRPr="0064716C">
        <w:rPr>
          <w:lang w:val="vi-VN"/>
        </w:rPr>
        <w:t>/0</w:t>
      </w:r>
      <w:r w:rsidR="00E74AA9">
        <w:t>3</w:t>
      </w:r>
      <w:r w:rsidRPr="0064716C">
        <w:rPr>
          <w:lang w:val="vi-VN"/>
        </w:rPr>
        <w:t>/20</w:t>
      </w:r>
      <w:r w:rsidR="00E74AA9">
        <w:t>20</w:t>
      </w:r>
      <w:r w:rsidRPr="0064716C">
        <w:rPr>
          <w:lang w:val="vi-VN"/>
        </w:rPr>
        <w:t xml:space="preserve"> của </w:t>
      </w:r>
      <w:r w:rsidR="00E74AA9">
        <w:t>Bộ Thông tin và Truyền thông</w:t>
      </w:r>
      <w:r w:rsidRPr="0064716C">
        <w:rPr>
          <w:lang w:val="vi-VN"/>
        </w:rPr>
        <w:t xml:space="preserve"> về việc đề nghị góp ý </w:t>
      </w:r>
      <w:r w:rsidRPr="0064716C">
        <w:rPr>
          <w:b/>
          <w:i/>
          <w:lang w:val="vi-VN"/>
        </w:rPr>
        <w:t xml:space="preserve">Dự thảo </w:t>
      </w:r>
      <w:r w:rsidR="00E74AA9" w:rsidRPr="00E74AA9">
        <w:rPr>
          <w:b/>
          <w:i/>
        </w:rPr>
        <w:t>Thông tư quy hoạch băng tần 2300-2400 MHz và băng tần 2500-2690 MHz cho hệ thống thông tin di động IMT của Việt Nam</w:t>
      </w:r>
      <w:r w:rsidRPr="0064716C">
        <w:rPr>
          <w:b/>
          <w:i/>
          <w:lang w:val="vi-VN"/>
        </w:rPr>
        <w:t xml:space="preserve"> </w:t>
      </w:r>
      <w:r w:rsidRPr="0064716C">
        <w:rPr>
          <w:lang w:val="vi-VN"/>
        </w:rPr>
        <w:t>(sau đây gọi tắt là Dự thảo), Phòng Thương mại và Công nghiệp Việt Nam (VCCI), trên cơ sở ý kiến của doanh nghiệp</w:t>
      </w:r>
      <w:r w:rsidR="00E74AA9">
        <w:t xml:space="preserve"> và chuyên gia</w:t>
      </w:r>
      <w:r w:rsidRPr="0064716C">
        <w:rPr>
          <w:lang w:val="vi-VN"/>
        </w:rPr>
        <w:t>, có</w:t>
      </w:r>
      <w:r w:rsidR="002E655F" w:rsidRPr="0064716C">
        <w:t xml:space="preserve"> </w:t>
      </w:r>
      <w:r w:rsidRPr="0064716C">
        <w:rPr>
          <w:lang w:val="vi-VN"/>
        </w:rPr>
        <w:t>ý kiến ban đầu như sau:</w:t>
      </w:r>
    </w:p>
    <w:p w14:paraId="1A2EFECC" w14:textId="4306E7D7" w:rsidR="003D4869" w:rsidRPr="003D4869" w:rsidRDefault="003D4869" w:rsidP="003D4869">
      <w:pPr>
        <w:pStyle w:val="ListParagraph"/>
        <w:numPr>
          <w:ilvl w:val="0"/>
          <w:numId w:val="32"/>
        </w:numPr>
        <w:rPr>
          <w:lang w:val="vi-VN"/>
        </w:rPr>
      </w:pPr>
      <w:r>
        <w:rPr>
          <w:lang w:val="vi-VN"/>
        </w:rPr>
        <w:t>Phương án quy hoạch băng tần</w:t>
      </w:r>
    </w:p>
    <w:p w14:paraId="7AF8F1A1" w14:textId="37F391BE" w:rsidR="003D4869" w:rsidRDefault="003D4869" w:rsidP="002D7CE9">
      <w:pPr>
        <w:snapToGrid w:val="0"/>
        <w:spacing w:before="120" w:after="120" w:line="312" w:lineRule="auto"/>
        <w:jc w:val="both"/>
      </w:pPr>
      <w:r>
        <w:t>Điều 2.1 và 2.2 của Dự thảo đưa ra hai phương án quy hoạch băng tần 2,3</w:t>
      </w:r>
      <w:r w:rsidR="00765BAB">
        <w:t xml:space="preserve"> </w:t>
      </w:r>
      <w:r>
        <w:t>GHz và 2,6</w:t>
      </w:r>
      <w:r w:rsidR="00765BAB">
        <w:t xml:space="preserve"> </w:t>
      </w:r>
      <w:r>
        <w:t xml:space="preserve">GHz. Trong đó, </w:t>
      </w:r>
      <w:r w:rsidR="00765BAB">
        <w:t>P</w:t>
      </w:r>
      <w:r>
        <w:t>hương án 1 chia dải bằng tần thành những khối có độ rộng lớ</w:t>
      </w:r>
      <w:r w:rsidR="00765BAB">
        <w:t>n như 30 MHz, 90 MHz và 100 MHz. Phương án 2 chia dải băng tần thành những khối có độ rộng nhỏ đều nhau (10 MHz) và cho phép các doanh nghiệp ghép khối liền nhau sau khi đấu giá và cấp phép. VCCI đồng tình với Phương án 2 của dự thảo vì phương án này giúp tối đa hoá sự cạnh tranh trong quá trình đấu giá, đồng thời cũng giúp các doanh nghiệp chủ động linh hoạt hơn khi thiết kế phương án kinh doanh.</w:t>
      </w:r>
    </w:p>
    <w:p w14:paraId="1C349A55" w14:textId="2C8B3074" w:rsidR="00765BAB" w:rsidRDefault="00765BAB" w:rsidP="00765BAB">
      <w:pPr>
        <w:pStyle w:val="ListParagraph"/>
        <w:numPr>
          <w:ilvl w:val="0"/>
          <w:numId w:val="32"/>
        </w:numPr>
      </w:pPr>
      <w:r>
        <w:t>Giới hạn số khối tối đa mà một doanh nghiệp được mua khi đấu giá</w:t>
      </w:r>
    </w:p>
    <w:p w14:paraId="72CEA0E3" w14:textId="73756366" w:rsidR="00765BAB" w:rsidRDefault="00765BAB" w:rsidP="002D7CE9">
      <w:pPr>
        <w:snapToGrid w:val="0"/>
        <w:spacing w:before="120" w:after="120" w:line="312" w:lineRule="auto"/>
        <w:jc w:val="both"/>
      </w:pPr>
      <w:r>
        <w:t xml:space="preserve">Trong Phương án 2, Điều 2.3 của Dự thảo quy định số khối tối đa một doanh nghiệp được mua khi đấu giá là 10 khối ở băng tần 2,6 GHz, </w:t>
      </w:r>
      <w:r w:rsidR="0077150F">
        <w:t>4</w:t>
      </w:r>
      <w:r>
        <w:t xml:space="preserve"> khối ở băng tần 2,3 GHz và tổng ở cả hai băng tần không quá 12 khối.</w:t>
      </w:r>
    </w:p>
    <w:p w14:paraId="0D941E54" w14:textId="20FB8ABF" w:rsidR="00765BAB" w:rsidRDefault="00B7108B" w:rsidP="002D7CE9">
      <w:pPr>
        <w:snapToGrid w:val="0"/>
        <w:spacing w:before="120" w:after="120" w:line="312" w:lineRule="auto"/>
        <w:jc w:val="both"/>
      </w:pPr>
      <w:r>
        <w:t>Trong thuyết minh của Dự thảo, Cơ quan soạn thảo cho rằng việc điều chỉnh quy hoạch này là nhằm mở rộng thêm băng tần cho các doanh nghiệp để tiếp tục triển khai mở rộng dịch vụ 4G và tiến tới dịch vụ 5G</w:t>
      </w:r>
      <w:r w:rsidR="002127E3">
        <w:t xml:space="preserve"> trong các năm tiếp theo cho thuê bao di động mặt đất. Theo ý kiến của các doanh nghiệp và chuyên gia, dịch vụ 5G sẽ được triển khai hiệu quả nhất </w:t>
      </w:r>
      <w:r w:rsidR="007F74FB">
        <w:t>nếu một doanh nghiệp có dải băng tần liên tục khoảng 100 MHz, tương ứng với 10 khối.</w:t>
      </w:r>
    </w:p>
    <w:p w14:paraId="6D068B0A" w14:textId="5431F8A4" w:rsidR="007F74FB" w:rsidRDefault="007F74FB" w:rsidP="00DF33A2">
      <w:pPr>
        <w:snapToGrid w:val="0"/>
        <w:spacing w:before="120" w:after="120" w:line="312" w:lineRule="auto"/>
        <w:jc w:val="both"/>
      </w:pPr>
      <w:r>
        <w:t xml:space="preserve">Do đó, quy định tại Điều 2.3 giới hạn một doanh nghiệp chỉ được mua tối đa 10 khối trong băng tần 2,6 GHz là hợp lý. Tuy nhiên, tại băng tần 2,3 GHz, Dự thảo hiện nay giới hạn cho phép một doanh nghiệp chỉ được mua tối đa </w:t>
      </w:r>
      <w:r w:rsidR="0077150F">
        <w:t>4</w:t>
      </w:r>
      <w:r>
        <w:t xml:space="preserve"> khối, tương ứng với </w:t>
      </w:r>
      <w:r w:rsidR="0077150F">
        <w:t>4</w:t>
      </w:r>
      <w:r>
        <w:t>0 MHz. Đây là mức rất nhỏ chỉ phù hợp để triển khai dịch vụ 4G, mà không phù hợp với dịch vụ 5G.</w:t>
      </w:r>
      <w:r w:rsidR="000E397E">
        <w:t xml:space="preserve"> Trong tương lai, khi mà đa số người dùng và các thiết bị sử dụng công nghệ 5G thì việc thu hồi hoặc quy hoạch lại băng tần 2,3 GHz sẽ gặp nhiều khó khăn, tương </w:t>
      </w:r>
      <w:r w:rsidR="000E397E">
        <w:lastRenderedPageBreak/>
        <w:t xml:space="preserve">tự như những gì đang diễn ra với dịch vụ 2G hiện nay. Do đó, VCCI đề nghị cơ quan soạn thảo sửa đổi quy định theo hướng cho phép một doanh nghiệp mua tối đa cả 9 khối tại băng tần 2,3 GHz. Tuy nhiên, để bảo đảm cạnh tranh trên thị trường thì cần giới hạn </w:t>
      </w:r>
      <w:r w:rsidR="00DF33A2">
        <w:t xml:space="preserve">tổng số </w:t>
      </w:r>
      <w:r w:rsidR="000E397E">
        <w:t xml:space="preserve">khối </w:t>
      </w:r>
      <w:r w:rsidR="00DF33A2">
        <w:t>mà một doanh nghiệp được mua tại cả hai băng tần tối đa là 9 khối (trừ trường hợp mua được 10 khối tại băng tần 2,6 GHz). Với mức này, các doanh nghiệp vẫn phải cạnh tranh trong cuộc đấu giá để có thể đạt được tổng số khối; dải khối liên tục đủ lớn để triển khai công nghệ và số khối ở băng tần 2,6 GHz</w:t>
      </w:r>
      <w:r w:rsidR="00DF33A2">
        <w:rPr>
          <w:rStyle w:val="FootnoteReference"/>
        </w:rPr>
        <w:footnoteReference w:id="1"/>
      </w:r>
      <w:r w:rsidR="00DF33A2">
        <w:t>. Do đó, vẫn đảm bảo được tính cạnh tranh khi đấu giá và khả năng mang lại nguồn thu cho Nhà nước. Đồng thời, mức 9 hoặc 10 khối sẽ cho phép mỗi nhà mạng đều được cấp dải tần đủ lớn, từ đó đảm bảo được sự tham gia hiệu quả của nhiều nhà mạng hơn vào việc phát triển mạng LTE và các thế hệ tiếp theo.</w:t>
      </w:r>
    </w:p>
    <w:p w14:paraId="6C1A4CA2" w14:textId="17957976" w:rsidR="00CC34E3" w:rsidRDefault="00DF33A2" w:rsidP="00DF33A2">
      <w:pPr>
        <w:snapToGrid w:val="0"/>
        <w:spacing w:before="120" w:after="120" w:line="312" w:lineRule="auto"/>
        <w:jc w:val="both"/>
      </w:pPr>
      <w:r>
        <w:t xml:space="preserve">Như vậy, Điều 2.3 của Dự thảo sẽ được sửa lại như sau: </w:t>
      </w:r>
      <w:r w:rsidRPr="00DF33A2">
        <w:rPr>
          <w:i/>
        </w:rPr>
        <w:t xml:space="preserve">Trong băng tần 2300-2400 MHz, mỗi doanh nghiệp được xem xét cấp phép </w:t>
      </w:r>
      <w:r w:rsidRPr="00DF33A2">
        <w:rPr>
          <w:i/>
          <w:u w:val="single"/>
        </w:rPr>
        <w:t>không quá</w:t>
      </w:r>
      <w:r w:rsidRPr="00DF33A2">
        <w:rPr>
          <w:i/>
        </w:rPr>
        <w:t xml:space="preserve"> </w:t>
      </w:r>
      <w:r w:rsidRPr="00DF33A2">
        <w:rPr>
          <w:i/>
          <w:u w:val="single"/>
        </w:rPr>
        <w:t>09 khối</w:t>
      </w:r>
      <w:r w:rsidRPr="00DF33A2">
        <w:rPr>
          <w:i/>
        </w:rPr>
        <w:t xml:space="preserve"> trong tổng số 09 khối A1-A9. Trong băng tần 2500-2690 MHz, mỗi doanh nghiệp được xem xét cấp phép không quá 10 khối trong tổng số 19 khối B1-B19. Trong cả hai băng tần 2300-2400 MHz và 2500-2690 MHz, mỗi doanh nghiệp được xem xét cấp phép </w:t>
      </w:r>
      <w:r w:rsidRPr="00DF33A2">
        <w:rPr>
          <w:i/>
          <w:u w:val="single"/>
        </w:rPr>
        <w:t>không quá 09 khối</w:t>
      </w:r>
      <w:r w:rsidRPr="00DF33A2">
        <w:rPr>
          <w:i/>
        </w:rPr>
        <w:t xml:space="preserve"> trong tổng số 28 khối A1-A9 và B1-B19</w:t>
      </w:r>
      <w:r>
        <w:rPr>
          <w:i/>
        </w:rPr>
        <w:t xml:space="preserve"> </w:t>
      </w:r>
      <w:r w:rsidRPr="00DF33A2">
        <w:rPr>
          <w:i/>
          <w:u w:val="single"/>
        </w:rPr>
        <w:t>(trừ trường hợp một doanh nghiệp được cấp phép 10 khối tại băng tần 2500-2690 MHz)</w:t>
      </w:r>
      <w:r w:rsidRPr="00DF33A2">
        <w:rPr>
          <w:i/>
        </w:rPr>
        <w:t>.</w:t>
      </w:r>
    </w:p>
    <w:p w14:paraId="7CAE2F2E" w14:textId="2EB41D4A" w:rsidR="00A356A7" w:rsidRPr="0064716C" w:rsidRDefault="00A356A7" w:rsidP="0064716C">
      <w:pPr>
        <w:snapToGrid w:val="0"/>
        <w:spacing w:before="120" w:after="120" w:line="312" w:lineRule="auto"/>
        <w:jc w:val="both"/>
        <w:rPr>
          <w:b/>
          <w:bCs/>
          <w:i/>
          <w:iCs/>
          <w:lang w:val="vi-VN"/>
        </w:rPr>
      </w:pPr>
      <w:r w:rsidRPr="0064716C">
        <w:rPr>
          <w:lang w:val="vi-VN"/>
        </w:rPr>
        <w:t>Trên đây là một số ý kiến ban đầu của Phòng Thương mại và Công nghiệp Việt Nam về </w:t>
      </w:r>
      <w:r w:rsidRPr="0064716C">
        <w:rPr>
          <w:b/>
          <w:bCs/>
          <w:i/>
          <w:iCs/>
          <w:lang w:val="vi-VN"/>
        </w:rPr>
        <w:t xml:space="preserve">Dự thảo </w:t>
      </w:r>
      <w:r w:rsidR="00E74AA9" w:rsidRPr="00E74AA9">
        <w:rPr>
          <w:b/>
          <w:i/>
        </w:rPr>
        <w:t>Thông tư quy hoạch băng tần 2300-2400 MHz và băng tần 2500-2690 MHz cho hệ thống thông tin di động IMT của Việt Nam</w:t>
      </w:r>
      <w:r w:rsidRPr="0064716C">
        <w:rPr>
          <w:lang w:val="vi-VN"/>
        </w:rPr>
        <w:t>. Rất mong cơ quan soạn thảo cân nhắc để chỉnh sửa, hoàn thiện Dự thảo này.</w:t>
      </w:r>
    </w:p>
    <w:p w14:paraId="4154E3E8" w14:textId="77777777" w:rsidR="00A356A7" w:rsidRPr="0064716C" w:rsidRDefault="00A356A7" w:rsidP="0064716C">
      <w:pPr>
        <w:snapToGrid w:val="0"/>
        <w:spacing w:before="120" w:after="120" w:line="312" w:lineRule="auto"/>
        <w:jc w:val="both"/>
        <w:rPr>
          <w:lang w:val="vi-VN"/>
        </w:rPr>
      </w:pPr>
      <w:r w:rsidRPr="0064716C">
        <w:rPr>
          <w:lang w:val="vi-VN"/>
        </w:rPr>
        <w:t>Trân trọng cảm ơn sự hợp tác của Quý Cơ quan./.</w:t>
      </w:r>
    </w:p>
    <w:tbl>
      <w:tblPr>
        <w:tblW w:w="9634" w:type="dxa"/>
        <w:tblLook w:val="01E0" w:firstRow="1" w:lastRow="1" w:firstColumn="1" w:lastColumn="1" w:noHBand="0" w:noVBand="0"/>
      </w:tblPr>
      <w:tblGrid>
        <w:gridCol w:w="4698"/>
        <w:gridCol w:w="4936"/>
      </w:tblGrid>
      <w:tr w:rsidR="00E05AC4" w:rsidRPr="00146B01" w14:paraId="73FABEEF" w14:textId="77777777" w:rsidTr="00C15FAB">
        <w:trPr>
          <w:trHeight w:val="2419"/>
        </w:trPr>
        <w:tc>
          <w:tcPr>
            <w:tcW w:w="4698" w:type="dxa"/>
            <w:shd w:val="clear" w:color="auto" w:fill="auto"/>
          </w:tcPr>
          <w:p w14:paraId="4C7CD0A0" w14:textId="77777777" w:rsidR="00E05AC4" w:rsidRPr="00A645B4" w:rsidRDefault="00E05AC4" w:rsidP="007A7A16">
            <w:pPr>
              <w:spacing w:after="0" w:line="240" w:lineRule="auto"/>
              <w:ind w:firstLine="0"/>
              <w:rPr>
                <w:b/>
                <w:i/>
                <w:sz w:val="22"/>
                <w:szCs w:val="26"/>
              </w:rPr>
            </w:pPr>
            <w:r w:rsidRPr="00A645B4">
              <w:rPr>
                <w:b/>
                <w:i/>
                <w:sz w:val="22"/>
                <w:szCs w:val="26"/>
              </w:rPr>
              <w:t>Nơi nhận:</w:t>
            </w:r>
          </w:p>
          <w:p w14:paraId="4C0C5999" w14:textId="2ABBB7A7" w:rsidR="007A7A16" w:rsidRPr="00E74AA9" w:rsidRDefault="00E05AC4" w:rsidP="00E74AA9">
            <w:pPr>
              <w:numPr>
                <w:ilvl w:val="0"/>
                <w:numId w:val="27"/>
              </w:numPr>
              <w:tabs>
                <w:tab w:val="clear" w:pos="720"/>
                <w:tab w:val="num" w:pos="567"/>
              </w:tabs>
              <w:spacing w:before="60" w:after="0" w:line="240" w:lineRule="auto"/>
              <w:ind w:left="426" w:hanging="284"/>
              <w:jc w:val="both"/>
              <w:rPr>
                <w:sz w:val="22"/>
                <w:szCs w:val="26"/>
              </w:rPr>
            </w:pPr>
            <w:r w:rsidRPr="00A645B4">
              <w:rPr>
                <w:sz w:val="22"/>
                <w:szCs w:val="26"/>
              </w:rPr>
              <w:t>Như trên;</w:t>
            </w:r>
          </w:p>
          <w:p w14:paraId="4C3C52EE" w14:textId="019E486B" w:rsidR="0064716C" w:rsidRPr="007A7A16" w:rsidRDefault="00E74AA9" w:rsidP="007A7A16">
            <w:pPr>
              <w:numPr>
                <w:ilvl w:val="0"/>
                <w:numId w:val="27"/>
              </w:numPr>
              <w:tabs>
                <w:tab w:val="clear" w:pos="720"/>
                <w:tab w:val="num" w:pos="567"/>
              </w:tabs>
              <w:spacing w:before="60" w:after="0" w:line="240" w:lineRule="auto"/>
              <w:ind w:left="426" w:hanging="284"/>
              <w:jc w:val="both"/>
              <w:rPr>
                <w:sz w:val="22"/>
                <w:szCs w:val="26"/>
              </w:rPr>
            </w:pPr>
            <w:r>
              <w:rPr>
                <w:sz w:val="22"/>
                <w:szCs w:val="26"/>
              </w:rPr>
              <w:t>BTTTT</w:t>
            </w:r>
            <w:r w:rsidR="0064716C">
              <w:rPr>
                <w:sz w:val="22"/>
                <w:szCs w:val="26"/>
              </w:rPr>
              <w:t xml:space="preserve"> (Vụ Pháp chế)</w:t>
            </w:r>
          </w:p>
          <w:p w14:paraId="50FB3D58" w14:textId="77777777" w:rsidR="00E05AC4" w:rsidRPr="00A645B4" w:rsidRDefault="00E05AC4" w:rsidP="00E05AC4">
            <w:pPr>
              <w:numPr>
                <w:ilvl w:val="0"/>
                <w:numId w:val="27"/>
              </w:numPr>
              <w:tabs>
                <w:tab w:val="clear" w:pos="720"/>
                <w:tab w:val="num" w:pos="567"/>
              </w:tabs>
              <w:spacing w:before="60" w:after="0" w:line="240" w:lineRule="auto"/>
              <w:ind w:left="426" w:hanging="284"/>
              <w:jc w:val="both"/>
              <w:rPr>
                <w:sz w:val="22"/>
                <w:szCs w:val="26"/>
              </w:rPr>
            </w:pPr>
            <w:r w:rsidRPr="00A645B4">
              <w:rPr>
                <w:sz w:val="22"/>
                <w:szCs w:val="26"/>
              </w:rPr>
              <w:t>Ban Thường trực (để báo cáo);</w:t>
            </w:r>
          </w:p>
          <w:p w14:paraId="516D3534" w14:textId="77777777" w:rsidR="00E05AC4" w:rsidRPr="00A645B4" w:rsidRDefault="00E05AC4" w:rsidP="00E05AC4">
            <w:pPr>
              <w:numPr>
                <w:ilvl w:val="0"/>
                <w:numId w:val="27"/>
              </w:numPr>
              <w:tabs>
                <w:tab w:val="clear" w:pos="720"/>
                <w:tab w:val="num" w:pos="567"/>
              </w:tabs>
              <w:spacing w:before="60" w:after="0" w:line="240" w:lineRule="auto"/>
              <w:ind w:left="426" w:hanging="284"/>
              <w:jc w:val="both"/>
              <w:rPr>
                <w:sz w:val="22"/>
                <w:szCs w:val="26"/>
              </w:rPr>
            </w:pPr>
            <w:r w:rsidRPr="00A645B4">
              <w:rPr>
                <w:sz w:val="22"/>
                <w:szCs w:val="26"/>
              </w:rPr>
              <w:t>Lưu VP (TH, VT), PC.</w:t>
            </w:r>
          </w:p>
          <w:p w14:paraId="659EFCBB" w14:textId="77777777" w:rsidR="00E05AC4" w:rsidRPr="00A645B4" w:rsidRDefault="00E05AC4" w:rsidP="00C15FAB">
            <w:pPr>
              <w:tabs>
                <w:tab w:val="center" w:pos="6240"/>
              </w:tabs>
              <w:spacing w:after="0" w:line="240" w:lineRule="auto"/>
              <w:jc w:val="both"/>
              <w:rPr>
                <w:b/>
                <w:szCs w:val="26"/>
              </w:rPr>
            </w:pPr>
          </w:p>
        </w:tc>
        <w:tc>
          <w:tcPr>
            <w:tcW w:w="4936" w:type="dxa"/>
            <w:shd w:val="clear" w:color="auto" w:fill="auto"/>
          </w:tcPr>
          <w:p w14:paraId="1F5280E8" w14:textId="77777777" w:rsidR="00E05AC4" w:rsidRPr="00A645B4" w:rsidRDefault="00E05AC4" w:rsidP="00B31674">
            <w:pPr>
              <w:spacing w:after="0" w:line="240" w:lineRule="auto"/>
              <w:ind w:firstLine="57"/>
              <w:jc w:val="center"/>
              <w:rPr>
                <w:szCs w:val="26"/>
              </w:rPr>
            </w:pPr>
            <w:r w:rsidRPr="00A645B4">
              <w:rPr>
                <w:b/>
                <w:szCs w:val="26"/>
              </w:rPr>
              <w:t>TL. CHỦ TỊCH</w:t>
            </w:r>
          </w:p>
          <w:p w14:paraId="3B27F822" w14:textId="77777777" w:rsidR="00E05AC4" w:rsidRPr="00A645B4" w:rsidRDefault="00E05AC4" w:rsidP="00B31674">
            <w:pPr>
              <w:tabs>
                <w:tab w:val="center" w:pos="6240"/>
              </w:tabs>
              <w:spacing w:after="0" w:line="240" w:lineRule="auto"/>
              <w:ind w:firstLine="57"/>
              <w:jc w:val="center"/>
              <w:rPr>
                <w:b/>
                <w:szCs w:val="26"/>
                <w:lang w:val="vi-VN"/>
              </w:rPr>
            </w:pPr>
            <w:r w:rsidRPr="00A645B4">
              <w:rPr>
                <w:b/>
                <w:szCs w:val="26"/>
              </w:rPr>
              <w:t>TRƯỞNG BAN</w:t>
            </w:r>
            <w:r w:rsidRPr="00A645B4">
              <w:rPr>
                <w:b/>
                <w:szCs w:val="26"/>
                <w:lang w:val="vi-VN"/>
              </w:rPr>
              <w:t xml:space="preserve"> PHÁP CHẾ</w:t>
            </w:r>
          </w:p>
          <w:p w14:paraId="0766FE81" w14:textId="77777777" w:rsidR="00E05AC4" w:rsidRPr="00A645B4" w:rsidRDefault="00E05AC4" w:rsidP="00B31674">
            <w:pPr>
              <w:tabs>
                <w:tab w:val="center" w:pos="6240"/>
              </w:tabs>
              <w:spacing w:after="0" w:line="240" w:lineRule="auto"/>
              <w:jc w:val="center"/>
              <w:rPr>
                <w:b/>
                <w:szCs w:val="26"/>
              </w:rPr>
            </w:pPr>
          </w:p>
          <w:p w14:paraId="153E5FA7" w14:textId="77777777" w:rsidR="00E05AC4" w:rsidRPr="00A645B4" w:rsidRDefault="00E05AC4" w:rsidP="00B31674">
            <w:pPr>
              <w:tabs>
                <w:tab w:val="center" w:pos="6240"/>
              </w:tabs>
              <w:spacing w:after="0" w:line="240" w:lineRule="auto"/>
              <w:jc w:val="center"/>
              <w:rPr>
                <w:i/>
                <w:szCs w:val="26"/>
                <w:lang w:val="vi-VN"/>
              </w:rPr>
            </w:pPr>
          </w:p>
          <w:p w14:paraId="14E83368" w14:textId="018D001A" w:rsidR="00E05AC4" w:rsidRPr="00802D35" w:rsidRDefault="00802D35" w:rsidP="00802D35">
            <w:pPr>
              <w:tabs>
                <w:tab w:val="center" w:pos="6240"/>
              </w:tabs>
              <w:spacing w:after="0" w:line="240" w:lineRule="auto"/>
              <w:ind w:firstLine="0"/>
              <w:jc w:val="center"/>
              <w:rPr>
                <w:i/>
                <w:szCs w:val="26"/>
              </w:rPr>
            </w:pPr>
            <w:r>
              <w:rPr>
                <w:i/>
                <w:szCs w:val="26"/>
              </w:rPr>
              <w:t>(Đã ký)</w:t>
            </w:r>
          </w:p>
          <w:p w14:paraId="2B08D6ED" w14:textId="77777777" w:rsidR="00E05AC4" w:rsidRPr="00146B01" w:rsidRDefault="00E05AC4" w:rsidP="00B31674">
            <w:pPr>
              <w:tabs>
                <w:tab w:val="center" w:pos="6240"/>
              </w:tabs>
              <w:spacing w:after="0" w:line="240" w:lineRule="auto"/>
              <w:jc w:val="center"/>
              <w:rPr>
                <w:i/>
                <w:szCs w:val="26"/>
                <w:lang w:val="vi-VN"/>
              </w:rPr>
            </w:pPr>
          </w:p>
          <w:p w14:paraId="0D2A1A24" w14:textId="77777777" w:rsidR="00E05AC4" w:rsidRPr="00146B01" w:rsidRDefault="00E05AC4" w:rsidP="00B31674">
            <w:pPr>
              <w:tabs>
                <w:tab w:val="center" w:pos="6240"/>
              </w:tabs>
              <w:spacing w:after="0" w:line="240" w:lineRule="auto"/>
              <w:jc w:val="center"/>
              <w:rPr>
                <w:b/>
                <w:szCs w:val="26"/>
                <w:lang w:val="vi-VN"/>
              </w:rPr>
            </w:pPr>
          </w:p>
          <w:p w14:paraId="23399AF7" w14:textId="3512A8CB" w:rsidR="00E05AC4" w:rsidRPr="00A645B4" w:rsidRDefault="00B31674" w:rsidP="00B31674">
            <w:pPr>
              <w:tabs>
                <w:tab w:val="center" w:pos="6240"/>
              </w:tabs>
              <w:spacing w:after="0" w:line="240" w:lineRule="auto"/>
              <w:ind w:firstLine="0"/>
              <w:rPr>
                <w:b/>
                <w:szCs w:val="26"/>
                <w:lang w:val="vi-VN"/>
              </w:rPr>
            </w:pPr>
            <w:r>
              <w:rPr>
                <w:b/>
                <w:szCs w:val="26"/>
              </w:rPr>
              <w:t xml:space="preserve">                       </w:t>
            </w:r>
            <w:r w:rsidR="00E05AC4" w:rsidRPr="00A645B4">
              <w:rPr>
                <w:b/>
                <w:szCs w:val="26"/>
                <w:lang w:val="vi-VN"/>
              </w:rPr>
              <w:t>Đậu An</w:t>
            </w:r>
            <w:bookmarkStart w:id="0" w:name="_GoBack"/>
            <w:bookmarkEnd w:id="0"/>
            <w:r w:rsidR="00E05AC4" w:rsidRPr="00A645B4">
              <w:rPr>
                <w:b/>
                <w:szCs w:val="26"/>
                <w:lang w:val="vi-VN"/>
              </w:rPr>
              <w:t>h Tuấn</w:t>
            </w:r>
          </w:p>
        </w:tc>
      </w:tr>
    </w:tbl>
    <w:p w14:paraId="70B82035" w14:textId="77777777" w:rsidR="00A356A7" w:rsidRPr="00A356A7" w:rsidRDefault="00A356A7" w:rsidP="00A356A7">
      <w:pPr>
        <w:jc w:val="both"/>
        <w:rPr>
          <w:lang w:val="vi-VN"/>
        </w:rPr>
      </w:pPr>
    </w:p>
    <w:sectPr w:rsidR="00A356A7" w:rsidRPr="00A356A7" w:rsidSect="005D436E">
      <w:footerReference w:type="default" r:id="rId8"/>
      <w:type w:val="continuous"/>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CBC86" w14:textId="77777777" w:rsidR="002513DD" w:rsidRDefault="002513DD" w:rsidP="00E85E8C">
      <w:pPr>
        <w:spacing w:after="0" w:line="240" w:lineRule="auto"/>
      </w:pPr>
      <w:r>
        <w:separator/>
      </w:r>
    </w:p>
  </w:endnote>
  <w:endnote w:type="continuationSeparator" w:id="0">
    <w:p w14:paraId="231B77DE" w14:textId="77777777" w:rsidR="002513DD" w:rsidRDefault="002513DD" w:rsidP="00E8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828244"/>
      <w:docPartObj>
        <w:docPartGallery w:val="Page Numbers (Bottom of Page)"/>
        <w:docPartUnique/>
      </w:docPartObj>
    </w:sdtPr>
    <w:sdtEndPr>
      <w:rPr>
        <w:noProof/>
      </w:rPr>
    </w:sdtEndPr>
    <w:sdtContent>
      <w:p w14:paraId="5C1303D6" w14:textId="1A3A94ED" w:rsidR="000E397E" w:rsidRDefault="000E397E" w:rsidP="0064716C">
        <w:pPr>
          <w:pStyle w:val="Footer"/>
          <w:jc w:val="center"/>
        </w:pPr>
        <w:r>
          <w:fldChar w:fldCharType="begin"/>
        </w:r>
        <w:r>
          <w:instrText xml:space="preserve"> PAGE   \* MERGEFORMAT </w:instrText>
        </w:r>
        <w:r>
          <w:fldChar w:fldCharType="separate"/>
        </w:r>
        <w:r w:rsidR="00802D3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4D1CA" w14:textId="77777777" w:rsidR="002513DD" w:rsidRDefault="002513DD" w:rsidP="00E85E8C">
      <w:pPr>
        <w:spacing w:after="0" w:line="240" w:lineRule="auto"/>
      </w:pPr>
      <w:r>
        <w:separator/>
      </w:r>
    </w:p>
  </w:footnote>
  <w:footnote w:type="continuationSeparator" w:id="0">
    <w:p w14:paraId="54CBD358" w14:textId="77777777" w:rsidR="002513DD" w:rsidRDefault="002513DD" w:rsidP="00E85E8C">
      <w:pPr>
        <w:spacing w:after="0" w:line="240" w:lineRule="auto"/>
      </w:pPr>
      <w:r>
        <w:continuationSeparator/>
      </w:r>
    </w:p>
  </w:footnote>
  <w:footnote w:id="1">
    <w:p w14:paraId="5D594810" w14:textId="77777777" w:rsidR="00DF33A2" w:rsidRDefault="00DF33A2" w:rsidP="00DF33A2">
      <w:pPr>
        <w:pStyle w:val="FootnoteText"/>
      </w:pPr>
      <w:r>
        <w:rPr>
          <w:rStyle w:val="FootnoteReference"/>
        </w:rPr>
        <w:footnoteRef/>
      </w:r>
      <w:r>
        <w:t xml:space="preserve"> Do tính phổ biến và giá cả của hệ sinh thái cho băng tần 2,3 GHz ở thời điểm hiện tại còn hạn chế, theo đánh giá tại Phần III, Thuyết minh Dự thảo.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51C"/>
    <w:multiLevelType w:val="hybridMultilevel"/>
    <w:tmpl w:val="C70247A4"/>
    <w:lvl w:ilvl="0" w:tplc="2292AD3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2DE09FC"/>
    <w:multiLevelType w:val="hybridMultilevel"/>
    <w:tmpl w:val="5CE66828"/>
    <w:lvl w:ilvl="0" w:tplc="7716216A">
      <w:numFmt w:val="bullet"/>
      <w:lvlText w:val="­"/>
      <w:lvlJc w:val="left"/>
      <w:pPr>
        <w:ind w:left="1440" w:hanging="360"/>
      </w:pPr>
      <w:rPr>
        <w:rFonts w:ascii="Times New Roman" w:eastAsiaTheme="minorEastAsia"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12FA361E"/>
    <w:multiLevelType w:val="hybridMultilevel"/>
    <w:tmpl w:val="B1524330"/>
    <w:lvl w:ilvl="0" w:tplc="EA2E9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A400F"/>
    <w:multiLevelType w:val="hybridMultilevel"/>
    <w:tmpl w:val="558C462A"/>
    <w:lvl w:ilvl="0" w:tplc="0952D3A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C4ACE"/>
    <w:multiLevelType w:val="hybridMultilevel"/>
    <w:tmpl w:val="08D42C80"/>
    <w:lvl w:ilvl="0" w:tplc="E09EA12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B1E7B"/>
    <w:multiLevelType w:val="hybridMultilevel"/>
    <w:tmpl w:val="2F041BFE"/>
    <w:lvl w:ilvl="0" w:tplc="6018D40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85C08"/>
    <w:multiLevelType w:val="hybridMultilevel"/>
    <w:tmpl w:val="F0EE6D70"/>
    <w:lvl w:ilvl="0" w:tplc="40FA4C1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C24AC3"/>
    <w:multiLevelType w:val="hybridMultilevel"/>
    <w:tmpl w:val="8206B0C6"/>
    <w:lvl w:ilvl="0" w:tplc="9BB4C3E4">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E1553B"/>
    <w:multiLevelType w:val="hybridMultilevel"/>
    <w:tmpl w:val="0A9EC1DC"/>
    <w:lvl w:ilvl="0" w:tplc="38A8F916">
      <w:start w:val="1"/>
      <w:numFmt w:val="decimal"/>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103CD"/>
    <w:multiLevelType w:val="hybridMultilevel"/>
    <w:tmpl w:val="86CE1330"/>
    <w:lvl w:ilvl="0" w:tplc="37029AD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A630CD"/>
    <w:multiLevelType w:val="hybridMultilevel"/>
    <w:tmpl w:val="DC08D38C"/>
    <w:lvl w:ilvl="0" w:tplc="106C774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B3E4C"/>
    <w:multiLevelType w:val="hybridMultilevel"/>
    <w:tmpl w:val="6DFA8210"/>
    <w:lvl w:ilvl="0" w:tplc="11789354">
      <w:start w:val="1"/>
      <w:numFmt w:val="decimal"/>
      <w:pStyle w:val="ListParagraph"/>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53CA2387"/>
    <w:multiLevelType w:val="hybridMultilevel"/>
    <w:tmpl w:val="58E0ECE4"/>
    <w:lvl w:ilvl="0" w:tplc="68A01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2E5B13"/>
    <w:multiLevelType w:val="hybridMultilevel"/>
    <w:tmpl w:val="A4003420"/>
    <w:lvl w:ilvl="0" w:tplc="928CA3D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81994"/>
    <w:multiLevelType w:val="multilevel"/>
    <w:tmpl w:val="FCCA74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3A33DBB"/>
    <w:multiLevelType w:val="hybridMultilevel"/>
    <w:tmpl w:val="E2242F04"/>
    <w:lvl w:ilvl="0" w:tplc="A99A1430">
      <w:start w:val="1"/>
      <w:numFmt w:val="decimal"/>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A741A8"/>
    <w:multiLevelType w:val="hybridMultilevel"/>
    <w:tmpl w:val="2CBED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FE5015"/>
    <w:multiLevelType w:val="multilevel"/>
    <w:tmpl w:val="0DD87272"/>
    <w:lvl w:ilvl="0">
      <w:start w:val="1"/>
      <w:numFmt w:val="decimal"/>
      <w:pStyle w:val="pa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0913DBD"/>
    <w:multiLevelType w:val="hybridMultilevel"/>
    <w:tmpl w:val="179AC916"/>
    <w:lvl w:ilvl="0" w:tplc="F58EF7E6">
      <w:start w:val="2"/>
      <w:numFmt w:val="bullet"/>
      <w:lvlText w:val="-"/>
      <w:lvlJc w:val="left"/>
      <w:pPr>
        <w:ind w:left="1440" w:hanging="360"/>
      </w:pPr>
      <w:rPr>
        <w:rFonts w:ascii="Times New Roman" w:eastAsiaTheme="minorEastAsia"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741576E"/>
    <w:multiLevelType w:val="hybridMultilevel"/>
    <w:tmpl w:val="20106D5C"/>
    <w:lvl w:ilvl="0" w:tplc="EF94B014">
      <w:numFmt w:val="bullet"/>
      <w:pStyle w:val="Heading30"/>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0E0EF3"/>
    <w:multiLevelType w:val="hybridMultilevel"/>
    <w:tmpl w:val="4A58A31E"/>
    <w:lvl w:ilvl="0" w:tplc="9DC290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95007"/>
    <w:multiLevelType w:val="hybridMultilevel"/>
    <w:tmpl w:val="A47CBF82"/>
    <w:lvl w:ilvl="0" w:tplc="5BE4B8F0">
      <w:start w:val="1"/>
      <w:numFmt w:val="decimal"/>
      <w:lvlText w:val="%1."/>
      <w:lvlJc w:val="left"/>
      <w:pPr>
        <w:ind w:left="1080" w:hanging="360"/>
      </w:pPr>
      <w:rPr>
        <w:rFonts w:ascii="Times New Roman" w:eastAsiaTheme="minorEastAsia" w:hAnsi="Times New Roman" w:cstheme="minorBid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4"/>
  </w:num>
  <w:num w:numId="6">
    <w:abstractNumId w:val="2"/>
  </w:num>
  <w:num w:numId="7">
    <w:abstractNumId w:val="2"/>
  </w:num>
  <w:num w:numId="8">
    <w:abstractNumId w:val="8"/>
  </w:num>
  <w:num w:numId="9">
    <w:abstractNumId w:val="8"/>
  </w:num>
  <w:num w:numId="10">
    <w:abstractNumId w:val="2"/>
  </w:num>
  <w:num w:numId="11">
    <w:abstractNumId w:val="18"/>
  </w:num>
  <w:num w:numId="12">
    <w:abstractNumId w:val="5"/>
  </w:num>
  <w:num w:numId="13">
    <w:abstractNumId w:val="18"/>
  </w:num>
  <w:num w:numId="14">
    <w:abstractNumId w:val="17"/>
  </w:num>
  <w:num w:numId="15">
    <w:abstractNumId w:val="10"/>
  </w:num>
  <w:num w:numId="16">
    <w:abstractNumId w:val="15"/>
  </w:num>
  <w:num w:numId="17">
    <w:abstractNumId w:val="9"/>
  </w:num>
  <w:num w:numId="18">
    <w:abstractNumId w:val="9"/>
  </w:num>
  <w:num w:numId="19">
    <w:abstractNumId w:val="19"/>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0"/>
  </w:num>
  <w:num w:numId="24">
    <w:abstractNumId w:val="12"/>
  </w:num>
  <w:num w:numId="25">
    <w:abstractNumId w:val="7"/>
  </w:num>
  <w:num w:numId="26">
    <w:abstractNumId w:val="13"/>
  </w:num>
  <w:num w:numId="27">
    <w:abstractNumId w:val="3"/>
  </w:num>
  <w:num w:numId="28">
    <w:abstractNumId w:val="21"/>
  </w:num>
  <w:num w:numId="29">
    <w:abstractNumId w:val="1"/>
  </w:num>
  <w:num w:numId="30">
    <w:abstractNumId w:val="0"/>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9B"/>
    <w:rsid w:val="00012685"/>
    <w:rsid w:val="00016FB9"/>
    <w:rsid w:val="0002163A"/>
    <w:rsid w:val="0004402E"/>
    <w:rsid w:val="00052818"/>
    <w:rsid w:val="00075BC2"/>
    <w:rsid w:val="0008663D"/>
    <w:rsid w:val="00092D06"/>
    <w:rsid w:val="000A3B69"/>
    <w:rsid w:val="000A61DC"/>
    <w:rsid w:val="000C74DE"/>
    <w:rsid w:val="000D1BF7"/>
    <w:rsid w:val="000D73CC"/>
    <w:rsid w:val="000E397E"/>
    <w:rsid w:val="000E4EB3"/>
    <w:rsid w:val="00101416"/>
    <w:rsid w:val="001064E0"/>
    <w:rsid w:val="001068CB"/>
    <w:rsid w:val="00113075"/>
    <w:rsid w:val="001142F2"/>
    <w:rsid w:val="001159F6"/>
    <w:rsid w:val="00115AD3"/>
    <w:rsid w:val="00126620"/>
    <w:rsid w:val="00180EA8"/>
    <w:rsid w:val="0019719F"/>
    <w:rsid w:val="001A53A1"/>
    <w:rsid w:val="001B3444"/>
    <w:rsid w:val="001C7F00"/>
    <w:rsid w:val="001D2D88"/>
    <w:rsid w:val="002127E3"/>
    <w:rsid w:val="002228AA"/>
    <w:rsid w:val="00222C1B"/>
    <w:rsid w:val="002513DD"/>
    <w:rsid w:val="00284DDF"/>
    <w:rsid w:val="00285DB9"/>
    <w:rsid w:val="00293AE8"/>
    <w:rsid w:val="002A3D45"/>
    <w:rsid w:val="002C06EB"/>
    <w:rsid w:val="002C5FEC"/>
    <w:rsid w:val="002D7CE9"/>
    <w:rsid w:val="002E655F"/>
    <w:rsid w:val="00313427"/>
    <w:rsid w:val="003216FE"/>
    <w:rsid w:val="00324359"/>
    <w:rsid w:val="003328B6"/>
    <w:rsid w:val="00354782"/>
    <w:rsid w:val="003655F0"/>
    <w:rsid w:val="003B28FB"/>
    <w:rsid w:val="003B4DE1"/>
    <w:rsid w:val="003C435A"/>
    <w:rsid w:val="003C5D19"/>
    <w:rsid w:val="003D4869"/>
    <w:rsid w:val="003E1730"/>
    <w:rsid w:val="003E1E98"/>
    <w:rsid w:val="004110BF"/>
    <w:rsid w:val="0041669B"/>
    <w:rsid w:val="0042055C"/>
    <w:rsid w:val="00487CFB"/>
    <w:rsid w:val="004A03BD"/>
    <w:rsid w:val="004B60E7"/>
    <w:rsid w:val="004F5346"/>
    <w:rsid w:val="00504F73"/>
    <w:rsid w:val="005062EC"/>
    <w:rsid w:val="00506987"/>
    <w:rsid w:val="00510CAF"/>
    <w:rsid w:val="00531141"/>
    <w:rsid w:val="0055117C"/>
    <w:rsid w:val="00557F19"/>
    <w:rsid w:val="005C44FC"/>
    <w:rsid w:val="005C7752"/>
    <w:rsid w:val="005D436E"/>
    <w:rsid w:val="005F48E5"/>
    <w:rsid w:val="00621E13"/>
    <w:rsid w:val="00633696"/>
    <w:rsid w:val="0064716C"/>
    <w:rsid w:val="006611D8"/>
    <w:rsid w:val="0067457C"/>
    <w:rsid w:val="00674ED8"/>
    <w:rsid w:val="00682B4E"/>
    <w:rsid w:val="00691D6C"/>
    <w:rsid w:val="00692DF1"/>
    <w:rsid w:val="00694084"/>
    <w:rsid w:val="006C3221"/>
    <w:rsid w:val="006D3739"/>
    <w:rsid w:val="006D6560"/>
    <w:rsid w:val="006F4716"/>
    <w:rsid w:val="006F5283"/>
    <w:rsid w:val="006F6A77"/>
    <w:rsid w:val="007202EC"/>
    <w:rsid w:val="007227A4"/>
    <w:rsid w:val="007351A3"/>
    <w:rsid w:val="00736505"/>
    <w:rsid w:val="00743875"/>
    <w:rsid w:val="00763121"/>
    <w:rsid w:val="00765BAB"/>
    <w:rsid w:val="007675FF"/>
    <w:rsid w:val="0077150F"/>
    <w:rsid w:val="00774ED6"/>
    <w:rsid w:val="00797AA1"/>
    <w:rsid w:val="007A0535"/>
    <w:rsid w:val="007A4D6E"/>
    <w:rsid w:val="007A7A16"/>
    <w:rsid w:val="007B7A7F"/>
    <w:rsid w:val="007C7191"/>
    <w:rsid w:val="007E4D23"/>
    <w:rsid w:val="007E690E"/>
    <w:rsid w:val="007F0573"/>
    <w:rsid w:val="007F74FB"/>
    <w:rsid w:val="00802D35"/>
    <w:rsid w:val="00825910"/>
    <w:rsid w:val="00854FD0"/>
    <w:rsid w:val="0086463E"/>
    <w:rsid w:val="00881E49"/>
    <w:rsid w:val="008919CF"/>
    <w:rsid w:val="00894FEA"/>
    <w:rsid w:val="008C2239"/>
    <w:rsid w:val="00913353"/>
    <w:rsid w:val="00921A04"/>
    <w:rsid w:val="009237A6"/>
    <w:rsid w:val="0096109D"/>
    <w:rsid w:val="0096225F"/>
    <w:rsid w:val="00973465"/>
    <w:rsid w:val="009764E8"/>
    <w:rsid w:val="009819E9"/>
    <w:rsid w:val="009837C4"/>
    <w:rsid w:val="00991100"/>
    <w:rsid w:val="009A7E7A"/>
    <w:rsid w:val="009B712B"/>
    <w:rsid w:val="009D4D5A"/>
    <w:rsid w:val="009D5707"/>
    <w:rsid w:val="009E36AA"/>
    <w:rsid w:val="00A0068A"/>
    <w:rsid w:val="00A35575"/>
    <w:rsid w:val="00A356A7"/>
    <w:rsid w:val="00A61AE2"/>
    <w:rsid w:val="00A76E5D"/>
    <w:rsid w:val="00A773A9"/>
    <w:rsid w:val="00A93ED8"/>
    <w:rsid w:val="00AB7D6C"/>
    <w:rsid w:val="00AC5186"/>
    <w:rsid w:val="00AF093B"/>
    <w:rsid w:val="00B11B58"/>
    <w:rsid w:val="00B142B2"/>
    <w:rsid w:val="00B27A56"/>
    <w:rsid w:val="00B31674"/>
    <w:rsid w:val="00B503E4"/>
    <w:rsid w:val="00B52BA3"/>
    <w:rsid w:val="00B7108B"/>
    <w:rsid w:val="00B74C3A"/>
    <w:rsid w:val="00B75306"/>
    <w:rsid w:val="00B86A60"/>
    <w:rsid w:val="00BE1999"/>
    <w:rsid w:val="00BF1D49"/>
    <w:rsid w:val="00BF4B1E"/>
    <w:rsid w:val="00C07C26"/>
    <w:rsid w:val="00C15FAB"/>
    <w:rsid w:val="00C229CD"/>
    <w:rsid w:val="00C22AAA"/>
    <w:rsid w:val="00C27A24"/>
    <w:rsid w:val="00C443A0"/>
    <w:rsid w:val="00C46D67"/>
    <w:rsid w:val="00C63E8A"/>
    <w:rsid w:val="00C775D6"/>
    <w:rsid w:val="00CB32CA"/>
    <w:rsid w:val="00CC34E3"/>
    <w:rsid w:val="00CC48AC"/>
    <w:rsid w:val="00CC7D54"/>
    <w:rsid w:val="00CF2225"/>
    <w:rsid w:val="00D01FFA"/>
    <w:rsid w:val="00D06F42"/>
    <w:rsid w:val="00D10CEB"/>
    <w:rsid w:val="00D15BB8"/>
    <w:rsid w:val="00D16502"/>
    <w:rsid w:val="00D17E7B"/>
    <w:rsid w:val="00D30041"/>
    <w:rsid w:val="00D30DC6"/>
    <w:rsid w:val="00D36553"/>
    <w:rsid w:val="00D44D8C"/>
    <w:rsid w:val="00D463BB"/>
    <w:rsid w:val="00D55267"/>
    <w:rsid w:val="00D619F0"/>
    <w:rsid w:val="00DB093B"/>
    <w:rsid w:val="00DB1BA3"/>
    <w:rsid w:val="00DB2BC4"/>
    <w:rsid w:val="00DB3EDA"/>
    <w:rsid w:val="00DC216E"/>
    <w:rsid w:val="00DD02BC"/>
    <w:rsid w:val="00DD314E"/>
    <w:rsid w:val="00DF33A2"/>
    <w:rsid w:val="00E05AC4"/>
    <w:rsid w:val="00E0784A"/>
    <w:rsid w:val="00E14232"/>
    <w:rsid w:val="00E57B05"/>
    <w:rsid w:val="00E74AA9"/>
    <w:rsid w:val="00E85E8C"/>
    <w:rsid w:val="00E869E1"/>
    <w:rsid w:val="00EA1063"/>
    <w:rsid w:val="00EB7345"/>
    <w:rsid w:val="00EB7D4B"/>
    <w:rsid w:val="00EC58D3"/>
    <w:rsid w:val="00ED1CFF"/>
    <w:rsid w:val="00ED3CF5"/>
    <w:rsid w:val="00EE7E48"/>
    <w:rsid w:val="00F3343C"/>
    <w:rsid w:val="00F6000C"/>
    <w:rsid w:val="00F64A63"/>
    <w:rsid w:val="00F747FD"/>
    <w:rsid w:val="00F82E56"/>
    <w:rsid w:val="00F92D24"/>
    <w:rsid w:val="00FA0526"/>
    <w:rsid w:val="00FA1149"/>
    <w:rsid w:val="00FE12D6"/>
    <w:rsid w:val="00FE4D9F"/>
    <w:rsid w:val="00FF1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1813"/>
  <w15:chartTrackingRefBased/>
  <w15:docId w15:val="{E579982B-E9F4-4740-AB1A-EA026A01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6"/>
        <w:szCs w:val="28"/>
        <w:lang w:val="en-US" w:eastAsia="zh-CN" w:bidi="ar-SA"/>
      </w:rPr>
    </w:rPrDefault>
    <w:pPrDefault>
      <w:pPr>
        <w:spacing w:after="160"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E13"/>
  </w:style>
  <w:style w:type="paragraph" w:styleId="Heading1">
    <w:name w:val="heading 1"/>
    <w:basedOn w:val="Normal"/>
    <w:next w:val="Normal"/>
    <w:link w:val="Heading1Char"/>
    <w:autoRedefine/>
    <w:uiPriority w:val="9"/>
    <w:qFormat/>
    <w:rsid w:val="00621E13"/>
    <w:pPr>
      <w:keepNext/>
      <w:keepLines/>
      <w:spacing w:before="240" w:after="0"/>
      <w:jc w:val="center"/>
      <w:outlineLvl w:val="0"/>
    </w:pPr>
    <w:rPr>
      <w:rFonts w:eastAsiaTheme="majorEastAsia" w:cstheme="majorBidi"/>
      <w:b/>
      <w:caps/>
      <w:sz w:val="36"/>
      <w:szCs w:val="32"/>
    </w:rPr>
  </w:style>
  <w:style w:type="paragraph" w:styleId="Heading2">
    <w:name w:val="heading 2"/>
    <w:basedOn w:val="Normal"/>
    <w:next w:val="Normal"/>
    <w:link w:val="Heading2Char"/>
    <w:autoRedefine/>
    <w:uiPriority w:val="9"/>
    <w:semiHidden/>
    <w:unhideWhenUsed/>
    <w:qFormat/>
    <w:rsid w:val="00C775D6"/>
    <w:pPr>
      <w:keepNext/>
      <w:keepLines/>
      <w:spacing w:before="40" w:after="0"/>
      <w:ind w:firstLine="0"/>
      <w:outlineLvl w:val="1"/>
    </w:pPr>
    <w:rPr>
      <w:rFonts w:eastAsiaTheme="majorEastAsia" w:cstheme="majorBidi"/>
      <w:b/>
      <w:szCs w:val="26"/>
    </w:rPr>
  </w:style>
  <w:style w:type="paragraph" w:styleId="Heading30">
    <w:name w:val="heading 3"/>
    <w:basedOn w:val="Heading3"/>
    <w:next w:val="Heading3"/>
    <w:link w:val="Heading3Char"/>
    <w:autoRedefine/>
    <w:uiPriority w:val="9"/>
    <w:unhideWhenUsed/>
    <w:qFormat/>
    <w:rsid w:val="00B11B58"/>
    <w:pPr>
      <w:numPr>
        <w:numId w:val="19"/>
      </w:numP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E13"/>
    <w:rPr>
      <w:rFonts w:eastAsiaTheme="majorEastAsia" w:cstheme="majorBidi"/>
      <w:b/>
      <w:caps/>
      <w:sz w:val="36"/>
      <w:szCs w:val="32"/>
    </w:rPr>
  </w:style>
  <w:style w:type="character" w:customStyle="1" w:styleId="Heading2Char">
    <w:name w:val="Heading 2 Char"/>
    <w:basedOn w:val="DefaultParagraphFont"/>
    <w:link w:val="Heading2"/>
    <w:uiPriority w:val="9"/>
    <w:semiHidden/>
    <w:rsid w:val="00C775D6"/>
    <w:rPr>
      <w:rFonts w:eastAsiaTheme="majorEastAsia" w:cstheme="majorBidi"/>
      <w:b/>
      <w:szCs w:val="26"/>
    </w:rPr>
  </w:style>
  <w:style w:type="paragraph" w:styleId="ListParagraph">
    <w:name w:val="List Paragraph"/>
    <w:basedOn w:val="Normal"/>
    <w:link w:val="ListParagraphChar"/>
    <w:autoRedefine/>
    <w:uiPriority w:val="34"/>
    <w:qFormat/>
    <w:rsid w:val="00DB2BC4"/>
    <w:pPr>
      <w:numPr>
        <w:numId w:val="31"/>
      </w:numPr>
      <w:snapToGrid w:val="0"/>
      <w:spacing w:before="120" w:after="120" w:line="312" w:lineRule="auto"/>
      <w:contextualSpacing/>
      <w:jc w:val="both"/>
    </w:pPr>
    <w:rPr>
      <w:b/>
    </w:rPr>
  </w:style>
  <w:style w:type="character" w:customStyle="1" w:styleId="ListParagraphChar">
    <w:name w:val="List Paragraph Char"/>
    <w:basedOn w:val="DefaultParagraphFont"/>
    <w:link w:val="ListParagraph"/>
    <w:uiPriority w:val="34"/>
    <w:rsid w:val="00DB2BC4"/>
    <w:rPr>
      <w:b/>
    </w:rPr>
  </w:style>
  <w:style w:type="paragraph" w:customStyle="1" w:styleId="para">
    <w:name w:val="para"/>
    <w:basedOn w:val="ListParagraph"/>
    <w:link w:val="paraChar"/>
    <w:autoRedefine/>
    <w:qFormat/>
    <w:rsid w:val="00075BC2"/>
    <w:pPr>
      <w:numPr>
        <w:numId w:val="14"/>
      </w:numPr>
      <w:spacing w:after="0"/>
      <w:ind w:left="1080"/>
    </w:pPr>
    <w:rPr>
      <w:b w:val="0"/>
      <w:sz w:val="36"/>
    </w:rPr>
  </w:style>
  <w:style w:type="character" w:customStyle="1" w:styleId="paraChar">
    <w:name w:val="para Char"/>
    <w:basedOn w:val="Heading1Char"/>
    <w:link w:val="para"/>
    <w:rsid w:val="00075BC2"/>
    <w:rPr>
      <w:rFonts w:eastAsiaTheme="majorEastAsia" w:cstheme="majorBidi"/>
      <w:b w:val="0"/>
      <w:caps/>
      <w:sz w:val="36"/>
      <w:szCs w:val="32"/>
    </w:rPr>
  </w:style>
  <w:style w:type="paragraph" w:styleId="NoSpacing">
    <w:name w:val="No Spacing"/>
    <w:autoRedefine/>
    <w:uiPriority w:val="1"/>
    <w:qFormat/>
    <w:rsid w:val="00C443A0"/>
    <w:pPr>
      <w:numPr>
        <w:numId w:val="9"/>
      </w:numPr>
      <w:spacing w:after="0"/>
      <w:jc w:val="both"/>
    </w:pPr>
  </w:style>
  <w:style w:type="paragraph" w:customStyle="1" w:styleId="Heading3">
    <w:name w:val="Heading3"/>
    <w:basedOn w:val="Heading2"/>
    <w:link w:val="Heading3Char0"/>
    <w:autoRedefine/>
    <w:qFormat/>
    <w:rsid w:val="003C5D19"/>
    <w:pPr>
      <w:numPr>
        <w:numId w:val="16"/>
      </w:numPr>
    </w:pPr>
    <w:rPr>
      <w:i/>
    </w:rPr>
  </w:style>
  <w:style w:type="character" w:customStyle="1" w:styleId="Heading3Char0">
    <w:name w:val="Heading3 Char"/>
    <w:basedOn w:val="DefaultParagraphFont"/>
    <w:link w:val="Heading3"/>
    <w:rsid w:val="003C5D19"/>
    <w:rPr>
      <w:rFonts w:eastAsiaTheme="majorEastAsia" w:cstheme="majorBidi"/>
      <w:b/>
      <w:i/>
      <w:szCs w:val="26"/>
    </w:rPr>
  </w:style>
  <w:style w:type="character" w:customStyle="1" w:styleId="Heading3Char">
    <w:name w:val="Heading 3 Char"/>
    <w:basedOn w:val="DefaultParagraphFont"/>
    <w:link w:val="Heading30"/>
    <w:uiPriority w:val="9"/>
    <w:rsid w:val="00B11B58"/>
    <w:rPr>
      <w:rFonts w:eastAsiaTheme="majorEastAsia" w:cstheme="majorBidi"/>
      <w:b/>
      <w:i/>
      <w:szCs w:val="24"/>
    </w:rPr>
  </w:style>
  <w:style w:type="paragraph" w:styleId="NormalWeb">
    <w:name w:val="Normal (Web)"/>
    <w:basedOn w:val="Normal"/>
    <w:uiPriority w:val="99"/>
    <w:semiHidden/>
    <w:unhideWhenUsed/>
    <w:rsid w:val="000D73CC"/>
    <w:pPr>
      <w:spacing w:before="100" w:beforeAutospacing="1" w:after="100" w:afterAutospacing="1" w:line="240" w:lineRule="auto"/>
      <w:ind w:firstLine="0"/>
    </w:pPr>
    <w:rPr>
      <w:rFonts w:cs="Times New Roman"/>
      <w:sz w:val="24"/>
      <w:szCs w:val="24"/>
      <w:lang w:eastAsia="en-US"/>
    </w:rPr>
  </w:style>
  <w:style w:type="table" w:styleId="TableGrid">
    <w:name w:val="Table Grid"/>
    <w:basedOn w:val="TableNormal"/>
    <w:uiPriority w:val="59"/>
    <w:rsid w:val="00E05AC4"/>
    <w:pPr>
      <w:spacing w:after="0" w:line="240" w:lineRule="auto"/>
      <w:ind w:firstLine="0"/>
    </w:pPr>
    <w:rPr>
      <w:rFonts w:eastAsiaTheme="minorHAnsi"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5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E8C"/>
  </w:style>
  <w:style w:type="paragraph" w:styleId="Footer">
    <w:name w:val="footer"/>
    <w:basedOn w:val="Normal"/>
    <w:link w:val="FooterChar"/>
    <w:uiPriority w:val="99"/>
    <w:unhideWhenUsed/>
    <w:rsid w:val="00E85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E8C"/>
  </w:style>
  <w:style w:type="paragraph" w:styleId="FootnoteText">
    <w:name w:val="footnote text"/>
    <w:basedOn w:val="Normal"/>
    <w:link w:val="FootnoteTextChar"/>
    <w:uiPriority w:val="99"/>
    <w:semiHidden/>
    <w:unhideWhenUsed/>
    <w:rsid w:val="00115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9F6"/>
    <w:rPr>
      <w:sz w:val="20"/>
      <w:szCs w:val="20"/>
    </w:rPr>
  </w:style>
  <w:style w:type="character" w:styleId="FootnoteReference">
    <w:name w:val="footnote reference"/>
    <w:basedOn w:val="DefaultParagraphFont"/>
    <w:uiPriority w:val="99"/>
    <w:semiHidden/>
    <w:unhideWhenUsed/>
    <w:rsid w:val="00115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95314">
      <w:bodyDiv w:val="1"/>
      <w:marLeft w:val="0"/>
      <w:marRight w:val="0"/>
      <w:marTop w:val="0"/>
      <w:marBottom w:val="0"/>
      <w:divBdr>
        <w:top w:val="none" w:sz="0" w:space="0" w:color="auto"/>
        <w:left w:val="none" w:sz="0" w:space="0" w:color="auto"/>
        <w:bottom w:val="none" w:sz="0" w:space="0" w:color="auto"/>
        <w:right w:val="none" w:sz="0" w:space="0" w:color="auto"/>
      </w:divBdr>
    </w:div>
    <w:div w:id="854148302">
      <w:bodyDiv w:val="1"/>
      <w:marLeft w:val="0"/>
      <w:marRight w:val="0"/>
      <w:marTop w:val="0"/>
      <w:marBottom w:val="0"/>
      <w:divBdr>
        <w:top w:val="none" w:sz="0" w:space="0" w:color="auto"/>
        <w:left w:val="none" w:sz="0" w:space="0" w:color="auto"/>
        <w:bottom w:val="none" w:sz="0" w:space="0" w:color="auto"/>
        <w:right w:val="none" w:sz="0" w:space="0" w:color="auto"/>
      </w:divBdr>
    </w:div>
    <w:div w:id="89412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EE13-A84A-40BD-B71F-59864876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Hùng Phạm</dc:creator>
  <cp:keywords/>
  <dc:description/>
  <cp:lastModifiedBy>Asus</cp:lastModifiedBy>
  <cp:revision>35</cp:revision>
  <cp:lastPrinted>2020-04-27T03:21:00Z</cp:lastPrinted>
  <dcterms:created xsi:type="dcterms:W3CDTF">2019-07-03T09:44:00Z</dcterms:created>
  <dcterms:modified xsi:type="dcterms:W3CDTF">2020-04-27T04:12:00Z</dcterms:modified>
</cp:coreProperties>
</file>